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D927C" w14:textId="77777777" w:rsidR="009D05BA" w:rsidRDefault="009D05BA" w:rsidP="009D05BA">
      <w:pPr>
        <w:rPr>
          <w:rFonts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0" w:type="dxa"/>
          <w:right w:w="50" w:type="dxa"/>
        </w:tblCellMar>
        <w:tblLook w:val="0000" w:firstRow="0" w:lastRow="0" w:firstColumn="0" w:lastColumn="0" w:noHBand="0" w:noVBand="0"/>
      </w:tblPr>
      <w:tblGrid>
        <w:gridCol w:w="187"/>
        <w:gridCol w:w="9173"/>
      </w:tblGrid>
      <w:tr w:rsidR="009D05BA" w14:paraId="67BD725B" w14:textId="77777777" w:rsidTr="009D05BA">
        <w:tc>
          <w:tcPr>
            <w:tcW w:w="100" w:type="pct"/>
            <w:tcBorders>
              <w:top w:val="nil"/>
              <w:left w:val="nil"/>
              <w:bottom w:val="nil"/>
              <w:right w:val="nil"/>
            </w:tcBorders>
            <w:shd w:val="clear" w:color="auto" w:fill="FFFFFF"/>
            <w:tcMar>
              <w:top w:w="50" w:type="dxa"/>
              <w:left w:w="50" w:type="dxa"/>
              <w:bottom w:w="50" w:type="dxa"/>
              <w:right w:w="50" w:type="dxa"/>
            </w:tcMar>
            <w:vAlign w:val="center"/>
          </w:tcPr>
          <w:p w14:paraId="2BC941E4" w14:textId="77777777" w:rsidR="009D05BA" w:rsidRDefault="009D05BA" w:rsidP="000320BE">
            <w:pPr>
              <w:rPr>
                <w:rFonts w:cs="Times New Roman"/>
              </w:rPr>
            </w:pPr>
          </w:p>
        </w:tc>
        <w:tc>
          <w:tcPr>
            <w:tcW w:w="4900" w:type="pct"/>
            <w:tcBorders>
              <w:top w:val="nil"/>
              <w:left w:val="nil"/>
              <w:bottom w:val="nil"/>
              <w:right w:val="nil"/>
            </w:tcBorders>
            <w:shd w:val="clear" w:color="auto" w:fill="FFFFFF"/>
            <w:tcMar>
              <w:top w:w="50" w:type="dxa"/>
              <w:left w:w="50" w:type="dxa"/>
              <w:bottom w:w="50" w:type="dxa"/>
              <w:right w:w="50" w:type="dxa"/>
            </w:tcMar>
            <w:vAlign w:val="center"/>
          </w:tcPr>
          <w:p w14:paraId="62F18D0F" w14:textId="77777777" w:rsidR="009D05BA" w:rsidRDefault="009D05BA" w:rsidP="000320BE">
            <w:pPr>
              <w:rPr>
                <w:sz w:val="20"/>
                <w:szCs w:val="20"/>
              </w:rPr>
            </w:pPr>
            <w:r>
              <w:rPr>
                <w:sz w:val="20"/>
                <w:szCs w:val="20"/>
              </w:rPr>
              <w:t xml:space="preserve">Report No: </w:t>
            </w:r>
            <w:bookmarkStart w:id="0" w:name="_GoBack"/>
            <w:r>
              <w:rPr>
                <w:sz w:val="20"/>
                <w:szCs w:val="20"/>
              </w:rPr>
              <w:t>ACS16696</w:t>
            </w:r>
            <w:bookmarkEnd w:id="0"/>
          </w:p>
        </w:tc>
      </w:tr>
      <w:tr w:rsidR="009D05BA" w14:paraId="4429D42E" w14:textId="77777777" w:rsidTr="009D05BA">
        <w:tc>
          <w:tcPr>
            <w:tcW w:w="5000" w:type="pct"/>
            <w:gridSpan w:val="2"/>
            <w:tcBorders>
              <w:top w:val="nil"/>
              <w:left w:val="nil"/>
              <w:bottom w:val="nil"/>
              <w:right w:val="nil"/>
            </w:tcBorders>
            <w:shd w:val="clear" w:color="auto" w:fill="FFFFFF"/>
            <w:tcMar>
              <w:top w:w="50" w:type="dxa"/>
              <w:left w:w="50" w:type="dxa"/>
              <w:bottom w:w="50" w:type="dxa"/>
              <w:right w:w="50" w:type="dxa"/>
            </w:tcMar>
            <w:vAlign w:val="center"/>
          </w:tcPr>
          <w:p w14:paraId="69D8FB33" w14:textId="77777777" w:rsidR="009D05BA" w:rsidRDefault="009D05BA" w:rsidP="000320BE">
            <w:pPr>
              <w:rPr>
                <w:rFonts w:ascii="Times" w:hAnsi="Times" w:cs="Times"/>
                <w:color w:val="FFFFFF"/>
                <w:sz w:val="10"/>
                <w:szCs w:val="10"/>
              </w:rPr>
            </w:pPr>
            <w:r>
              <w:rPr>
                <w:rFonts w:ascii="Times" w:hAnsi="Times" w:cs="Times"/>
                <w:color w:val="FFFFFF"/>
                <w:sz w:val="10"/>
                <w:szCs w:val="10"/>
              </w:rPr>
              <w:t>.</w:t>
            </w:r>
          </w:p>
        </w:tc>
      </w:tr>
      <w:tr w:rsidR="009D05BA" w14:paraId="33535778" w14:textId="77777777" w:rsidTr="009D05BA">
        <w:tc>
          <w:tcPr>
            <w:tcW w:w="100" w:type="pct"/>
            <w:tcBorders>
              <w:top w:val="nil"/>
              <w:left w:val="nil"/>
              <w:bottom w:val="nil"/>
              <w:right w:val="nil"/>
            </w:tcBorders>
            <w:shd w:val="clear" w:color="auto" w:fill="FFFFFF"/>
            <w:tcMar>
              <w:top w:w="50" w:type="dxa"/>
              <w:left w:w="50" w:type="dxa"/>
              <w:bottom w:w="50" w:type="dxa"/>
              <w:right w:w="50" w:type="dxa"/>
            </w:tcMar>
            <w:vAlign w:val="center"/>
          </w:tcPr>
          <w:p w14:paraId="13BDBDD5" w14:textId="77777777" w:rsidR="009D05BA" w:rsidRDefault="009D05BA" w:rsidP="000320BE">
            <w:pPr>
              <w:rPr>
                <w:rFonts w:cs="Times New Roman"/>
              </w:rPr>
            </w:pPr>
          </w:p>
        </w:tc>
        <w:tc>
          <w:tcPr>
            <w:tcW w:w="4900" w:type="pct"/>
            <w:tcBorders>
              <w:top w:val="nil"/>
              <w:left w:val="nil"/>
              <w:bottom w:val="nil"/>
              <w:right w:val="nil"/>
            </w:tcBorders>
            <w:shd w:val="clear" w:color="auto" w:fill="FFFFFF"/>
            <w:tcMar>
              <w:top w:w="50" w:type="dxa"/>
              <w:left w:w="50" w:type="dxa"/>
              <w:bottom w:w="50" w:type="dxa"/>
              <w:right w:w="50" w:type="dxa"/>
            </w:tcMar>
            <w:vAlign w:val="center"/>
          </w:tcPr>
          <w:p w14:paraId="7128550A" w14:textId="77777777" w:rsidR="009D05BA" w:rsidRDefault="009D05BA" w:rsidP="000320BE">
            <w:pPr>
              <w:rPr>
                <w:sz w:val="48"/>
                <w:szCs w:val="48"/>
              </w:rPr>
            </w:pPr>
            <w:r>
              <w:rPr>
                <w:sz w:val="48"/>
                <w:szCs w:val="48"/>
              </w:rPr>
              <w:t>Ukraine</w:t>
            </w:r>
          </w:p>
        </w:tc>
      </w:tr>
      <w:tr w:rsidR="009D05BA" w14:paraId="1320FA38" w14:textId="77777777" w:rsidTr="009D05BA">
        <w:tc>
          <w:tcPr>
            <w:tcW w:w="100" w:type="pct"/>
            <w:tcBorders>
              <w:top w:val="nil"/>
              <w:left w:val="nil"/>
              <w:bottom w:val="nil"/>
              <w:right w:val="nil"/>
            </w:tcBorders>
            <w:shd w:val="clear" w:color="auto" w:fill="FFFFFF"/>
            <w:tcMar>
              <w:top w:w="50" w:type="dxa"/>
              <w:left w:w="50" w:type="dxa"/>
              <w:bottom w:w="50" w:type="dxa"/>
              <w:right w:w="50" w:type="dxa"/>
            </w:tcMar>
            <w:vAlign w:val="center"/>
          </w:tcPr>
          <w:p w14:paraId="1F4F73BB" w14:textId="77777777" w:rsidR="009D05BA" w:rsidRDefault="009D05BA" w:rsidP="000320BE">
            <w:pPr>
              <w:rPr>
                <w:rFonts w:cs="Times New Roman"/>
              </w:rPr>
            </w:pPr>
          </w:p>
        </w:tc>
        <w:tc>
          <w:tcPr>
            <w:tcW w:w="4900" w:type="pct"/>
            <w:tcBorders>
              <w:top w:val="nil"/>
              <w:left w:val="nil"/>
              <w:bottom w:val="nil"/>
              <w:right w:val="nil"/>
            </w:tcBorders>
            <w:shd w:val="clear" w:color="auto" w:fill="FFFFFF"/>
            <w:tcMar>
              <w:top w:w="50" w:type="dxa"/>
              <w:left w:w="50" w:type="dxa"/>
              <w:bottom w:w="50" w:type="dxa"/>
              <w:right w:w="50" w:type="dxa"/>
            </w:tcMar>
            <w:vAlign w:val="center"/>
          </w:tcPr>
          <w:p w14:paraId="46179E4E" w14:textId="77777777" w:rsidR="009D05BA" w:rsidRDefault="009D05BA" w:rsidP="000320BE">
            <w:pPr>
              <w:rPr>
                <w:sz w:val="48"/>
                <w:szCs w:val="48"/>
              </w:rPr>
            </w:pPr>
            <w:r>
              <w:rPr>
                <w:sz w:val="48"/>
                <w:szCs w:val="48"/>
              </w:rPr>
              <w:t>Ukraine Country Environmental Analysis</w:t>
            </w:r>
          </w:p>
        </w:tc>
      </w:tr>
      <w:tr w:rsidR="009D05BA" w14:paraId="3C7E0FBA" w14:textId="77777777" w:rsidTr="009D05BA">
        <w:tc>
          <w:tcPr>
            <w:tcW w:w="100" w:type="pct"/>
            <w:tcBorders>
              <w:top w:val="nil"/>
              <w:left w:val="nil"/>
              <w:bottom w:val="nil"/>
              <w:right w:val="nil"/>
            </w:tcBorders>
            <w:shd w:val="clear" w:color="auto" w:fill="FFFFFF"/>
            <w:tcMar>
              <w:top w:w="50" w:type="dxa"/>
              <w:left w:w="50" w:type="dxa"/>
              <w:bottom w:w="50" w:type="dxa"/>
              <w:right w:w="50" w:type="dxa"/>
            </w:tcMar>
            <w:vAlign w:val="center"/>
          </w:tcPr>
          <w:p w14:paraId="732BEEB0" w14:textId="77777777" w:rsidR="009D05BA" w:rsidRDefault="009D05BA" w:rsidP="000320BE">
            <w:pPr>
              <w:rPr>
                <w:rFonts w:cs="Times New Roman"/>
              </w:rPr>
            </w:pPr>
          </w:p>
        </w:tc>
        <w:tc>
          <w:tcPr>
            <w:tcW w:w="4900" w:type="pct"/>
            <w:tcBorders>
              <w:top w:val="nil"/>
              <w:left w:val="nil"/>
              <w:bottom w:val="nil"/>
              <w:right w:val="nil"/>
            </w:tcBorders>
            <w:shd w:val="clear" w:color="auto" w:fill="FFFFFF"/>
            <w:tcMar>
              <w:top w:w="50" w:type="dxa"/>
              <w:left w:w="50" w:type="dxa"/>
              <w:bottom w:w="50" w:type="dxa"/>
              <w:right w:w="50" w:type="dxa"/>
            </w:tcMar>
            <w:vAlign w:val="center"/>
          </w:tcPr>
          <w:p w14:paraId="7770C68D" w14:textId="16DF4468" w:rsidR="009D05BA" w:rsidRDefault="009D05BA" w:rsidP="000320BE">
            <w:pPr>
              <w:rPr>
                <w:sz w:val="34"/>
                <w:szCs w:val="34"/>
              </w:rPr>
            </w:pPr>
          </w:p>
        </w:tc>
      </w:tr>
      <w:tr w:rsidR="009D05BA" w14:paraId="42A1A9E4" w14:textId="77777777" w:rsidTr="009D05BA">
        <w:tc>
          <w:tcPr>
            <w:tcW w:w="5000" w:type="pct"/>
            <w:gridSpan w:val="2"/>
            <w:tcBorders>
              <w:top w:val="nil"/>
              <w:left w:val="nil"/>
              <w:bottom w:val="nil"/>
              <w:right w:val="nil"/>
            </w:tcBorders>
            <w:shd w:val="clear" w:color="auto" w:fill="FFFFFF"/>
            <w:tcMar>
              <w:top w:w="50" w:type="dxa"/>
              <w:left w:w="50" w:type="dxa"/>
              <w:bottom w:w="50" w:type="dxa"/>
              <w:right w:w="50" w:type="dxa"/>
            </w:tcMar>
            <w:vAlign w:val="center"/>
          </w:tcPr>
          <w:p w14:paraId="4B2E19D4" w14:textId="77777777" w:rsidR="009D05BA" w:rsidRDefault="009D05BA" w:rsidP="000320BE">
            <w:pPr>
              <w:rPr>
                <w:rFonts w:ascii="Times" w:hAnsi="Times" w:cs="Times"/>
                <w:color w:val="FFFFFF"/>
                <w:sz w:val="60"/>
                <w:szCs w:val="60"/>
              </w:rPr>
            </w:pPr>
            <w:r>
              <w:rPr>
                <w:rFonts w:ascii="Times" w:hAnsi="Times" w:cs="Times"/>
                <w:color w:val="FFFFFF"/>
                <w:sz w:val="60"/>
                <w:szCs w:val="60"/>
              </w:rPr>
              <w:t>.</w:t>
            </w:r>
          </w:p>
        </w:tc>
      </w:tr>
      <w:tr w:rsidR="009D05BA" w14:paraId="42B42BE9" w14:textId="77777777" w:rsidTr="009D05BA">
        <w:tc>
          <w:tcPr>
            <w:tcW w:w="100" w:type="pct"/>
            <w:tcBorders>
              <w:top w:val="nil"/>
              <w:left w:val="nil"/>
              <w:bottom w:val="nil"/>
              <w:right w:val="nil"/>
            </w:tcBorders>
            <w:shd w:val="clear" w:color="auto" w:fill="FFFFFF"/>
            <w:tcMar>
              <w:top w:w="50" w:type="dxa"/>
              <w:left w:w="50" w:type="dxa"/>
              <w:bottom w:w="50" w:type="dxa"/>
              <w:right w:w="50" w:type="dxa"/>
            </w:tcMar>
            <w:vAlign w:val="center"/>
          </w:tcPr>
          <w:p w14:paraId="4EFF5B6E" w14:textId="77777777" w:rsidR="009D05BA" w:rsidRDefault="009D05BA" w:rsidP="000320BE">
            <w:pPr>
              <w:rPr>
                <w:rFonts w:cs="Times New Roman"/>
              </w:rPr>
            </w:pPr>
          </w:p>
        </w:tc>
        <w:tc>
          <w:tcPr>
            <w:tcW w:w="4900" w:type="pct"/>
            <w:tcBorders>
              <w:top w:val="nil"/>
              <w:left w:val="nil"/>
              <w:bottom w:val="nil"/>
              <w:right w:val="nil"/>
            </w:tcBorders>
            <w:shd w:val="clear" w:color="auto" w:fill="FFFFFF"/>
            <w:tcMar>
              <w:top w:w="50" w:type="dxa"/>
              <w:left w:w="50" w:type="dxa"/>
              <w:bottom w:w="50" w:type="dxa"/>
              <w:right w:w="50" w:type="dxa"/>
            </w:tcMar>
            <w:vAlign w:val="center"/>
          </w:tcPr>
          <w:p w14:paraId="35636F5E" w14:textId="00538C3A" w:rsidR="009D05BA" w:rsidRDefault="009D05BA" w:rsidP="000320BE">
            <w:pPr>
              <w:rPr>
                <w:sz w:val="20"/>
                <w:szCs w:val="20"/>
              </w:rPr>
            </w:pPr>
            <w:r>
              <w:rPr>
                <w:sz w:val="20"/>
                <w:szCs w:val="20"/>
              </w:rPr>
              <w:t>January 2016</w:t>
            </w:r>
          </w:p>
        </w:tc>
      </w:tr>
      <w:tr w:rsidR="009D05BA" w14:paraId="09DD8833" w14:textId="77777777" w:rsidTr="009D05BA">
        <w:tc>
          <w:tcPr>
            <w:tcW w:w="5000" w:type="pct"/>
            <w:gridSpan w:val="2"/>
            <w:tcBorders>
              <w:top w:val="nil"/>
              <w:left w:val="nil"/>
              <w:bottom w:val="nil"/>
              <w:right w:val="nil"/>
            </w:tcBorders>
            <w:shd w:val="clear" w:color="auto" w:fill="FFFFFF"/>
            <w:tcMar>
              <w:top w:w="50" w:type="dxa"/>
              <w:left w:w="50" w:type="dxa"/>
              <w:bottom w:w="50" w:type="dxa"/>
              <w:right w:w="50" w:type="dxa"/>
            </w:tcMar>
            <w:vAlign w:val="center"/>
          </w:tcPr>
          <w:p w14:paraId="15055D6B" w14:textId="77777777" w:rsidR="009D05BA" w:rsidRDefault="009D05BA" w:rsidP="000320BE">
            <w:pPr>
              <w:rPr>
                <w:rFonts w:ascii="Times" w:hAnsi="Times" w:cs="Times"/>
                <w:color w:val="FFFFFF"/>
                <w:sz w:val="60"/>
                <w:szCs w:val="60"/>
              </w:rPr>
            </w:pPr>
            <w:r>
              <w:rPr>
                <w:rFonts w:ascii="Times" w:hAnsi="Times" w:cs="Times"/>
                <w:color w:val="FFFFFF"/>
                <w:sz w:val="60"/>
                <w:szCs w:val="60"/>
              </w:rPr>
              <w:t>.</w:t>
            </w:r>
          </w:p>
        </w:tc>
      </w:tr>
      <w:tr w:rsidR="009D05BA" w14:paraId="295D460C" w14:textId="77777777" w:rsidTr="009D05BA">
        <w:tc>
          <w:tcPr>
            <w:tcW w:w="100" w:type="pct"/>
            <w:tcBorders>
              <w:top w:val="nil"/>
              <w:left w:val="nil"/>
              <w:bottom w:val="nil"/>
              <w:right w:val="nil"/>
            </w:tcBorders>
            <w:shd w:val="clear" w:color="auto" w:fill="FFFFFF"/>
            <w:tcMar>
              <w:top w:w="50" w:type="dxa"/>
              <w:left w:w="50" w:type="dxa"/>
              <w:bottom w:w="50" w:type="dxa"/>
              <w:right w:w="50" w:type="dxa"/>
            </w:tcMar>
            <w:vAlign w:val="center"/>
          </w:tcPr>
          <w:p w14:paraId="12BEB418" w14:textId="77777777" w:rsidR="009D05BA" w:rsidRDefault="009D05BA" w:rsidP="000320BE">
            <w:pPr>
              <w:rPr>
                <w:rFonts w:cs="Times New Roman"/>
              </w:rPr>
            </w:pPr>
          </w:p>
        </w:tc>
        <w:tc>
          <w:tcPr>
            <w:tcW w:w="4900" w:type="pct"/>
            <w:tcBorders>
              <w:top w:val="nil"/>
              <w:left w:val="nil"/>
              <w:bottom w:val="nil"/>
              <w:right w:val="nil"/>
            </w:tcBorders>
            <w:shd w:val="clear" w:color="auto" w:fill="FFFFFF"/>
            <w:tcMar>
              <w:top w:w="50" w:type="dxa"/>
              <w:left w:w="50" w:type="dxa"/>
              <w:bottom w:w="50" w:type="dxa"/>
              <w:right w:w="50" w:type="dxa"/>
            </w:tcMar>
            <w:vAlign w:val="center"/>
          </w:tcPr>
          <w:p w14:paraId="390FAC99" w14:textId="77777777" w:rsidR="009D05BA" w:rsidRDefault="009D05BA" w:rsidP="000320BE">
            <w:pPr>
              <w:rPr>
                <w:sz w:val="20"/>
                <w:szCs w:val="20"/>
              </w:rPr>
            </w:pPr>
            <w:r>
              <w:rPr>
                <w:sz w:val="20"/>
                <w:szCs w:val="20"/>
              </w:rPr>
              <w:t>GEN03</w:t>
            </w:r>
          </w:p>
        </w:tc>
      </w:tr>
      <w:tr w:rsidR="009D05BA" w14:paraId="171EE3CF" w14:textId="77777777" w:rsidTr="009D05BA">
        <w:tc>
          <w:tcPr>
            <w:tcW w:w="100" w:type="pct"/>
            <w:tcBorders>
              <w:top w:val="nil"/>
              <w:left w:val="nil"/>
              <w:bottom w:val="nil"/>
              <w:right w:val="nil"/>
            </w:tcBorders>
            <w:shd w:val="clear" w:color="auto" w:fill="FFFFFF"/>
            <w:tcMar>
              <w:top w:w="50" w:type="dxa"/>
              <w:left w:w="50" w:type="dxa"/>
              <w:bottom w:w="50" w:type="dxa"/>
              <w:right w:w="50" w:type="dxa"/>
            </w:tcMar>
            <w:vAlign w:val="center"/>
          </w:tcPr>
          <w:p w14:paraId="7A54F360" w14:textId="77777777" w:rsidR="009D05BA" w:rsidRDefault="009D05BA" w:rsidP="000320BE">
            <w:pPr>
              <w:rPr>
                <w:rFonts w:cs="Times New Roman"/>
              </w:rPr>
            </w:pPr>
          </w:p>
        </w:tc>
        <w:tc>
          <w:tcPr>
            <w:tcW w:w="4900" w:type="pct"/>
            <w:tcBorders>
              <w:top w:val="nil"/>
              <w:left w:val="nil"/>
              <w:bottom w:val="nil"/>
              <w:right w:val="nil"/>
            </w:tcBorders>
            <w:shd w:val="clear" w:color="auto" w:fill="FFFFFF"/>
            <w:tcMar>
              <w:top w:w="50" w:type="dxa"/>
              <w:left w:w="50" w:type="dxa"/>
              <w:bottom w:w="50" w:type="dxa"/>
              <w:right w:w="50" w:type="dxa"/>
            </w:tcMar>
            <w:vAlign w:val="center"/>
          </w:tcPr>
          <w:p w14:paraId="2809B2D8" w14:textId="77777777" w:rsidR="009D05BA" w:rsidRDefault="009D05BA" w:rsidP="000320BE">
            <w:pPr>
              <w:rPr>
                <w:sz w:val="20"/>
                <w:szCs w:val="20"/>
              </w:rPr>
            </w:pPr>
            <w:r>
              <w:rPr>
                <w:sz w:val="20"/>
                <w:szCs w:val="20"/>
              </w:rPr>
              <w:t>EUROPE AND CENTRAL ASIA</w:t>
            </w:r>
          </w:p>
        </w:tc>
      </w:tr>
      <w:tr w:rsidR="009D05BA" w14:paraId="4B99D5B7" w14:textId="77777777" w:rsidTr="009D05BA">
        <w:tc>
          <w:tcPr>
            <w:tcW w:w="5000" w:type="pct"/>
            <w:gridSpan w:val="2"/>
            <w:tcBorders>
              <w:top w:val="nil"/>
              <w:left w:val="nil"/>
              <w:bottom w:val="nil"/>
              <w:right w:val="nil"/>
            </w:tcBorders>
            <w:shd w:val="clear" w:color="auto" w:fill="FFFFFF"/>
            <w:tcMar>
              <w:top w:w="50" w:type="dxa"/>
              <w:left w:w="50" w:type="dxa"/>
              <w:bottom w:w="50" w:type="dxa"/>
              <w:right w:w="50" w:type="dxa"/>
            </w:tcMar>
            <w:vAlign w:val="center"/>
          </w:tcPr>
          <w:p w14:paraId="17163FCA" w14:textId="77777777" w:rsidR="009D05BA" w:rsidRDefault="009D05BA" w:rsidP="000320BE">
            <w:pPr>
              <w:rPr>
                <w:rFonts w:ascii="Times" w:hAnsi="Times" w:cs="Times"/>
                <w:color w:val="FFFFFF"/>
                <w:sz w:val="20"/>
                <w:szCs w:val="20"/>
              </w:rPr>
            </w:pPr>
            <w:r>
              <w:rPr>
                <w:rFonts w:ascii="Times" w:hAnsi="Times" w:cs="Times"/>
                <w:color w:val="FFFFFF"/>
                <w:sz w:val="20"/>
                <w:szCs w:val="20"/>
              </w:rPr>
              <w:t>.</w:t>
            </w:r>
          </w:p>
        </w:tc>
      </w:tr>
      <w:tr w:rsidR="009D05BA" w14:paraId="7BD4B644" w14:textId="77777777" w:rsidTr="009D05BA">
        <w:tc>
          <w:tcPr>
            <w:tcW w:w="100" w:type="pct"/>
            <w:tcBorders>
              <w:top w:val="nil"/>
              <w:left w:val="nil"/>
              <w:bottom w:val="nil"/>
              <w:right w:val="nil"/>
            </w:tcBorders>
            <w:shd w:val="clear" w:color="auto" w:fill="FFFFFF"/>
            <w:tcMar>
              <w:top w:w="50" w:type="dxa"/>
              <w:left w:w="50" w:type="dxa"/>
              <w:bottom w:w="50" w:type="dxa"/>
              <w:right w:w="50" w:type="dxa"/>
            </w:tcMar>
            <w:vAlign w:val="center"/>
          </w:tcPr>
          <w:p w14:paraId="67A8A332" w14:textId="77777777" w:rsidR="009D05BA" w:rsidRDefault="009D05BA" w:rsidP="000320BE">
            <w:pPr>
              <w:rPr>
                <w:rFonts w:cs="Times New Roman"/>
              </w:rPr>
            </w:pPr>
          </w:p>
        </w:tc>
        <w:tc>
          <w:tcPr>
            <w:tcW w:w="4900" w:type="pct"/>
            <w:tcBorders>
              <w:top w:val="nil"/>
              <w:left w:val="nil"/>
              <w:bottom w:val="nil"/>
              <w:right w:val="nil"/>
            </w:tcBorders>
            <w:shd w:val="clear" w:color="auto" w:fill="FFFFFF"/>
            <w:tcMar>
              <w:top w:w="50" w:type="dxa"/>
              <w:left w:w="50" w:type="dxa"/>
              <w:bottom w:w="50" w:type="dxa"/>
              <w:right w:w="50" w:type="dxa"/>
            </w:tcMar>
            <w:vAlign w:val="center"/>
          </w:tcPr>
          <w:p w14:paraId="4B89AD93" w14:textId="0E7AFD1C" w:rsidR="009D05BA" w:rsidRDefault="009D05BA" w:rsidP="000320BE">
            <w:pPr>
              <w:spacing w:line="320" w:lineRule="atLeast"/>
              <w:rPr>
                <w:rFonts w:cs="Times New Roman"/>
              </w:rPr>
            </w:pPr>
            <w:r>
              <w:rPr>
                <w:rFonts w:cs="Times New Roman"/>
                <w:noProof/>
              </w:rPr>
              <w:drawing>
                <wp:inline distT="0" distB="0" distL="0" distR="0" wp14:anchorId="4746EF77" wp14:editId="52A491D2">
                  <wp:extent cx="636270" cy="628015"/>
                  <wp:effectExtent l="0" t="0" r="0" b="63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28015"/>
                          </a:xfrm>
                          <a:prstGeom prst="rect">
                            <a:avLst/>
                          </a:prstGeom>
                          <a:noFill/>
                          <a:ln>
                            <a:noFill/>
                          </a:ln>
                        </pic:spPr>
                      </pic:pic>
                    </a:graphicData>
                  </a:graphic>
                </wp:inline>
              </w:drawing>
            </w:r>
          </w:p>
        </w:tc>
      </w:tr>
      <w:tr w:rsidR="009D05BA" w:rsidRPr="009D05BA" w14:paraId="7308A16C" w14:textId="77777777" w:rsidTr="009D05BA">
        <w:tc>
          <w:tcPr>
            <w:tcW w:w="5000" w:type="pct"/>
            <w:gridSpan w:val="2"/>
            <w:tcBorders>
              <w:top w:val="nil"/>
              <w:left w:val="nil"/>
              <w:bottom w:val="nil"/>
              <w:right w:val="nil"/>
            </w:tcBorders>
            <w:shd w:val="clear" w:color="auto" w:fill="FFFFFF"/>
            <w:tcMar>
              <w:top w:w="50" w:type="dxa"/>
              <w:left w:w="50" w:type="dxa"/>
              <w:bottom w:w="50" w:type="dxa"/>
              <w:right w:w="50" w:type="dxa"/>
            </w:tcMar>
            <w:vAlign w:val="center"/>
          </w:tcPr>
          <w:p w14:paraId="2A61550D" w14:textId="77777777" w:rsidR="009D05BA" w:rsidRPr="009D05BA" w:rsidRDefault="009D05BA" w:rsidP="000320BE">
            <w:pPr>
              <w:rPr>
                <w:rFonts w:ascii="Times" w:hAnsi="Times" w:cs="Times"/>
                <w:color w:val="FFFFFF"/>
                <w:sz w:val="520"/>
                <w:szCs w:val="520"/>
              </w:rPr>
            </w:pPr>
            <w:r w:rsidRPr="009D05BA">
              <w:rPr>
                <w:rFonts w:ascii="Times" w:hAnsi="Times" w:cs="Times"/>
                <w:color w:val="FFFFFF"/>
                <w:sz w:val="520"/>
                <w:szCs w:val="520"/>
              </w:rPr>
              <w:t>.</w:t>
            </w:r>
          </w:p>
        </w:tc>
      </w:tr>
    </w:tbl>
    <w:p w14:paraId="68588D1A" w14:textId="77777777" w:rsidR="009D05BA" w:rsidRDefault="009D05BA" w:rsidP="009D05BA"/>
    <w:p w14:paraId="750557F5" w14:textId="2F2A6227" w:rsidR="002410B6" w:rsidRDefault="002410B6">
      <w:pPr>
        <w:jc w:val="left"/>
        <w:rPr>
          <w:rFonts w:cs="Times New Roman"/>
          <w:b/>
          <w:bCs/>
        </w:rPr>
      </w:pPr>
    </w:p>
    <w:p w14:paraId="41E04348" w14:textId="77777777" w:rsidR="000B7923" w:rsidRPr="00BF5161" w:rsidRDefault="000B7923" w:rsidP="00F33595">
      <w:pPr>
        <w:jc w:val="center"/>
        <w:rPr>
          <w:rFonts w:cs="Times New Roman"/>
          <w:b/>
          <w:bCs/>
        </w:rPr>
      </w:pPr>
    </w:p>
    <w:p w14:paraId="690C36EE" w14:textId="77777777" w:rsidR="000B7923" w:rsidRPr="00BF5161" w:rsidRDefault="000B7923" w:rsidP="00F33595">
      <w:pPr>
        <w:jc w:val="center"/>
        <w:rPr>
          <w:rFonts w:cs="Times New Roman"/>
          <w:b/>
          <w:bCs/>
        </w:rPr>
      </w:pPr>
    </w:p>
    <w:p w14:paraId="14A43C14" w14:textId="77777777" w:rsidR="000B7923" w:rsidRPr="00BF5161" w:rsidRDefault="000B7923" w:rsidP="00F33595">
      <w:pPr>
        <w:jc w:val="center"/>
        <w:rPr>
          <w:rFonts w:cs="Times New Roman"/>
          <w:b/>
          <w:bCs/>
        </w:rPr>
      </w:pPr>
    </w:p>
    <w:p w14:paraId="7BA18927" w14:textId="77777777" w:rsidR="000B7923" w:rsidRPr="00BF5161" w:rsidRDefault="000B7923" w:rsidP="00F33595">
      <w:pPr>
        <w:jc w:val="center"/>
        <w:rPr>
          <w:rFonts w:cs="Times New Roman"/>
          <w:b/>
          <w:bCs/>
        </w:rPr>
      </w:pPr>
    </w:p>
    <w:p w14:paraId="7F179EB7" w14:textId="77777777" w:rsidR="000B7923" w:rsidRPr="00BF5161" w:rsidRDefault="000B7923" w:rsidP="00F33595">
      <w:pPr>
        <w:jc w:val="center"/>
        <w:rPr>
          <w:rFonts w:cs="Times New Roman"/>
          <w:b/>
          <w:bCs/>
        </w:rPr>
      </w:pPr>
    </w:p>
    <w:p w14:paraId="4830D4EE" w14:textId="77777777" w:rsidR="000B7923" w:rsidRPr="00BF5161" w:rsidRDefault="000B7923" w:rsidP="00F33595">
      <w:pPr>
        <w:jc w:val="center"/>
        <w:rPr>
          <w:rFonts w:cs="Times New Roman"/>
          <w:b/>
          <w:bCs/>
        </w:rPr>
      </w:pPr>
    </w:p>
    <w:p w14:paraId="14659172" w14:textId="77777777" w:rsidR="000B7923" w:rsidRPr="00BF5161" w:rsidRDefault="000B7923" w:rsidP="00F33595">
      <w:pPr>
        <w:jc w:val="center"/>
        <w:rPr>
          <w:rFonts w:cs="Times New Roman"/>
          <w:b/>
          <w:bCs/>
        </w:rPr>
      </w:pPr>
    </w:p>
    <w:p w14:paraId="178973DF" w14:textId="77777777" w:rsidR="000B7923" w:rsidRPr="00BF5161" w:rsidRDefault="000B7923" w:rsidP="00F33595">
      <w:pPr>
        <w:jc w:val="center"/>
        <w:rPr>
          <w:rFonts w:cs="Times New Roman"/>
          <w:b/>
          <w:bCs/>
        </w:rPr>
      </w:pPr>
    </w:p>
    <w:p w14:paraId="0F2EE0FF" w14:textId="77777777" w:rsidR="000B7923" w:rsidRPr="00BF5161" w:rsidRDefault="000B7923" w:rsidP="00F33595">
      <w:pPr>
        <w:jc w:val="center"/>
        <w:rPr>
          <w:rFonts w:cs="Times New Roman"/>
          <w:b/>
          <w:bCs/>
        </w:rPr>
      </w:pPr>
    </w:p>
    <w:p w14:paraId="147A45D8" w14:textId="77777777" w:rsidR="000B7923" w:rsidRPr="00BF5161" w:rsidRDefault="000B7923" w:rsidP="00F33595">
      <w:pPr>
        <w:jc w:val="center"/>
        <w:rPr>
          <w:rFonts w:cs="Times New Roman"/>
          <w:b/>
          <w:bCs/>
        </w:rPr>
      </w:pPr>
    </w:p>
    <w:p w14:paraId="31D63394" w14:textId="77777777" w:rsidR="000B7923" w:rsidRPr="00BF5161" w:rsidRDefault="000B7923" w:rsidP="00F33595">
      <w:pPr>
        <w:jc w:val="center"/>
        <w:rPr>
          <w:rFonts w:cs="Times New Roman"/>
          <w:b/>
          <w:bCs/>
        </w:rPr>
      </w:pPr>
    </w:p>
    <w:p w14:paraId="018592E1" w14:textId="77777777" w:rsidR="000B7923" w:rsidRPr="00BF5161" w:rsidRDefault="000B7923" w:rsidP="00F33595">
      <w:pPr>
        <w:jc w:val="center"/>
        <w:rPr>
          <w:rFonts w:cs="Times New Roman"/>
          <w:b/>
          <w:bCs/>
        </w:rPr>
      </w:pPr>
    </w:p>
    <w:p w14:paraId="7C607A9B" w14:textId="77777777" w:rsidR="000B7923" w:rsidRPr="00BF5161" w:rsidRDefault="000B7923" w:rsidP="00F33595">
      <w:pPr>
        <w:jc w:val="center"/>
        <w:rPr>
          <w:rFonts w:cs="Times New Roman"/>
          <w:b/>
          <w:bCs/>
        </w:rPr>
      </w:pPr>
    </w:p>
    <w:p w14:paraId="1C4C8758" w14:textId="77777777" w:rsidR="000B7923" w:rsidRPr="00BF5161" w:rsidRDefault="000B7923" w:rsidP="00F33595">
      <w:pPr>
        <w:jc w:val="center"/>
        <w:rPr>
          <w:rFonts w:cs="Times New Roman"/>
          <w:b/>
          <w:bCs/>
        </w:rPr>
      </w:pPr>
    </w:p>
    <w:p w14:paraId="3EF103B9" w14:textId="77777777" w:rsidR="000B7923" w:rsidRPr="00BF5161" w:rsidRDefault="000B7923" w:rsidP="00F33595">
      <w:pPr>
        <w:jc w:val="center"/>
        <w:rPr>
          <w:rFonts w:cs="Times New Roman"/>
          <w:b/>
          <w:bCs/>
        </w:rPr>
      </w:pPr>
    </w:p>
    <w:p w14:paraId="3F28B85C" w14:textId="77777777" w:rsidR="005C6E03" w:rsidRDefault="000B7923" w:rsidP="005C6E03">
      <w:pPr>
        <w:pStyle w:val="NoSpacing"/>
        <w:jc w:val="center"/>
        <w:rPr>
          <w:rFonts w:ascii="Times New Roman Bold" w:hAnsi="Times New Roman Bold" w:cs="Times New Roman"/>
          <w:b/>
          <w:caps/>
          <w:color w:val="000000" w:themeColor="text1"/>
          <w:sz w:val="24"/>
          <w:lang w:val="en-US"/>
        </w:rPr>
      </w:pPr>
      <w:r w:rsidRPr="005C6E03">
        <w:rPr>
          <w:rFonts w:ascii="Times New Roman Bold" w:hAnsi="Times New Roman Bold" w:cs="Times New Roman"/>
          <w:b/>
          <w:caps/>
          <w:color w:val="000000" w:themeColor="text1"/>
          <w:sz w:val="24"/>
          <w:lang w:val="en-US"/>
        </w:rPr>
        <w:t xml:space="preserve">Ukraine </w:t>
      </w:r>
    </w:p>
    <w:p w14:paraId="18356755" w14:textId="77777777" w:rsidR="000B7923" w:rsidRDefault="000B7923" w:rsidP="005C6E03">
      <w:pPr>
        <w:pStyle w:val="NoSpacing"/>
        <w:jc w:val="center"/>
        <w:rPr>
          <w:rFonts w:ascii="Times New Roman Bold" w:hAnsi="Times New Roman Bold" w:cs="Times New Roman"/>
          <w:b/>
          <w:caps/>
          <w:color w:val="000000" w:themeColor="text1"/>
          <w:sz w:val="24"/>
          <w:lang w:val="en-US"/>
        </w:rPr>
      </w:pPr>
      <w:r w:rsidRPr="005C6E03">
        <w:rPr>
          <w:rFonts w:ascii="Times New Roman Bold" w:hAnsi="Times New Roman Bold" w:cs="Times New Roman"/>
          <w:b/>
          <w:caps/>
          <w:color w:val="000000" w:themeColor="text1"/>
          <w:sz w:val="24"/>
          <w:lang w:val="en-US"/>
        </w:rPr>
        <w:t>Country Environmental Analysis</w:t>
      </w:r>
    </w:p>
    <w:p w14:paraId="53C9ED69" w14:textId="77777777" w:rsidR="005C6E03" w:rsidRDefault="005C6E03" w:rsidP="005C6E03">
      <w:pPr>
        <w:pStyle w:val="NoSpacing"/>
        <w:jc w:val="center"/>
        <w:rPr>
          <w:rFonts w:ascii="Times New Roman Bold" w:hAnsi="Times New Roman Bold" w:cs="Times New Roman"/>
          <w:b/>
          <w:caps/>
          <w:color w:val="000000" w:themeColor="text1"/>
          <w:sz w:val="24"/>
          <w:lang w:val="en-US"/>
        </w:rPr>
      </w:pPr>
    </w:p>
    <w:p w14:paraId="04A5C491" w14:textId="36B54B2E" w:rsidR="005C6E03" w:rsidRPr="005C6E03" w:rsidRDefault="00361CAA" w:rsidP="00361CAA">
      <w:pPr>
        <w:pStyle w:val="Case-studytxt"/>
        <w:jc w:val="center"/>
        <w:rPr>
          <w:rFonts w:ascii="Times New Roman" w:hAnsi="Times New Roman"/>
          <w:b/>
          <w:smallCaps/>
          <w:color w:val="000000" w:themeColor="text1"/>
          <w:sz w:val="22"/>
          <w:szCs w:val="22"/>
        </w:rPr>
      </w:pPr>
      <w:r>
        <w:rPr>
          <w:rFonts w:ascii="Times New Roman" w:hAnsi="Times New Roman"/>
          <w:b/>
          <w:smallCaps/>
          <w:color w:val="000000" w:themeColor="text1"/>
          <w:sz w:val="22"/>
          <w:szCs w:val="22"/>
        </w:rPr>
        <w:t>January</w:t>
      </w:r>
      <w:r w:rsidRPr="005C6E03">
        <w:rPr>
          <w:rFonts w:ascii="Times New Roman" w:hAnsi="Times New Roman"/>
          <w:b/>
          <w:smallCaps/>
          <w:color w:val="000000" w:themeColor="text1"/>
          <w:sz w:val="22"/>
          <w:szCs w:val="22"/>
        </w:rPr>
        <w:t xml:space="preserve"> 201</w:t>
      </w:r>
      <w:r>
        <w:rPr>
          <w:rFonts w:ascii="Times New Roman" w:hAnsi="Times New Roman"/>
          <w:b/>
          <w:smallCaps/>
          <w:color w:val="000000" w:themeColor="text1"/>
          <w:sz w:val="22"/>
          <w:szCs w:val="22"/>
        </w:rPr>
        <w:t>6</w:t>
      </w:r>
    </w:p>
    <w:p w14:paraId="6672A5F9" w14:textId="77777777" w:rsidR="000B7923" w:rsidRPr="002B1DFC" w:rsidRDefault="000B7923" w:rsidP="00F33595">
      <w:pPr>
        <w:jc w:val="center"/>
        <w:rPr>
          <w:rFonts w:cs="Times New Roman"/>
          <w:b/>
          <w:bCs/>
        </w:rPr>
      </w:pPr>
    </w:p>
    <w:p w14:paraId="57561D3E" w14:textId="77777777" w:rsidR="000B7923" w:rsidRPr="002B1DFC" w:rsidRDefault="000B7923" w:rsidP="00F33595">
      <w:pPr>
        <w:jc w:val="center"/>
        <w:rPr>
          <w:rFonts w:cs="Times New Roman"/>
          <w:b/>
          <w:bCs/>
        </w:rPr>
      </w:pPr>
    </w:p>
    <w:p w14:paraId="1DACC0EC" w14:textId="77777777" w:rsidR="000B7923" w:rsidRPr="002B1DFC" w:rsidRDefault="000B7923" w:rsidP="00F33595">
      <w:pPr>
        <w:jc w:val="center"/>
        <w:rPr>
          <w:rFonts w:cs="Times New Roman"/>
          <w:b/>
          <w:bCs/>
        </w:rPr>
      </w:pPr>
    </w:p>
    <w:p w14:paraId="0771D8B5" w14:textId="77777777" w:rsidR="000B7923" w:rsidRPr="002B1DFC" w:rsidRDefault="000B7923" w:rsidP="00F33595">
      <w:pPr>
        <w:rPr>
          <w:rFonts w:cs="Times New Roman"/>
        </w:rPr>
      </w:pPr>
    </w:p>
    <w:p w14:paraId="3593495B" w14:textId="77777777" w:rsidR="000B7923" w:rsidRPr="002B1DFC" w:rsidRDefault="000B7923" w:rsidP="00F33595">
      <w:pPr>
        <w:rPr>
          <w:rFonts w:cs="Times New Roman"/>
        </w:rPr>
      </w:pPr>
    </w:p>
    <w:p w14:paraId="6E720B56" w14:textId="77777777" w:rsidR="000B7923" w:rsidRPr="002B1DFC" w:rsidRDefault="005C6E03" w:rsidP="00F33595">
      <w:pPr>
        <w:rPr>
          <w:rFonts w:cs="Times New Roman"/>
        </w:rPr>
        <w:sectPr w:rsidR="000B7923" w:rsidRPr="002B1DFC" w:rsidSect="007D498E">
          <w:footerReference w:type="default" r:id="rId9"/>
          <w:pgSz w:w="12240" w:h="15840" w:code="1"/>
          <w:pgMar w:top="1440" w:right="1440" w:bottom="1440" w:left="1440" w:header="720" w:footer="720" w:gutter="0"/>
          <w:cols w:space="720"/>
          <w:titlePg/>
          <w:docGrid w:linePitch="360"/>
        </w:sectPr>
      </w:pPr>
      <w:r>
        <w:rPr>
          <w:noProof/>
        </w:rPr>
        <w:drawing>
          <wp:anchor distT="0" distB="0" distL="114300" distR="114300" simplePos="0" relativeHeight="251666432" behindDoc="0" locked="0" layoutInCell="1" allowOverlap="1" wp14:anchorId="2A4F039C" wp14:editId="344A4A05">
            <wp:simplePos x="0" y="0"/>
            <wp:positionH relativeFrom="column">
              <wp:posOffset>3521413</wp:posOffset>
            </wp:positionH>
            <wp:positionV relativeFrom="paragraph">
              <wp:posOffset>3994691</wp:posOffset>
            </wp:positionV>
            <wp:extent cx="2257200" cy="579600"/>
            <wp:effectExtent l="0" t="0" r="0"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57200" cy="579600"/>
                    </a:xfrm>
                    <a:prstGeom prst="rect">
                      <a:avLst/>
                    </a:prstGeom>
                  </pic:spPr>
                </pic:pic>
              </a:graphicData>
            </a:graphic>
            <wp14:sizeRelH relativeFrom="margin">
              <wp14:pctWidth>0</wp14:pctWidth>
            </wp14:sizeRelH>
            <wp14:sizeRelV relativeFrom="margin">
              <wp14:pctHeight>0</wp14:pctHeight>
            </wp14:sizeRelV>
          </wp:anchor>
        </w:drawing>
      </w:r>
    </w:p>
    <w:p w14:paraId="2829D5EF" w14:textId="77777777" w:rsidR="000B7923" w:rsidRPr="002B1DFC" w:rsidRDefault="000B7923" w:rsidP="00F33595">
      <w:pPr>
        <w:pStyle w:val="Disclaimertext"/>
        <w:ind w:right="360"/>
        <w:rPr>
          <w:rFonts w:ascii="Times New Roman" w:hAnsi="Times New Roman" w:cs="Times New Roman"/>
          <w:i/>
          <w:sz w:val="22"/>
          <w:szCs w:val="22"/>
        </w:rPr>
      </w:pPr>
      <w:r w:rsidRPr="002B1DFC">
        <w:rPr>
          <w:rFonts w:ascii="Times New Roman" w:hAnsi="Times New Roman" w:cs="Times New Roman"/>
          <w:i/>
          <w:sz w:val="22"/>
          <w:szCs w:val="22"/>
        </w:rPr>
        <w:lastRenderedPageBreak/>
        <w:t>Ukraine Country Environmental Analysis</w:t>
      </w:r>
    </w:p>
    <w:p w14:paraId="6800F6AE" w14:textId="77777777" w:rsidR="000B7923" w:rsidRPr="002B1DFC" w:rsidRDefault="000B7923" w:rsidP="00F33595">
      <w:pPr>
        <w:pStyle w:val="Disclaimertext"/>
        <w:ind w:right="360"/>
        <w:rPr>
          <w:rFonts w:ascii="Times New Roman" w:hAnsi="Times New Roman" w:cs="Times New Roman"/>
          <w:b/>
          <w:sz w:val="22"/>
          <w:szCs w:val="22"/>
        </w:rPr>
      </w:pPr>
    </w:p>
    <w:p w14:paraId="08046EA5" w14:textId="22A8CB58" w:rsidR="000B7923" w:rsidRPr="002B1DFC" w:rsidRDefault="000B7923">
      <w:pPr>
        <w:pStyle w:val="Disclaimertext"/>
        <w:ind w:right="360"/>
        <w:rPr>
          <w:rFonts w:ascii="Times New Roman" w:hAnsi="Times New Roman" w:cs="Times New Roman"/>
          <w:sz w:val="22"/>
          <w:szCs w:val="22"/>
        </w:rPr>
      </w:pPr>
      <w:r w:rsidRPr="002B1DFC">
        <w:rPr>
          <w:rFonts w:ascii="Times New Roman" w:hAnsi="Times New Roman" w:cs="Times New Roman"/>
          <w:b/>
          <w:sz w:val="22"/>
          <w:szCs w:val="22"/>
        </w:rPr>
        <w:t xml:space="preserve">© </w:t>
      </w:r>
      <w:r w:rsidR="00361CAA" w:rsidRPr="002B1DFC">
        <w:rPr>
          <w:rFonts w:ascii="Times New Roman" w:hAnsi="Times New Roman" w:cs="Times New Roman"/>
          <w:sz w:val="22"/>
          <w:szCs w:val="22"/>
        </w:rPr>
        <w:t>201</w:t>
      </w:r>
      <w:r w:rsidR="00361CAA">
        <w:rPr>
          <w:rFonts w:ascii="Times New Roman" w:hAnsi="Times New Roman" w:cs="Times New Roman"/>
          <w:sz w:val="22"/>
          <w:szCs w:val="22"/>
        </w:rPr>
        <w:t>6</w:t>
      </w:r>
      <w:r w:rsidR="00361CAA" w:rsidRPr="002B1DFC">
        <w:rPr>
          <w:rFonts w:ascii="Times New Roman" w:hAnsi="Times New Roman" w:cs="Times New Roman"/>
          <w:sz w:val="22"/>
          <w:szCs w:val="22"/>
        </w:rPr>
        <w:t xml:space="preserve"> </w:t>
      </w:r>
      <w:r w:rsidRPr="002B1DFC">
        <w:rPr>
          <w:rFonts w:ascii="Times New Roman" w:hAnsi="Times New Roman" w:cs="Times New Roman"/>
          <w:sz w:val="22"/>
          <w:szCs w:val="22"/>
        </w:rPr>
        <w:t>The International Bank for Reconstruction and Development</w:t>
      </w:r>
      <w:r w:rsidR="002B1DFC">
        <w:rPr>
          <w:rFonts w:ascii="Times New Roman" w:hAnsi="Times New Roman" w:cs="Times New Roman"/>
          <w:sz w:val="22"/>
          <w:szCs w:val="22"/>
        </w:rPr>
        <w:t xml:space="preserve"> </w:t>
      </w:r>
      <w:r w:rsidRPr="002B1DFC">
        <w:rPr>
          <w:rFonts w:ascii="Times New Roman" w:hAnsi="Times New Roman" w:cs="Times New Roman"/>
          <w:sz w:val="22"/>
          <w:szCs w:val="22"/>
        </w:rPr>
        <w:t>/</w:t>
      </w:r>
      <w:r w:rsidR="002B1DFC">
        <w:rPr>
          <w:rFonts w:ascii="Times New Roman" w:hAnsi="Times New Roman" w:cs="Times New Roman"/>
          <w:sz w:val="22"/>
          <w:szCs w:val="22"/>
        </w:rPr>
        <w:t xml:space="preserve"> </w:t>
      </w:r>
      <w:proofErr w:type="gramStart"/>
      <w:r w:rsidRPr="002B1DFC">
        <w:rPr>
          <w:rFonts w:ascii="Times New Roman" w:hAnsi="Times New Roman" w:cs="Times New Roman"/>
          <w:sz w:val="22"/>
          <w:szCs w:val="22"/>
        </w:rPr>
        <w:t>The</w:t>
      </w:r>
      <w:proofErr w:type="gramEnd"/>
      <w:r w:rsidRPr="002B1DFC">
        <w:rPr>
          <w:rFonts w:ascii="Times New Roman" w:hAnsi="Times New Roman" w:cs="Times New Roman"/>
          <w:sz w:val="22"/>
          <w:szCs w:val="22"/>
        </w:rPr>
        <w:t xml:space="preserve"> World Bank</w:t>
      </w:r>
    </w:p>
    <w:p w14:paraId="2D1565F7" w14:textId="77777777" w:rsidR="000B7923" w:rsidRPr="002B1DFC" w:rsidRDefault="000B7923" w:rsidP="00F33595">
      <w:pPr>
        <w:pStyle w:val="Disclaimertext"/>
        <w:ind w:right="360"/>
        <w:rPr>
          <w:rFonts w:ascii="Times New Roman" w:hAnsi="Times New Roman" w:cs="Times New Roman"/>
          <w:sz w:val="22"/>
          <w:szCs w:val="22"/>
        </w:rPr>
      </w:pPr>
    </w:p>
    <w:p w14:paraId="28F58D26" w14:textId="77777777" w:rsidR="000B7923" w:rsidRPr="002B1DFC" w:rsidRDefault="000B7923" w:rsidP="00F33595">
      <w:pPr>
        <w:pStyle w:val="Disclaimertext"/>
        <w:ind w:right="360"/>
        <w:rPr>
          <w:rFonts w:ascii="Times New Roman" w:hAnsi="Times New Roman" w:cs="Times New Roman"/>
          <w:sz w:val="22"/>
          <w:szCs w:val="22"/>
        </w:rPr>
      </w:pPr>
      <w:r w:rsidRPr="002B1DFC">
        <w:rPr>
          <w:rFonts w:ascii="Times New Roman" w:hAnsi="Times New Roman" w:cs="Times New Roman"/>
          <w:sz w:val="22"/>
          <w:szCs w:val="22"/>
        </w:rPr>
        <w:t>1818 H Street, NW</w:t>
      </w:r>
    </w:p>
    <w:p w14:paraId="6F34AB2A" w14:textId="77777777" w:rsidR="000B7923" w:rsidRPr="002B1DFC" w:rsidRDefault="000B7923" w:rsidP="00F33595">
      <w:pPr>
        <w:pStyle w:val="Disclaimertext"/>
        <w:ind w:right="360"/>
        <w:rPr>
          <w:rFonts w:ascii="Times New Roman" w:hAnsi="Times New Roman" w:cs="Times New Roman"/>
          <w:sz w:val="22"/>
          <w:szCs w:val="22"/>
        </w:rPr>
      </w:pPr>
      <w:r w:rsidRPr="002B1DFC">
        <w:rPr>
          <w:rFonts w:ascii="Times New Roman" w:hAnsi="Times New Roman" w:cs="Times New Roman"/>
          <w:sz w:val="22"/>
          <w:szCs w:val="22"/>
        </w:rPr>
        <w:t>Washington DC 20433</w:t>
      </w:r>
    </w:p>
    <w:p w14:paraId="52976B95" w14:textId="77777777" w:rsidR="000B7923" w:rsidRPr="002B1DFC" w:rsidRDefault="000B7923" w:rsidP="00F33595">
      <w:pPr>
        <w:pStyle w:val="Disclaimertext"/>
        <w:ind w:right="360"/>
        <w:rPr>
          <w:rFonts w:ascii="Times New Roman" w:hAnsi="Times New Roman" w:cs="Times New Roman"/>
          <w:sz w:val="22"/>
          <w:szCs w:val="22"/>
        </w:rPr>
      </w:pPr>
      <w:r w:rsidRPr="002B1DFC">
        <w:rPr>
          <w:rFonts w:ascii="Times New Roman" w:hAnsi="Times New Roman" w:cs="Times New Roman"/>
          <w:sz w:val="22"/>
          <w:szCs w:val="22"/>
        </w:rPr>
        <w:t>Telephone 202-473-1000</w:t>
      </w:r>
    </w:p>
    <w:p w14:paraId="160720C0" w14:textId="77777777" w:rsidR="000B7923" w:rsidRPr="002B1DFC" w:rsidRDefault="000B7923" w:rsidP="00F33595">
      <w:pPr>
        <w:pStyle w:val="Disclaimertext"/>
        <w:ind w:right="360"/>
        <w:rPr>
          <w:rFonts w:ascii="Times New Roman" w:hAnsi="Times New Roman" w:cs="Times New Roman"/>
          <w:sz w:val="22"/>
          <w:szCs w:val="22"/>
        </w:rPr>
      </w:pPr>
      <w:r w:rsidRPr="002B1DFC">
        <w:rPr>
          <w:rFonts w:ascii="Times New Roman" w:hAnsi="Times New Roman" w:cs="Times New Roman"/>
          <w:sz w:val="22"/>
          <w:szCs w:val="22"/>
        </w:rPr>
        <w:t xml:space="preserve">Internet: </w:t>
      </w:r>
      <w:hyperlink r:id="rId11" w:history="1">
        <w:r w:rsidRPr="002B1DFC">
          <w:rPr>
            <w:rStyle w:val="Hyperlink"/>
            <w:rFonts w:ascii="Times New Roman" w:hAnsi="Times New Roman"/>
            <w:sz w:val="22"/>
            <w:szCs w:val="22"/>
          </w:rPr>
          <w:t>www.worldbank.org</w:t>
        </w:r>
      </w:hyperlink>
    </w:p>
    <w:p w14:paraId="2A8035A0" w14:textId="77777777" w:rsidR="000B7923" w:rsidRPr="002B1DFC" w:rsidRDefault="000B7923" w:rsidP="00F33595">
      <w:pPr>
        <w:pStyle w:val="Disclaimertext"/>
        <w:ind w:right="360"/>
        <w:rPr>
          <w:rFonts w:ascii="Times New Roman" w:hAnsi="Times New Roman" w:cs="Times New Roman"/>
          <w:b/>
          <w:sz w:val="22"/>
          <w:szCs w:val="22"/>
        </w:rPr>
      </w:pPr>
      <w:r w:rsidRPr="002B1DFC">
        <w:rPr>
          <w:rFonts w:ascii="Times New Roman" w:hAnsi="Times New Roman" w:cs="Times New Roman"/>
          <w:sz w:val="22"/>
          <w:szCs w:val="22"/>
        </w:rPr>
        <w:t>Email:</w:t>
      </w:r>
      <w:r w:rsidRPr="002B1DFC">
        <w:rPr>
          <w:rFonts w:ascii="Times New Roman" w:hAnsi="Times New Roman" w:cs="Times New Roman"/>
          <w:b/>
          <w:sz w:val="22"/>
          <w:szCs w:val="22"/>
        </w:rPr>
        <w:t xml:space="preserve"> </w:t>
      </w:r>
      <w:r w:rsidRPr="002B1DFC">
        <w:rPr>
          <w:rFonts w:ascii="Times New Roman" w:eastAsia="Times New Roman" w:hAnsi="Times New Roman" w:cs="Times New Roman"/>
          <w:sz w:val="22"/>
          <w:szCs w:val="22"/>
        </w:rPr>
        <w:t>feedback@worldbank.org</w:t>
      </w:r>
    </w:p>
    <w:p w14:paraId="139606BB" w14:textId="77777777" w:rsidR="000B7923" w:rsidRPr="002B1DFC" w:rsidRDefault="000B7923" w:rsidP="00F33595">
      <w:pPr>
        <w:widowControl w:val="0"/>
        <w:autoSpaceDE w:val="0"/>
        <w:autoSpaceDN w:val="0"/>
        <w:adjustRightInd w:val="0"/>
        <w:rPr>
          <w:rFonts w:cs="Times New Roman"/>
        </w:rPr>
      </w:pPr>
    </w:p>
    <w:p w14:paraId="7D8CF1F9" w14:textId="77777777" w:rsidR="000B7923" w:rsidRPr="002B1DFC" w:rsidRDefault="000B7923" w:rsidP="00F33595">
      <w:pPr>
        <w:widowControl w:val="0"/>
        <w:autoSpaceDE w:val="0"/>
        <w:autoSpaceDN w:val="0"/>
        <w:adjustRightInd w:val="0"/>
        <w:rPr>
          <w:rFonts w:cs="Times New Roman"/>
        </w:rPr>
      </w:pPr>
      <w:r w:rsidRPr="002B1DFC">
        <w:rPr>
          <w:rFonts w:cs="Times New Roman"/>
        </w:rPr>
        <w:t>All rights reserved.</w:t>
      </w:r>
    </w:p>
    <w:p w14:paraId="232BC695" w14:textId="77777777" w:rsidR="000B7923" w:rsidRPr="002B1DFC" w:rsidRDefault="000B7923" w:rsidP="00F33595">
      <w:pPr>
        <w:widowControl w:val="0"/>
        <w:autoSpaceDE w:val="0"/>
        <w:autoSpaceDN w:val="0"/>
        <w:adjustRightInd w:val="0"/>
        <w:rPr>
          <w:rFonts w:cs="Times New Roman"/>
        </w:rPr>
      </w:pPr>
    </w:p>
    <w:p w14:paraId="616E15F9" w14:textId="15FC7150" w:rsidR="000B7923" w:rsidRPr="002B1DFC" w:rsidRDefault="00361CAA">
      <w:pPr>
        <w:widowControl w:val="0"/>
        <w:autoSpaceDE w:val="0"/>
        <w:autoSpaceDN w:val="0"/>
        <w:adjustRightInd w:val="0"/>
        <w:rPr>
          <w:rFonts w:cs="Times New Roman"/>
        </w:rPr>
      </w:pPr>
      <w:r>
        <w:rPr>
          <w:rFonts w:cs="Times New Roman"/>
        </w:rPr>
        <w:t>January</w:t>
      </w:r>
      <w:r w:rsidRPr="002B1DFC">
        <w:rPr>
          <w:rFonts w:cs="Times New Roman"/>
        </w:rPr>
        <w:t xml:space="preserve"> 201</w:t>
      </w:r>
      <w:r>
        <w:rPr>
          <w:rFonts w:cs="Times New Roman"/>
        </w:rPr>
        <w:t>6</w:t>
      </w:r>
    </w:p>
    <w:p w14:paraId="4AE6075D" w14:textId="77777777" w:rsidR="00147937" w:rsidRDefault="00147937" w:rsidP="00F33595">
      <w:pPr>
        <w:widowControl w:val="0"/>
        <w:autoSpaceDE w:val="0"/>
        <w:autoSpaceDN w:val="0"/>
        <w:adjustRightInd w:val="0"/>
        <w:rPr>
          <w:rFonts w:cs="Times New Roman"/>
        </w:rPr>
      </w:pPr>
    </w:p>
    <w:p w14:paraId="75B54C9B" w14:textId="5F172887" w:rsidR="00147937" w:rsidRDefault="00147937">
      <w:pPr>
        <w:widowControl w:val="0"/>
        <w:autoSpaceDE w:val="0"/>
        <w:autoSpaceDN w:val="0"/>
        <w:adjustRightInd w:val="0"/>
        <w:rPr>
          <w:rFonts w:cs="Times New Roman"/>
        </w:rPr>
      </w:pPr>
      <w:r>
        <w:rPr>
          <w:rFonts w:cs="Times New Roman"/>
        </w:rPr>
        <w:t>S</w:t>
      </w:r>
      <w:r w:rsidR="00521A8B">
        <w:rPr>
          <w:rFonts w:cs="Times New Roman"/>
        </w:rPr>
        <w:t>TANDARD DISCLAIMER</w:t>
      </w:r>
      <w:r>
        <w:rPr>
          <w:rFonts w:cs="Times New Roman"/>
        </w:rPr>
        <w:t>:</w:t>
      </w:r>
    </w:p>
    <w:p w14:paraId="7D4871AC" w14:textId="77777777" w:rsidR="00147937" w:rsidRDefault="00147937" w:rsidP="00147937">
      <w:pPr>
        <w:widowControl w:val="0"/>
        <w:autoSpaceDE w:val="0"/>
        <w:autoSpaceDN w:val="0"/>
        <w:adjustRightInd w:val="0"/>
        <w:rPr>
          <w:rFonts w:cs="Times New Roman"/>
        </w:rPr>
      </w:pPr>
    </w:p>
    <w:p w14:paraId="574DD51C" w14:textId="0E2EB091" w:rsidR="000B7923" w:rsidRDefault="000B7923" w:rsidP="00147937">
      <w:pPr>
        <w:widowControl w:val="0"/>
        <w:autoSpaceDE w:val="0"/>
        <w:autoSpaceDN w:val="0"/>
        <w:adjustRightInd w:val="0"/>
        <w:rPr>
          <w:rFonts w:cs="Times New Roman"/>
        </w:rPr>
      </w:pPr>
      <w:r w:rsidRPr="002B1DFC">
        <w:rPr>
          <w:rFonts w:cs="Times New Roman"/>
        </w:rPr>
        <w:t xml:space="preserve">This volume is a product of the staff of the International Bank for Reconstruction and Development /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w:t>
      </w:r>
      <w:r w:rsidR="00147937">
        <w:rPr>
          <w:rFonts w:cs="Times New Roman"/>
        </w:rPr>
        <w:t xml:space="preserve">any </w:t>
      </w:r>
      <w:r w:rsidRPr="002B1DFC">
        <w:rPr>
          <w:rFonts w:cs="Times New Roman"/>
        </w:rPr>
        <w:t xml:space="preserve">map in this work do not imply any judgment on the part of The World Bank concerning the legal status of any territory or the endorsement or acceptance of </w:t>
      </w:r>
      <w:r w:rsidR="00147937">
        <w:rPr>
          <w:rFonts w:cs="Times New Roman"/>
        </w:rPr>
        <w:t>such</w:t>
      </w:r>
      <w:r w:rsidR="00147937" w:rsidRPr="002B1DFC">
        <w:rPr>
          <w:rFonts w:cs="Times New Roman"/>
        </w:rPr>
        <w:t xml:space="preserve"> </w:t>
      </w:r>
      <w:r w:rsidRPr="002B1DFC">
        <w:rPr>
          <w:rFonts w:cs="Times New Roman"/>
        </w:rPr>
        <w:t>boundaries.</w:t>
      </w:r>
    </w:p>
    <w:p w14:paraId="5FF58357" w14:textId="77777777" w:rsidR="000B7923" w:rsidRPr="002B1DFC" w:rsidRDefault="000B7923" w:rsidP="00F33595">
      <w:pPr>
        <w:widowControl w:val="0"/>
        <w:autoSpaceDE w:val="0"/>
        <w:autoSpaceDN w:val="0"/>
        <w:adjustRightInd w:val="0"/>
        <w:rPr>
          <w:rFonts w:cs="Times New Roman"/>
        </w:rPr>
      </w:pPr>
    </w:p>
    <w:p w14:paraId="68BC7738" w14:textId="77777777" w:rsidR="000B7923" w:rsidRPr="002B1DFC" w:rsidRDefault="000B7923" w:rsidP="00F33595">
      <w:pPr>
        <w:widowControl w:val="0"/>
        <w:autoSpaceDE w:val="0"/>
        <w:autoSpaceDN w:val="0"/>
        <w:adjustRightInd w:val="0"/>
        <w:rPr>
          <w:rFonts w:cs="Times New Roman"/>
        </w:rPr>
      </w:pPr>
      <w:r w:rsidRPr="002B1DFC">
        <w:rPr>
          <w:rFonts w:cs="Times New Roman"/>
        </w:rPr>
        <w:t>RIGHTS AND PERMISSIONS:</w:t>
      </w:r>
    </w:p>
    <w:p w14:paraId="21369EA6" w14:textId="77777777" w:rsidR="000B7923" w:rsidRPr="002B1DFC" w:rsidRDefault="000B7923" w:rsidP="00F33595">
      <w:pPr>
        <w:widowControl w:val="0"/>
        <w:autoSpaceDE w:val="0"/>
        <w:autoSpaceDN w:val="0"/>
        <w:adjustRightInd w:val="0"/>
        <w:rPr>
          <w:rFonts w:cs="Times New Roman"/>
        </w:rPr>
      </w:pPr>
    </w:p>
    <w:p w14:paraId="47711115" w14:textId="77777777" w:rsidR="000B7923" w:rsidRPr="002B1DFC" w:rsidRDefault="000B7923" w:rsidP="00F33595">
      <w:pPr>
        <w:widowControl w:val="0"/>
        <w:autoSpaceDE w:val="0"/>
        <w:autoSpaceDN w:val="0"/>
        <w:adjustRightInd w:val="0"/>
        <w:rPr>
          <w:rFonts w:cs="Times New Roman"/>
        </w:rPr>
      </w:pPr>
      <w:r w:rsidRPr="002B1DFC">
        <w:rPr>
          <w:rFonts w:cs="Times New Roman"/>
        </w:rPr>
        <w:t>The material in this publication is copyrighted. Copying and/or transmitting portions or all of this work without permission may be a violation of applicable law. The International Bank for Reconstruction and Development/The World Bank encourages dissemination of its work and will normally grant permission to reproduce portions of the work promptly.</w:t>
      </w:r>
    </w:p>
    <w:p w14:paraId="57A9371B" w14:textId="77777777" w:rsidR="000B7923" w:rsidRPr="002B1DFC" w:rsidRDefault="000B7923" w:rsidP="00F33595">
      <w:pPr>
        <w:widowControl w:val="0"/>
        <w:autoSpaceDE w:val="0"/>
        <w:autoSpaceDN w:val="0"/>
        <w:adjustRightInd w:val="0"/>
        <w:rPr>
          <w:rFonts w:cs="Times New Roman"/>
        </w:rPr>
      </w:pPr>
    </w:p>
    <w:p w14:paraId="11B3F6E8" w14:textId="77777777" w:rsidR="000B7923" w:rsidRPr="002B1DFC" w:rsidRDefault="000B7923" w:rsidP="00F33595">
      <w:pPr>
        <w:widowControl w:val="0"/>
        <w:autoSpaceDE w:val="0"/>
        <w:autoSpaceDN w:val="0"/>
        <w:adjustRightInd w:val="0"/>
        <w:rPr>
          <w:rFonts w:cs="Times New Roman"/>
        </w:rPr>
      </w:pPr>
      <w:r w:rsidRPr="002B1DFC">
        <w:rPr>
          <w:rFonts w:cs="Times New Roman"/>
        </w:rPr>
        <w:t>For permission to photocopy or reprint any part of this work, please send a request with complete information to the Copyright Clearance Center, Inc., 222 Rosewood Drive, Danvers, MA 01923, USA, telephone: 978-750-8400, fax: 978-750-4470, http://www.copyright.com/.</w:t>
      </w:r>
    </w:p>
    <w:p w14:paraId="4013CB91" w14:textId="77777777" w:rsidR="000B7923" w:rsidRPr="002B1DFC" w:rsidRDefault="000B7923" w:rsidP="00F33595">
      <w:pPr>
        <w:widowControl w:val="0"/>
        <w:autoSpaceDE w:val="0"/>
        <w:autoSpaceDN w:val="0"/>
        <w:adjustRightInd w:val="0"/>
        <w:rPr>
          <w:rFonts w:cs="Times New Roman"/>
        </w:rPr>
      </w:pPr>
    </w:p>
    <w:p w14:paraId="527556BC" w14:textId="77777777" w:rsidR="000B7923" w:rsidRPr="002B1DFC" w:rsidRDefault="000B7923" w:rsidP="00F33595">
      <w:pPr>
        <w:widowControl w:val="0"/>
        <w:autoSpaceDE w:val="0"/>
        <w:autoSpaceDN w:val="0"/>
        <w:adjustRightInd w:val="0"/>
        <w:rPr>
          <w:rFonts w:cs="Times New Roman"/>
          <w:b/>
        </w:rPr>
      </w:pPr>
      <w:r w:rsidRPr="002B1DFC">
        <w:rPr>
          <w:rFonts w:cs="Times New Roman"/>
        </w:rPr>
        <w:t>All other queries on rights and licenses, including subsidiary rights, should be addressed to the Office of the Publisher, The World Bank, 1818 H Street NW, Washington, DC 20433, USA, fax: 202-522-2422, e-mail: pubrights@worldbank.org.</w:t>
      </w:r>
    </w:p>
    <w:p w14:paraId="7A8D5B10" w14:textId="77777777" w:rsidR="000B7923" w:rsidRPr="002B1DFC" w:rsidRDefault="000B7923" w:rsidP="00F33595">
      <w:pPr>
        <w:pStyle w:val="Disclaimertext"/>
        <w:ind w:right="360"/>
        <w:rPr>
          <w:rFonts w:ascii="Times New Roman" w:hAnsi="Times New Roman" w:cs="Times New Roman"/>
          <w:b/>
          <w:sz w:val="22"/>
          <w:szCs w:val="22"/>
        </w:rPr>
      </w:pPr>
    </w:p>
    <w:p w14:paraId="1BEB5CD1" w14:textId="77777777" w:rsidR="000B7923" w:rsidRPr="002B1DFC" w:rsidRDefault="000B7923" w:rsidP="00F33595">
      <w:pPr>
        <w:pStyle w:val="Disclaimertext"/>
        <w:ind w:right="360"/>
        <w:rPr>
          <w:rFonts w:ascii="Times New Roman" w:hAnsi="Times New Roman" w:cs="Times New Roman"/>
          <w:b/>
          <w:sz w:val="22"/>
          <w:szCs w:val="22"/>
        </w:rPr>
      </w:pPr>
    </w:p>
    <w:p w14:paraId="2F5475E6" w14:textId="77777777" w:rsidR="000B7923" w:rsidRPr="002B1DFC" w:rsidRDefault="000B7923" w:rsidP="00F33595">
      <w:pPr>
        <w:rPr>
          <w:rFonts w:cs="Times New Roman"/>
          <w:b/>
          <w:bCs/>
        </w:rPr>
      </w:pPr>
      <w:r w:rsidRPr="002B1DFC">
        <w:rPr>
          <w:rFonts w:cs="Times New Roman"/>
          <w:b/>
          <w:bCs/>
        </w:rPr>
        <w:br w:type="page"/>
      </w:r>
    </w:p>
    <w:p w14:paraId="563BC654" w14:textId="77777777" w:rsidR="000B7923" w:rsidRPr="002B1DFC" w:rsidRDefault="000B7923" w:rsidP="00F33595">
      <w:pPr>
        <w:rPr>
          <w:rFonts w:cs="Times New Roman"/>
          <w:b/>
          <w:bCs/>
        </w:rPr>
      </w:pPr>
      <w:r w:rsidRPr="002B1DFC">
        <w:rPr>
          <w:rFonts w:cs="Times New Roman"/>
          <w:b/>
          <w:bCs/>
        </w:rPr>
        <w:lastRenderedPageBreak/>
        <w:t>Table of Contents</w:t>
      </w:r>
    </w:p>
    <w:p w14:paraId="4E34732F" w14:textId="77777777" w:rsidR="000B7923" w:rsidRPr="002B1DFC" w:rsidRDefault="000B7923" w:rsidP="00F33595">
      <w:pPr>
        <w:pStyle w:val="Heading12"/>
        <w:rPr>
          <w:color w:val="auto"/>
          <w:sz w:val="22"/>
          <w:szCs w:val="22"/>
        </w:rPr>
      </w:pPr>
    </w:p>
    <w:p w14:paraId="7AE39299" w14:textId="77777777" w:rsidR="00147937" w:rsidRDefault="000B7923">
      <w:pPr>
        <w:pStyle w:val="TOC1"/>
        <w:rPr>
          <w:rFonts w:asciiTheme="minorHAnsi" w:eastAsiaTheme="minorEastAsia" w:hAnsiTheme="minorHAnsi" w:cstheme="minorBidi"/>
          <w:b w:val="0"/>
          <w:bCs w:val="0"/>
        </w:rPr>
      </w:pPr>
      <w:r w:rsidRPr="002B1DFC">
        <w:rPr>
          <w:rFonts w:ascii="Times New Roman" w:hAnsi="Times New Roman"/>
          <w:noProof w:val="0"/>
        </w:rPr>
        <w:fldChar w:fldCharType="begin"/>
      </w:r>
      <w:r w:rsidRPr="002B1DFC">
        <w:rPr>
          <w:rFonts w:ascii="Times New Roman" w:hAnsi="Times New Roman"/>
          <w:noProof w:val="0"/>
        </w:rPr>
        <w:instrText xml:space="preserve"> TOC \o "1-1" \h \z \t "Heading 2,2,Heading 3,3,Heading 12,1" </w:instrText>
      </w:r>
      <w:r w:rsidRPr="002B1DFC">
        <w:rPr>
          <w:rFonts w:ascii="Times New Roman" w:hAnsi="Times New Roman"/>
          <w:noProof w:val="0"/>
        </w:rPr>
        <w:fldChar w:fldCharType="separate"/>
      </w:r>
      <w:hyperlink w:anchor="_Toc440273946" w:history="1">
        <w:r w:rsidR="00147937" w:rsidRPr="00715A35">
          <w:rPr>
            <w:rStyle w:val="Hyperlink"/>
          </w:rPr>
          <w:t>Acknowledgements</w:t>
        </w:r>
        <w:r w:rsidR="00147937">
          <w:rPr>
            <w:webHidden/>
          </w:rPr>
          <w:tab/>
        </w:r>
        <w:r w:rsidR="00147937">
          <w:rPr>
            <w:webHidden/>
          </w:rPr>
          <w:fldChar w:fldCharType="begin"/>
        </w:r>
        <w:r w:rsidR="00147937">
          <w:rPr>
            <w:webHidden/>
          </w:rPr>
          <w:instrText xml:space="preserve"> PAGEREF _Toc440273946 \h </w:instrText>
        </w:r>
        <w:r w:rsidR="00147937">
          <w:rPr>
            <w:webHidden/>
          </w:rPr>
        </w:r>
        <w:r w:rsidR="00147937">
          <w:rPr>
            <w:webHidden/>
          </w:rPr>
          <w:fldChar w:fldCharType="separate"/>
        </w:r>
        <w:r w:rsidR="00475986">
          <w:rPr>
            <w:webHidden/>
          </w:rPr>
          <w:t>vii</w:t>
        </w:r>
        <w:r w:rsidR="00147937">
          <w:rPr>
            <w:webHidden/>
          </w:rPr>
          <w:fldChar w:fldCharType="end"/>
        </w:r>
      </w:hyperlink>
    </w:p>
    <w:p w14:paraId="077BE881" w14:textId="77777777" w:rsidR="00147937" w:rsidRDefault="00C16940">
      <w:pPr>
        <w:pStyle w:val="TOC1"/>
        <w:rPr>
          <w:rFonts w:asciiTheme="minorHAnsi" w:eastAsiaTheme="minorEastAsia" w:hAnsiTheme="minorHAnsi" w:cstheme="minorBidi"/>
          <w:b w:val="0"/>
          <w:bCs w:val="0"/>
        </w:rPr>
      </w:pPr>
      <w:hyperlink w:anchor="_Toc440273947" w:history="1">
        <w:r w:rsidR="00147937" w:rsidRPr="00715A35">
          <w:rPr>
            <w:rStyle w:val="Hyperlink"/>
          </w:rPr>
          <w:t>Abbreviations and Terms Used</w:t>
        </w:r>
        <w:r w:rsidR="00147937">
          <w:rPr>
            <w:webHidden/>
          </w:rPr>
          <w:tab/>
        </w:r>
        <w:r w:rsidR="00147937">
          <w:rPr>
            <w:webHidden/>
          </w:rPr>
          <w:fldChar w:fldCharType="begin"/>
        </w:r>
        <w:r w:rsidR="00147937">
          <w:rPr>
            <w:webHidden/>
          </w:rPr>
          <w:instrText xml:space="preserve"> PAGEREF _Toc440273947 \h </w:instrText>
        </w:r>
        <w:r w:rsidR="00147937">
          <w:rPr>
            <w:webHidden/>
          </w:rPr>
        </w:r>
        <w:r w:rsidR="00147937">
          <w:rPr>
            <w:webHidden/>
          </w:rPr>
          <w:fldChar w:fldCharType="separate"/>
        </w:r>
        <w:r w:rsidR="00475986">
          <w:rPr>
            <w:webHidden/>
          </w:rPr>
          <w:t>ix</w:t>
        </w:r>
        <w:r w:rsidR="00147937">
          <w:rPr>
            <w:webHidden/>
          </w:rPr>
          <w:fldChar w:fldCharType="end"/>
        </w:r>
      </w:hyperlink>
    </w:p>
    <w:p w14:paraId="37934626" w14:textId="77777777" w:rsidR="00147937" w:rsidRDefault="00C16940">
      <w:pPr>
        <w:pStyle w:val="TOC1"/>
        <w:rPr>
          <w:rFonts w:asciiTheme="minorHAnsi" w:eastAsiaTheme="minorEastAsia" w:hAnsiTheme="minorHAnsi" w:cstheme="minorBidi"/>
          <w:b w:val="0"/>
          <w:bCs w:val="0"/>
        </w:rPr>
      </w:pPr>
      <w:hyperlink w:anchor="_Toc440273948" w:history="1">
        <w:r w:rsidR="00147937" w:rsidRPr="00715A35">
          <w:rPr>
            <w:rStyle w:val="Hyperlink"/>
          </w:rPr>
          <w:t>Executive Summary</w:t>
        </w:r>
        <w:r w:rsidR="00147937">
          <w:rPr>
            <w:webHidden/>
          </w:rPr>
          <w:tab/>
        </w:r>
        <w:r w:rsidR="00147937">
          <w:rPr>
            <w:webHidden/>
          </w:rPr>
          <w:fldChar w:fldCharType="begin"/>
        </w:r>
        <w:r w:rsidR="00147937">
          <w:rPr>
            <w:webHidden/>
          </w:rPr>
          <w:instrText xml:space="preserve"> PAGEREF _Toc440273948 \h </w:instrText>
        </w:r>
        <w:r w:rsidR="00147937">
          <w:rPr>
            <w:webHidden/>
          </w:rPr>
        </w:r>
        <w:r w:rsidR="00147937">
          <w:rPr>
            <w:webHidden/>
          </w:rPr>
          <w:fldChar w:fldCharType="separate"/>
        </w:r>
        <w:r w:rsidR="00475986">
          <w:rPr>
            <w:webHidden/>
          </w:rPr>
          <w:t>xi</w:t>
        </w:r>
        <w:r w:rsidR="00147937">
          <w:rPr>
            <w:webHidden/>
          </w:rPr>
          <w:fldChar w:fldCharType="end"/>
        </w:r>
      </w:hyperlink>
    </w:p>
    <w:p w14:paraId="27F6FCDE" w14:textId="77777777" w:rsidR="00147937" w:rsidRDefault="00C16940">
      <w:pPr>
        <w:pStyle w:val="TOC1"/>
        <w:rPr>
          <w:rFonts w:asciiTheme="minorHAnsi" w:eastAsiaTheme="minorEastAsia" w:hAnsiTheme="minorHAnsi" w:cstheme="minorBidi"/>
          <w:b w:val="0"/>
          <w:bCs w:val="0"/>
        </w:rPr>
      </w:pPr>
      <w:hyperlink w:anchor="_Toc440273949" w:history="1">
        <w:r w:rsidR="00147937" w:rsidRPr="00715A35">
          <w:rPr>
            <w:rStyle w:val="Hyperlink"/>
          </w:rPr>
          <w:t>1.</w:t>
        </w:r>
        <w:r w:rsidR="00147937">
          <w:rPr>
            <w:rFonts w:asciiTheme="minorHAnsi" w:eastAsiaTheme="minorEastAsia" w:hAnsiTheme="minorHAnsi" w:cstheme="minorBidi"/>
            <w:b w:val="0"/>
            <w:bCs w:val="0"/>
          </w:rPr>
          <w:tab/>
        </w:r>
        <w:r w:rsidR="00147937" w:rsidRPr="00715A35">
          <w:rPr>
            <w:rStyle w:val="Hyperlink"/>
          </w:rPr>
          <w:t>Introduction</w:t>
        </w:r>
        <w:r w:rsidR="00147937">
          <w:rPr>
            <w:webHidden/>
          </w:rPr>
          <w:tab/>
        </w:r>
        <w:r w:rsidR="00147937">
          <w:rPr>
            <w:webHidden/>
          </w:rPr>
          <w:fldChar w:fldCharType="begin"/>
        </w:r>
        <w:r w:rsidR="00147937">
          <w:rPr>
            <w:webHidden/>
          </w:rPr>
          <w:instrText xml:space="preserve"> PAGEREF _Toc440273949 \h </w:instrText>
        </w:r>
        <w:r w:rsidR="00147937">
          <w:rPr>
            <w:webHidden/>
          </w:rPr>
        </w:r>
        <w:r w:rsidR="00147937">
          <w:rPr>
            <w:webHidden/>
          </w:rPr>
          <w:fldChar w:fldCharType="separate"/>
        </w:r>
        <w:r w:rsidR="00475986">
          <w:rPr>
            <w:webHidden/>
          </w:rPr>
          <w:t>1</w:t>
        </w:r>
        <w:r w:rsidR="00147937">
          <w:rPr>
            <w:webHidden/>
          </w:rPr>
          <w:fldChar w:fldCharType="end"/>
        </w:r>
      </w:hyperlink>
    </w:p>
    <w:p w14:paraId="494F9B0D" w14:textId="77777777" w:rsidR="00147937" w:rsidRDefault="00C16940">
      <w:pPr>
        <w:pStyle w:val="TOC2"/>
        <w:rPr>
          <w:rFonts w:asciiTheme="minorHAnsi" w:eastAsiaTheme="minorEastAsia" w:hAnsiTheme="minorHAnsi" w:cstheme="minorBidi"/>
        </w:rPr>
      </w:pPr>
      <w:hyperlink w:anchor="_Toc440273950" w:history="1">
        <w:r w:rsidR="00147937" w:rsidRPr="00715A35">
          <w:rPr>
            <w:rStyle w:val="Hyperlink"/>
          </w:rPr>
          <w:t>1.1</w:t>
        </w:r>
        <w:r w:rsidR="00147937">
          <w:rPr>
            <w:rFonts w:asciiTheme="minorHAnsi" w:eastAsiaTheme="minorEastAsia" w:hAnsiTheme="minorHAnsi" w:cstheme="minorBidi"/>
          </w:rPr>
          <w:tab/>
        </w:r>
        <w:r w:rsidR="00147937" w:rsidRPr="00715A35">
          <w:rPr>
            <w:rStyle w:val="Hyperlink"/>
          </w:rPr>
          <w:t>Overview</w:t>
        </w:r>
        <w:r w:rsidR="00147937">
          <w:rPr>
            <w:webHidden/>
          </w:rPr>
          <w:tab/>
        </w:r>
        <w:r w:rsidR="00147937">
          <w:rPr>
            <w:webHidden/>
          </w:rPr>
          <w:fldChar w:fldCharType="begin"/>
        </w:r>
        <w:r w:rsidR="00147937">
          <w:rPr>
            <w:webHidden/>
          </w:rPr>
          <w:instrText xml:space="preserve"> PAGEREF _Toc440273950 \h </w:instrText>
        </w:r>
        <w:r w:rsidR="00147937">
          <w:rPr>
            <w:webHidden/>
          </w:rPr>
        </w:r>
        <w:r w:rsidR="00147937">
          <w:rPr>
            <w:webHidden/>
          </w:rPr>
          <w:fldChar w:fldCharType="separate"/>
        </w:r>
        <w:r w:rsidR="00475986">
          <w:rPr>
            <w:webHidden/>
          </w:rPr>
          <w:t>1</w:t>
        </w:r>
        <w:r w:rsidR="00147937">
          <w:rPr>
            <w:webHidden/>
          </w:rPr>
          <w:fldChar w:fldCharType="end"/>
        </w:r>
      </w:hyperlink>
    </w:p>
    <w:p w14:paraId="0DFC29BA" w14:textId="77777777" w:rsidR="00147937" w:rsidRDefault="00C16940">
      <w:pPr>
        <w:pStyle w:val="TOC2"/>
        <w:rPr>
          <w:rFonts w:asciiTheme="minorHAnsi" w:eastAsiaTheme="minorEastAsia" w:hAnsiTheme="minorHAnsi" w:cstheme="minorBidi"/>
        </w:rPr>
      </w:pPr>
      <w:hyperlink w:anchor="_Toc440273951" w:history="1">
        <w:r w:rsidR="00147937" w:rsidRPr="00715A35">
          <w:rPr>
            <w:rStyle w:val="Hyperlink"/>
          </w:rPr>
          <w:t>1.2</w:t>
        </w:r>
        <w:r w:rsidR="00147937">
          <w:rPr>
            <w:rFonts w:asciiTheme="minorHAnsi" w:eastAsiaTheme="minorEastAsia" w:hAnsiTheme="minorHAnsi" w:cstheme="minorBidi"/>
          </w:rPr>
          <w:tab/>
        </w:r>
        <w:r w:rsidR="00147937" w:rsidRPr="00715A35">
          <w:rPr>
            <w:rStyle w:val="Hyperlink"/>
          </w:rPr>
          <w:t>Objective</w:t>
        </w:r>
        <w:r w:rsidR="00147937">
          <w:rPr>
            <w:webHidden/>
          </w:rPr>
          <w:tab/>
        </w:r>
        <w:r w:rsidR="00147937">
          <w:rPr>
            <w:webHidden/>
          </w:rPr>
          <w:fldChar w:fldCharType="begin"/>
        </w:r>
        <w:r w:rsidR="00147937">
          <w:rPr>
            <w:webHidden/>
          </w:rPr>
          <w:instrText xml:space="preserve"> PAGEREF _Toc440273951 \h </w:instrText>
        </w:r>
        <w:r w:rsidR="00147937">
          <w:rPr>
            <w:webHidden/>
          </w:rPr>
        </w:r>
        <w:r w:rsidR="00147937">
          <w:rPr>
            <w:webHidden/>
          </w:rPr>
          <w:fldChar w:fldCharType="separate"/>
        </w:r>
        <w:r w:rsidR="00475986">
          <w:rPr>
            <w:webHidden/>
          </w:rPr>
          <w:t>2</w:t>
        </w:r>
        <w:r w:rsidR="00147937">
          <w:rPr>
            <w:webHidden/>
          </w:rPr>
          <w:fldChar w:fldCharType="end"/>
        </w:r>
      </w:hyperlink>
    </w:p>
    <w:p w14:paraId="1DD97C8B" w14:textId="77777777" w:rsidR="00147937" w:rsidRDefault="00C16940">
      <w:pPr>
        <w:pStyle w:val="TOC2"/>
        <w:rPr>
          <w:rFonts w:asciiTheme="minorHAnsi" w:eastAsiaTheme="minorEastAsia" w:hAnsiTheme="minorHAnsi" w:cstheme="minorBidi"/>
        </w:rPr>
      </w:pPr>
      <w:hyperlink w:anchor="_Toc440273952" w:history="1">
        <w:r w:rsidR="00147937" w:rsidRPr="00715A35">
          <w:rPr>
            <w:rStyle w:val="Hyperlink"/>
          </w:rPr>
          <w:t>1.3</w:t>
        </w:r>
        <w:r w:rsidR="00147937">
          <w:rPr>
            <w:rFonts w:asciiTheme="minorHAnsi" w:eastAsiaTheme="minorEastAsia" w:hAnsiTheme="minorHAnsi" w:cstheme="minorBidi"/>
          </w:rPr>
          <w:tab/>
        </w:r>
        <w:r w:rsidR="00147937" w:rsidRPr="00715A35">
          <w:rPr>
            <w:rStyle w:val="Hyperlink"/>
          </w:rPr>
          <w:t>Approach and Limitations</w:t>
        </w:r>
        <w:r w:rsidR="00147937">
          <w:rPr>
            <w:webHidden/>
          </w:rPr>
          <w:tab/>
        </w:r>
        <w:r w:rsidR="00147937">
          <w:rPr>
            <w:webHidden/>
          </w:rPr>
          <w:fldChar w:fldCharType="begin"/>
        </w:r>
        <w:r w:rsidR="00147937">
          <w:rPr>
            <w:webHidden/>
          </w:rPr>
          <w:instrText xml:space="preserve"> PAGEREF _Toc440273952 \h </w:instrText>
        </w:r>
        <w:r w:rsidR="00147937">
          <w:rPr>
            <w:webHidden/>
          </w:rPr>
        </w:r>
        <w:r w:rsidR="00147937">
          <w:rPr>
            <w:webHidden/>
          </w:rPr>
          <w:fldChar w:fldCharType="separate"/>
        </w:r>
        <w:r w:rsidR="00475986">
          <w:rPr>
            <w:webHidden/>
          </w:rPr>
          <w:t>2</w:t>
        </w:r>
        <w:r w:rsidR="00147937">
          <w:rPr>
            <w:webHidden/>
          </w:rPr>
          <w:fldChar w:fldCharType="end"/>
        </w:r>
      </w:hyperlink>
    </w:p>
    <w:p w14:paraId="3B8BAE46" w14:textId="77777777" w:rsidR="00147937" w:rsidRDefault="00C16940">
      <w:pPr>
        <w:pStyle w:val="TOC1"/>
        <w:rPr>
          <w:rFonts w:asciiTheme="minorHAnsi" w:eastAsiaTheme="minorEastAsia" w:hAnsiTheme="minorHAnsi" w:cstheme="minorBidi"/>
          <w:b w:val="0"/>
          <w:bCs w:val="0"/>
        </w:rPr>
      </w:pPr>
      <w:hyperlink w:anchor="_Toc440273953" w:history="1">
        <w:r w:rsidR="00147937" w:rsidRPr="00715A35">
          <w:rPr>
            <w:rStyle w:val="Hyperlink"/>
          </w:rPr>
          <w:t>2.</w:t>
        </w:r>
        <w:r w:rsidR="00147937">
          <w:rPr>
            <w:rFonts w:asciiTheme="minorHAnsi" w:eastAsiaTheme="minorEastAsia" w:hAnsiTheme="minorHAnsi" w:cstheme="minorBidi"/>
            <w:b w:val="0"/>
            <w:bCs w:val="0"/>
          </w:rPr>
          <w:tab/>
        </w:r>
        <w:r w:rsidR="00147937" w:rsidRPr="00715A35">
          <w:rPr>
            <w:rStyle w:val="Hyperlink"/>
          </w:rPr>
          <w:t>Ukraine’s Key Environmental Priorities</w:t>
        </w:r>
        <w:r w:rsidR="00147937">
          <w:rPr>
            <w:webHidden/>
          </w:rPr>
          <w:tab/>
        </w:r>
        <w:r w:rsidR="00147937">
          <w:rPr>
            <w:webHidden/>
          </w:rPr>
          <w:fldChar w:fldCharType="begin"/>
        </w:r>
        <w:r w:rsidR="00147937">
          <w:rPr>
            <w:webHidden/>
          </w:rPr>
          <w:instrText xml:space="preserve"> PAGEREF _Toc440273953 \h </w:instrText>
        </w:r>
        <w:r w:rsidR="00147937">
          <w:rPr>
            <w:webHidden/>
          </w:rPr>
        </w:r>
        <w:r w:rsidR="00147937">
          <w:rPr>
            <w:webHidden/>
          </w:rPr>
          <w:fldChar w:fldCharType="separate"/>
        </w:r>
        <w:r w:rsidR="00475986">
          <w:rPr>
            <w:webHidden/>
          </w:rPr>
          <w:t>5</w:t>
        </w:r>
        <w:r w:rsidR="00147937">
          <w:rPr>
            <w:webHidden/>
          </w:rPr>
          <w:fldChar w:fldCharType="end"/>
        </w:r>
      </w:hyperlink>
    </w:p>
    <w:p w14:paraId="78A97BBB" w14:textId="77777777" w:rsidR="00147937" w:rsidRDefault="00C16940">
      <w:pPr>
        <w:pStyle w:val="TOC1"/>
        <w:rPr>
          <w:rFonts w:asciiTheme="minorHAnsi" w:eastAsiaTheme="minorEastAsia" w:hAnsiTheme="minorHAnsi" w:cstheme="minorBidi"/>
          <w:b w:val="0"/>
          <w:bCs w:val="0"/>
        </w:rPr>
      </w:pPr>
      <w:hyperlink w:anchor="_Toc440273954" w:history="1">
        <w:r w:rsidR="00147937" w:rsidRPr="00715A35">
          <w:rPr>
            <w:rStyle w:val="Hyperlink"/>
          </w:rPr>
          <w:t>3.</w:t>
        </w:r>
        <w:r w:rsidR="00147937">
          <w:rPr>
            <w:rFonts w:asciiTheme="minorHAnsi" w:eastAsiaTheme="minorEastAsia" w:hAnsiTheme="minorHAnsi" w:cstheme="minorBidi"/>
            <w:b w:val="0"/>
            <w:bCs w:val="0"/>
          </w:rPr>
          <w:tab/>
        </w:r>
        <w:r w:rsidR="00147937" w:rsidRPr="00715A35">
          <w:rPr>
            <w:rStyle w:val="Hyperlink"/>
          </w:rPr>
          <w:t>Policy, Legal and Regulatory Environmental Management Framework</w:t>
        </w:r>
        <w:r w:rsidR="00147937">
          <w:rPr>
            <w:webHidden/>
          </w:rPr>
          <w:tab/>
        </w:r>
        <w:r w:rsidR="00147937">
          <w:rPr>
            <w:webHidden/>
          </w:rPr>
          <w:fldChar w:fldCharType="begin"/>
        </w:r>
        <w:r w:rsidR="00147937">
          <w:rPr>
            <w:webHidden/>
          </w:rPr>
          <w:instrText xml:space="preserve"> PAGEREF _Toc440273954 \h </w:instrText>
        </w:r>
        <w:r w:rsidR="00147937">
          <w:rPr>
            <w:webHidden/>
          </w:rPr>
        </w:r>
        <w:r w:rsidR="00147937">
          <w:rPr>
            <w:webHidden/>
          </w:rPr>
          <w:fldChar w:fldCharType="separate"/>
        </w:r>
        <w:r w:rsidR="00475986">
          <w:rPr>
            <w:webHidden/>
          </w:rPr>
          <w:t>13</w:t>
        </w:r>
        <w:r w:rsidR="00147937">
          <w:rPr>
            <w:webHidden/>
          </w:rPr>
          <w:fldChar w:fldCharType="end"/>
        </w:r>
      </w:hyperlink>
    </w:p>
    <w:p w14:paraId="18FCC001" w14:textId="77777777" w:rsidR="00147937" w:rsidRDefault="00C16940">
      <w:pPr>
        <w:pStyle w:val="TOC2"/>
        <w:rPr>
          <w:rFonts w:asciiTheme="minorHAnsi" w:eastAsiaTheme="minorEastAsia" w:hAnsiTheme="minorHAnsi" w:cstheme="minorBidi"/>
        </w:rPr>
      </w:pPr>
      <w:hyperlink w:anchor="_Toc440273955" w:history="1">
        <w:r w:rsidR="00147937" w:rsidRPr="00715A35">
          <w:rPr>
            <w:rStyle w:val="Hyperlink"/>
          </w:rPr>
          <w:t>3.1</w:t>
        </w:r>
        <w:r w:rsidR="00147937">
          <w:rPr>
            <w:rFonts w:asciiTheme="minorHAnsi" w:eastAsiaTheme="minorEastAsia" w:hAnsiTheme="minorHAnsi" w:cstheme="minorBidi"/>
          </w:rPr>
          <w:tab/>
        </w:r>
        <w:r w:rsidR="00147937" w:rsidRPr="00715A35">
          <w:rPr>
            <w:rStyle w:val="Hyperlink"/>
          </w:rPr>
          <w:t>Broader Issues Affecting Environmental Management</w:t>
        </w:r>
        <w:r w:rsidR="00147937">
          <w:rPr>
            <w:webHidden/>
          </w:rPr>
          <w:tab/>
        </w:r>
        <w:r w:rsidR="00147937">
          <w:rPr>
            <w:webHidden/>
          </w:rPr>
          <w:fldChar w:fldCharType="begin"/>
        </w:r>
        <w:r w:rsidR="00147937">
          <w:rPr>
            <w:webHidden/>
          </w:rPr>
          <w:instrText xml:space="preserve"> PAGEREF _Toc440273955 \h </w:instrText>
        </w:r>
        <w:r w:rsidR="00147937">
          <w:rPr>
            <w:webHidden/>
          </w:rPr>
        </w:r>
        <w:r w:rsidR="00147937">
          <w:rPr>
            <w:webHidden/>
          </w:rPr>
          <w:fldChar w:fldCharType="separate"/>
        </w:r>
        <w:r w:rsidR="00475986">
          <w:rPr>
            <w:webHidden/>
          </w:rPr>
          <w:t>13</w:t>
        </w:r>
        <w:r w:rsidR="00147937">
          <w:rPr>
            <w:webHidden/>
          </w:rPr>
          <w:fldChar w:fldCharType="end"/>
        </w:r>
      </w:hyperlink>
    </w:p>
    <w:p w14:paraId="335E9EA3" w14:textId="77777777" w:rsidR="00147937" w:rsidRDefault="00C16940">
      <w:pPr>
        <w:pStyle w:val="TOC2"/>
        <w:rPr>
          <w:rFonts w:asciiTheme="minorHAnsi" w:eastAsiaTheme="minorEastAsia" w:hAnsiTheme="minorHAnsi" w:cstheme="minorBidi"/>
        </w:rPr>
      </w:pPr>
      <w:hyperlink w:anchor="_Toc440273956" w:history="1">
        <w:r w:rsidR="00147937" w:rsidRPr="00715A35">
          <w:rPr>
            <w:rStyle w:val="Hyperlink"/>
          </w:rPr>
          <w:t>3.2</w:t>
        </w:r>
        <w:r w:rsidR="00147937">
          <w:rPr>
            <w:rFonts w:asciiTheme="minorHAnsi" w:eastAsiaTheme="minorEastAsia" w:hAnsiTheme="minorHAnsi" w:cstheme="minorBidi"/>
          </w:rPr>
          <w:tab/>
        </w:r>
        <w:r w:rsidR="00147937" w:rsidRPr="00715A35">
          <w:rPr>
            <w:rStyle w:val="Hyperlink"/>
          </w:rPr>
          <w:t>State Authority and Political Decision-Making Process</w:t>
        </w:r>
        <w:r w:rsidR="00147937">
          <w:rPr>
            <w:webHidden/>
          </w:rPr>
          <w:tab/>
        </w:r>
        <w:r w:rsidR="00147937">
          <w:rPr>
            <w:webHidden/>
          </w:rPr>
          <w:fldChar w:fldCharType="begin"/>
        </w:r>
        <w:r w:rsidR="00147937">
          <w:rPr>
            <w:webHidden/>
          </w:rPr>
          <w:instrText xml:space="preserve"> PAGEREF _Toc440273956 \h </w:instrText>
        </w:r>
        <w:r w:rsidR="00147937">
          <w:rPr>
            <w:webHidden/>
          </w:rPr>
        </w:r>
        <w:r w:rsidR="00147937">
          <w:rPr>
            <w:webHidden/>
          </w:rPr>
          <w:fldChar w:fldCharType="separate"/>
        </w:r>
        <w:r w:rsidR="00475986">
          <w:rPr>
            <w:webHidden/>
          </w:rPr>
          <w:t>16</w:t>
        </w:r>
        <w:r w:rsidR="00147937">
          <w:rPr>
            <w:webHidden/>
          </w:rPr>
          <w:fldChar w:fldCharType="end"/>
        </w:r>
      </w:hyperlink>
    </w:p>
    <w:p w14:paraId="4FF89680" w14:textId="77777777" w:rsidR="00147937" w:rsidRDefault="00C16940">
      <w:pPr>
        <w:pStyle w:val="TOC2"/>
        <w:rPr>
          <w:rFonts w:asciiTheme="minorHAnsi" w:eastAsiaTheme="minorEastAsia" w:hAnsiTheme="minorHAnsi" w:cstheme="minorBidi"/>
        </w:rPr>
      </w:pPr>
      <w:hyperlink w:anchor="_Toc440273957" w:history="1">
        <w:r w:rsidR="00147937" w:rsidRPr="00715A35">
          <w:rPr>
            <w:rStyle w:val="Hyperlink"/>
          </w:rPr>
          <w:t>3.3</w:t>
        </w:r>
        <w:r w:rsidR="00147937">
          <w:rPr>
            <w:rFonts w:asciiTheme="minorHAnsi" w:eastAsiaTheme="minorEastAsia" w:hAnsiTheme="minorHAnsi" w:cstheme="minorBidi"/>
          </w:rPr>
          <w:tab/>
        </w:r>
        <w:r w:rsidR="00147937" w:rsidRPr="00715A35">
          <w:rPr>
            <w:rStyle w:val="Hyperlink"/>
          </w:rPr>
          <w:t>Environment and Sector Strategies and Plans</w:t>
        </w:r>
        <w:r w:rsidR="00147937">
          <w:rPr>
            <w:webHidden/>
          </w:rPr>
          <w:tab/>
        </w:r>
        <w:r w:rsidR="00147937">
          <w:rPr>
            <w:webHidden/>
          </w:rPr>
          <w:fldChar w:fldCharType="begin"/>
        </w:r>
        <w:r w:rsidR="00147937">
          <w:rPr>
            <w:webHidden/>
          </w:rPr>
          <w:instrText xml:space="preserve"> PAGEREF _Toc440273957 \h </w:instrText>
        </w:r>
        <w:r w:rsidR="00147937">
          <w:rPr>
            <w:webHidden/>
          </w:rPr>
        </w:r>
        <w:r w:rsidR="00147937">
          <w:rPr>
            <w:webHidden/>
          </w:rPr>
          <w:fldChar w:fldCharType="separate"/>
        </w:r>
        <w:r w:rsidR="00475986">
          <w:rPr>
            <w:webHidden/>
          </w:rPr>
          <w:t>17</w:t>
        </w:r>
        <w:r w:rsidR="00147937">
          <w:rPr>
            <w:webHidden/>
          </w:rPr>
          <w:fldChar w:fldCharType="end"/>
        </w:r>
      </w:hyperlink>
    </w:p>
    <w:p w14:paraId="0EB28AB0" w14:textId="77777777" w:rsidR="00147937" w:rsidRDefault="00C16940">
      <w:pPr>
        <w:pStyle w:val="TOC2"/>
        <w:rPr>
          <w:rFonts w:asciiTheme="minorHAnsi" w:eastAsiaTheme="minorEastAsia" w:hAnsiTheme="minorHAnsi" w:cstheme="minorBidi"/>
        </w:rPr>
      </w:pPr>
      <w:hyperlink w:anchor="_Toc440273958" w:history="1">
        <w:r w:rsidR="00147937" w:rsidRPr="00715A35">
          <w:rPr>
            <w:rStyle w:val="Hyperlink"/>
          </w:rPr>
          <w:t>3.4</w:t>
        </w:r>
        <w:r w:rsidR="00147937">
          <w:rPr>
            <w:rFonts w:asciiTheme="minorHAnsi" w:eastAsiaTheme="minorEastAsia" w:hAnsiTheme="minorHAnsi" w:cstheme="minorBidi"/>
          </w:rPr>
          <w:tab/>
        </w:r>
        <w:r w:rsidR="00147937" w:rsidRPr="00715A35">
          <w:rPr>
            <w:rStyle w:val="Hyperlink"/>
          </w:rPr>
          <w:t>Environmental Legislation</w:t>
        </w:r>
        <w:r w:rsidR="00147937">
          <w:rPr>
            <w:webHidden/>
          </w:rPr>
          <w:tab/>
        </w:r>
        <w:r w:rsidR="00147937">
          <w:rPr>
            <w:webHidden/>
          </w:rPr>
          <w:fldChar w:fldCharType="begin"/>
        </w:r>
        <w:r w:rsidR="00147937">
          <w:rPr>
            <w:webHidden/>
          </w:rPr>
          <w:instrText xml:space="preserve"> PAGEREF _Toc440273958 \h </w:instrText>
        </w:r>
        <w:r w:rsidR="00147937">
          <w:rPr>
            <w:webHidden/>
          </w:rPr>
        </w:r>
        <w:r w:rsidR="00147937">
          <w:rPr>
            <w:webHidden/>
          </w:rPr>
          <w:fldChar w:fldCharType="separate"/>
        </w:r>
        <w:r w:rsidR="00475986">
          <w:rPr>
            <w:webHidden/>
          </w:rPr>
          <w:t>22</w:t>
        </w:r>
        <w:r w:rsidR="00147937">
          <w:rPr>
            <w:webHidden/>
          </w:rPr>
          <w:fldChar w:fldCharType="end"/>
        </w:r>
      </w:hyperlink>
    </w:p>
    <w:p w14:paraId="727F41C6" w14:textId="77777777" w:rsidR="00147937" w:rsidRDefault="00C16940">
      <w:pPr>
        <w:pStyle w:val="TOC2"/>
        <w:rPr>
          <w:rFonts w:asciiTheme="minorHAnsi" w:eastAsiaTheme="minorEastAsia" w:hAnsiTheme="minorHAnsi" w:cstheme="minorBidi"/>
        </w:rPr>
      </w:pPr>
      <w:hyperlink w:anchor="_Toc440273959" w:history="1">
        <w:r w:rsidR="00147937" w:rsidRPr="00715A35">
          <w:rPr>
            <w:rStyle w:val="Hyperlink"/>
          </w:rPr>
          <w:t>3.5</w:t>
        </w:r>
        <w:r w:rsidR="00147937">
          <w:rPr>
            <w:rFonts w:asciiTheme="minorHAnsi" w:eastAsiaTheme="minorEastAsia" w:hAnsiTheme="minorHAnsi" w:cstheme="minorBidi"/>
          </w:rPr>
          <w:tab/>
        </w:r>
        <w:r w:rsidR="00147937" w:rsidRPr="00715A35">
          <w:rPr>
            <w:rStyle w:val="Hyperlink"/>
          </w:rPr>
          <w:t>Recommendations</w:t>
        </w:r>
        <w:r w:rsidR="00147937">
          <w:rPr>
            <w:webHidden/>
          </w:rPr>
          <w:tab/>
        </w:r>
        <w:r w:rsidR="00147937">
          <w:rPr>
            <w:webHidden/>
          </w:rPr>
          <w:fldChar w:fldCharType="begin"/>
        </w:r>
        <w:r w:rsidR="00147937">
          <w:rPr>
            <w:webHidden/>
          </w:rPr>
          <w:instrText xml:space="preserve"> PAGEREF _Toc440273959 \h </w:instrText>
        </w:r>
        <w:r w:rsidR="00147937">
          <w:rPr>
            <w:webHidden/>
          </w:rPr>
        </w:r>
        <w:r w:rsidR="00147937">
          <w:rPr>
            <w:webHidden/>
          </w:rPr>
          <w:fldChar w:fldCharType="separate"/>
        </w:r>
        <w:r w:rsidR="00475986">
          <w:rPr>
            <w:webHidden/>
          </w:rPr>
          <w:t>26</w:t>
        </w:r>
        <w:r w:rsidR="00147937">
          <w:rPr>
            <w:webHidden/>
          </w:rPr>
          <w:fldChar w:fldCharType="end"/>
        </w:r>
      </w:hyperlink>
    </w:p>
    <w:p w14:paraId="170B3FD8" w14:textId="77777777" w:rsidR="00147937" w:rsidRDefault="00C16940">
      <w:pPr>
        <w:pStyle w:val="TOC1"/>
        <w:rPr>
          <w:rFonts w:asciiTheme="minorHAnsi" w:eastAsiaTheme="minorEastAsia" w:hAnsiTheme="minorHAnsi" w:cstheme="minorBidi"/>
          <w:b w:val="0"/>
          <w:bCs w:val="0"/>
        </w:rPr>
      </w:pPr>
      <w:hyperlink w:anchor="_Toc440273960" w:history="1">
        <w:r w:rsidR="00147937" w:rsidRPr="00715A35">
          <w:rPr>
            <w:rStyle w:val="Hyperlink"/>
          </w:rPr>
          <w:t>4.</w:t>
        </w:r>
        <w:r w:rsidR="00147937">
          <w:rPr>
            <w:rFonts w:asciiTheme="minorHAnsi" w:eastAsiaTheme="minorEastAsia" w:hAnsiTheme="minorHAnsi" w:cstheme="minorBidi"/>
            <w:b w:val="0"/>
            <w:bCs w:val="0"/>
          </w:rPr>
          <w:tab/>
        </w:r>
        <w:r w:rsidR="00147937" w:rsidRPr="00715A35">
          <w:rPr>
            <w:rStyle w:val="Hyperlink"/>
          </w:rPr>
          <w:t>Key Organizations for Environmental Management at the Central Level</w:t>
        </w:r>
        <w:r w:rsidR="00147937">
          <w:rPr>
            <w:webHidden/>
          </w:rPr>
          <w:tab/>
        </w:r>
        <w:r w:rsidR="00147937">
          <w:rPr>
            <w:webHidden/>
          </w:rPr>
          <w:fldChar w:fldCharType="begin"/>
        </w:r>
        <w:r w:rsidR="00147937">
          <w:rPr>
            <w:webHidden/>
          </w:rPr>
          <w:instrText xml:space="preserve"> PAGEREF _Toc440273960 \h </w:instrText>
        </w:r>
        <w:r w:rsidR="00147937">
          <w:rPr>
            <w:webHidden/>
          </w:rPr>
        </w:r>
        <w:r w:rsidR="00147937">
          <w:rPr>
            <w:webHidden/>
          </w:rPr>
          <w:fldChar w:fldCharType="separate"/>
        </w:r>
        <w:r w:rsidR="00475986">
          <w:rPr>
            <w:webHidden/>
          </w:rPr>
          <w:t>29</w:t>
        </w:r>
        <w:r w:rsidR="00147937">
          <w:rPr>
            <w:webHidden/>
          </w:rPr>
          <w:fldChar w:fldCharType="end"/>
        </w:r>
      </w:hyperlink>
    </w:p>
    <w:p w14:paraId="259CFF23" w14:textId="77777777" w:rsidR="00147937" w:rsidRDefault="00C16940">
      <w:pPr>
        <w:pStyle w:val="TOC2"/>
        <w:rPr>
          <w:rFonts w:asciiTheme="minorHAnsi" w:eastAsiaTheme="minorEastAsia" w:hAnsiTheme="minorHAnsi" w:cstheme="minorBidi"/>
        </w:rPr>
      </w:pPr>
      <w:hyperlink w:anchor="_Toc440273961" w:history="1">
        <w:r w:rsidR="00147937" w:rsidRPr="00715A35">
          <w:rPr>
            <w:rStyle w:val="Hyperlink"/>
          </w:rPr>
          <w:t>4.1</w:t>
        </w:r>
        <w:r w:rsidR="00147937">
          <w:rPr>
            <w:rFonts w:asciiTheme="minorHAnsi" w:eastAsiaTheme="minorEastAsia" w:hAnsiTheme="minorHAnsi" w:cstheme="minorBidi"/>
          </w:rPr>
          <w:tab/>
        </w:r>
        <w:r w:rsidR="00147937" w:rsidRPr="00715A35">
          <w:rPr>
            <w:rStyle w:val="Hyperlink"/>
          </w:rPr>
          <w:t>Ministry of Ecology and Natural Resources</w:t>
        </w:r>
        <w:r w:rsidR="00147937">
          <w:rPr>
            <w:webHidden/>
          </w:rPr>
          <w:tab/>
        </w:r>
        <w:r w:rsidR="00147937">
          <w:rPr>
            <w:webHidden/>
          </w:rPr>
          <w:fldChar w:fldCharType="begin"/>
        </w:r>
        <w:r w:rsidR="00147937">
          <w:rPr>
            <w:webHidden/>
          </w:rPr>
          <w:instrText xml:space="preserve"> PAGEREF _Toc440273961 \h </w:instrText>
        </w:r>
        <w:r w:rsidR="00147937">
          <w:rPr>
            <w:webHidden/>
          </w:rPr>
        </w:r>
        <w:r w:rsidR="00147937">
          <w:rPr>
            <w:webHidden/>
          </w:rPr>
          <w:fldChar w:fldCharType="separate"/>
        </w:r>
        <w:r w:rsidR="00475986">
          <w:rPr>
            <w:webHidden/>
          </w:rPr>
          <w:t>29</w:t>
        </w:r>
        <w:r w:rsidR="00147937">
          <w:rPr>
            <w:webHidden/>
          </w:rPr>
          <w:fldChar w:fldCharType="end"/>
        </w:r>
      </w:hyperlink>
    </w:p>
    <w:p w14:paraId="12F4A800" w14:textId="77777777" w:rsidR="00147937" w:rsidRDefault="00C16940">
      <w:pPr>
        <w:pStyle w:val="TOC2"/>
        <w:rPr>
          <w:rFonts w:asciiTheme="minorHAnsi" w:eastAsiaTheme="minorEastAsia" w:hAnsiTheme="minorHAnsi" w:cstheme="minorBidi"/>
        </w:rPr>
      </w:pPr>
      <w:hyperlink w:anchor="_Toc440273962" w:history="1">
        <w:r w:rsidR="00147937" w:rsidRPr="00715A35">
          <w:rPr>
            <w:rStyle w:val="Hyperlink"/>
          </w:rPr>
          <w:t>4.2</w:t>
        </w:r>
        <w:r w:rsidR="00147937">
          <w:rPr>
            <w:rFonts w:asciiTheme="minorHAnsi" w:eastAsiaTheme="minorEastAsia" w:hAnsiTheme="minorHAnsi" w:cstheme="minorBidi"/>
          </w:rPr>
          <w:tab/>
        </w:r>
        <w:r w:rsidR="00147937" w:rsidRPr="00715A35">
          <w:rPr>
            <w:rStyle w:val="Hyperlink"/>
          </w:rPr>
          <w:t>Other Government Agencies</w:t>
        </w:r>
        <w:r w:rsidR="00147937">
          <w:rPr>
            <w:webHidden/>
          </w:rPr>
          <w:tab/>
        </w:r>
        <w:r w:rsidR="00147937">
          <w:rPr>
            <w:webHidden/>
          </w:rPr>
          <w:fldChar w:fldCharType="begin"/>
        </w:r>
        <w:r w:rsidR="00147937">
          <w:rPr>
            <w:webHidden/>
          </w:rPr>
          <w:instrText xml:space="preserve"> PAGEREF _Toc440273962 \h </w:instrText>
        </w:r>
        <w:r w:rsidR="00147937">
          <w:rPr>
            <w:webHidden/>
          </w:rPr>
        </w:r>
        <w:r w:rsidR="00147937">
          <w:rPr>
            <w:webHidden/>
          </w:rPr>
          <w:fldChar w:fldCharType="separate"/>
        </w:r>
        <w:r w:rsidR="00475986">
          <w:rPr>
            <w:webHidden/>
          </w:rPr>
          <w:t>32</w:t>
        </w:r>
        <w:r w:rsidR="00147937">
          <w:rPr>
            <w:webHidden/>
          </w:rPr>
          <w:fldChar w:fldCharType="end"/>
        </w:r>
      </w:hyperlink>
    </w:p>
    <w:p w14:paraId="4EDDCA03" w14:textId="77777777" w:rsidR="00147937" w:rsidRDefault="00C16940">
      <w:pPr>
        <w:pStyle w:val="TOC2"/>
        <w:rPr>
          <w:rFonts w:asciiTheme="minorHAnsi" w:eastAsiaTheme="minorEastAsia" w:hAnsiTheme="minorHAnsi" w:cstheme="minorBidi"/>
        </w:rPr>
      </w:pPr>
      <w:hyperlink w:anchor="_Toc440273963" w:history="1">
        <w:r w:rsidR="00147937" w:rsidRPr="00715A35">
          <w:rPr>
            <w:rStyle w:val="Hyperlink"/>
          </w:rPr>
          <w:t>4.3</w:t>
        </w:r>
        <w:r w:rsidR="00147937">
          <w:rPr>
            <w:rFonts w:asciiTheme="minorHAnsi" w:eastAsiaTheme="minorEastAsia" w:hAnsiTheme="minorHAnsi" w:cstheme="minorBidi"/>
          </w:rPr>
          <w:tab/>
        </w:r>
        <w:r w:rsidR="00147937" w:rsidRPr="00715A35">
          <w:rPr>
            <w:rStyle w:val="Hyperlink"/>
          </w:rPr>
          <w:t>Recommendations</w:t>
        </w:r>
        <w:r w:rsidR="00147937">
          <w:rPr>
            <w:webHidden/>
          </w:rPr>
          <w:tab/>
        </w:r>
        <w:r w:rsidR="00147937">
          <w:rPr>
            <w:webHidden/>
          </w:rPr>
          <w:fldChar w:fldCharType="begin"/>
        </w:r>
        <w:r w:rsidR="00147937">
          <w:rPr>
            <w:webHidden/>
          </w:rPr>
          <w:instrText xml:space="preserve"> PAGEREF _Toc440273963 \h </w:instrText>
        </w:r>
        <w:r w:rsidR="00147937">
          <w:rPr>
            <w:webHidden/>
          </w:rPr>
        </w:r>
        <w:r w:rsidR="00147937">
          <w:rPr>
            <w:webHidden/>
          </w:rPr>
          <w:fldChar w:fldCharType="separate"/>
        </w:r>
        <w:r w:rsidR="00475986">
          <w:rPr>
            <w:webHidden/>
          </w:rPr>
          <w:t>35</w:t>
        </w:r>
        <w:r w:rsidR="00147937">
          <w:rPr>
            <w:webHidden/>
          </w:rPr>
          <w:fldChar w:fldCharType="end"/>
        </w:r>
      </w:hyperlink>
    </w:p>
    <w:p w14:paraId="2D9BAFE8" w14:textId="77777777" w:rsidR="00147937" w:rsidRDefault="00C16940">
      <w:pPr>
        <w:pStyle w:val="TOC1"/>
        <w:rPr>
          <w:rFonts w:asciiTheme="minorHAnsi" w:eastAsiaTheme="minorEastAsia" w:hAnsiTheme="minorHAnsi" w:cstheme="minorBidi"/>
          <w:b w:val="0"/>
          <w:bCs w:val="0"/>
        </w:rPr>
      </w:pPr>
      <w:hyperlink w:anchor="_Toc440273964" w:history="1">
        <w:r w:rsidR="00147937" w:rsidRPr="00715A35">
          <w:rPr>
            <w:rStyle w:val="Hyperlink"/>
          </w:rPr>
          <w:t>5.</w:t>
        </w:r>
        <w:r w:rsidR="00147937">
          <w:rPr>
            <w:rFonts w:asciiTheme="minorHAnsi" w:eastAsiaTheme="minorEastAsia" w:hAnsiTheme="minorHAnsi" w:cstheme="minorBidi"/>
            <w:b w:val="0"/>
            <w:bCs w:val="0"/>
          </w:rPr>
          <w:tab/>
        </w:r>
        <w:r w:rsidR="00147937" w:rsidRPr="00715A35">
          <w:rPr>
            <w:rStyle w:val="Hyperlink"/>
          </w:rPr>
          <w:t>Overview of Environmental Management At the Sub-National Level</w:t>
        </w:r>
        <w:r w:rsidR="00147937">
          <w:rPr>
            <w:webHidden/>
          </w:rPr>
          <w:tab/>
        </w:r>
        <w:r w:rsidR="00147937">
          <w:rPr>
            <w:webHidden/>
          </w:rPr>
          <w:fldChar w:fldCharType="begin"/>
        </w:r>
        <w:r w:rsidR="00147937">
          <w:rPr>
            <w:webHidden/>
          </w:rPr>
          <w:instrText xml:space="preserve"> PAGEREF _Toc440273964 \h </w:instrText>
        </w:r>
        <w:r w:rsidR="00147937">
          <w:rPr>
            <w:webHidden/>
          </w:rPr>
        </w:r>
        <w:r w:rsidR="00147937">
          <w:rPr>
            <w:webHidden/>
          </w:rPr>
          <w:fldChar w:fldCharType="separate"/>
        </w:r>
        <w:r w:rsidR="00475986">
          <w:rPr>
            <w:webHidden/>
          </w:rPr>
          <w:t>37</w:t>
        </w:r>
        <w:r w:rsidR="00147937">
          <w:rPr>
            <w:webHidden/>
          </w:rPr>
          <w:fldChar w:fldCharType="end"/>
        </w:r>
      </w:hyperlink>
    </w:p>
    <w:p w14:paraId="48B81074" w14:textId="77777777" w:rsidR="00147937" w:rsidRDefault="00C16940">
      <w:pPr>
        <w:pStyle w:val="TOC2"/>
        <w:rPr>
          <w:rFonts w:asciiTheme="minorHAnsi" w:eastAsiaTheme="minorEastAsia" w:hAnsiTheme="minorHAnsi" w:cstheme="minorBidi"/>
        </w:rPr>
      </w:pPr>
      <w:hyperlink w:anchor="_Toc440273965" w:history="1">
        <w:r w:rsidR="00147937" w:rsidRPr="00715A35">
          <w:rPr>
            <w:rStyle w:val="Hyperlink"/>
          </w:rPr>
          <w:t>5.1</w:t>
        </w:r>
        <w:r w:rsidR="00147937">
          <w:rPr>
            <w:rFonts w:asciiTheme="minorHAnsi" w:eastAsiaTheme="minorEastAsia" w:hAnsiTheme="minorHAnsi" w:cstheme="minorBidi"/>
          </w:rPr>
          <w:tab/>
        </w:r>
        <w:r w:rsidR="00147937" w:rsidRPr="00715A35">
          <w:rPr>
            <w:rStyle w:val="Hyperlink"/>
          </w:rPr>
          <w:t>Environmental Priorities at the Oblast Level: Regional Action Plans</w:t>
        </w:r>
        <w:r w:rsidR="00147937">
          <w:rPr>
            <w:webHidden/>
          </w:rPr>
          <w:tab/>
        </w:r>
        <w:r w:rsidR="00147937">
          <w:rPr>
            <w:webHidden/>
          </w:rPr>
          <w:fldChar w:fldCharType="begin"/>
        </w:r>
        <w:r w:rsidR="00147937">
          <w:rPr>
            <w:webHidden/>
          </w:rPr>
          <w:instrText xml:space="preserve"> PAGEREF _Toc440273965 \h </w:instrText>
        </w:r>
        <w:r w:rsidR="00147937">
          <w:rPr>
            <w:webHidden/>
          </w:rPr>
        </w:r>
        <w:r w:rsidR="00147937">
          <w:rPr>
            <w:webHidden/>
          </w:rPr>
          <w:fldChar w:fldCharType="separate"/>
        </w:r>
        <w:r w:rsidR="00475986">
          <w:rPr>
            <w:webHidden/>
          </w:rPr>
          <w:t>37</w:t>
        </w:r>
        <w:r w:rsidR="00147937">
          <w:rPr>
            <w:webHidden/>
          </w:rPr>
          <w:fldChar w:fldCharType="end"/>
        </w:r>
      </w:hyperlink>
    </w:p>
    <w:p w14:paraId="585BFC52" w14:textId="77777777" w:rsidR="00147937" w:rsidRDefault="00C16940">
      <w:pPr>
        <w:pStyle w:val="TOC2"/>
        <w:rPr>
          <w:rFonts w:asciiTheme="minorHAnsi" w:eastAsiaTheme="minorEastAsia" w:hAnsiTheme="minorHAnsi" w:cstheme="minorBidi"/>
        </w:rPr>
      </w:pPr>
      <w:hyperlink w:anchor="_Toc440273966" w:history="1">
        <w:r w:rsidR="00147937" w:rsidRPr="00715A35">
          <w:rPr>
            <w:rStyle w:val="Hyperlink"/>
          </w:rPr>
          <w:t>5.2</w:t>
        </w:r>
        <w:r w:rsidR="00147937">
          <w:rPr>
            <w:rFonts w:asciiTheme="minorHAnsi" w:eastAsiaTheme="minorEastAsia" w:hAnsiTheme="minorHAnsi" w:cstheme="minorBidi"/>
          </w:rPr>
          <w:tab/>
        </w:r>
        <w:r w:rsidR="00147937" w:rsidRPr="00715A35">
          <w:rPr>
            <w:rStyle w:val="Hyperlink"/>
          </w:rPr>
          <w:t>Decentralization of Environmental Management</w:t>
        </w:r>
        <w:r w:rsidR="00147937">
          <w:rPr>
            <w:webHidden/>
          </w:rPr>
          <w:tab/>
        </w:r>
        <w:r w:rsidR="00147937">
          <w:rPr>
            <w:webHidden/>
          </w:rPr>
          <w:fldChar w:fldCharType="begin"/>
        </w:r>
        <w:r w:rsidR="00147937">
          <w:rPr>
            <w:webHidden/>
          </w:rPr>
          <w:instrText xml:space="preserve"> PAGEREF _Toc440273966 \h </w:instrText>
        </w:r>
        <w:r w:rsidR="00147937">
          <w:rPr>
            <w:webHidden/>
          </w:rPr>
        </w:r>
        <w:r w:rsidR="00147937">
          <w:rPr>
            <w:webHidden/>
          </w:rPr>
          <w:fldChar w:fldCharType="separate"/>
        </w:r>
        <w:r w:rsidR="00475986">
          <w:rPr>
            <w:webHidden/>
          </w:rPr>
          <w:t>39</w:t>
        </w:r>
        <w:r w:rsidR="00147937">
          <w:rPr>
            <w:webHidden/>
          </w:rPr>
          <w:fldChar w:fldCharType="end"/>
        </w:r>
      </w:hyperlink>
    </w:p>
    <w:p w14:paraId="5BEBA8E2" w14:textId="77777777" w:rsidR="00147937" w:rsidRDefault="00C16940">
      <w:pPr>
        <w:pStyle w:val="TOC2"/>
        <w:rPr>
          <w:rFonts w:asciiTheme="minorHAnsi" w:eastAsiaTheme="minorEastAsia" w:hAnsiTheme="minorHAnsi" w:cstheme="minorBidi"/>
        </w:rPr>
      </w:pPr>
      <w:hyperlink w:anchor="_Toc440273967" w:history="1">
        <w:r w:rsidR="00147937" w:rsidRPr="00715A35">
          <w:rPr>
            <w:rStyle w:val="Hyperlink"/>
          </w:rPr>
          <w:t>5.3</w:t>
        </w:r>
        <w:r w:rsidR="00147937">
          <w:rPr>
            <w:rFonts w:asciiTheme="minorHAnsi" w:eastAsiaTheme="minorEastAsia" w:hAnsiTheme="minorHAnsi" w:cstheme="minorBidi"/>
          </w:rPr>
          <w:tab/>
        </w:r>
        <w:r w:rsidR="00147937" w:rsidRPr="00715A35">
          <w:rPr>
            <w:rStyle w:val="Hyperlink"/>
          </w:rPr>
          <w:t>Roles and Responsibilities of OSA Environment Departments</w:t>
        </w:r>
        <w:r w:rsidR="00147937">
          <w:rPr>
            <w:webHidden/>
          </w:rPr>
          <w:tab/>
        </w:r>
        <w:r w:rsidR="00147937">
          <w:rPr>
            <w:webHidden/>
          </w:rPr>
          <w:fldChar w:fldCharType="begin"/>
        </w:r>
        <w:r w:rsidR="00147937">
          <w:rPr>
            <w:webHidden/>
          </w:rPr>
          <w:instrText xml:space="preserve"> PAGEREF _Toc440273967 \h </w:instrText>
        </w:r>
        <w:r w:rsidR="00147937">
          <w:rPr>
            <w:webHidden/>
          </w:rPr>
        </w:r>
        <w:r w:rsidR="00147937">
          <w:rPr>
            <w:webHidden/>
          </w:rPr>
          <w:fldChar w:fldCharType="separate"/>
        </w:r>
        <w:r w:rsidR="00475986">
          <w:rPr>
            <w:webHidden/>
          </w:rPr>
          <w:t>42</w:t>
        </w:r>
        <w:r w:rsidR="00147937">
          <w:rPr>
            <w:webHidden/>
          </w:rPr>
          <w:fldChar w:fldCharType="end"/>
        </w:r>
      </w:hyperlink>
    </w:p>
    <w:p w14:paraId="7ABAD0CC" w14:textId="77777777" w:rsidR="00147937" w:rsidRDefault="00C16940">
      <w:pPr>
        <w:pStyle w:val="TOC2"/>
        <w:rPr>
          <w:rFonts w:asciiTheme="minorHAnsi" w:eastAsiaTheme="minorEastAsia" w:hAnsiTheme="minorHAnsi" w:cstheme="minorBidi"/>
        </w:rPr>
      </w:pPr>
      <w:hyperlink w:anchor="_Toc440273968" w:history="1">
        <w:r w:rsidR="00147937" w:rsidRPr="00715A35">
          <w:rPr>
            <w:rStyle w:val="Hyperlink"/>
          </w:rPr>
          <w:t>5.4</w:t>
        </w:r>
        <w:r w:rsidR="00147937">
          <w:rPr>
            <w:rFonts w:asciiTheme="minorHAnsi" w:eastAsiaTheme="minorEastAsia" w:hAnsiTheme="minorHAnsi" w:cstheme="minorBidi"/>
          </w:rPr>
          <w:tab/>
        </w:r>
        <w:r w:rsidR="00147937" w:rsidRPr="00715A35">
          <w:rPr>
            <w:rStyle w:val="Hyperlink"/>
          </w:rPr>
          <w:t>Coordination with Sectoral Units / Departments</w:t>
        </w:r>
        <w:r w:rsidR="00147937">
          <w:rPr>
            <w:webHidden/>
          </w:rPr>
          <w:tab/>
        </w:r>
        <w:r w:rsidR="00147937">
          <w:rPr>
            <w:webHidden/>
          </w:rPr>
          <w:fldChar w:fldCharType="begin"/>
        </w:r>
        <w:r w:rsidR="00147937">
          <w:rPr>
            <w:webHidden/>
          </w:rPr>
          <w:instrText xml:space="preserve"> PAGEREF _Toc440273968 \h </w:instrText>
        </w:r>
        <w:r w:rsidR="00147937">
          <w:rPr>
            <w:webHidden/>
          </w:rPr>
        </w:r>
        <w:r w:rsidR="00147937">
          <w:rPr>
            <w:webHidden/>
          </w:rPr>
          <w:fldChar w:fldCharType="separate"/>
        </w:r>
        <w:r w:rsidR="00475986">
          <w:rPr>
            <w:webHidden/>
          </w:rPr>
          <w:t>43</w:t>
        </w:r>
        <w:r w:rsidR="00147937">
          <w:rPr>
            <w:webHidden/>
          </w:rPr>
          <w:fldChar w:fldCharType="end"/>
        </w:r>
      </w:hyperlink>
    </w:p>
    <w:p w14:paraId="6BE9151F" w14:textId="77777777" w:rsidR="00147937" w:rsidRDefault="00C16940">
      <w:pPr>
        <w:pStyle w:val="TOC2"/>
        <w:rPr>
          <w:rFonts w:asciiTheme="minorHAnsi" w:eastAsiaTheme="minorEastAsia" w:hAnsiTheme="minorHAnsi" w:cstheme="minorBidi"/>
        </w:rPr>
      </w:pPr>
      <w:hyperlink w:anchor="_Toc440273969" w:history="1">
        <w:r w:rsidR="00147937" w:rsidRPr="00715A35">
          <w:rPr>
            <w:rStyle w:val="Hyperlink"/>
          </w:rPr>
          <w:t>5.5</w:t>
        </w:r>
        <w:r w:rsidR="00147937">
          <w:rPr>
            <w:rFonts w:asciiTheme="minorHAnsi" w:eastAsiaTheme="minorEastAsia" w:hAnsiTheme="minorHAnsi" w:cstheme="minorBidi"/>
          </w:rPr>
          <w:tab/>
        </w:r>
        <w:r w:rsidR="00147937" w:rsidRPr="00715A35">
          <w:rPr>
            <w:rStyle w:val="Hyperlink"/>
          </w:rPr>
          <w:t>Recommendations</w:t>
        </w:r>
        <w:r w:rsidR="00147937">
          <w:rPr>
            <w:webHidden/>
          </w:rPr>
          <w:tab/>
        </w:r>
        <w:r w:rsidR="00147937">
          <w:rPr>
            <w:webHidden/>
          </w:rPr>
          <w:fldChar w:fldCharType="begin"/>
        </w:r>
        <w:r w:rsidR="00147937">
          <w:rPr>
            <w:webHidden/>
          </w:rPr>
          <w:instrText xml:space="preserve"> PAGEREF _Toc440273969 \h </w:instrText>
        </w:r>
        <w:r w:rsidR="00147937">
          <w:rPr>
            <w:webHidden/>
          </w:rPr>
        </w:r>
        <w:r w:rsidR="00147937">
          <w:rPr>
            <w:webHidden/>
          </w:rPr>
          <w:fldChar w:fldCharType="separate"/>
        </w:r>
        <w:r w:rsidR="00475986">
          <w:rPr>
            <w:webHidden/>
          </w:rPr>
          <w:t>43</w:t>
        </w:r>
        <w:r w:rsidR="00147937">
          <w:rPr>
            <w:webHidden/>
          </w:rPr>
          <w:fldChar w:fldCharType="end"/>
        </w:r>
      </w:hyperlink>
    </w:p>
    <w:p w14:paraId="67DC3F92" w14:textId="77777777" w:rsidR="00147937" w:rsidRDefault="00C16940">
      <w:pPr>
        <w:pStyle w:val="TOC1"/>
        <w:rPr>
          <w:rFonts w:asciiTheme="minorHAnsi" w:eastAsiaTheme="minorEastAsia" w:hAnsiTheme="minorHAnsi" w:cstheme="minorBidi"/>
          <w:b w:val="0"/>
          <w:bCs w:val="0"/>
        </w:rPr>
      </w:pPr>
      <w:hyperlink w:anchor="_Toc440273970" w:history="1">
        <w:r w:rsidR="00147937" w:rsidRPr="00715A35">
          <w:rPr>
            <w:rStyle w:val="Hyperlink"/>
          </w:rPr>
          <w:t>6.</w:t>
        </w:r>
        <w:r w:rsidR="00147937">
          <w:rPr>
            <w:rFonts w:asciiTheme="minorHAnsi" w:eastAsiaTheme="minorEastAsia" w:hAnsiTheme="minorHAnsi" w:cstheme="minorBidi"/>
            <w:b w:val="0"/>
            <w:bCs w:val="0"/>
          </w:rPr>
          <w:tab/>
        </w:r>
        <w:r w:rsidR="00147937" w:rsidRPr="00715A35">
          <w:rPr>
            <w:rStyle w:val="Hyperlink"/>
          </w:rPr>
          <w:t>Key Environmental Management Tools</w:t>
        </w:r>
        <w:r w:rsidR="00147937">
          <w:rPr>
            <w:webHidden/>
          </w:rPr>
          <w:tab/>
        </w:r>
        <w:r w:rsidR="00147937">
          <w:rPr>
            <w:webHidden/>
          </w:rPr>
          <w:fldChar w:fldCharType="begin"/>
        </w:r>
        <w:r w:rsidR="00147937">
          <w:rPr>
            <w:webHidden/>
          </w:rPr>
          <w:instrText xml:space="preserve"> PAGEREF _Toc440273970 \h </w:instrText>
        </w:r>
        <w:r w:rsidR="00147937">
          <w:rPr>
            <w:webHidden/>
          </w:rPr>
        </w:r>
        <w:r w:rsidR="00147937">
          <w:rPr>
            <w:webHidden/>
          </w:rPr>
          <w:fldChar w:fldCharType="separate"/>
        </w:r>
        <w:r w:rsidR="00475986">
          <w:rPr>
            <w:webHidden/>
          </w:rPr>
          <w:t>45</w:t>
        </w:r>
        <w:r w:rsidR="00147937">
          <w:rPr>
            <w:webHidden/>
          </w:rPr>
          <w:fldChar w:fldCharType="end"/>
        </w:r>
      </w:hyperlink>
    </w:p>
    <w:p w14:paraId="077FA0E1" w14:textId="77777777" w:rsidR="00147937" w:rsidRDefault="00C16940">
      <w:pPr>
        <w:pStyle w:val="TOC2"/>
        <w:rPr>
          <w:rFonts w:asciiTheme="minorHAnsi" w:eastAsiaTheme="minorEastAsia" w:hAnsiTheme="minorHAnsi" w:cstheme="minorBidi"/>
        </w:rPr>
      </w:pPr>
      <w:hyperlink w:anchor="_Toc440273971" w:history="1">
        <w:r w:rsidR="00147937" w:rsidRPr="00715A35">
          <w:rPr>
            <w:rStyle w:val="Hyperlink"/>
          </w:rPr>
          <w:t>6.1</w:t>
        </w:r>
        <w:r w:rsidR="00147937">
          <w:rPr>
            <w:rFonts w:asciiTheme="minorHAnsi" w:eastAsiaTheme="minorEastAsia" w:hAnsiTheme="minorHAnsi" w:cstheme="minorBidi"/>
          </w:rPr>
          <w:tab/>
        </w:r>
        <w:r w:rsidR="00147937" w:rsidRPr="00715A35">
          <w:rPr>
            <w:rStyle w:val="Hyperlink"/>
          </w:rPr>
          <w:t>Environmental Regulations and Standards</w:t>
        </w:r>
        <w:r w:rsidR="00147937">
          <w:rPr>
            <w:webHidden/>
          </w:rPr>
          <w:tab/>
        </w:r>
        <w:r w:rsidR="00147937">
          <w:rPr>
            <w:webHidden/>
          </w:rPr>
          <w:fldChar w:fldCharType="begin"/>
        </w:r>
        <w:r w:rsidR="00147937">
          <w:rPr>
            <w:webHidden/>
          </w:rPr>
          <w:instrText xml:space="preserve"> PAGEREF _Toc440273971 \h </w:instrText>
        </w:r>
        <w:r w:rsidR="00147937">
          <w:rPr>
            <w:webHidden/>
          </w:rPr>
        </w:r>
        <w:r w:rsidR="00147937">
          <w:rPr>
            <w:webHidden/>
          </w:rPr>
          <w:fldChar w:fldCharType="separate"/>
        </w:r>
        <w:r w:rsidR="00475986">
          <w:rPr>
            <w:webHidden/>
          </w:rPr>
          <w:t>45</w:t>
        </w:r>
        <w:r w:rsidR="00147937">
          <w:rPr>
            <w:webHidden/>
          </w:rPr>
          <w:fldChar w:fldCharType="end"/>
        </w:r>
      </w:hyperlink>
    </w:p>
    <w:p w14:paraId="464B8D3D" w14:textId="77777777" w:rsidR="00147937" w:rsidRDefault="00C16940">
      <w:pPr>
        <w:pStyle w:val="TOC2"/>
        <w:rPr>
          <w:rFonts w:asciiTheme="minorHAnsi" w:eastAsiaTheme="minorEastAsia" w:hAnsiTheme="minorHAnsi" w:cstheme="minorBidi"/>
        </w:rPr>
      </w:pPr>
      <w:hyperlink w:anchor="_Toc440273972" w:history="1">
        <w:r w:rsidR="00147937" w:rsidRPr="00715A35">
          <w:rPr>
            <w:rStyle w:val="Hyperlink"/>
          </w:rPr>
          <w:t>6.2</w:t>
        </w:r>
        <w:r w:rsidR="00147937">
          <w:rPr>
            <w:rFonts w:asciiTheme="minorHAnsi" w:eastAsiaTheme="minorEastAsia" w:hAnsiTheme="minorHAnsi" w:cstheme="minorBidi"/>
          </w:rPr>
          <w:tab/>
        </w:r>
        <w:r w:rsidR="00147937" w:rsidRPr="00715A35">
          <w:rPr>
            <w:rStyle w:val="Hyperlink"/>
          </w:rPr>
          <w:t>Environmental Monitoring and Compliance Enforcement</w:t>
        </w:r>
        <w:r w:rsidR="00147937">
          <w:rPr>
            <w:webHidden/>
          </w:rPr>
          <w:tab/>
        </w:r>
        <w:r w:rsidR="00147937">
          <w:rPr>
            <w:webHidden/>
          </w:rPr>
          <w:fldChar w:fldCharType="begin"/>
        </w:r>
        <w:r w:rsidR="00147937">
          <w:rPr>
            <w:webHidden/>
          </w:rPr>
          <w:instrText xml:space="preserve"> PAGEREF _Toc440273972 \h </w:instrText>
        </w:r>
        <w:r w:rsidR="00147937">
          <w:rPr>
            <w:webHidden/>
          </w:rPr>
        </w:r>
        <w:r w:rsidR="00147937">
          <w:rPr>
            <w:webHidden/>
          </w:rPr>
          <w:fldChar w:fldCharType="separate"/>
        </w:r>
        <w:r w:rsidR="00475986">
          <w:rPr>
            <w:webHidden/>
          </w:rPr>
          <w:t>45</w:t>
        </w:r>
        <w:r w:rsidR="00147937">
          <w:rPr>
            <w:webHidden/>
          </w:rPr>
          <w:fldChar w:fldCharType="end"/>
        </w:r>
      </w:hyperlink>
    </w:p>
    <w:p w14:paraId="5B762B29" w14:textId="77777777" w:rsidR="00147937" w:rsidRDefault="00C16940">
      <w:pPr>
        <w:pStyle w:val="TOC2"/>
        <w:rPr>
          <w:rFonts w:asciiTheme="minorHAnsi" w:eastAsiaTheme="minorEastAsia" w:hAnsiTheme="minorHAnsi" w:cstheme="minorBidi"/>
        </w:rPr>
      </w:pPr>
      <w:hyperlink w:anchor="_Toc440273973" w:history="1">
        <w:r w:rsidR="00147937" w:rsidRPr="00715A35">
          <w:rPr>
            <w:rStyle w:val="Hyperlink"/>
          </w:rPr>
          <w:t>6.3</w:t>
        </w:r>
        <w:r w:rsidR="00147937">
          <w:rPr>
            <w:rFonts w:asciiTheme="minorHAnsi" w:eastAsiaTheme="minorEastAsia" w:hAnsiTheme="minorHAnsi" w:cstheme="minorBidi"/>
          </w:rPr>
          <w:tab/>
        </w:r>
        <w:r w:rsidR="00147937" w:rsidRPr="00715A35">
          <w:rPr>
            <w:rStyle w:val="Hyperlink"/>
          </w:rPr>
          <w:t>Environmental Permits and Licensing</w:t>
        </w:r>
        <w:r w:rsidR="00147937">
          <w:rPr>
            <w:webHidden/>
          </w:rPr>
          <w:tab/>
        </w:r>
        <w:r w:rsidR="00147937">
          <w:rPr>
            <w:webHidden/>
          </w:rPr>
          <w:fldChar w:fldCharType="begin"/>
        </w:r>
        <w:r w:rsidR="00147937">
          <w:rPr>
            <w:webHidden/>
          </w:rPr>
          <w:instrText xml:space="preserve"> PAGEREF _Toc440273973 \h </w:instrText>
        </w:r>
        <w:r w:rsidR="00147937">
          <w:rPr>
            <w:webHidden/>
          </w:rPr>
        </w:r>
        <w:r w:rsidR="00147937">
          <w:rPr>
            <w:webHidden/>
          </w:rPr>
          <w:fldChar w:fldCharType="separate"/>
        </w:r>
        <w:r w:rsidR="00475986">
          <w:rPr>
            <w:webHidden/>
          </w:rPr>
          <w:t>49</w:t>
        </w:r>
        <w:r w:rsidR="00147937">
          <w:rPr>
            <w:webHidden/>
          </w:rPr>
          <w:fldChar w:fldCharType="end"/>
        </w:r>
      </w:hyperlink>
    </w:p>
    <w:p w14:paraId="5F62A11B" w14:textId="77777777" w:rsidR="00147937" w:rsidRDefault="00C16940">
      <w:pPr>
        <w:pStyle w:val="TOC2"/>
        <w:rPr>
          <w:rFonts w:asciiTheme="minorHAnsi" w:eastAsiaTheme="minorEastAsia" w:hAnsiTheme="minorHAnsi" w:cstheme="minorBidi"/>
        </w:rPr>
      </w:pPr>
      <w:hyperlink w:anchor="_Toc440273974" w:history="1">
        <w:r w:rsidR="00147937" w:rsidRPr="00715A35">
          <w:rPr>
            <w:rStyle w:val="Hyperlink"/>
          </w:rPr>
          <w:t>6.4</w:t>
        </w:r>
        <w:r w:rsidR="00147937">
          <w:rPr>
            <w:rFonts w:asciiTheme="minorHAnsi" w:eastAsiaTheme="minorEastAsia" w:hAnsiTheme="minorHAnsi" w:cstheme="minorBidi"/>
          </w:rPr>
          <w:tab/>
        </w:r>
        <w:r w:rsidR="00147937" w:rsidRPr="00715A35">
          <w:rPr>
            <w:rStyle w:val="Hyperlink"/>
          </w:rPr>
          <w:t>Environmental Impact Assessment</w:t>
        </w:r>
        <w:r w:rsidR="00147937">
          <w:rPr>
            <w:webHidden/>
          </w:rPr>
          <w:tab/>
        </w:r>
        <w:r w:rsidR="00147937">
          <w:rPr>
            <w:webHidden/>
          </w:rPr>
          <w:fldChar w:fldCharType="begin"/>
        </w:r>
        <w:r w:rsidR="00147937">
          <w:rPr>
            <w:webHidden/>
          </w:rPr>
          <w:instrText xml:space="preserve"> PAGEREF _Toc440273974 \h </w:instrText>
        </w:r>
        <w:r w:rsidR="00147937">
          <w:rPr>
            <w:webHidden/>
          </w:rPr>
        </w:r>
        <w:r w:rsidR="00147937">
          <w:rPr>
            <w:webHidden/>
          </w:rPr>
          <w:fldChar w:fldCharType="separate"/>
        </w:r>
        <w:r w:rsidR="00475986">
          <w:rPr>
            <w:webHidden/>
          </w:rPr>
          <w:t>51</w:t>
        </w:r>
        <w:r w:rsidR="00147937">
          <w:rPr>
            <w:webHidden/>
          </w:rPr>
          <w:fldChar w:fldCharType="end"/>
        </w:r>
      </w:hyperlink>
    </w:p>
    <w:p w14:paraId="65CB6126" w14:textId="77777777" w:rsidR="00147937" w:rsidRDefault="00C16940">
      <w:pPr>
        <w:pStyle w:val="TOC2"/>
        <w:rPr>
          <w:rFonts w:asciiTheme="minorHAnsi" w:eastAsiaTheme="minorEastAsia" w:hAnsiTheme="minorHAnsi" w:cstheme="minorBidi"/>
        </w:rPr>
      </w:pPr>
      <w:hyperlink w:anchor="_Toc440273975" w:history="1">
        <w:r w:rsidR="00147937" w:rsidRPr="00715A35">
          <w:rPr>
            <w:rStyle w:val="Hyperlink"/>
          </w:rPr>
          <w:t>6.5</w:t>
        </w:r>
        <w:r w:rsidR="00147937">
          <w:rPr>
            <w:rFonts w:asciiTheme="minorHAnsi" w:eastAsiaTheme="minorEastAsia" w:hAnsiTheme="minorHAnsi" w:cstheme="minorBidi"/>
          </w:rPr>
          <w:tab/>
        </w:r>
        <w:r w:rsidR="00147937" w:rsidRPr="00715A35">
          <w:rPr>
            <w:rStyle w:val="Hyperlink"/>
          </w:rPr>
          <w:t>Strategic Environmental Assessment</w:t>
        </w:r>
        <w:r w:rsidR="00147937">
          <w:rPr>
            <w:webHidden/>
          </w:rPr>
          <w:tab/>
        </w:r>
        <w:r w:rsidR="00147937">
          <w:rPr>
            <w:webHidden/>
          </w:rPr>
          <w:fldChar w:fldCharType="begin"/>
        </w:r>
        <w:r w:rsidR="00147937">
          <w:rPr>
            <w:webHidden/>
          </w:rPr>
          <w:instrText xml:space="preserve"> PAGEREF _Toc440273975 \h </w:instrText>
        </w:r>
        <w:r w:rsidR="00147937">
          <w:rPr>
            <w:webHidden/>
          </w:rPr>
        </w:r>
        <w:r w:rsidR="00147937">
          <w:rPr>
            <w:webHidden/>
          </w:rPr>
          <w:fldChar w:fldCharType="separate"/>
        </w:r>
        <w:r w:rsidR="00475986">
          <w:rPr>
            <w:webHidden/>
          </w:rPr>
          <w:t>61</w:t>
        </w:r>
        <w:r w:rsidR="00147937">
          <w:rPr>
            <w:webHidden/>
          </w:rPr>
          <w:fldChar w:fldCharType="end"/>
        </w:r>
      </w:hyperlink>
    </w:p>
    <w:p w14:paraId="465ACE90" w14:textId="77777777" w:rsidR="00147937" w:rsidRDefault="00C16940">
      <w:pPr>
        <w:pStyle w:val="TOC2"/>
        <w:rPr>
          <w:rFonts w:asciiTheme="minorHAnsi" w:eastAsiaTheme="minorEastAsia" w:hAnsiTheme="minorHAnsi" w:cstheme="minorBidi"/>
        </w:rPr>
      </w:pPr>
      <w:hyperlink w:anchor="_Toc440273976" w:history="1">
        <w:r w:rsidR="00147937" w:rsidRPr="00715A35">
          <w:rPr>
            <w:rStyle w:val="Hyperlink"/>
          </w:rPr>
          <w:t>6.6</w:t>
        </w:r>
        <w:r w:rsidR="00147937">
          <w:rPr>
            <w:rFonts w:asciiTheme="minorHAnsi" w:eastAsiaTheme="minorEastAsia" w:hAnsiTheme="minorHAnsi" w:cstheme="minorBidi"/>
          </w:rPr>
          <w:tab/>
        </w:r>
        <w:r w:rsidR="00147937" w:rsidRPr="00715A35">
          <w:rPr>
            <w:rStyle w:val="Hyperlink"/>
          </w:rPr>
          <w:t>Market-Based / Economic Instruments</w:t>
        </w:r>
        <w:r w:rsidR="00147937">
          <w:rPr>
            <w:webHidden/>
          </w:rPr>
          <w:tab/>
        </w:r>
        <w:r w:rsidR="00147937">
          <w:rPr>
            <w:webHidden/>
          </w:rPr>
          <w:fldChar w:fldCharType="begin"/>
        </w:r>
        <w:r w:rsidR="00147937">
          <w:rPr>
            <w:webHidden/>
          </w:rPr>
          <w:instrText xml:space="preserve"> PAGEREF _Toc440273976 \h </w:instrText>
        </w:r>
        <w:r w:rsidR="00147937">
          <w:rPr>
            <w:webHidden/>
          </w:rPr>
        </w:r>
        <w:r w:rsidR="00147937">
          <w:rPr>
            <w:webHidden/>
          </w:rPr>
          <w:fldChar w:fldCharType="separate"/>
        </w:r>
        <w:r w:rsidR="00475986">
          <w:rPr>
            <w:webHidden/>
          </w:rPr>
          <w:t>62</w:t>
        </w:r>
        <w:r w:rsidR="00147937">
          <w:rPr>
            <w:webHidden/>
          </w:rPr>
          <w:fldChar w:fldCharType="end"/>
        </w:r>
      </w:hyperlink>
    </w:p>
    <w:p w14:paraId="24B34966" w14:textId="77777777" w:rsidR="00147937" w:rsidRDefault="00C16940">
      <w:pPr>
        <w:pStyle w:val="TOC2"/>
        <w:rPr>
          <w:rFonts w:asciiTheme="minorHAnsi" w:eastAsiaTheme="minorEastAsia" w:hAnsiTheme="minorHAnsi" w:cstheme="minorBidi"/>
        </w:rPr>
      </w:pPr>
      <w:hyperlink w:anchor="_Toc440273977" w:history="1">
        <w:r w:rsidR="00147937" w:rsidRPr="00715A35">
          <w:rPr>
            <w:rStyle w:val="Hyperlink"/>
          </w:rPr>
          <w:t>6.7</w:t>
        </w:r>
        <w:r w:rsidR="00147937">
          <w:rPr>
            <w:rFonts w:asciiTheme="minorHAnsi" w:eastAsiaTheme="minorEastAsia" w:hAnsiTheme="minorHAnsi" w:cstheme="minorBidi"/>
          </w:rPr>
          <w:tab/>
        </w:r>
        <w:r w:rsidR="00147937" w:rsidRPr="00715A35">
          <w:rPr>
            <w:rStyle w:val="Hyperlink"/>
          </w:rPr>
          <w:t>Public Access to Information and Public Participation</w:t>
        </w:r>
        <w:r w:rsidR="00147937">
          <w:rPr>
            <w:webHidden/>
          </w:rPr>
          <w:tab/>
        </w:r>
        <w:r w:rsidR="00147937">
          <w:rPr>
            <w:webHidden/>
          </w:rPr>
          <w:fldChar w:fldCharType="begin"/>
        </w:r>
        <w:r w:rsidR="00147937">
          <w:rPr>
            <w:webHidden/>
          </w:rPr>
          <w:instrText xml:space="preserve"> PAGEREF _Toc440273977 \h </w:instrText>
        </w:r>
        <w:r w:rsidR="00147937">
          <w:rPr>
            <w:webHidden/>
          </w:rPr>
        </w:r>
        <w:r w:rsidR="00147937">
          <w:rPr>
            <w:webHidden/>
          </w:rPr>
          <w:fldChar w:fldCharType="separate"/>
        </w:r>
        <w:r w:rsidR="00475986">
          <w:rPr>
            <w:webHidden/>
          </w:rPr>
          <w:t>66</w:t>
        </w:r>
        <w:r w:rsidR="00147937">
          <w:rPr>
            <w:webHidden/>
          </w:rPr>
          <w:fldChar w:fldCharType="end"/>
        </w:r>
      </w:hyperlink>
    </w:p>
    <w:p w14:paraId="0D1394CA" w14:textId="77777777" w:rsidR="00147937" w:rsidRDefault="00C16940">
      <w:pPr>
        <w:pStyle w:val="TOC2"/>
        <w:rPr>
          <w:rFonts w:asciiTheme="minorHAnsi" w:eastAsiaTheme="minorEastAsia" w:hAnsiTheme="minorHAnsi" w:cstheme="minorBidi"/>
        </w:rPr>
      </w:pPr>
      <w:hyperlink w:anchor="_Toc440273978" w:history="1">
        <w:r w:rsidR="00147937" w:rsidRPr="00715A35">
          <w:rPr>
            <w:rStyle w:val="Hyperlink"/>
          </w:rPr>
          <w:t>6.8</w:t>
        </w:r>
        <w:r w:rsidR="00147937">
          <w:rPr>
            <w:rFonts w:asciiTheme="minorHAnsi" w:eastAsiaTheme="minorEastAsia" w:hAnsiTheme="minorHAnsi" w:cstheme="minorBidi"/>
          </w:rPr>
          <w:tab/>
        </w:r>
        <w:r w:rsidR="00147937" w:rsidRPr="00715A35">
          <w:rPr>
            <w:rStyle w:val="Hyperlink"/>
          </w:rPr>
          <w:t>Private Sector Engagement in Environmental Management</w:t>
        </w:r>
        <w:r w:rsidR="00147937">
          <w:rPr>
            <w:webHidden/>
          </w:rPr>
          <w:tab/>
        </w:r>
        <w:r w:rsidR="00147937">
          <w:rPr>
            <w:webHidden/>
          </w:rPr>
          <w:fldChar w:fldCharType="begin"/>
        </w:r>
        <w:r w:rsidR="00147937">
          <w:rPr>
            <w:webHidden/>
          </w:rPr>
          <w:instrText xml:space="preserve"> PAGEREF _Toc440273978 \h </w:instrText>
        </w:r>
        <w:r w:rsidR="00147937">
          <w:rPr>
            <w:webHidden/>
          </w:rPr>
        </w:r>
        <w:r w:rsidR="00147937">
          <w:rPr>
            <w:webHidden/>
          </w:rPr>
          <w:fldChar w:fldCharType="separate"/>
        </w:r>
        <w:r w:rsidR="00475986">
          <w:rPr>
            <w:webHidden/>
          </w:rPr>
          <w:t>68</w:t>
        </w:r>
        <w:r w:rsidR="00147937">
          <w:rPr>
            <w:webHidden/>
          </w:rPr>
          <w:fldChar w:fldCharType="end"/>
        </w:r>
      </w:hyperlink>
    </w:p>
    <w:p w14:paraId="433FCED7" w14:textId="77777777" w:rsidR="00147937" w:rsidRDefault="00C16940">
      <w:pPr>
        <w:pStyle w:val="TOC2"/>
        <w:rPr>
          <w:rFonts w:asciiTheme="minorHAnsi" w:eastAsiaTheme="minorEastAsia" w:hAnsiTheme="minorHAnsi" w:cstheme="minorBidi"/>
        </w:rPr>
      </w:pPr>
      <w:hyperlink w:anchor="_Toc440273979" w:history="1">
        <w:r w:rsidR="00147937" w:rsidRPr="00715A35">
          <w:rPr>
            <w:rStyle w:val="Hyperlink"/>
          </w:rPr>
          <w:t>6.9</w:t>
        </w:r>
        <w:r w:rsidR="00147937">
          <w:rPr>
            <w:rFonts w:asciiTheme="minorHAnsi" w:eastAsiaTheme="minorEastAsia" w:hAnsiTheme="minorHAnsi" w:cstheme="minorBidi"/>
          </w:rPr>
          <w:tab/>
        </w:r>
        <w:r w:rsidR="00147937" w:rsidRPr="00715A35">
          <w:rPr>
            <w:rStyle w:val="Hyperlink"/>
          </w:rPr>
          <w:t>Access to Justice in Environmental Matters</w:t>
        </w:r>
        <w:r w:rsidR="00147937">
          <w:rPr>
            <w:webHidden/>
          </w:rPr>
          <w:tab/>
        </w:r>
        <w:r w:rsidR="00147937">
          <w:rPr>
            <w:webHidden/>
          </w:rPr>
          <w:fldChar w:fldCharType="begin"/>
        </w:r>
        <w:r w:rsidR="00147937">
          <w:rPr>
            <w:webHidden/>
          </w:rPr>
          <w:instrText xml:space="preserve"> PAGEREF _Toc440273979 \h </w:instrText>
        </w:r>
        <w:r w:rsidR="00147937">
          <w:rPr>
            <w:webHidden/>
          </w:rPr>
        </w:r>
        <w:r w:rsidR="00147937">
          <w:rPr>
            <w:webHidden/>
          </w:rPr>
          <w:fldChar w:fldCharType="separate"/>
        </w:r>
        <w:r w:rsidR="00475986">
          <w:rPr>
            <w:webHidden/>
          </w:rPr>
          <w:t>70</w:t>
        </w:r>
        <w:r w:rsidR="00147937">
          <w:rPr>
            <w:webHidden/>
          </w:rPr>
          <w:fldChar w:fldCharType="end"/>
        </w:r>
      </w:hyperlink>
    </w:p>
    <w:p w14:paraId="01EEF68F" w14:textId="77777777" w:rsidR="00147937" w:rsidRDefault="00C16940">
      <w:pPr>
        <w:pStyle w:val="TOC2"/>
        <w:rPr>
          <w:rFonts w:asciiTheme="minorHAnsi" w:eastAsiaTheme="minorEastAsia" w:hAnsiTheme="minorHAnsi" w:cstheme="minorBidi"/>
        </w:rPr>
      </w:pPr>
      <w:hyperlink w:anchor="_Toc440273980" w:history="1">
        <w:r w:rsidR="00147937" w:rsidRPr="00715A35">
          <w:rPr>
            <w:rStyle w:val="Hyperlink"/>
          </w:rPr>
          <w:t>6.10</w:t>
        </w:r>
        <w:r w:rsidR="00147937">
          <w:rPr>
            <w:rFonts w:asciiTheme="minorHAnsi" w:eastAsiaTheme="minorEastAsia" w:hAnsiTheme="minorHAnsi" w:cstheme="minorBidi"/>
          </w:rPr>
          <w:tab/>
        </w:r>
        <w:r w:rsidR="00147937" w:rsidRPr="00715A35">
          <w:rPr>
            <w:rStyle w:val="Hyperlink"/>
          </w:rPr>
          <w:t>Recommendations</w:t>
        </w:r>
        <w:r w:rsidR="00147937">
          <w:rPr>
            <w:webHidden/>
          </w:rPr>
          <w:tab/>
        </w:r>
        <w:r w:rsidR="00147937">
          <w:rPr>
            <w:webHidden/>
          </w:rPr>
          <w:fldChar w:fldCharType="begin"/>
        </w:r>
        <w:r w:rsidR="00147937">
          <w:rPr>
            <w:webHidden/>
          </w:rPr>
          <w:instrText xml:space="preserve"> PAGEREF _Toc440273980 \h </w:instrText>
        </w:r>
        <w:r w:rsidR="00147937">
          <w:rPr>
            <w:webHidden/>
          </w:rPr>
        </w:r>
        <w:r w:rsidR="00147937">
          <w:rPr>
            <w:webHidden/>
          </w:rPr>
          <w:fldChar w:fldCharType="separate"/>
        </w:r>
        <w:r w:rsidR="00475986">
          <w:rPr>
            <w:webHidden/>
          </w:rPr>
          <w:t>70</w:t>
        </w:r>
        <w:r w:rsidR="00147937">
          <w:rPr>
            <w:webHidden/>
          </w:rPr>
          <w:fldChar w:fldCharType="end"/>
        </w:r>
      </w:hyperlink>
    </w:p>
    <w:p w14:paraId="4775875E" w14:textId="77777777" w:rsidR="00147937" w:rsidRDefault="00C16940">
      <w:pPr>
        <w:pStyle w:val="TOC1"/>
        <w:rPr>
          <w:rFonts w:asciiTheme="minorHAnsi" w:eastAsiaTheme="minorEastAsia" w:hAnsiTheme="minorHAnsi" w:cstheme="minorBidi"/>
          <w:b w:val="0"/>
          <w:bCs w:val="0"/>
        </w:rPr>
      </w:pPr>
      <w:hyperlink w:anchor="_Toc440273981" w:history="1">
        <w:r w:rsidR="00147937" w:rsidRPr="00715A35">
          <w:rPr>
            <w:rStyle w:val="Hyperlink"/>
          </w:rPr>
          <w:t>7.</w:t>
        </w:r>
        <w:r w:rsidR="00147937">
          <w:rPr>
            <w:rFonts w:asciiTheme="minorHAnsi" w:eastAsiaTheme="minorEastAsia" w:hAnsiTheme="minorHAnsi" w:cstheme="minorBidi"/>
            <w:b w:val="0"/>
            <w:bCs w:val="0"/>
          </w:rPr>
          <w:tab/>
        </w:r>
        <w:r w:rsidR="00147937" w:rsidRPr="00715A35">
          <w:rPr>
            <w:rStyle w:val="Hyperlink"/>
          </w:rPr>
          <w:t>Key Policy Recommendations</w:t>
        </w:r>
        <w:r w:rsidR="00147937">
          <w:rPr>
            <w:webHidden/>
          </w:rPr>
          <w:tab/>
        </w:r>
        <w:r w:rsidR="00147937">
          <w:rPr>
            <w:webHidden/>
          </w:rPr>
          <w:fldChar w:fldCharType="begin"/>
        </w:r>
        <w:r w:rsidR="00147937">
          <w:rPr>
            <w:webHidden/>
          </w:rPr>
          <w:instrText xml:space="preserve"> PAGEREF _Toc440273981 \h </w:instrText>
        </w:r>
        <w:r w:rsidR="00147937">
          <w:rPr>
            <w:webHidden/>
          </w:rPr>
        </w:r>
        <w:r w:rsidR="00147937">
          <w:rPr>
            <w:webHidden/>
          </w:rPr>
          <w:fldChar w:fldCharType="separate"/>
        </w:r>
        <w:r w:rsidR="00475986">
          <w:rPr>
            <w:webHidden/>
          </w:rPr>
          <w:t>73</w:t>
        </w:r>
        <w:r w:rsidR="00147937">
          <w:rPr>
            <w:webHidden/>
          </w:rPr>
          <w:fldChar w:fldCharType="end"/>
        </w:r>
      </w:hyperlink>
    </w:p>
    <w:p w14:paraId="02D6FC91" w14:textId="77777777" w:rsidR="00147937" w:rsidRDefault="00C16940">
      <w:pPr>
        <w:pStyle w:val="TOC1"/>
        <w:rPr>
          <w:rFonts w:asciiTheme="minorHAnsi" w:eastAsiaTheme="minorEastAsia" w:hAnsiTheme="minorHAnsi" w:cstheme="minorBidi"/>
          <w:b w:val="0"/>
          <w:bCs w:val="0"/>
        </w:rPr>
      </w:pPr>
      <w:hyperlink w:anchor="_Toc440273982" w:history="1">
        <w:r w:rsidR="00147937" w:rsidRPr="00715A35">
          <w:rPr>
            <w:rStyle w:val="Hyperlink"/>
          </w:rPr>
          <w:t>8.</w:t>
        </w:r>
        <w:r w:rsidR="00147937">
          <w:rPr>
            <w:rFonts w:asciiTheme="minorHAnsi" w:eastAsiaTheme="minorEastAsia" w:hAnsiTheme="minorHAnsi" w:cstheme="minorBidi"/>
            <w:b w:val="0"/>
            <w:bCs w:val="0"/>
          </w:rPr>
          <w:tab/>
        </w:r>
        <w:r w:rsidR="00147937" w:rsidRPr="00715A35">
          <w:rPr>
            <w:rStyle w:val="Hyperlink"/>
          </w:rPr>
          <w:t>References</w:t>
        </w:r>
        <w:r w:rsidR="00147937">
          <w:rPr>
            <w:webHidden/>
          </w:rPr>
          <w:tab/>
        </w:r>
        <w:r w:rsidR="00147937">
          <w:rPr>
            <w:webHidden/>
          </w:rPr>
          <w:fldChar w:fldCharType="begin"/>
        </w:r>
        <w:r w:rsidR="00147937">
          <w:rPr>
            <w:webHidden/>
          </w:rPr>
          <w:instrText xml:space="preserve"> PAGEREF _Toc440273982 \h </w:instrText>
        </w:r>
        <w:r w:rsidR="00147937">
          <w:rPr>
            <w:webHidden/>
          </w:rPr>
        </w:r>
        <w:r w:rsidR="00147937">
          <w:rPr>
            <w:webHidden/>
          </w:rPr>
          <w:fldChar w:fldCharType="separate"/>
        </w:r>
        <w:r w:rsidR="00475986">
          <w:rPr>
            <w:webHidden/>
          </w:rPr>
          <w:t>78</w:t>
        </w:r>
        <w:r w:rsidR="00147937">
          <w:rPr>
            <w:webHidden/>
          </w:rPr>
          <w:fldChar w:fldCharType="end"/>
        </w:r>
      </w:hyperlink>
    </w:p>
    <w:p w14:paraId="0CA401DF" w14:textId="77777777" w:rsidR="00147937" w:rsidRDefault="00C16940">
      <w:pPr>
        <w:pStyle w:val="TOC1"/>
        <w:rPr>
          <w:rFonts w:asciiTheme="minorHAnsi" w:eastAsiaTheme="minorEastAsia" w:hAnsiTheme="minorHAnsi" w:cstheme="minorBidi"/>
          <w:b w:val="0"/>
          <w:bCs w:val="0"/>
        </w:rPr>
      </w:pPr>
      <w:hyperlink w:anchor="_Toc440273983" w:history="1">
        <w:r w:rsidR="00147937" w:rsidRPr="00715A35">
          <w:rPr>
            <w:rStyle w:val="Hyperlink"/>
          </w:rPr>
          <w:t>Annexes</w:t>
        </w:r>
        <w:r w:rsidR="00147937">
          <w:rPr>
            <w:webHidden/>
          </w:rPr>
          <w:tab/>
        </w:r>
        <w:r w:rsidR="00147937">
          <w:rPr>
            <w:webHidden/>
          </w:rPr>
          <w:fldChar w:fldCharType="begin"/>
        </w:r>
        <w:r w:rsidR="00147937">
          <w:rPr>
            <w:webHidden/>
          </w:rPr>
          <w:instrText xml:space="preserve"> PAGEREF _Toc440273983 \h </w:instrText>
        </w:r>
        <w:r w:rsidR="00147937">
          <w:rPr>
            <w:webHidden/>
          </w:rPr>
        </w:r>
        <w:r w:rsidR="00147937">
          <w:rPr>
            <w:webHidden/>
          </w:rPr>
          <w:fldChar w:fldCharType="separate"/>
        </w:r>
        <w:r w:rsidR="00475986">
          <w:rPr>
            <w:webHidden/>
          </w:rPr>
          <w:t>84</w:t>
        </w:r>
        <w:r w:rsidR="00147937">
          <w:rPr>
            <w:webHidden/>
          </w:rPr>
          <w:fldChar w:fldCharType="end"/>
        </w:r>
      </w:hyperlink>
    </w:p>
    <w:p w14:paraId="3A0BF345" w14:textId="77777777" w:rsidR="000B7923" w:rsidRPr="002B1DFC" w:rsidRDefault="000B7923" w:rsidP="00D1219B">
      <w:pPr>
        <w:rPr>
          <w:rFonts w:cs="Times New Roman"/>
        </w:rPr>
      </w:pPr>
      <w:r w:rsidRPr="002B1DFC">
        <w:fldChar w:fldCharType="end"/>
      </w:r>
    </w:p>
    <w:p w14:paraId="104553C1" w14:textId="77777777" w:rsidR="00147937" w:rsidRPr="00147937" w:rsidRDefault="000B7923">
      <w:pPr>
        <w:pStyle w:val="TableofFigures"/>
        <w:tabs>
          <w:tab w:val="right" w:leader="dot" w:pos="9350"/>
        </w:tabs>
        <w:rPr>
          <w:rFonts w:asciiTheme="minorHAnsi" w:eastAsiaTheme="minorEastAsia" w:hAnsiTheme="minorHAnsi" w:cstheme="minorBidi"/>
          <w:noProof/>
        </w:rPr>
      </w:pPr>
      <w:r w:rsidRPr="00F80398">
        <w:rPr>
          <w:rFonts w:cs="Times New Roman"/>
        </w:rPr>
        <w:fldChar w:fldCharType="begin"/>
      </w:r>
      <w:r w:rsidRPr="00227FA4">
        <w:rPr>
          <w:rFonts w:cs="Times New Roman"/>
        </w:rPr>
        <w:instrText xml:space="preserve"> TOC \h \z \c "Annex" </w:instrText>
      </w:r>
      <w:r w:rsidRPr="00F80398">
        <w:rPr>
          <w:rFonts w:cs="Times New Roman"/>
        </w:rPr>
        <w:fldChar w:fldCharType="separate"/>
      </w:r>
      <w:hyperlink w:anchor="_Toc440273984" w:history="1">
        <w:r w:rsidR="00147937" w:rsidRPr="00147937">
          <w:rPr>
            <w:rStyle w:val="Hyperlink"/>
            <w:noProof/>
          </w:rPr>
          <w:t>Annex 1. Comparison of National EIA System with World Bank and European Union Requirements</w:t>
        </w:r>
        <w:r w:rsidR="00147937" w:rsidRPr="00147937">
          <w:rPr>
            <w:noProof/>
            <w:webHidden/>
          </w:rPr>
          <w:tab/>
        </w:r>
        <w:r w:rsidR="00147937" w:rsidRPr="00E24620">
          <w:rPr>
            <w:noProof/>
            <w:webHidden/>
          </w:rPr>
          <w:fldChar w:fldCharType="begin"/>
        </w:r>
        <w:r w:rsidR="00147937" w:rsidRPr="00147937">
          <w:rPr>
            <w:noProof/>
            <w:webHidden/>
          </w:rPr>
          <w:instrText xml:space="preserve"> PAGEREF _Toc440273984 \h </w:instrText>
        </w:r>
        <w:r w:rsidR="00147937" w:rsidRPr="00E24620">
          <w:rPr>
            <w:noProof/>
            <w:webHidden/>
          </w:rPr>
        </w:r>
        <w:r w:rsidR="00147937" w:rsidRPr="00E24620">
          <w:rPr>
            <w:noProof/>
            <w:webHidden/>
          </w:rPr>
          <w:fldChar w:fldCharType="separate"/>
        </w:r>
        <w:r w:rsidR="00475986">
          <w:rPr>
            <w:noProof/>
            <w:webHidden/>
          </w:rPr>
          <w:t>85</w:t>
        </w:r>
        <w:r w:rsidR="00147937" w:rsidRPr="00E24620">
          <w:rPr>
            <w:noProof/>
            <w:webHidden/>
          </w:rPr>
          <w:fldChar w:fldCharType="end"/>
        </w:r>
      </w:hyperlink>
    </w:p>
    <w:p w14:paraId="4EAACC6F" w14:textId="77777777" w:rsidR="00147937" w:rsidRPr="00147937" w:rsidRDefault="00C16940">
      <w:pPr>
        <w:pStyle w:val="TableofFigures"/>
        <w:tabs>
          <w:tab w:val="right" w:leader="dot" w:pos="9350"/>
        </w:tabs>
        <w:rPr>
          <w:rFonts w:asciiTheme="minorHAnsi" w:eastAsiaTheme="minorEastAsia" w:hAnsiTheme="minorHAnsi" w:cstheme="minorBidi"/>
          <w:noProof/>
        </w:rPr>
      </w:pPr>
      <w:hyperlink w:anchor="_Toc440273985" w:history="1">
        <w:r w:rsidR="00147937" w:rsidRPr="00341202">
          <w:rPr>
            <w:rStyle w:val="Hyperlink"/>
            <w:noProof/>
          </w:rPr>
          <w:t>Annex 2. Overview of the Pilot Regions</w:t>
        </w:r>
        <w:r w:rsidR="00147937" w:rsidRPr="00147937">
          <w:rPr>
            <w:noProof/>
            <w:webHidden/>
          </w:rPr>
          <w:tab/>
        </w:r>
        <w:r w:rsidR="00147937" w:rsidRPr="00E24620">
          <w:rPr>
            <w:noProof/>
            <w:webHidden/>
          </w:rPr>
          <w:fldChar w:fldCharType="begin"/>
        </w:r>
        <w:r w:rsidR="00147937" w:rsidRPr="00147937">
          <w:rPr>
            <w:noProof/>
            <w:webHidden/>
          </w:rPr>
          <w:instrText xml:space="preserve"> PAGEREF _Toc440273985 \h </w:instrText>
        </w:r>
        <w:r w:rsidR="00147937" w:rsidRPr="00E24620">
          <w:rPr>
            <w:noProof/>
            <w:webHidden/>
          </w:rPr>
        </w:r>
        <w:r w:rsidR="00147937" w:rsidRPr="00E24620">
          <w:rPr>
            <w:noProof/>
            <w:webHidden/>
          </w:rPr>
          <w:fldChar w:fldCharType="separate"/>
        </w:r>
        <w:r w:rsidR="00475986">
          <w:rPr>
            <w:noProof/>
            <w:webHidden/>
          </w:rPr>
          <w:t>92</w:t>
        </w:r>
        <w:r w:rsidR="00147937" w:rsidRPr="00E24620">
          <w:rPr>
            <w:noProof/>
            <w:webHidden/>
          </w:rPr>
          <w:fldChar w:fldCharType="end"/>
        </w:r>
      </w:hyperlink>
    </w:p>
    <w:p w14:paraId="09719672" w14:textId="77777777" w:rsidR="00147937" w:rsidRPr="00147937" w:rsidRDefault="00C16940">
      <w:pPr>
        <w:pStyle w:val="TableofFigures"/>
        <w:tabs>
          <w:tab w:val="right" w:leader="dot" w:pos="9350"/>
        </w:tabs>
        <w:rPr>
          <w:rFonts w:asciiTheme="minorHAnsi" w:eastAsiaTheme="minorEastAsia" w:hAnsiTheme="minorHAnsi" w:cstheme="minorBidi"/>
          <w:noProof/>
        </w:rPr>
      </w:pPr>
      <w:hyperlink w:anchor="_Toc440273986" w:history="1">
        <w:r w:rsidR="00147937" w:rsidRPr="00147937">
          <w:rPr>
            <w:rStyle w:val="Hyperlink"/>
            <w:noProof/>
          </w:rPr>
          <w:t>Annex 3. Implementation of Environmental Policy at Regional and District Levels</w:t>
        </w:r>
        <w:r w:rsidR="00147937" w:rsidRPr="00147937">
          <w:rPr>
            <w:noProof/>
            <w:webHidden/>
          </w:rPr>
          <w:tab/>
        </w:r>
        <w:r w:rsidR="00147937" w:rsidRPr="00E24620">
          <w:rPr>
            <w:noProof/>
            <w:webHidden/>
          </w:rPr>
          <w:fldChar w:fldCharType="begin"/>
        </w:r>
        <w:r w:rsidR="00147937" w:rsidRPr="00147937">
          <w:rPr>
            <w:noProof/>
            <w:webHidden/>
          </w:rPr>
          <w:instrText xml:space="preserve"> PAGEREF _Toc440273986 \h </w:instrText>
        </w:r>
        <w:r w:rsidR="00147937" w:rsidRPr="00E24620">
          <w:rPr>
            <w:noProof/>
            <w:webHidden/>
          </w:rPr>
        </w:r>
        <w:r w:rsidR="00147937" w:rsidRPr="00E24620">
          <w:rPr>
            <w:noProof/>
            <w:webHidden/>
          </w:rPr>
          <w:fldChar w:fldCharType="separate"/>
        </w:r>
        <w:r w:rsidR="00475986">
          <w:rPr>
            <w:noProof/>
            <w:webHidden/>
          </w:rPr>
          <w:t>94</w:t>
        </w:r>
        <w:r w:rsidR="00147937" w:rsidRPr="00E24620">
          <w:rPr>
            <w:noProof/>
            <w:webHidden/>
          </w:rPr>
          <w:fldChar w:fldCharType="end"/>
        </w:r>
      </w:hyperlink>
    </w:p>
    <w:p w14:paraId="65A537E7" w14:textId="77777777" w:rsidR="00147937" w:rsidRPr="00147937" w:rsidRDefault="00C16940">
      <w:pPr>
        <w:pStyle w:val="TableofFigures"/>
        <w:tabs>
          <w:tab w:val="right" w:leader="dot" w:pos="9350"/>
        </w:tabs>
        <w:rPr>
          <w:rFonts w:asciiTheme="minorHAnsi" w:eastAsiaTheme="minorEastAsia" w:hAnsiTheme="minorHAnsi" w:cstheme="minorBidi"/>
          <w:noProof/>
        </w:rPr>
      </w:pPr>
      <w:hyperlink w:anchor="_Toc440273987" w:history="1">
        <w:r w:rsidR="00147937" w:rsidRPr="00147937">
          <w:rPr>
            <w:rStyle w:val="Hyperlink"/>
            <w:noProof/>
          </w:rPr>
          <w:t>Annex 4. Little Green Data Book 2015 Statistics on Ukraine</w:t>
        </w:r>
        <w:r w:rsidR="00147937" w:rsidRPr="00147937">
          <w:rPr>
            <w:noProof/>
            <w:webHidden/>
          </w:rPr>
          <w:tab/>
        </w:r>
        <w:r w:rsidR="00147937" w:rsidRPr="00E24620">
          <w:rPr>
            <w:noProof/>
            <w:webHidden/>
          </w:rPr>
          <w:fldChar w:fldCharType="begin"/>
        </w:r>
        <w:r w:rsidR="00147937" w:rsidRPr="00147937">
          <w:rPr>
            <w:noProof/>
            <w:webHidden/>
          </w:rPr>
          <w:instrText xml:space="preserve"> PAGEREF _Toc440273987 \h </w:instrText>
        </w:r>
        <w:r w:rsidR="00147937" w:rsidRPr="00E24620">
          <w:rPr>
            <w:noProof/>
            <w:webHidden/>
          </w:rPr>
        </w:r>
        <w:r w:rsidR="00147937" w:rsidRPr="00E24620">
          <w:rPr>
            <w:noProof/>
            <w:webHidden/>
          </w:rPr>
          <w:fldChar w:fldCharType="separate"/>
        </w:r>
        <w:r w:rsidR="00475986">
          <w:rPr>
            <w:noProof/>
            <w:webHidden/>
          </w:rPr>
          <w:t>95</w:t>
        </w:r>
        <w:r w:rsidR="00147937" w:rsidRPr="00E24620">
          <w:rPr>
            <w:noProof/>
            <w:webHidden/>
          </w:rPr>
          <w:fldChar w:fldCharType="end"/>
        </w:r>
      </w:hyperlink>
    </w:p>
    <w:p w14:paraId="0E5E845E" w14:textId="77777777" w:rsidR="00147937" w:rsidRPr="00147937" w:rsidRDefault="00C16940">
      <w:pPr>
        <w:pStyle w:val="TableofFigures"/>
        <w:tabs>
          <w:tab w:val="right" w:leader="dot" w:pos="9350"/>
        </w:tabs>
        <w:rPr>
          <w:rFonts w:asciiTheme="minorHAnsi" w:eastAsiaTheme="minorEastAsia" w:hAnsiTheme="minorHAnsi" w:cstheme="minorBidi"/>
          <w:noProof/>
        </w:rPr>
      </w:pPr>
      <w:hyperlink w:anchor="_Toc440273988" w:history="1">
        <w:r w:rsidR="00147937" w:rsidRPr="00341202">
          <w:rPr>
            <w:rStyle w:val="Hyperlink"/>
            <w:noProof/>
          </w:rPr>
          <w:t>Annex 5. Example of OSA Environment Department Responsibilities – Poltava Oblast</w:t>
        </w:r>
        <w:r w:rsidR="00147937" w:rsidRPr="00147937">
          <w:rPr>
            <w:noProof/>
            <w:webHidden/>
          </w:rPr>
          <w:tab/>
        </w:r>
        <w:r w:rsidR="00147937" w:rsidRPr="00E24620">
          <w:rPr>
            <w:noProof/>
            <w:webHidden/>
          </w:rPr>
          <w:fldChar w:fldCharType="begin"/>
        </w:r>
        <w:r w:rsidR="00147937" w:rsidRPr="00147937">
          <w:rPr>
            <w:noProof/>
            <w:webHidden/>
          </w:rPr>
          <w:instrText xml:space="preserve"> PAGEREF _Toc440273988 \h </w:instrText>
        </w:r>
        <w:r w:rsidR="00147937" w:rsidRPr="00E24620">
          <w:rPr>
            <w:noProof/>
            <w:webHidden/>
          </w:rPr>
        </w:r>
        <w:r w:rsidR="00147937" w:rsidRPr="00E24620">
          <w:rPr>
            <w:noProof/>
            <w:webHidden/>
          </w:rPr>
          <w:fldChar w:fldCharType="separate"/>
        </w:r>
        <w:r w:rsidR="00475986">
          <w:rPr>
            <w:noProof/>
            <w:webHidden/>
          </w:rPr>
          <w:t>96</w:t>
        </w:r>
        <w:r w:rsidR="00147937" w:rsidRPr="00E24620">
          <w:rPr>
            <w:noProof/>
            <w:webHidden/>
          </w:rPr>
          <w:fldChar w:fldCharType="end"/>
        </w:r>
      </w:hyperlink>
    </w:p>
    <w:p w14:paraId="5B08CFC1" w14:textId="77777777" w:rsidR="00147937" w:rsidRPr="00147937" w:rsidRDefault="00C16940">
      <w:pPr>
        <w:pStyle w:val="TableofFigures"/>
        <w:tabs>
          <w:tab w:val="right" w:leader="dot" w:pos="9350"/>
        </w:tabs>
        <w:rPr>
          <w:rFonts w:asciiTheme="minorHAnsi" w:eastAsiaTheme="minorEastAsia" w:hAnsiTheme="minorHAnsi" w:cstheme="minorBidi"/>
          <w:noProof/>
        </w:rPr>
      </w:pPr>
      <w:hyperlink w:anchor="_Toc440273989" w:history="1">
        <w:r w:rsidR="00147937" w:rsidRPr="00341202">
          <w:rPr>
            <w:rStyle w:val="Hyperlink"/>
            <w:noProof/>
          </w:rPr>
          <w:t>Annex 6. Technological Standards of Allowable Air Emissions</w:t>
        </w:r>
        <w:r w:rsidR="00147937" w:rsidRPr="00147937">
          <w:rPr>
            <w:noProof/>
            <w:webHidden/>
          </w:rPr>
          <w:tab/>
        </w:r>
        <w:r w:rsidR="00147937" w:rsidRPr="00E24620">
          <w:rPr>
            <w:noProof/>
            <w:webHidden/>
          </w:rPr>
          <w:fldChar w:fldCharType="begin"/>
        </w:r>
        <w:r w:rsidR="00147937" w:rsidRPr="00147937">
          <w:rPr>
            <w:noProof/>
            <w:webHidden/>
          </w:rPr>
          <w:instrText xml:space="preserve"> PAGEREF _Toc440273989 \h </w:instrText>
        </w:r>
        <w:r w:rsidR="00147937" w:rsidRPr="00E24620">
          <w:rPr>
            <w:noProof/>
            <w:webHidden/>
          </w:rPr>
        </w:r>
        <w:r w:rsidR="00147937" w:rsidRPr="00E24620">
          <w:rPr>
            <w:noProof/>
            <w:webHidden/>
          </w:rPr>
          <w:fldChar w:fldCharType="separate"/>
        </w:r>
        <w:r w:rsidR="00475986">
          <w:rPr>
            <w:noProof/>
            <w:webHidden/>
          </w:rPr>
          <w:t>100</w:t>
        </w:r>
        <w:r w:rsidR="00147937" w:rsidRPr="00E24620">
          <w:rPr>
            <w:noProof/>
            <w:webHidden/>
          </w:rPr>
          <w:fldChar w:fldCharType="end"/>
        </w:r>
      </w:hyperlink>
    </w:p>
    <w:p w14:paraId="7C17157F" w14:textId="77777777" w:rsidR="00147937" w:rsidRPr="00147937" w:rsidRDefault="00C16940">
      <w:pPr>
        <w:pStyle w:val="TableofFigures"/>
        <w:tabs>
          <w:tab w:val="right" w:leader="dot" w:pos="9350"/>
        </w:tabs>
        <w:rPr>
          <w:rFonts w:asciiTheme="minorHAnsi" w:eastAsiaTheme="minorEastAsia" w:hAnsiTheme="minorHAnsi" w:cstheme="minorBidi"/>
          <w:noProof/>
        </w:rPr>
      </w:pPr>
      <w:hyperlink w:anchor="_Toc440273990" w:history="1">
        <w:r w:rsidR="00147937" w:rsidRPr="00147937">
          <w:rPr>
            <w:rStyle w:val="Hyperlink"/>
            <w:noProof/>
          </w:rPr>
          <w:t>Annex 7. Examples of Central and Regional Governments’ Roles in Environmental Management</w:t>
        </w:r>
        <w:r w:rsidR="00147937" w:rsidRPr="00147937">
          <w:rPr>
            <w:noProof/>
            <w:webHidden/>
          </w:rPr>
          <w:tab/>
        </w:r>
        <w:r w:rsidR="00147937" w:rsidRPr="00E24620">
          <w:rPr>
            <w:noProof/>
            <w:webHidden/>
          </w:rPr>
          <w:fldChar w:fldCharType="begin"/>
        </w:r>
        <w:r w:rsidR="00147937" w:rsidRPr="00147937">
          <w:rPr>
            <w:noProof/>
            <w:webHidden/>
          </w:rPr>
          <w:instrText xml:space="preserve"> PAGEREF _Toc440273990 \h </w:instrText>
        </w:r>
        <w:r w:rsidR="00147937" w:rsidRPr="00E24620">
          <w:rPr>
            <w:noProof/>
            <w:webHidden/>
          </w:rPr>
        </w:r>
        <w:r w:rsidR="00147937" w:rsidRPr="00E24620">
          <w:rPr>
            <w:noProof/>
            <w:webHidden/>
          </w:rPr>
          <w:fldChar w:fldCharType="separate"/>
        </w:r>
        <w:r w:rsidR="00475986">
          <w:rPr>
            <w:noProof/>
            <w:webHidden/>
          </w:rPr>
          <w:t>101</w:t>
        </w:r>
        <w:r w:rsidR="00147937" w:rsidRPr="00E24620">
          <w:rPr>
            <w:noProof/>
            <w:webHidden/>
          </w:rPr>
          <w:fldChar w:fldCharType="end"/>
        </w:r>
      </w:hyperlink>
    </w:p>
    <w:p w14:paraId="1CA0A90B" w14:textId="77777777" w:rsidR="00147937" w:rsidRPr="00147937" w:rsidRDefault="00C16940">
      <w:pPr>
        <w:pStyle w:val="TableofFigures"/>
        <w:tabs>
          <w:tab w:val="right" w:leader="dot" w:pos="9350"/>
        </w:tabs>
        <w:rPr>
          <w:rFonts w:asciiTheme="minorHAnsi" w:eastAsiaTheme="minorEastAsia" w:hAnsiTheme="minorHAnsi" w:cstheme="minorBidi"/>
          <w:noProof/>
        </w:rPr>
      </w:pPr>
      <w:hyperlink w:anchor="_Toc440273991" w:history="1">
        <w:r w:rsidR="00147937" w:rsidRPr="00341202">
          <w:rPr>
            <w:rStyle w:val="Hyperlink"/>
            <w:noProof/>
          </w:rPr>
          <w:t>Annex 8. List of Objects for which an EIA and SEE are Mandatory, as per CMU Decree No. 808</w:t>
        </w:r>
        <w:r w:rsidR="00147937" w:rsidRPr="00147937">
          <w:rPr>
            <w:noProof/>
            <w:webHidden/>
          </w:rPr>
          <w:tab/>
        </w:r>
        <w:r w:rsidR="00147937" w:rsidRPr="00E24620">
          <w:rPr>
            <w:noProof/>
            <w:webHidden/>
          </w:rPr>
          <w:fldChar w:fldCharType="begin"/>
        </w:r>
        <w:r w:rsidR="00147937" w:rsidRPr="00147937">
          <w:rPr>
            <w:noProof/>
            <w:webHidden/>
          </w:rPr>
          <w:instrText xml:space="preserve"> PAGEREF _Toc440273991 \h </w:instrText>
        </w:r>
        <w:r w:rsidR="00147937" w:rsidRPr="00E24620">
          <w:rPr>
            <w:noProof/>
            <w:webHidden/>
          </w:rPr>
        </w:r>
        <w:r w:rsidR="00147937" w:rsidRPr="00E24620">
          <w:rPr>
            <w:noProof/>
            <w:webHidden/>
          </w:rPr>
          <w:fldChar w:fldCharType="separate"/>
        </w:r>
        <w:r w:rsidR="00475986">
          <w:rPr>
            <w:noProof/>
            <w:webHidden/>
          </w:rPr>
          <w:t>102</w:t>
        </w:r>
        <w:r w:rsidR="00147937" w:rsidRPr="00E24620">
          <w:rPr>
            <w:noProof/>
            <w:webHidden/>
          </w:rPr>
          <w:fldChar w:fldCharType="end"/>
        </w:r>
      </w:hyperlink>
    </w:p>
    <w:p w14:paraId="5A81C0DE"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3992" w:history="1">
        <w:r w:rsidR="00147937" w:rsidRPr="00341202">
          <w:rPr>
            <w:rStyle w:val="Hyperlink"/>
            <w:noProof/>
          </w:rPr>
          <w:t>Annex 9. Overview of EIA Procedure and Ecological Expertise Process by MENR</w:t>
        </w:r>
        <w:r w:rsidR="00147937" w:rsidRPr="00147937">
          <w:rPr>
            <w:noProof/>
            <w:webHidden/>
          </w:rPr>
          <w:tab/>
        </w:r>
        <w:r w:rsidR="00147937" w:rsidRPr="00E24620">
          <w:rPr>
            <w:noProof/>
            <w:webHidden/>
          </w:rPr>
          <w:fldChar w:fldCharType="begin"/>
        </w:r>
        <w:r w:rsidR="00147937" w:rsidRPr="00147937">
          <w:rPr>
            <w:noProof/>
            <w:webHidden/>
          </w:rPr>
          <w:instrText xml:space="preserve"> PAGEREF _Toc440273992 \h </w:instrText>
        </w:r>
        <w:r w:rsidR="00147937" w:rsidRPr="00E24620">
          <w:rPr>
            <w:noProof/>
            <w:webHidden/>
          </w:rPr>
        </w:r>
        <w:r w:rsidR="00147937" w:rsidRPr="00E24620">
          <w:rPr>
            <w:noProof/>
            <w:webHidden/>
          </w:rPr>
          <w:fldChar w:fldCharType="separate"/>
        </w:r>
        <w:r w:rsidR="00475986">
          <w:rPr>
            <w:noProof/>
            <w:webHidden/>
          </w:rPr>
          <w:t>104</w:t>
        </w:r>
        <w:r w:rsidR="00147937" w:rsidRPr="00E24620">
          <w:rPr>
            <w:noProof/>
            <w:webHidden/>
          </w:rPr>
          <w:fldChar w:fldCharType="end"/>
        </w:r>
      </w:hyperlink>
    </w:p>
    <w:p w14:paraId="3FDBE3FF" w14:textId="77777777" w:rsidR="000B7923" w:rsidRPr="002B1DFC" w:rsidRDefault="000B7923" w:rsidP="00F33595">
      <w:pPr>
        <w:rPr>
          <w:rFonts w:cs="Times New Roman"/>
          <w:b/>
          <w:bCs/>
        </w:rPr>
      </w:pPr>
      <w:r w:rsidRPr="00F80398">
        <w:rPr>
          <w:rFonts w:cs="Times New Roman"/>
        </w:rPr>
        <w:fldChar w:fldCharType="end"/>
      </w:r>
    </w:p>
    <w:p w14:paraId="71C67AE3" w14:textId="77777777" w:rsidR="000B7923" w:rsidRPr="002B1DFC" w:rsidRDefault="000B7923" w:rsidP="00F33595">
      <w:pPr>
        <w:rPr>
          <w:rFonts w:cs="Times New Roman"/>
          <w:b/>
          <w:bCs/>
        </w:rPr>
      </w:pPr>
      <w:r w:rsidRPr="002B1DFC">
        <w:rPr>
          <w:rFonts w:cs="Times New Roman"/>
          <w:b/>
          <w:bCs/>
        </w:rPr>
        <w:t>List of Tables</w:t>
      </w:r>
    </w:p>
    <w:p w14:paraId="66653AB8" w14:textId="77777777" w:rsidR="000B7923" w:rsidRPr="002B1DFC" w:rsidRDefault="000B7923" w:rsidP="00F33595">
      <w:pPr>
        <w:rPr>
          <w:rFonts w:cs="Times New Roman"/>
        </w:rPr>
      </w:pPr>
    </w:p>
    <w:p w14:paraId="78D17F7A" w14:textId="77777777" w:rsidR="00147937" w:rsidRDefault="000B7923">
      <w:pPr>
        <w:pStyle w:val="TableofFigures"/>
        <w:tabs>
          <w:tab w:val="right" w:leader="dot" w:pos="9350"/>
        </w:tabs>
        <w:rPr>
          <w:rFonts w:asciiTheme="minorHAnsi" w:eastAsiaTheme="minorEastAsia" w:hAnsiTheme="minorHAnsi" w:cstheme="minorBidi"/>
          <w:noProof/>
        </w:rPr>
      </w:pPr>
      <w:r w:rsidRPr="002B1DFC">
        <w:rPr>
          <w:rFonts w:cs="Times New Roman"/>
        </w:rPr>
        <w:fldChar w:fldCharType="begin"/>
      </w:r>
      <w:r w:rsidRPr="002B1DFC">
        <w:rPr>
          <w:rFonts w:cs="Times New Roman"/>
        </w:rPr>
        <w:instrText xml:space="preserve"> TOC \h \z \c "Table" </w:instrText>
      </w:r>
      <w:r w:rsidRPr="002B1DFC">
        <w:rPr>
          <w:rFonts w:cs="Times New Roman"/>
        </w:rPr>
        <w:fldChar w:fldCharType="separate"/>
      </w:r>
      <w:hyperlink w:anchor="_Toc440273993" w:history="1">
        <w:r w:rsidR="00147937" w:rsidRPr="00C96F9D">
          <w:rPr>
            <w:rStyle w:val="Hyperlink"/>
            <w:noProof/>
          </w:rPr>
          <w:t xml:space="preserve">Table 1. </w:t>
        </w:r>
        <w:r w:rsidR="00147937" w:rsidRPr="00C96F9D">
          <w:rPr>
            <w:rStyle w:val="Hyperlink"/>
            <w:rFonts w:eastAsia="Times New Roman"/>
            <w:noProof/>
          </w:rPr>
          <w:t>Summary of Key Recommendations</w:t>
        </w:r>
        <w:r w:rsidR="00147937">
          <w:rPr>
            <w:noProof/>
            <w:webHidden/>
          </w:rPr>
          <w:tab/>
        </w:r>
        <w:r w:rsidR="00147937">
          <w:rPr>
            <w:noProof/>
            <w:webHidden/>
          </w:rPr>
          <w:fldChar w:fldCharType="begin"/>
        </w:r>
        <w:r w:rsidR="00147937">
          <w:rPr>
            <w:noProof/>
            <w:webHidden/>
          </w:rPr>
          <w:instrText xml:space="preserve"> PAGEREF _Toc440273993 \h </w:instrText>
        </w:r>
        <w:r w:rsidR="00147937">
          <w:rPr>
            <w:noProof/>
            <w:webHidden/>
          </w:rPr>
        </w:r>
        <w:r w:rsidR="00147937">
          <w:rPr>
            <w:noProof/>
            <w:webHidden/>
          </w:rPr>
          <w:fldChar w:fldCharType="separate"/>
        </w:r>
        <w:r w:rsidR="00475986">
          <w:rPr>
            <w:noProof/>
            <w:webHidden/>
          </w:rPr>
          <w:t>xvi</w:t>
        </w:r>
        <w:r w:rsidR="00147937">
          <w:rPr>
            <w:noProof/>
            <w:webHidden/>
          </w:rPr>
          <w:fldChar w:fldCharType="end"/>
        </w:r>
      </w:hyperlink>
    </w:p>
    <w:p w14:paraId="18146754"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3994" w:history="1">
        <w:r w:rsidR="00147937" w:rsidRPr="00C96F9D">
          <w:rPr>
            <w:rStyle w:val="Hyperlink"/>
            <w:noProof/>
          </w:rPr>
          <w:t>Table 2. Progress Towards MDG Goal 7 – Ensure Environmental Sustainability</w:t>
        </w:r>
        <w:r w:rsidR="00147937">
          <w:rPr>
            <w:noProof/>
            <w:webHidden/>
          </w:rPr>
          <w:tab/>
        </w:r>
        <w:r w:rsidR="00147937">
          <w:rPr>
            <w:noProof/>
            <w:webHidden/>
          </w:rPr>
          <w:fldChar w:fldCharType="begin"/>
        </w:r>
        <w:r w:rsidR="00147937">
          <w:rPr>
            <w:noProof/>
            <w:webHidden/>
          </w:rPr>
          <w:instrText xml:space="preserve"> PAGEREF _Toc440273994 \h </w:instrText>
        </w:r>
        <w:r w:rsidR="00147937">
          <w:rPr>
            <w:noProof/>
            <w:webHidden/>
          </w:rPr>
        </w:r>
        <w:r w:rsidR="00147937">
          <w:rPr>
            <w:noProof/>
            <w:webHidden/>
          </w:rPr>
          <w:fldChar w:fldCharType="separate"/>
        </w:r>
        <w:r w:rsidR="00475986">
          <w:rPr>
            <w:noProof/>
            <w:webHidden/>
          </w:rPr>
          <w:t>6</w:t>
        </w:r>
        <w:r w:rsidR="00147937">
          <w:rPr>
            <w:noProof/>
            <w:webHidden/>
          </w:rPr>
          <w:fldChar w:fldCharType="end"/>
        </w:r>
      </w:hyperlink>
    </w:p>
    <w:p w14:paraId="61CCCCAB"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3995" w:history="1">
        <w:r w:rsidR="00147937" w:rsidRPr="00C96F9D">
          <w:rPr>
            <w:rStyle w:val="Hyperlink"/>
            <w:noProof/>
          </w:rPr>
          <w:t xml:space="preserve">Table 3. </w:t>
        </w:r>
        <w:r w:rsidR="00147937" w:rsidRPr="00C96F9D">
          <w:rPr>
            <w:rStyle w:val="Hyperlink"/>
            <w:iCs/>
            <w:noProof/>
          </w:rPr>
          <w:t>Estimated Air Emissions Pollution Load (Thousand Tons)</w:t>
        </w:r>
        <w:r w:rsidR="00147937">
          <w:rPr>
            <w:noProof/>
            <w:webHidden/>
          </w:rPr>
          <w:tab/>
        </w:r>
        <w:r w:rsidR="00147937">
          <w:rPr>
            <w:noProof/>
            <w:webHidden/>
          </w:rPr>
          <w:fldChar w:fldCharType="begin"/>
        </w:r>
        <w:r w:rsidR="00147937">
          <w:rPr>
            <w:noProof/>
            <w:webHidden/>
          </w:rPr>
          <w:instrText xml:space="preserve"> PAGEREF _Toc440273995 \h </w:instrText>
        </w:r>
        <w:r w:rsidR="00147937">
          <w:rPr>
            <w:noProof/>
            <w:webHidden/>
          </w:rPr>
        </w:r>
        <w:r w:rsidR="00147937">
          <w:rPr>
            <w:noProof/>
            <w:webHidden/>
          </w:rPr>
          <w:fldChar w:fldCharType="separate"/>
        </w:r>
        <w:r w:rsidR="00475986">
          <w:rPr>
            <w:noProof/>
            <w:webHidden/>
          </w:rPr>
          <w:t>7</w:t>
        </w:r>
        <w:r w:rsidR="00147937">
          <w:rPr>
            <w:noProof/>
            <w:webHidden/>
          </w:rPr>
          <w:fldChar w:fldCharType="end"/>
        </w:r>
      </w:hyperlink>
    </w:p>
    <w:p w14:paraId="08D49D15"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3996" w:history="1">
        <w:r w:rsidR="00147937" w:rsidRPr="00C96F9D">
          <w:rPr>
            <w:rStyle w:val="Hyperlink"/>
            <w:noProof/>
          </w:rPr>
          <w:t>Table 4. Overview of Ukraine’s Use of Water Resources</w:t>
        </w:r>
        <w:r w:rsidR="00147937">
          <w:rPr>
            <w:noProof/>
            <w:webHidden/>
          </w:rPr>
          <w:tab/>
        </w:r>
        <w:r w:rsidR="00147937">
          <w:rPr>
            <w:noProof/>
            <w:webHidden/>
          </w:rPr>
          <w:fldChar w:fldCharType="begin"/>
        </w:r>
        <w:r w:rsidR="00147937">
          <w:rPr>
            <w:noProof/>
            <w:webHidden/>
          </w:rPr>
          <w:instrText xml:space="preserve"> PAGEREF _Toc440273996 \h </w:instrText>
        </w:r>
        <w:r w:rsidR="00147937">
          <w:rPr>
            <w:noProof/>
            <w:webHidden/>
          </w:rPr>
        </w:r>
        <w:r w:rsidR="00147937">
          <w:rPr>
            <w:noProof/>
            <w:webHidden/>
          </w:rPr>
          <w:fldChar w:fldCharType="separate"/>
        </w:r>
        <w:r w:rsidR="00475986">
          <w:rPr>
            <w:noProof/>
            <w:webHidden/>
          </w:rPr>
          <w:t>8</w:t>
        </w:r>
        <w:r w:rsidR="00147937">
          <w:rPr>
            <w:noProof/>
            <w:webHidden/>
          </w:rPr>
          <w:fldChar w:fldCharType="end"/>
        </w:r>
      </w:hyperlink>
    </w:p>
    <w:p w14:paraId="5F9AE3C0"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3997" w:history="1">
        <w:r w:rsidR="00147937" w:rsidRPr="00C96F9D">
          <w:rPr>
            <w:rStyle w:val="Hyperlink"/>
            <w:noProof/>
          </w:rPr>
          <w:t xml:space="preserve">Table 5. </w:t>
        </w:r>
        <w:r w:rsidR="00147937" w:rsidRPr="00C96F9D">
          <w:rPr>
            <w:rStyle w:val="Hyperlink"/>
            <w:iCs/>
            <w:noProof/>
          </w:rPr>
          <w:t>Overview of Solid Waste Generation in Ukraine by Hazard Classification</w:t>
        </w:r>
        <w:r w:rsidR="00147937">
          <w:rPr>
            <w:noProof/>
            <w:webHidden/>
          </w:rPr>
          <w:tab/>
        </w:r>
        <w:r w:rsidR="00147937">
          <w:rPr>
            <w:noProof/>
            <w:webHidden/>
          </w:rPr>
          <w:fldChar w:fldCharType="begin"/>
        </w:r>
        <w:r w:rsidR="00147937">
          <w:rPr>
            <w:noProof/>
            <w:webHidden/>
          </w:rPr>
          <w:instrText xml:space="preserve"> PAGEREF _Toc440273997 \h </w:instrText>
        </w:r>
        <w:r w:rsidR="00147937">
          <w:rPr>
            <w:noProof/>
            <w:webHidden/>
          </w:rPr>
        </w:r>
        <w:r w:rsidR="00147937">
          <w:rPr>
            <w:noProof/>
            <w:webHidden/>
          </w:rPr>
          <w:fldChar w:fldCharType="separate"/>
        </w:r>
        <w:r w:rsidR="00475986">
          <w:rPr>
            <w:noProof/>
            <w:webHidden/>
          </w:rPr>
          <w:t>9</w:t>
        </w:r>
        <w:r w:rsidR="00147937">
          <w:rPr>
            <w:noProof/>
            <w:webHidden/>
          </w:rPr>
          <w:fldChar w:fldCharType="end"/>
        </w:r>
      </w:hyperlink>
    </w:p>
    <w:p w14:paraId="542034A2"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3998" w:history="1">
        <w:r w:rsidR="00147937" w:rsidRPr="00C96F9D">
          <w:rPr>
            <w:rStyle w:val="Hyperlink"/>
            <w:noProof/>
          </w:rPr>
          <w:t>Table 6. Structure of the MENR’s Central Apparatus, January 2015</w:t>
        </w:r>
        <w:r w:rsidR="00147937">
          <w:rPr>
            <w:noProof/>
            <w:webHidden/>
          </w:rPr>
          <w:tab/>
        </w:r>
        <w:r w:rsidR="00147937">
          <w:rPr>
            <w:noProof/>
            <w:webHidden/>
          </w:rPr>
          <w:fldChar w:fldCharType="begin"/>
        </w:r>
        <w:r w:rsidR="00147937">
          <w:rPr>
            <w:noProof/>
            <w:webHidden/>
          </w:rPr>
          <w:instrText xml:space="preserve"> PAGEREF _Toc440273998 \h </w:instrText>
        </w:r>
        <w:r w:rsidR="00147937">
          <w:rPr>
            <w:noProof/>
            <w:webHidden/>
          </w:rPr>
        </w:r>
        <w:r w:rsidR="00147937">
          <w:rPr>
            <w:noProof/>
            <w:webHidden/>
          </w:rPr>
          <w:fldChar w:fldCharType="separate"/>
        </w:r>
        <w:r w:rsidR="00475986">
          <w:rPr>
            <w:noProof/>
            <w:webHidden/>
          </w:rPr>
          <w:t>30</w:t>
        </w:r>
        <w:r w:rsidR="00147937">
          <w:rPr>
            <w:noProof/>
            <w:webHidden/>
          </w:rPr>
          <w:fldChar w:fldCharType="end"/>
        </w:r>
      </w:hyperlink>
    </w:p>
    <w:p w14:paraId="72901CAA"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3999" w:history="1">
        <w:r w:rsidR="00147937" w:rsidRPr="00C96F9D">
          <w:rPr>
            <w:rStyle w:val="Hyperlink"/>
            <w:noProof/>
          </w:rPr>
          <w:t>Table 7. Examples of Regional Environmental Priorities</w:t>
        </w:r>
        <w:r w:rsidR="00147937">
          <w:rPr>
            <w:noProof/>
            <w:webHidden/>
          </w:rPr>
          <w:tab/>
        </w:r>
        <w:r w:rsidR="00147937">
          <w:rPr>
            <w:noProof/>
            <w:webHidden/>
          </w:rPr>
          <w:fldChar w:fldCharType="begin"/>
        </w:r>
        <w:r w:rsidR="00147937">
          <w:rPr>
            <w:noProof/>
            <w:webHidden/>
          </w:rPr>
          <w:instrText xml:space="preserve"> PAGEREF _Toc440273999 \h </w:instrText>
        </w:r>
        <w:r w:rsidR="00147937">
          <w:rPr>
            <w:noProof/>
            <w:webHidden/>
          </w:rPr>
        </w:r>
        <w:r w:rsidR="00147937">
          <w:rPr>
            <w:noProof/>
            <w:webHidden/>
          </w:rPr>
          <w:fldChar w:fldCharType="separate"/>
        </w:r>
        <w:r w:rsidR="00475986">
          <w:rPr>
            <w:noProof/>
            <w:webHidden/>
          </w:rPr>
          <w:t>38</w:t>
        </w:r>
        <w:r w:rsidR="00147937">
          <w:rPr>
            <w:noProof/>
            <w:webHidden/>
          </w:rPr>
          <w:fldChar w:fldCharType="end"/>
        </w:r>
      </w:hyperlink>
    </w:p>
    <w:p w14:paraId="1DA8A297"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00" w:history="1">
        <w:r w:rsidR="00147937" w:rsidRPr="00C96F9D">
          <w:rPr>
            <w:rStyle w:val="Hyperlink"/>
            <w:noProof/>
          </w:rPr>
          <w:t>Table 8. Overview of Structure of OSA Environment Departments</w:t>
        </w:r>
        <w:r w:rsidR="00147937">
          <w:rPr>
            <w:noProof/>
            <w:webHidden/>
          </w:rPr>
          <w:tab/>
        </w:r>
        <w:r w:rsidR="00147937">
          <w:rPr>
            <w:noProof/>
            <w:webHidden/>
          </w:rPr>
          <w:fldChar w:fldCharType="begin"/>
        </w:r>
        <w:r w:rsidR="00147937">
          <w:rPr>
            <w:noProof/>
            <w:webHidden/>
          </w:rPr>
          <w:instrText xml:space="preserve"> PAGEREF _Toc440274000 \h </w:instrText>
        </w:r>
        <w:r w:rsidR="00147937">
          <w:rPr>
            <w:noProof/>
            <w:webHidden/>
          </w:rPr>
        </w:r>
        <w:r w:rsidR="00147937">
          <w:rPr>
            <w:noProof/>
            <w:webHidden/>
          </w:rPr>
          <w:fldChar w:fldCharType="separate"/>
        </w:r>
        <w:r w:rsidR="00475986">
          <w:rPr>
            <w:noProof/>
            <w:webHidden/>
          </w:rPr>
          <w:t>40</w:t>
        </w:r>
        <w:r w:rsidR="00147937">
          <w:rPr>
            <w:noProof/>
            <w:webHidden/>
          </w:rPr>
          <w:fldChar w:fldCharType="end"/>
        </w:r>
      </w:hyperlink>
    </w:p>
    <w:p w14:paraId="69724602"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01" w:history="1">
        <w:r w:rsidR="00147937" w:rsidRPr="00C96F9D">
          <w:rPr>
            <w:rStyle w:val="Hyperlink"/>
            <w:noProof/>
          </w:rPr>
          <w:t>Table 9. OSA Environment Departments Have Authority over the Following Tasks</w:t>
        </w:r>
        <w:r w:rsidR="00147937">
          <w:rPr>
            <w:noProof/>
            <w:webHidden/>
          </w:rPr>
          <w:tab/>
        </w:r>
        <w:r w:rsidR="00147937">
          <w:rPr>
            <w:noProof/>
            <w:webHidden/>
          </w:rPr>
          <w:fldChar w:fldCharType="begin"/>
        </w:r>
        <w:r w:rsidR="00147937">
          <w:rPr>
            <w:noProof/>
            <w:webHidden/>
          </w:rPr>
          <w:instrText xml:space="preserve"> PAGEREF _Toc440274001 \h </w:instrText>
        </w:r>
        <w:r w:rsidR="00147937">
          <w:rPr>
            <w:noProof/>
            <w:webHidden/>
          </w:rPr>
        </w:r>
        <w:r w:rsidR="00147937">
          <w:rPr>
            <w:noProof/>
            <w:webHidden/>
          </w:rPr>
          <w:fldChar w:fldCharType="separate"/>
        </w:r>
        <w:r w:rsidR="00475986">
          <w:rPr>
            <w:noProof/>
            <w:webHidden/>
          </w:rPr>
          <w:t>50</w:t>
        </w:r>
        <w:r w:rsidR="00147937">
          <w:rPr>
            <w:noProof/>
            <w:webHidden/>
          </w:rPr>
          <w:fldChar w:fldCharType="end"/>
        </w:r>
      </w:hyperlink>
    </w:p>
    <w:p w14:paraId="5FF49BAF"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02" w:history="1">
        <w:r w:rsidR="00147937" w:rsidRPr="00C96F9D">
          <w:rPr>
            <w:rStyle w:val="Hyperlink"/>
            <w:noProof/>
          </w:rPr>
          <w:t>Table 10. Key Features of Ukraine’s EIA System</w:t>
        </w:r>
        <w:r w:rsidR="00147937">
          <w:rPr>
            <w:noProof/>
            <w:webHidden/>
          </w:rPr>
          <w:tab/>
        </w:r>
        <w:r w:rsidR="00147937">
          <w:rPr>
            <w:noProof/>
            <w:webHidden/>
          </w:rPr>
          <w:fldChar w:fldCharType="begin"/>
        </w:r>
        <w:r w:rsidR="00147937">
          <w:rPr>
            <w:noProof/>
            <w:webHidden/>
          </w:rPr>
          <w:instrText xml:space="preserve"> PAGEREF _Toc440274002 \h </w:instrText>
        </w:r>
        <w:r w:rsidR="00147937">
          <w:rPr>
            <w:noProof/>
            <w:webHidden/>
          </w:rPr>
        </w:r>
        <w:r w:rsidR="00147937">
          <w:rPr>
            <w:noProof/>
            <w:webHidden/>
          </w:rPr>
          <w:fldChar w:fldCharType="separate"/>
        </w:r>
        <w:r w:rsidR="00475986">
          <w:rPr>
            <w:noProof/>
            <w:webHidden/>
          </w:rPr>
          <w:t>52</w:t>
        </w:r>
        <w:r w:rsidR="00147937">
          <w:rPr>
            <w:noProof/>
            <w:webHidden/>
          </w:rPr>
          <w:fldChar w:fldCharType="end"/>
        </w:r>
      </w:hyperlink>
    </w:p>
    <w:p w14:paraId="46056410"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03" w:history="1">
        <w:r w:rsidR="00147937" w:rsidRPr="00C96F9D">
          <w:rPr>
            <w:rStyle w:val="Hyperlink"/>
            <w:noProof/>
          </w:rPr>
          <w:t>Table 11. Comparison of Staff and Number of EIAs</w:t>
        </w:r>
        <w:r w:rsidR="00147937">
          <w:rPr>
            <w:noProof/>
            <w:webHidden/>
          </w:rPr>
          <w:tab/>
        </w:r>
        <w:r w:rsidR="00147937">
          <w:rPr>
            <w:noProof/>
            <w:webHidden/>
          </w:rPr>
          <w:fldChar w:fldCharType="begin"/>
        </w:r>
        <w:r w:rsidR="00147937">
          <w:rPr>
            <w:noProof/>
            <w:webHidden/>
          </w:rPr>
          <w:instrText xml:space="preserve"> PAGEREF _Toc440274003 \h </w:instrText>
        </w:r>
        <w:r w:rsidR="00147937">
          <w:rPr>
            <w:noProof/>
            <w:webHidden/>
          </w:rPr>
        </w:r>
        <w:r w:rsidR="00147937">
          <w:rPr>
            <w:noProof/>
            <w:webHidden/>
          </w:rPr>
          <w:fldChar w:fldCharType="separate"/>
        </w:r>
        <w:r w:rsidR="00475986">
          <w:rPr>
            <w:noProof/>
            <w:webHidden/>
          </w:rPr>
          <w:t>60</w:t>
        </w:r>
        <w:r w:rsidR="00147937">
          <w:rPr>
            <w:noProof/>
            <w:webHidden/>
          </w:rPr>
          <w:fldChar w:fldCharType="end"/>
        </w:r>
      </w:hyperlink>
    </w:p>
    <w:p w14:paraId="57DC8B55"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04" w:history="1">
        <w:r w:rsidR="00147937" w:rsidRPr="00C96F9D">
          <w:rPr>
            <w:rStyle w:val="Hyperlink"/>
            <w:noProof/>
          </w:rPr>
          <w:t>Table 12. Taxes for Main Pollutant Emissions to the Atmospheric Air by Stationary Sources</w:t>
        </w:r>
        <w:r w:rsidR="00147937">
          <w:rPr>
            <w:noProof/>
            <w:webHidden/>
          </w:rPr>
          <w:tab/>
        </w:r>
        <w:r w:rsidR="00147937">
          <w:rPr>
            <w:noProof/>
            <w:webHidden/>
          </w:rPr>
          <w:fldChar w:fldCharType="begin"/>
        </w:r>
        <w:r w:rsidR="00147937">
          <w:rPr>
            <w:noProof/>
            <w:webHidden/>
          </w:rPr>
          <w:instrText xml:space="preserve"> PAGEREF _Toc440274004 \h </w:instrText>
        </w:r>
        <w:r w:rsidR="00147937">
          <w:rPr>
            <w:noProof/>
            <w:webHidden/>
          </w:rPr>
        </w:r>
        <w:r w:rsidR="00147937">
          <w:rPr>
            <w:noProof/>
            <w:webHidden/>
          </w:rPr>
          <w:fldChar w:fldCharType="separate"/>
        </w:r>
        <w:r w:rsidR="00475986">
          <w:rPr>
            <w:noProof/>
            <w:webHidden/>
          </w:rPr>
          <w:t>63</w:t>
        </w:r>
        <w:r w:rsidR="00147937">
          <w:rPr>
            <w:noProof/>
            <w:webHidden/>
          </w:rPr>
          <w:fldChar w:fldCharType="end"/>
        </w:r>
      </w:hyperlink>
    </w:p>
    <w:p w14:paraId="42DA2DB2"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05" w:history="1">
        <w:r w:rsidR="00147937" w:rsidRPr="00C96F9D">
          <w:rPr>
            <w:rStyle w:val="Hyperlink"/>
            <w:noProof/>
          </w:rPr>
          <w:t>Table 13. Taxes for Pollutant Discharge into Bodies of Water</w:t>
        </w:r>
        <w:r w:rsidR="00147937">
          <w:rPr>
            <w:noProof/>
            <w:webHidden/>
          </w:rPr>
          <w:tab/>
        </w:r>
        <w:r w:rsidR="00147937">
          <w:rPr>
            <w:noProof/>
            <w:webHidden/>
          </w:rPr>
          <w:fldChar w:fldCharType="begin"/>
        </w:r>
        <w:r w:rsidR="00147937">
          <w:rPr>
            <w:noProof/>
            <w:webHidden/>
          </w:rPr>
          <w:instrText xml:space="preserve"> PAGEREF _Toc440274005 \h </w:instrText>
        </w:r>
        <w:r w:rsidR="00147937">
          <w:rPr>
            <w:noProof/>
            <w:webHidden/>
          </w:rPr>
        </w:r>
        <w:r w:rsidR="00147937">
          <w:rPr>
            <w:noProof/>
            <w:webHidden/>
          </w:rPr>
          <w:fldChar w:fldCharType="separate"/>
        </w:r>
        <w:r w:rsidR="00475986">
          <w:rPr>
            <w:noProof/>
            <w:webHidden/>
          </w:rPr>
          <w:t>63</w:t>
        </w:r>
        <w:r w:rsidR="00147937">
          <w:rPr>
            <w:noProof/>
            <w:webHidden/>
          </w:rPr>
          <w:fldChar w:fldCharType="end"/>
        </w:r>
      </w:hyperlink>
    </w:p>
    <w:p w14:paraId="4717DC22"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06" w:history="1">
        <w:r w:rsidR="00147937" w:rsidRPr="00C96F9D">
          <w:rPr>
            <w:rStyle w:val="Hyperlink"/>
            <w:noProof/>
          </w:rPr>
          <w:t>Table 14. Taxes for Waste Disposal – Depending on Class and Level of Hazard</w:t>
        </w:r>
        <w:r w:rsidR="00147937">
          <w:rPr>
            <w:noProof/>
            <w:webHidden/>
          </w:rPr>
          <w:tab/>
        </w:r>
        <w:r w:rsidR="00147937">
          <w:rPr>
            <w:noProof/>
            <w:webHidden/>
          </w:rPr>
          <w:fldChar w:fldCharType="begin"/>
        </w:r>
        <w:r w:rsidR="00147937">
          <w:rPr>
            <w:noProof/>
            <w:webHidden/>
          </w:rPr>
          <w:instrText xml:space="preserve"> PAGEREF _Toc440274006 \h </w:instrText>
        </w:r>
        <w:r w:rsidR="00147937">
          <w:rPr>
            <w:noProof/>
            <w:webHidden/>
          </w:rPr>
        </w:r>
        <w:r w:rsidR="00147937">
          <w:rPr>
            <w:noProof/>
            <w:webHidden/>
          </w:rPr>
          <w:fldChar w:fldCharType="separate"/>
        </w:r>
        <w:r w:rsidR="00475986">
          <w:rPr>
            <w:noProof/>
            <w:webHidden/>
          </w:rPr>
          <w:t>64</w:t>
        </w:r>
        <w:r w:rsidR="00147937">
          <w:rPr>
            <w:noProof/>
            <w:webHidden/>
          </w:rPr>
          <w:fldChar w:fldCharType="end"/>
        </w:r>
      </w:hyperlink>
    </w:p>
    <w:p w14:paraId="7964CF5A"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07" w:history="1">
        <w:r w:rsidR="00147937" w:rsidRPr="00C96F9D">
          <w:rPr>
            <w:rStyle w:val="Hyperlink"/>
            <w:noProof/>
          </w:rPr>
          <w:t>Table 15. Air Pollution Tax Rates in Ukraine, Baltic States, Czech Republic, Slovakia, EUR/t</w:t>
        </w:r>
        <w:r w:rsidR="00147937">
          <w:rPr>
            <w:noProof/>
            <w:webHidden/>
          </w:rPr>
          <w:tab/>
        </w:r>
        <w:r w:rsidR="00147937">
          <w:rPr>
            <w:noProof/>
            <w:webHidden/>
          </w:rPr>
          <w:fldChar w:fldCharType="begin"/>
        </w:r>
        <w:r w:rsidR="00147937">
          <w:rPr>
            <w:noProof/>
            <w:webHidden/>
          </w:rPr>
          <w:instrText xml:space="preserve"> PAGEREF _Toc440274007 \h </w:instrText>
        </w:r>
        <w:r w:rsidR="00147937">
          <w:rPr>
            <w:noProof/>
            <w:webHidden/>
          </w:rPr>
        </w:r>
        <w:r w:rsidR="00147937">
          <w:rPr>
            <w:noProof/>
            <w:webHidden/>
          </w:rPr>
          <w:fldChar w:fldCharType="separate"/>
        </w:r>
        <w:r w:rsidR="00475986">
          <w:rPr>
            <w:noProof/>
            <w:webHidden/>
          </w:rPr>
          <w:t>64</w:t>
        </w:r>
        <w:r w:rsidR="00147937">
          <w:rPr>
            <w:noProof/>
            <w:webHidden/>
          </w:rPr>
          <w:fldChar w:fldCharType="end"/>
        </w:r>
      </w:hyperlink>
    </w:p>
    <w:p w14:paraId="2B73A915"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08" w:history="1">
        <w:r w:rsidR="00147937" w:rsidRPr="00C96F9D">
          <w:rPr>
            <w:rStyle w:val="Hyperlink"/>
            <w:noProof/>
          </w:rPr>
          <w:t xml:space="preserve">Table 16. </w:t>
        </w:r>
        <w:r w:rsidR="00147937" w:rsidRPr="00C96F9D">
          <w:rPr>
            <w:rStyle w:val="Hyperlink"/>
            <w:bCs/>
            <w:noProof/>
          </w:rPr>
          <w:t>Summary of Environmental Charges Collected</w:t>
        </w:r>
        <w:r w:rsidR="00147937">
          <w:rPr>
            <w:noProof/>
            <w:webHidden/>
          </w:rPr>
          <w:tab/>
        </w:r>
        <w:r w:rsidR="00147937">
          <w:rPr>
            <w:noProof/>
            <w:webHidden/>
          </w:rPr>
          <w:fldChar w:fldCharType="begin"/>
        </w:r>
        <w:r w:rsidR="00147937">
          <w:rPr>
            <w:noProof/>
            <w:webHidden/>
          </w:rPr>
          <w:instrText xml:space="preserve"> PAGEREF _Toc440274008 \h </w:instrText>
        </w:r>
        <w:r w:rsidR="00147937">
          <w:rPr>
            <w:noProof/>
            <w:webHidden/>
          </w:rPr>
        </w:r>
        <w:r w:rsidR="00147937">
          <w:rPr>
            <w:noProof/>
            <w:webHidden/>
          </w:rPr>
          <w:fldChar w:fldCharType="separate"/>
        </w:r>
        <w:r w:rsidR="00475986">
          <w:rPr>
            <w:noProof/>
            <w:webHidden/>
          </w:rPr>
          <w:t>65</w:t>
        </w:r>
        <w:r w:rsidR="00147937">
          <w:rPr>
            <w:noProof/>
            <w:webHidden/>
          </w:rPr>
          <w:fldChar w:fldCharType="end"/>
        </w:r>
      </w:hyperlink>
    </w:p>
    <w:p w14:paraId="0F2A4800"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09" w:history="1">
        <w:r w:rsidR="00147937" w:rsidRPr="00C96F9D">
          <w:rPr>
            <w:rStyle w:val="Hyperlink"/>
            <w:noProof/>
          </w:rPr>
          <w:t>Table 17. Structure of Environmental Expenditures, 2010–2013 (as % of Annual Totals)</w:t>
        </w:r>
        <w:r w:rsidR="00147937">
          <w:rPr>
            <w:noProof/>
            <w:webHidden/>
          </w:rPr>
          <w:tab/>
        </w:r>
        <w:r w:rsidR="00147937">
          <w:rPr>
            <w:noProof/>
            <w:webHidden/>
          </w:rPr>
          <w:fldChar w:fldCharType="begin"/>
        </w:r>
        <w:r w:rsidR="00147937">
          <w:rPr>
            <w:noProof/>
            <w:webHidden/>
          </w:rPr>
          <w:instrText xml:space="preserve"> PAGEREF _Toc440274009 \h </w:instrText>
        </w:r>
        <w:r w:rsidR="00147937">
          <w:rPr>
            <w:noProof/>
            <w:webHidden/>
          </w:rPr>
        </w:r>
        <w:r w:rsidR="00147937">
          <w:rPr>
            <w:noProof/>
            <w:webHidden/>
          </w:rPr>
          <w:fldChar w:fldCharType="separate"/>
        </w:r>
        <w:r w:rsidR="00475986">
          <w:rPr>
            <w:noProof/>
            <w:webHidden/>
          </w:rPr>
          <w:t>65</w:t>
        </w:r>
        <w:r w:rsidR="00147937">
          <w:rPr>
            <w:noProof/>
            <w:webHidden/>
          </w:rPr>
          <w:fldChar w:fldCharType="end"/>
        </w:r>
      </w:hyperlink>
    </w:p>
    <w:p w14:paraId="6418D268"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10" w:history="1">
        <w:r w:rsidR="00147937" w:rsidRPr="00C96F9D">
          <w:rPr>
            <w:rStyle w:val="Hyperlink"/>
            <w:noProof/>
          </w:rPr>
          <w:t>Table 18</w:t>
        </w:r>
        <w:r w:rsidR="00147937" w:rsidRPr="00C96F9D">
          <w:rPr>
            <w:rStyle w:val="Hyperlink"/>
            <w:rFonts w:eastAsia="Times New Roman"/>
            <w:noProof/>
          </w:rPr>
          <w:t>. Summary of Key Recommendations</w:t>
        </w:r>
        <w:r w:rsidR="00147937">
          <w:rPr>
            <w:noProof/>
            <w:webHidden/>
          </w:rPr>
          <w:tab/>
        </w:r>
        <w:r w:rsidR="00147937">
          <w:rPr>
            <w:noProof/>
            <w:webHidden/>
          </w:rPr>
          <w:fldChar w:fldCharType="begin"/>
        </w:r>
        <w:r w:rsidR="00147937">
          <w:rPr>
            <w:noProof/>
            <w:webHidden/>
          </w:rPr>
          <w:instrText xml:space="preserve"> PAGEREF _Toc440274010 \h </w:instrText>
        </w:r>
        <w:r w:rsidR="00147937">
          <w:rPr>
            <w:noProof/>
            <w:webHidden/>
          </w:rPr>
        </w:r>
        <w:r w:rsidR="00147937">
          <w:rPr>
            <w:noProof/>
            <w:webHidden/>
          </w:rPr>
          <w:fldChar w:fldCharType="separate"/>
        </w:r>
        <w:r w:rsidR="00475986">
          <w:rPr>
            <w:noProof/>
            <w:webHidden/>
          </w:rPr>
          <w:t>75</w:t>
        </w:r>
        <w:r w:rsidR="00147937">
          <w:rPr>
            <w:noProof/>
            <w:webHidden/>
          </w:rPr>
          <w:fldChar w:fldCharType="end"/>
        </w:r>
      </w:hyperlink>
    </w:p>
    <w:p w14:paraId="1DF44FA7" w14:textId="77777777" w:rsidR="00EC5D30" w:rsidRPr="002B1DFC" w:rsidRDefault="000B7923" w:rsidP="00EC5D30">
      <w:pPr>
        <w:rPr>
          <w:rFonts w:cs="Times New Roman"/>
        </w:rPr>
      </w:pPr>
      <w:r w:rsidRPr="002B1DFC">
        <w:rPr>
          <w:rFonts w:cs="Times New Roman"/>
        </w:rPr>
        <w:fldChar w:fldCharType="end"/>
      </w:r>
    </w:p>
    <w:p w14:paraId="40A08426" w14:textId="77777777" w:rsidR="000B7923" w:rsidRPr="002B1DFC" w:rsidRDefault="000B7923" w:rsidP="00591FD4">
      <w:pPr>
        <w:rPr>
          <w:rFonts w:cs="Times New Roman"/>
          <w:b/>
          <w:bCs/>
        </w:rPr>
      </w:pPr>
      <w:r w:rsidRPr="002B1DFC">
        <w:rPr>
          <w:rFonts w:cs="Times New Roman"/>
          <w:b/>
          <w:bCs/>
        </w:rPr>
        <w:t>List of Figures</w:t>
      </w:r>
    </w:p>
    <w:p w14:paraId="68FA6E68" w14:textId="77777777" w:rsidR="000B7923" w:rsidRPr="002B1DFC" w:rsidRDefault="000B7923" w:rsidP="00F33595">
      <w:pPr>
        <w:rPr>
          <w:rFonts w:cs="Times New Roman"/>
          <w:b/>
          <w:bCs/>
        </w:rPr>
      </w:pPr>
    </w:p>
    <w:p w14:paraId="5186791F" w14:textId="77777777" w:rsidR="00147937" w:rsidRDefault="000B7923">
      <w:pPr>
        <w:pStyle w:val="TableofFigures"/>
        <w:tabs>
          <w:tab w:val="right" w:leader="dot" w:pos="9350"/>
        </w:tabs>
        <w:rPr>
          <w:rFonts w:asciiTheme="minorHAnsi" w:eastAsiaTheme="minorEastAsia" w:hAnsiTheme="minorHAnsi" w:cstheme="minorBidi"/>
          <w:noProof/>
        </w:rPr>
      </w:pPr>
      <w:r w:rsidRPr="002B1DFC">
        <w:rPr>
          <w:rFonts w:cs="Times New Roman"/>
        </w:rPr>
        <w:fldChar w:fldCharType="begin"/>
      </w:r>
      <w:r w:rsidRPr="002B1DFC">
        <w:rPr>
          <w:rFonts w:cs="Times New Roman"/>
        </w:rPr>
        <w:instrText xml:space="preserve"> TOC \h \z \c "Figure" </w:instrText>
      </w:r>
      <w:r w:rsidRPr="002B1DFC">
        <w:rPr>
          <w:rFonts w:cs="Times New Roman"/>
        </w:rPr>
        <w:fldChar w:fldCharType="separate"/>
      </w:r>
      <w:hyperlink w:anchor="_Toc440274011" w:history="1">
        <w:r w:rsidR="00147937" w:rsidRPr="009C5327">
          <w:rPr>
            <w:rStyle w:val="Hyperlink"/>
            <w:noProof/>
          </w:rPr>
          <w:t>Figure 1. Adjusted Net Savings in Ukraine between 2000 and 2014</w:t>
        </w:r>
        <w:r w:rsidR="00147937">
          <w:rPr>
            <w:noProof/>
            <w:webHidden/>
          </w:rPr>
          <w:tab/>
        </w:r>
        <w:r w:rsidR="00147937">
          <w:rPr>
            <w:noProof/>
            <w:webHidden/>
          </w:rPr>
          <w:fldChar w:fldCharType="begin"/>
        </w:r>
        <w:r w:rsidR="00147937">
          <w:rPr>
            <w:noProof/>
            <w:webHidden/>
          </w:rPr>
          <w:instrText xml:space="preserve"> PAGEREF _Toc440274011 \h </w:instrText>
        </w:r>
        <w:r w:rsidR="00147937">
          <w:rPr>
            <w:noProof/>
            <w:webHidden/>
          </w:rPr>
        </w:r>
        <w:r w:rsidR="00147937">
          <w:rPr>
            <w:noProof/>
            <w:webHidden/>
          </w:rPr>
          <w:fldChar w:fldCharType="separate"/>
        </w:r>
        <w:r w:rsidR="00475986">
          <w:rPr>
            <w:noProof/>
            <w:webHidden/>
          </w:rPr>
          <w:t>5</w:t>
        </w:r>
        <w:r w:rsidR="00147937">
          <w:rPr>
            <w:noProof/>
            <w:webHidden/>
          </w:rPr>
          <w:fldChar w:fldCharType="end"/>
        </w:r>
      </w:hyperlink>
    </w:p>
    <w:p w14:paraId="2EE1766D"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12" w:history="1">
        <w:r w:rsidR="00147937" w:rsidRPr="009C5327">
          <w:rPr>
            <w:rStyle w:val="Hyperlink"/>
            <w:noProof/>
          </w:rPr>
          <w:t>Figure 2. Comparative Municipal Solid Waste Generation and Recovery Rates</w:t>
        </w:r>
        <w:r w:rsidR="00147937">
          <w:rPr>
            <w:noProof/>
            <w:webHidden/>
          </w:rPr>
          <w:tab/>
        </w:r>
        <w:r w:rsidR="00147937">
          <w:rPr>
            <w:noProof/>
            <w:webHidden/>
          </w:rPr>
          <w:fldChar w:fldCharType="begin"/>
        </w:r>
        <w:r w:rsidR="00147937">
          <w:rPr>
            <w:noProof/>
            <w:webHidden/>
          </w:rPr>
          <w:instrText xml:space="preserve"> PAGEREF _Toc440274012 \h </w:instrText>
        </w:r>
        <w:r w:rsidR="00147937">
          <w:rPr>
            <w:noProof/>
            <w:webHidden/>
          </w:rPr>
        </w:r>
        <w:r w:rsidR="00147937">
          <w:rPr>
            <w:noProof/>
            <w:webHidden/>
          </w:rPr>
          <w:fldChar w:fldCharType="separate"/>
        </w:r>
        <w:r w:rsidR="00475986">
          <w:rPr>
            <w:noProof/>
            <w:webHidden/>
          </w:rPr>
          <w:t>9</w:t>
        </w:r>
        <w:r w:rsidR="00147937">
          <w:rPr>
            <w:noProof/>
            <w:webHidden/>
          </w:rPr>
          <w:fldChar w:fldCharType="end"/>
        </w:r>
      </w:hyperlink>
    </w:p>
    <w:p w14:paraId="1A88F71C"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13" w:history="1">
        <w:r w:rsidR="00147937" w:rsidRPr="009C5327">
          <w:rPr>
            <w:rStyle w:val="Hyperlink"/>
            <w:noProof/>
          </w:rPr>
          <w:t>Figure 3. Worldwide Governance Indicators – Ukraine</w:t>
        </w:r>
        <w:r w:rsidR="00147937">
          <w:rPr>
            <w:noProof/>
            <w:webHidden/>
          </w:rPr>
          <w:tab/>
        </w:r>
        <w:r w:rsidR="00147937">
          <w:rPr>
            <w:noProof/>
            <w:webHidden/>
          </w:rPr>
          <w:fldChar w:fldCharType="begin"/>
        </w:r>
        <w:r w:rsidR="00147937">
          <w:rPr>
            <w:noProof/>
            <w:webHidden/>
          </w:rPr>
          <w:instrText xml:space="preserve"> PAGEREF _Toc440274013 \h </w:instrText>
        </w:r>
        <w:r w:rsidR="00147937">
          <w:rPr>
            <w:noProof/>
            <w:webHidden/>
          </w:rPr>
        </w:r>
        <w:r w:rsidR="00147937">
          <w:rPr>
            <w:noProof/>
            <w:webHidden/>
          </w:rPr>
          <w:fldChar w:fldCharType="separate"/>
        </w:r>
        <w:r w:rsidR="00475986">
          <w:rPr>
            <w:noProof/>
            <w:webHidden/>
          </w:rPr>
          <w:t>15</w:t>
        </w:r>
        <w:r w:rsidR="00147937">
          <w:rPr>
            <w:noProof/>
            <w:webHidden/>
          </w:rPr>
          <w:fldChar w:fldCharType="end"/>
        </w:r>
      </w:hyperlink>
    </w:p>
    <w:p w14:paraId="137CB9E7"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14" w:history="1">
        <w:r w:rsidR="00147937" w:rsidRPr="009C5327">
          <w:rPr>
            <w:rStyle w:val="Hyperlink"/>
            <w:noProof/>
          </w:rPr>
          <w:t>Figure 4. Structure of the Subordinated Agencies of the MENR, 2015</w:t>
        </w:r>
        <w:r w:rsidR="00147937">
          <w:rPr>
            <w:noProof/>
            <w:webHidden/>
          </w:rPr>
          <w:tab/>
        </w:r>
        <w:r w:rsidR="00147937">
          <w:rPr>
            <w:noProof/>
            <w:webHidden/>
          </w:rPr>
          <w:fldChar w:fldCharType="begin"/>
        </w:r>
        <w:r w:rsidR="00147937">
          <w:rPr>
            <w:noProof/>
            <w:webHidden/>
          </w:rPr>
          <w:instrText xml:space="preserve"> PAGEREF _Toc440274014 \h </w:instrText>
        </w:r>
        <w:r w:rsidR="00147937">
          <w:rPr>
            <w:noProof/>
            <w:webHidden/>
          </w:rPr>
        </w:r>
        <w:r w:rsidR="00147937">
          <w:rPr>
            <w:noProof/>
            <w:webHidden/>
          </w:rPr>
          <w:fldChar w:fldCharType="separate"/>
        </w:r>
        <w:r w:rsidR="00475986">
          <w:rPr>
            <w:noProof/>
            <w:webHidden/>
          </w:rPr>
          <w:t>31</w:t>
        </w:r>
        <w:r w:rsidR="00147937">
          <w:rPr>
            <w:noProof/>
            <w:webHidden/>
          </w:rPr>
          <w:fldChar w:fldCharType="end"/>
        </w:r>
      </w:hyperlink>
    </w:p>
    <w:p w14:paraId="32F48665"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15" w:history="1">
        <w:r w:rsidR="00147937" w:rsidRPr="009C5327">
          <w:rPr>
            <w:rStyle w:val="Hyperlink"/>
            <w:noProof/>
          </w:rPr>
          <w:t>Figure 5. Government Structures Involved in Environmental Protection, 2015</w:t>
        </w:r>
        <w:r w:rsidR="00147937">
          <w:rPr>
            <w:noProof/>
            <w:webHidden/>
          </w:rPr>
          <w:tab/>
        </w:r>
        <w:r w:rsidR="00147937">
          <w:rPr>
            <w:noProof/>
            <w:webHidden/>
          </w:rPr>
          <w:fldChar w:fldCharType="begin"/>
        </w:r>
        <w:r w:rsidR="00147937">
          <w:rPr>
            <w:noProof/>
            <w:webHidden/>
          </w:rPr>
          <w:instrText xml:space="preserve"> PAGEREF _Toc440274015 \h </w:instrText>
        </w:r>
        <w:r w:rsidR="00147937">
          <w:rPr>
            <w:noProof/>
            <w:webHidden/>
          </w:rPr>
        </w:r>
        <w:r w:rsidR="00147937">
          <w:rPr>
            <w:noProof/>
            <w:webHidden/>
          </w:rPr>
          <w:fldChar w:fldCharType="separate"/>
        </w:r>
        <w:r w:rsidR="00475986">
          <w:rPr>
            <w:noProof/>
            <w:webHidden/>
          </w:rPr>
          <w:t>32</w:t>
        </w:r>
        <w:r w:rsidR="00147937">
          <w:rPr>
            <w:noProof/>
            <w:webHidden/>
          </w:rPr>
          <w:fldChar w:fldCharType="end"/>
        </w:r>
      </w:hyperlink>
    </w:p>
    <w:p w14:paraId="69D4A25C"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16" w:history="1">
        <w:r w:rsidR="00147937" w:rsidRPr="009C5327">
          <w:rPr>
            <w:rStyle w:val="Hyperlink"/>
            <w:noProof/>
          </w:rPr>
          <w:t>Figure 6. Share of Environmental Taxes in the EU Member States (2013) and Ukraine (2014) of Total Taxes and Social Contributions</w:t>
        </w:r>
        <w:r w:rsidR="00147937">
          <w:rPr>
            <w:noProof/>
            <w:webHidden/>
          </w:rPr>
          <w:tab/>
        </w:r>
        <w:r w:rsidR="00147937">
          <w:rPr>
            <w:noProof/>
            <w:webHidden/>
          </w:rPr>
          <w:fldChar w:fldCharType="begin"/>
        </w:r>
        <w:r w:rsidR="00147937">
          <w:rPr>
            <w:noProof/>
            <w:webHidden/>
          </w:rPr>
          <w:instrText xml:space="preserve"> PAGEREF _Toc440274016 \h </w:instrText>
        </w:r>
        <w:r w:rsidR="00147937">
          <w:rPr>
            <w:noProof/>
            <w:webHidden/>
          </w:rPr>
        </w:r>
        <w:r w:rsidR="00147937">
          <w:rPr>
            <w:noProof/>
            <w:webHidden/>
          </w:rPr>
          <w:fldChar w:fldCharType="separate"/>
        </w:r>
        <w:r w:rsidR="00475986">
          <w:rPr>
            <w:noProof/>
            <w:webHidden/>
          </w:rPr>
          <w:t>65</w:t>
        </w:r>
        <w:r w:rsidR="00147937">
          <w:rPr>
            <w:noProof/>
            <w:webHidden/>
          </w:rPr>
          <w:fldChar w:fldCharType="end"/>
        </w:r>
      </w:hyperlink>
    </w:p>
    <w:p w14:paraId="1D65A32D"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17" w:history="1">
        <w:r w:rsidR="00147937" w:rsidRPr="009C5327">
          <w:rPr>
            <w:rStyle w:val="Hyperlink"/>
            <w:bCs/>
            <w:noProof/>
          </w:rPr>
          <w:t>Figure 7. Number of Internet Users per 100 People (2013)</w:t>
        </w:r>
        <w:r w:rsidR="00147937">
          <w:rPr>
            <w:noProof/>
            <w:webHidden/>
          </w:rPr>
          <w:tab/>
        </w:r>
        <w:r w:rsidR="00147937">
          <w:rPr>
            <w:noProof/>
            <w:webHidden/>
          </w:rPr>
          <w:fldChar w:fldCharType="begin"/>
        </w:r>
        <w:r w:rsidR="00147937">
          <w:rPr>
            <w:noProof/>
            <w:webHidden/>
          </w:rPr>
          <w:instrText xml:space="preserve"> PAGEREF _Toc440274017 \h </w:instrText>
        </w:r>
        <w:r w:rsidR="00147937">
          <w:rPr>
            <w:noProof/>
            <w:webHidden/>
          </w:rPr>
        </w:r>
        <w:r w:rsidR="00147937">
          <w:rPr>
            <w:noProof/>
            <w:webHidden/>
          </w:rPr>
          <w:fldChar w:fldCharType="separate"/>
        </w:r>
        <w:r w:rsidR="00475986">
          <w:rPr>
            <w:noProof/>
            <w:webHidden/>
          </w:rPr>
          <w:t>67</w:t>
        </w:r>
        <w:r w:rsidR="00147937">
          <w:rPr>
            <w:noProof/>
            <w:webHidden/>
          </w:rPr>
          <w:fldChar w:fldCharType="end"/>
        </w:r>
      </w:hyperlink>
    </w:p>
    <w:p w14:paraId="5F31C392"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18" w:history="1">
        <w:r w:rsidR="00147937" w:rsidRPr="009C5327">
          <w:rPr>
            <w:rStyle w:val="Hyperlink"/>
            <w:noProof/>
          </w:rPr>
          <w:t>Figure 8. Evolution of ISO 14001 Certificates in Ukraine</w:t>
        </w:r>
        <w:r w:rsidR="00147937">
          <w:rPr>
            <w:noProof/>
            <w:webHidden/>
          </w:rPr>
          <w:tab/>
        </w:r>
        <w:r w:rsidR="00147937">
          <w:rPr>
            <w:noProof/>
            <w:webHidden/>
          </w:rPr>
          <w:fldChar w:fldCharType="begin"/>
        </w:r>
        <w:r w:rsidR="00147937">
          <w:rPr>
            <w:noProof/>
            <w:webHidden/>
          </w:rPr>
          <w:instrText xml:space="preserve"> PAGEREF _Toc440274018 \h </w:instrText>
        </w:r>
        <w:r w:rsidR="00147937">
          <w:rPr>
            <w:noProof/>
            <w:webHidden/>
          </w:rPr>
        </w:r>
        <w:r w:rsidR="00147937">
          <w:rPr>
            <w:noProof/>
            <w:webHidden/>
          </w:rPr>
          <w:fldChar w:fldCharType="separate"/>
        </w:r>
        <w:r w:rsidR="00475986">
          <w:rPr>
            <w:noProof/>
            <w:webHidden/>
          </w:rPr>
          <w:t>69</w:t>
        </w:r>
        <w:r w:rsidR="00147937">
          <w:rPr>
            <w:noProof/>
            <w:webHidden/>
          </w:rPr>
          <w:fldChar w:fldCharType="end"/>
        </w:r>
      </w:hyperlink>
    </w:p>
    <w:p w14:paraId="1328AA28" w14:textId="77777777" w:rsidR="00147937" w:rsidRDefault="00C16940">
      <w:pPr>
        <w:pStyle w:val="TableofFigures"/>
        <w:tabs>
          <w:tab w:val="right" w:leader="dot" w:pos="9350"/>
        </w:tabs>
        <w:rPr>
          <w:rFonts w:asciiTheme="minorHAnsi" w:eastAsiaTheme="minorEastAsia" w:hAnsiTheme="minorHAnsi" w:cstheme="minorBidi"/>
          <w:noProof/>
        </w:rPr>
      </w:pPr>
      <w:hyperlink w:anchor="_Toc440274019" w:history="1">
        <w:r w:rsidR="00147937" w:rsidRPr="009C5327">
          <w:rPr>
            <w:rStyle w:val="Hyperlink"/>
            <w:noProof/>
          </w:rPr>
          <w:t>Figure 9. Comparison of Number of ISO Certificates by Country</w:t>
        </w:r>
        <w:r w:rsidR="00147937">
          <w:rPr>
            <w:noProof/>
            <w:webHidden/>
          </w:rPr>
          <w:tab/>
        </w:r>
        <w:r w:rsidR="00147937">
          <w:rPr>
            <w:noProof/>
            <w:webHidden/>
          </w:rPr>
          <w:fldChar w:fldCharType="begin"/>
        </w:r>
        <w:r w:rsidR="00147937">
          <w:rPr>
            <w:noProof/>
            <w:webHidden/>
          </w:rPr>
          <w:instrText xml:space="preserve"> PAGEREF _Toc440274019 \h </w:instrText>
        </w:r>
        <w:r w:rsidR="00147937">
          <w:rPr>
            <w:noProof/>
            <w:webHidden/>
          </w:rPr>
        </w:r>
        <w:r w:rsidR="00147937">
          <w:rPr>
            <w:noProof/>
            <w:webHidden/>
          </w:rPr>
          <w:fldChar w:fldCharType="separate"/>
        </w:r>
        <w:r w:rsidR="00475986">
          <w:rPr>
            <w:noProof/>
            <w:webHidden/>
          </w:rPr>
          <w:t>69</w:t>
        </w:r>
        <w:r w:rsidR="00147937">
          <w:rPr>
            <w:noProof/>
            <w:webHidden/>
          </w:rPr>
          <w:fldChar w:fldCharType="end"/>
        </w:r>
      </w:hyperlink>
    </w:p>
    <w:p w14:paraId="37614D1A" w14:textId="77777777" w:rsidR="00D072BB" w:rsidRPr="002B1DFC" w:rsidRDefault="000B7923" w:rsidP="00D072BB">
      <w:pPr>
        <w:rPr>
          <w:rFonts w:cs="Times New Roman"/>
          <w:b/>
          <w:bCs/>
        </w:rPr>
      </w:pPr>
      <w:r w:rsidRPr="002B1DFC">
        <w:rPr>
          <w:rFonts w:cs="Times New Roman"/>
        </w:rPr>
        <w:fldChar w:fldCharType="end"/>
      </w:r>
    </w:p>
    <w:p w14:paraId="2AD7A63A" w14:textId="77777777" w:rsidR="000B7923" w:rsidRPr="002B1DFC" w:rsidRDefault="000B7923" w:rsidP="00591FD4">
      <w:pPr>
        <w:rPr>
          <w:rFonts w:cs="Times New Roman"/>
          <w:b/>
          <w:bCs/>
        </w:rPr>
      </w:pPr>
      <w:r w:rsidRPr="002B1DFC">
        <w:rPr>
          <w:rFonts w:cs="Times New Roman"/>
          <w:b/>
          <w:bCs/>
        </w:rPr>
        <w:t>List of Boxes</w:t>
      </w:r>
    </w:p>
    <w:p w14:paraId="2E10D95C" w14:textId="77777777" w:rsidR="000B7923" w:rsidRPr="002B1DFC" w:rsidRDefault="000B7923" w:rsidP="00F33595">
      <w:pPr>
        <w:rPr>
          <w:rFonts w:cs="Times New Roman"/>
        </w:rPr>
      </w:pPr>
    </w:p>
    <w:p w14:paraId="5D784943" w14:textId="77777777" w:rsidR="00147937" w:rsidRDefault="000B7923">
      <w:pPr>
        <w:pStyle w:val="TableofFigures"/>
        <w:tabs>
          <w:tab w:val="right" w:leader="dot" w:pos="9350"/>
        </w:tabs>
        <w:rPr>
          <w:rFonts w:asciiTheme="minorHAnsi" w:eastAsiaTheme="minorEastAsia" w:hAnsiTheme="minorHAnsi" w:cstheme="minorBidi"/>
          <w:noProof/>
        </w:rPr>
      </w:pPr>
      <w:r w:rsidRPr="002B1DFC">
        <w:rPr>
          <w:rFonts w:cs="Times New Roman"/>
        </w:rPr>
        <w:fldChar w:fldCharType="begin"/>
      </w:r>
      <w:r w:rsidRPr="002B1DFC">
        <w:rPr>
          <w:rFonts w:cs="Times New Roman"/>
        </w:rPr>
        <w:instrText xml:space="preserve"> TOC \h \z \c "Box" </w:instrText>
      </w:r>
      <w:r w:rsidRPr="002B1DFC">
        <w:rPr>
          <w:rFonts w:cs="Times New Roman"/>
        </w:rPr>
        <w:fldChar w:fldCharType="separate"/>
      </w:r>
      <w:hyperlink w:anchor="_Toc440274020" w:history="1">
        <w:r w:rsidR="00147937" w:rsidRPr="00F73F55">
          <w:rPr>
            <w:rStyle w:val="Hyperlink"/>
            <w:noProof/>
          </w:rPr>
          <w:t>Box 1. Key Goals of the Government Strategy for Regional Development up to 2020</w:t>
        </w:r>
        <w:r w:rsidR="00147937">
          <w:rPr>
            <w:noProof/>
            <w:webHidden/>
          </w:rPr>
          <w:tab/>
        </w:r>
        <w:r w:rsidR="00147937">
          <w:rPr>
            <w:noProof/>
            <w:webHidden/>
          </w:rPr>
          <w:fldChar w:fldCharType="begin"/>
        </w:r>
        <w:r w:rsidR="00147937">
          <w:rPr>
            <w:noProof/>
            <w:webHidden/>
          </w:rPr>
          <w:instrText xml:space="preserve"> PAGEREF _Toc440274020 \h </w:instrText>
        </w:r>
        <w:r w:rsidR="00147937">
          <w:rPr>
            <w:noProof/>
            <w:webHidden/>
          </w:rPr>
        </w:r>
        <w:r w:rsidR="00147937">
          <w:rPr>
            <w:noProof/>
            <w:webHidden/>
          </w:rPr>
          <w:fldChar w:fldCharType="separate"/>
        </w:r>
        <w:r w:rsidR="00475986">
          <w:rPr>
            <w:noProof/>
            <w:webHidden/>
          </w:rPr>
          <w:t>13</w:t>
        </w:r>
        <w:r w:rsidR="00147937">
          <w:rPr>
            <w:noProof/>
            <w:webHidden/>
          </w:rPr>
          <w:fldChar w:fldCharType="end"/>
        </w:r>
      </w:hyperlink>
    </w:p>
    <w:p w14:paraId="69B05C28" w14:textId="77777777" w:rsidR="000B7923" w:rsidRPr="002B1DFC" w:rsidRDefault="000B7923" w:rsidP="00F33595">
      <w:pPr>
        <w:jc w:val="left"/>
        <w:rPr>
          <w:rFonts w:cs="Times New Roman"/>
        </w:rPr>
      </w:pPr>
      <w:r w:rsidRPr="002B1DFC">
        <w:rPr>
          <w:rFonts w:cs="Times New Roman"/>
        </w:rPr>
        <w:fldChar w:fldCharType="end"/>
      </w:r>
    </w:p>
    <w:p w14:paraId="2DCC615E" w14:textId="77777777" w:rsidR="000B7923" w:rsidRPr="002B1DFC" w:rsidRDefault="000B7923" w:rsidP="00F33595">
      <w:pPr>
        <w:jc w:val="left"/>
        <w:rPr>
          <w:rFonts w:cs="Times New Roman"/>
        </w:rPr>
      </w:pPr>
    </w:p>
    <w:p w14:paraId="14C03023" w14:textId="77777777" w:rsidR="000B7923" w:rsidRPr="00F046A2" w:rsidRDefault="000B7923" w:rsidP="00F33595">
      <w:pPr>
        <w:jc w:val="left"/>
        <w:rPr>
          <w:rFonts w:cs="Times New Roman"/>
          <w:bCs/>
        </w:rPr>
      </w:pPr>
      <w:r w:rsidRPr="00F046A2">
        <w:rPr>
          <w:rFonts w:cs="Times New Roman"/>
          <w:bCs/>
        </w:rPr>
        <w:br w:type="page"/>
      </w:r>
    </w:p>
    <w:p w14:paraId="2C037227" w14:textId="77777777" w:rsidR="000B7923" w:rsidRPr="002B1DFC" w:rsidRDefault="000B7923" w:rsidP="00F33595">
      <w:pPr>
        <w:jc w:val="center"/>
        <w:rPr>
          <w:rFonts w:cs="Times New Roman"/>
          <w:b/>
          <w:bCs/>
        </w:rPr>
      </w:pPr>
      <w:r w:rsidRPr="002B1DFC">
        <w:rPr>
          <w:rFonts w:cs="Times New Roman"/>
          <w:b/>
          <w:bCs/>
        </w:rPr>
        <w:lastRenderedPageBreak/>
        <w:t>Currency Conversion Table</w:t>
      </w:r>
    </w:p>
    <w:p w14:paraId="1B3F07EE" w14:textId="77777777" w:rsidR="000B7923" w:rsidRPr="002B1DFC" w:rsidRDefault="000B7923" w:rsidP="00F33595">
      <w:pPr>
        <w:jc w:val="center"/>
        <w:rPr>
          <w:rFonts w:cs="Times New Roman"/>
          <w:b/>
          <w:bCs/>
        </w:rPr>
      </w:pPr>
    </w:p>
    <w:tbl>
      <w:tblPr>
        <w:tblW w:w="5000" w:type="pct"/>
        <w:jc w:val="center"/>
        <w:tblLook w:val="00A0" w:firstRow="1" w:lastRow="0" w:firstColumn="1" w:lastColumn="0" w:noHBand="0" w:noVBand="0"/>
      </w:tblPr>
      <w:tblGrid>
        <w:gridCol w:w="4680"/>
        <w:gridCol w:w="4680"/>
      </w:tblGrid>
      <w:tr w:rsidR="000B7923" w:rsidRPr="002B1DFC" w14:paraId="660C614C" w14:textId="77777777">
        <w:trPr>
          <w:trHeight w:val="300"/>
          <w:jc w:val="center"/>
        </w:trPr>
        <w:tc>
          <w:tcPr>
            <w:tcW w:w="2500" w:type="pct"/>
            <w:tcBorders>
              <w:top w:val="nil"/>
              <w:left w:val="nil"/>
              <w:bottom w:val="nil"/>
              <w:right w:val="nil"/>
            </w:tcBorders>
            <w:noWrap/>
            <w:vAlign w:val="bottom"/>
          </w:tcPr>
          <w:p w14:paraId="5C1FED0E" w14:textId="77777777" w:rsidR="000B7923" w:rsidRPr="002B1DFC" w:rsidRDefault="000B7923" w:rsidP="00F33595">
            <w:pPr>
              <w:jc w:val="right"/>
              <w:rPr>
                <w:rFonts w:cs="Times New Roman"/>
                <w:b/>
                <w:bCs/>
                <w:color w:val="000000"/>
              </w:rPr>
            </w:pPr>
            <w:r w:rsidRPr="002B1DFC">
              <w:rPr>
                <w:rFonts w:cs="Times New Roman"/>
                <w:b/>
                <w:bCs/>
                <w:color w:val="000000"/>
              </w:rPr>
              <w:t>Year</w:t>
            </w:r>
          </w:p>
        </w:tc>
        <w:tc>
          <w:tcPr>
            <w:tcW w:w="2500" w:type="pct"/>
            <w:tcBorders>
              <w:top w:val="nil"/>
              <w:left w:val="nil"/>
              <w:bottom w:val="nil"/>
              <w:right w:val="nil"/>
            </w:tcBorders>
            <w:noWrap/>
            <w:vAlign w:val="bottom"/>
          </w:tcPr>
          <w:p w14:paraId="4FD629BF" w14:textId="77777777" w:rsidR="000B7923" w:rsidRPr="002B1DFC" w:rsidRDefault="000B7923" w:rsidP="00FD2F9E">
            <w:pPr>
              <w:jc w:val="left"/>
              <w:rPr>
                <w:rFonts w:cs="Times New Roman"/>
                <w:b/>
                <w:bCs/>
                <w:color w:val="000000"/>
              </w:rPr>
            </w:pPr>
            <w:r w:rsidRPr="002B1DFC">
              <w:rPr>
                <w:rFonts w:cs="Times New Roman"/>
                <w:b/>
                <w:bCs/>
                <w:color w:val="000000"/>
              </w:rPr>
              <w:t xml:space="preserve">UAH / </w:t>
            </w:r>
            <w:r w:rsidR="00FD2F9E" w:rsidRPr="002B1DFC">
              <w:rPr>
                <w:rFonts w:cs="Times New Roman"/>
                <w:b/>
                <w:bCs/>
                <w:color w:val="000000"/>
              </w:rPr>
              <w:t>US</w:t>
            </w:r>
            <w:r w:rsidR="00FD2F9E">
              <w:rPr>
                <w:rFonts w:cs="Times New Roman"/>
                <w:b/>
                <w:bCs/>
                <w:color w:val="000000"/>
              </w:rPr>
              <w:t>$</w:t>
            </w:r>
          </w:p>
        </w:tc>
      </w:tr>
      <w:tr w:rsidR="000B7923" w:rsidRPr="002B1DFC" w14:paraId="670F3B0B" w14:textId="77777777">
        <w:trPr>
          <w:trHeight w:val="300"/>
          <w:jc w:val="center"/>
        </w:trPr>
        <w:tc>
          <w:tcPr>
            <w:tcW w:w="2500" w:type="pct"/>
            <w:tcBorders>
              <w:top w:val="nil"/>
              <w:left w:val="nil"/>
              <w:bottom w:val="nil"/>
              <w:right w:val="nil"/>
            </w:tcBorders>
            <w:noWrap/>
            <w:vAlign w:val="bottom"/>
          </w:tcPr>
          <w:p w14:paraId="03FD8372" w14:textId="77777777" w:rsidR="000B7923" w:rsidRPr="002B1DFC" w:rsidRDefault="000B7923" w:rsidP="00F33595">
            <w:pPr>
              <w:jc w:val="right"/>
              <w:rPr>
                <w:rFonts w:cs="Times New Roman"/>
                <w:color w:val="000000"/>
              </w:rPr>
            </w:pPr>
            <w:r w:rsidRPr="002B1DFC">
              <w:rPr>
                <w:rFonts w:cs="Times New Roman"/>
                <w:color w:val="000000"/>
              </w:rPr>
              <w:t>1993</w:t>
            </w:r>
          </w:p>
        </w:tc>
        <w:tc>
          <w:tcPr>
            <w:tcW w:w="2500" w:type="pct"/>
            <w:tcBorders>
              <w:top w:val="nil"/>
              <w:left w:val="nil"/>
              <w:bottom w:val="nil"/>
              <w:right w:val="nil"/>
            </w:tcBorders>
            <w:noWrap/>
            <w:vAlign w:val="bottom"/>
          </w:tcPr>
          <w:p w14:paraId="2FA84FEE" w14:textId="77777777" w:rsidR="000B7923" w:rsidRPr="002B1DFC" w:rsidRDefault="000B7923" w:rsidP="00F33595">
            <w:pPr>
              <w:jc w:val="left"/>
              <w:rPr>
                <w:rFonts w:cs="Times New Roman"/>
                <w:color w:val="000000"/>
              </w:rPr>
            </w:pPr>
            <w:r w:rsidRPr="002B1DFC">
              <w:rPr>
                <w:rFonts w:cs="Times New Roman"/>
                <w:color w:val="000000"/>
              </w:rPr>
              <w:t>0.05</w:t>
            </w:r>
          </w:p>
        </w:tc>
      </w:tr>
      <w:tr w:rsidR="000B7923" w:rsidRPr="002B1DFC" w14:paraId="120C223F" w14:textId="77777777">
        <w:trPr>
          <w:trHeight w:val="300"/>
          <w:jc w:val="center"/>
        </w:trPr>
        <w:tc>
          <w:tcPr>
            <w:tcW w:w="2500" w:type="pct"/>
            <w:tcBorders>
              <w:top w:val="nil"/>
              <w:left w:val="nil"/>
              <w:bottom w:val="nil"/>
              <w:right w:val="nil"/>
            </w:tcBorders>
            <w:noWrap/>
            <w:vAlign w:val="bottom"/>
          </w:tcPr>
          <w:p w14:paraId="4E59102D" w14:textId="77777777" w:rsidR="000B7923" w:rsidRPr="002B1DFC" w:rsidRDefault="000B7923" w:rsidP="00F33595">
            <w:pPr>
              <w:jc w:val="right"/>
              <w:rPr>
                <w:rFonts w:cs="Times New Roman"/>
                <w:color w:val="000000"/>
              </w:rPr>
            </w:pPr>
            <w:r w:rsidRPr="002B1DFC">
              <w:rPr>
                <w:rFonts w:cs="Times New Roman"/>
                <w:color w:val="000000"/>
              </w:rPr>
              <w:t>1994</w:t>
            </w:r>
          </w:p>
        </w:tc>
        <w:tc>
          <w:tcPr>
            <w:tcW w:w="2500" w:type="pct"/>
            <w:tcBorders>
              <w:top w:val="nil"/>
              <w:left w:val="nil"/>
              <w:bottom w:val="nil"/>
              <w:right w:val="nil"/>
            </w:tcBorders>
            <w:noWrap/>
            <w:vAlign w:val="bottom"/>
          </w:tcPr>
          <w:p w14:paraId="49CE7FDD" w14:textId="77777777" w:rsidR="000B7923" w:rsidRPr="002B1DFC" w:rsidRDefault="000B7923" w:rsidP="00F33595">
            <w:pPr>
              <w:jc w:val="left"/>
              <w:rPr>
                <w:rFonts w:cs="Times New Roman"/>
                <w:color w:val="000000"/>
              </w:rPr>
            </w:pPr>
            <w:r w:rsidRPr="002B1DFC">
              <w:rPr>
                <w:rFonts w:cs="Times New Roman"/>
                <w:color w:val="000000"/>
              </w:rPr>
              <w:t>0.33</w:t>
            </w:r>
          </w:p>
        </w:tc>
      </w:tr>
      <w:tr w:rsidR="000B7923" w:rsidRPr="002B1DFC" w14:paraId="3A4C867D" w14:textId="77777777">
        <w:trPr>
          <w:trHeight w:val="300"/>
          <w:jc w:val="center"/>
        </w:trPr>
        <w:tc>
          <w:tcPr>
            <w:tcW w:w="2500" w:type="pct"/>
            <w:tcBorders>
              <w:top w:val="nil"/>
              <w:left w:val="nil"/>
              <w:bottom w:val="nil"/>
              <w:right w:val="nil"/>
            </w:tcBorders>
            <w:noWrap/>
            <w:vAlign w:val="bottom"/>
          </w:tcPr>
          <w:p w14:paraId="768A8002" w14:textId="77777777" w:rsidR="000B7923" w:rsidRPr="002B1DFC" w:rsidRDefault="000B7923" w:rsidP="00F33595">
            <w:pPr>
              <w:jc w:val="right"/>
              <w:rPr>
                <w:rFonts w:cs="Times New Roman"/>
                <w:color w:val="000000"/>
              </w:rPr>
            </w:pPr>
            <w:r w:rsidRPr="002B1DFC">
              <w:rPr>
                <w:rFonts w:cs="Times New Roman"/>
                <w:color w:val="000000"/>
              </w:rPr>
              <w:t>1995</w:t>
            </w:r>
          </w:p>
        </w:tc>
        <w:tc>
          <w:tcPr>
            <w:tcW w:w="2500" w:type="pct"/>
            <w:tcBorders>
              <w:top w:val="nil"/>
              <w:left w:val="nil"/>
              <w:bottom w:val="nil"/>
              <w:right w:val="nil"/>
            </w:tcBorders>
            <w:noWrap/>
            <w:vAlign w:val="bottom"/>
          </w:tcPr>
          <w:p w14:paraId="3A5DC49D" w14:textId="77777777" w:rsidR="000B7923" w:rsidRPr="002B1DFC" w:rsidRDefault="000B7923" w:rsidP="00F33595">
            <w:pPr>
              <w:jc w:val="left"/>
              <w:rPr>
                <w:rFonts w:cs="Times New Roman"/>
                <w:color w:val="000000"/>
              </w:rPr>
            </w:pPr>
            <w:r w:rsidRPr="002B1DFC">
              <w:rPr>
                <w:rFonts w:cs="Times New Roman"/>
                <w:color w:val="000000"/>
              </w:rPr>
              <w:t>1.47</w:t>
            </w:r>
          </w:p>
        </w:tc>
      </w:tr>
      <w:tr w:rsidR="000B7923" w:rsidRPr="002B1DFC" w14:paraId="095EFD0C" w14:textId="77777777">
        <w:trPr>
          <w:trHeight w:val="300"/>
          <w:jc w:val="center"/>
        </w:trPr>
        <w:tc>
          <w:tcPr>
            <w:tcW w:w="2500" w:type="pct"/>
            <w:tcBorders>
              <w:top w:val="nil"/>
              <w:left w:val="nil"/>
              <w:bottom w:val="nil"/>
              <w:right w:val="nil"/>
            </w:tcBorders>
            <w:noWrap/>
            <w:vAlign w:val="bottom"/>
          </w:tcPr>
          <w:p w14:paraId="24D03FE1" w14:textId="77777777" w:rsidR="000B7923" w:rsidRPr="002B1DFC" w:rsidRDefault="000B7923" w:rsidP="00F33595">
            <w:pPr>
              <w:jc w:val="right"/>
              <w:rPr>
                <w:rFonts w:cs="Times New Roman"/>
                <w:color w:val="000000"/>
              </w:rPr>
            </w:pPr>
            <w:r w:rsidRPr="002B1DFC">
              <w:rPr>
                <w:rFonts w:cs="Times New Roman"/>
                <w:color w:val="000000"/>
              </w:rPr>
              <w:t>1996</w:t>
            </w:r>
          </w:p>
        </w:tc>
        <w:tc>
          <w:tcPr>
            <w:tcW w:w="2500" w:type="pct"/>
            <w:tcBorders>
              <w:top w:val="nil"/>
              <w:left w:val="nil"/>
              <w:bottom w:val="nil"/>
              <w:right w:val="nil"/>
            </w:tcBorders>
            <w:noWrap/>
            <w:vAlign w:val="bottom"/>
          </w:tcPr>
          <w:p w14:paraId="642F65BD" w14:textId="77777777" w:rsidR="000B7923" w:rsidRPr="002B1DFC" w:rsidRDefault="000B7923" w:rsidP="00F33595">
            <w:pPr>
              <w:jc w:val="left"/>
              <w:rPr>
                <w:rFonts w:cs="Times New Roman"/>
                <w:color w:val="000000"/>
              </w:rPr>
            </w:pPr>
            <w:r w:rsidRPr="002B1DFC">
              <w:rPr>
                <w:rFonts w:cs="Times New Roman"/>
                <w:color w:val="000000"/>
              </w:rPr>
              <w:t>1.83</w:t>
            </w:r>
          </w:p>
        </w:tc>
      </w:tr>
      <w:tr w:rsidR="000B7923" w:rsidRPr="002B1DFC" w14:paraId="1F137478" w14:textId="77777777">
        <w:trPr>
          <w:trHeight w:val="300"/>
          <w:jc w:val="center"/>
        </w:trPr>
        <w:tc>
          <w:tcPr>
            <w:tcW w:w="2500" w:type="pct"/>
            <w:tcBorders>
              <w:top w:val="nil"/>
              <w:left w:val="nil"/>
              <w:bottom w:val="nil"/>
              <w:right w:val="nil"/>
            </w:tcBorders>
            <w:noWrap/>
            <w:vAlign w:val="bottom"/>
          </w:tcPr>
          <w:p w14:paraId="1C1E72BA" w14:textId="77777777" w:rsidR="000B7923" w:rsidRPr="002B1DFC" w:rsidRDefault="000B7923" w:rsidP="00F33595">
            <w:pPr>
              <w:jc w:val="right"/>
              <w:rPr>
                <w:rFonts w:cs="Times New Roman"/>
                <w:color w:val="000000"/>
              </w:rPr>
            </w:pPr>
            <w:r w:rsidRPr="002B1DFC">
              <w:rPr>
                <w:rFonts w:cs="Times New Roman"/>
                <w:color w:val="000000"/>
              </w:rPr>
              <w:t>1996</w:t>
            </w:r>
          </w:p>
        </w:tc>
        <w:tc>
          <w:tcPr>
            <w:tcW w:w="2500" w:type="pct"/>
            <w:tcBorders>
              <w:top w:val="nil"/>
              <w:left w:val="nil"/>
              <w:bottom w:val="nil"/>
              <w:right w:val="nil"/>
            </w:tcBorders>
            <w:noWrap/>
            <w:vAlign w:val="bottom"/>
          </w:tcPr>
          <w:p w14:paraId="57241A58" w14:textId="77777777" w:rsidR="000B7923" w:rsidRPr="002B1DFC" w:rsidRDefault="000B7923" w:rsidP="00F33595">
            <w:pPr>
              <w:jc w:val="left"/>
              <w:rPr>
                <w:rFonts w:cs="Times New Roman"/>
                <w:color w:val="000000"/>
              </w:rPr>
            </w:pPr>
            <w:r w:rsidRPr="002B1DFC">
              <w:rPr>
                <w:rFonts w:cs="Times New Roman"/>
                <w:color w:val="000000"/>
              </w:rPr>
              <w:t>1.83</w:t>
            </w:r>
          </w:p>
        </w:tc>
      </w:tr>
      <w:tr w:rsidR="000B7923" w:rsidRPr="002B1DFC" w14:paraId="26AEAAC6" w14:textId="77777777">
        <w:trPr>
          <w:trHeight w:val="300"/>
          <w:jc w:val="center"/>
        </w:trPr>
        <w:tc>
          <w:tcPr>
            <w:tcW w:w="2500" w:type="pct"/>
            <w:tcBorders>
              <w:top w:val="nil"/>
              <w:left w:val="nil"/>
              <w:bottom w:val="nil"/>
              <w:right w:val="nil"/>
            </w:tcBorders>
            <w:noWrap/>
            <w:vAlign w:val="bottom"/>
          </w:tcPr>
          <w:p w14:paraId="4867D28B" w14:textId="77777777" w:rsidR="000B7923" w:rsidRPr="002B1DFC" w:rsidRDefault="000B7923" w:rsidP="00F33595">
            <w:pPr>
              <w:jc w:val="right"/>
              <w:rPr>
                <w:rFonts w:cs="Times New Roman"/>
                <w:color w:val="000000"/>
              </w:rPr>
            </w:pPr>
            <w:r w:rsidRPr="002B1DFC">
              <w:rPr>
                <w:rFonts w:cs="Times New Roman"/>
                <w:color w:val="000000"/>
              </w:rPr>
              <w:t>1997</w:t>
            </w:r>
          </w:p>
        </w:tc>
        <w:tc>
          <w:tcPr>
            <w:tcW w:w="2500" w:type="pct"/>
            <w:tcBorders>
              <w:top w:val="nil"/>
              <w:left w:val="nil"/>
              <w:bottom w:val="nil"/>
              <w:right w:val="nil"/>
            </w:tcBorders>
            <w:noWrap/>
            <w:vAlign w:val="bottom"/>
          </w:tcPr>
          <w:p w14:paraId="52050C1E" w14:textId="77777777" w:rsidR="000B7923" w:rsidRPr="002B1DFC" w:rsidRDefault="000B7923" w:rsidP="00F33595">
            <w:pPr>
              <w:jc w:val="left"/>
              <w:rPr>
                <w:rFonts w:cs="Times New Roman"/>
                <w:color w:val="000000"/>
              </w:rPr>
            </w:pPr>
            <w:r w:rsidRPr="002B1DFC">
              <w:rPr>
                <w:rFonts w:cs="Times New Roman"/>
                <w:color w:val="000000"/>
              </w:rPr>
              <w:t>1.86</w:t>
            </w:r>
          </w:p>
        </w:tc>
      </w:tr>
      <w:tr w:rsidR="000B7923" w:rsidRPr="002B1DFC" w14:paraId="31EBC053" w14:textId="77777777">
        <w:trPr>
          <w:trHeight w:val="300"/>
          <w:jc w:val="center"/>
        </w:trPr>
        <w:tc>
          <w:tcPr>
            <w:tcW w:w="2500" w:type="pct"/>
            <w:tcBorders>
              <w:top w:val="nil"/>
              <w:left w:val="nil"/>
              <w:bottom w:val="nil"/>
              <w:right w:val="nil"/>
            </w:tcBorders>
            <w:noWrap/>
            <w:vAlign w:val="bottom"/>
          </w:tcPr>
          <w:p w14:paraId="15DA3989" w14:textId="77777777" w:rsidR="000B7923" w:rsidRPr="002B1DFC" w:rsidRDefault="000B7923" w:rsidP="00F33595">
            <w:pPr>
              <w:jc w:val="right"/>
              <w:rPr>
                <w:rFonts w:cs="Times New Roman"/>
                <w:color w:val="000000"/>
              </w:rPr>
            </w:pPr>
            <w:r w:rsidRPr="002B1DFC">
              <w:rPr>
                <w:rFonts w:cs="Times New Roman"/>
                <w:color w:val="000000"/>
              </w:rPr>
              <w:t>1998</w:t>
            </w:r>
          </w:p>
        </w:tc>
        <w:tc>
          <w:tcPr>
            <w:tcW w:w="2500" w:type="pct"/>
            <w:tcBorders>
              <w:top w:val="nil"/>
              <w:left w:val="nil"/>
              <w:bottom w:val="nil"/>
              <w:right w:val="nil"/>
            </w:tcBorders>
            <w:noWrap/>
            <w:vAlign w:val="bottom"/>
          </w:tcPr>
          <w:p w14:paraId="6FDDFACF" w14:textId="77777777" w:rsidR="000B7923" w:rsidRPr="002B1DFC" w:rsidRDefault="000B7923" w:rsidP="00F33595">
            <w:pPr>
              <w:jc w:val="left"/>
              <w:rPr>
                <w:rFonts w:cs="Times New Roman"/>
                <w:color w:val="000000"/>
              </w:rPr>
            </w:pPr>
            <w:r w:rsidRPr="002B1DFC">
              <w:rPr>
                <w:rFonts w:cs="Times New Roman"/>
                <w:color w:val="000000"/>
              </w:rPr>
              <w:t>2.45</w:t>
            </w:r>
          </w:p>
        </w:tc>
      </w:tr>
      <w:tr w:rsidR="000B7923" w:rsidRPr="002B1DFC" w14:paraId="646BD40C" w14:textId="77777777">
        <w:trPr>
          <w:trHeight w:val="300"/>
          <w:jc w:val="center"/>
        </w:trPr>
        <w:tc>
          <w:tcPr>
            <w:tcW w:w="2500" w:type="pct"/>
            <w:tcBorders>
              <w:top w:val="nil"/>
              <w:left w:val="nil"/>
              <w:bottom w:val="nil"/>
              <w:right w:val="nil"/>
            </w:tcBorders>
            <w:noWrap/>
            <w:vAlign w:val="bottom"/>
          </w:tcPr>
          <w:p w14:paraId="3C3E03FF" w14:textId="77777777" w:rsidR="000B7923" w:rsidRPr="002B1DFC" w:rsidRDefault="000B7923" w:rsidP="00F33595">
            <w:pPr>
              <w:jc w:val="right"/>
              <w:rPr>
                <w:rFonts w:cs="Times New Roman"/>
                <w:color w:val="000000"/>
              </w:rPr>
            </w:pPr>
            <w:r w:rsidRPr="002B1DFC">
              <w:rPr>
                <w:rFonts w:cs="Times New Roman"/>
                <w:color w:val="000000"/>
              </w:rPr>
              <w:t>1999</w:t>
            </w:r>
          </w:p>
        </w:tc>
        <w:tc>
          <w:tcPr>
            <w:tcW w:w="2500" w:type="pct"/>
            <w:tcBorders>
              <w:top w:val="nil"/>
              <w:left w:val="nil"/>
              <w:bottom w:val="nil"/>
              <w:right w:val="nil"/>
            </w:tcBorders>
            <w:noWrap/>
            <w:vAlign w:val="bottom"/>
          </w:tcPr>
          <w:p w14:paraId="322C314B" w14:textId="77777777" w:rsidR="000B7923" w:rsidRPr="002B1DFC" w:rsidRDefault="000B7923" w:rsidP="00F33595">
            <w:pPr>
              <w:jc w:val="left"/>
              <w:rPr>
                <w:rFonts w:cs="Times New Roman"/>
                <w:color w:val="000000"/>
              </w:rPr>
            </w:pPr>
            <w:r w:rsidRPr="002B1DFC">
              <w:rPr>
                <w:rFonts w:cs="Times New Roman"/>
                <w:color w:val="000000"/>
              </w:rPr>
              <w:t>4.13</w:t>
            </w:r>
          </w:p>
        </w:tc>
      </w:tr>
      <w:tr w:rsidR="000B7923" w:rsidRPr="002B1DFC" w14:paraId="5AD0D4A3" w14:textId="77777777">
        <w:trPr>
          <w:trHeight w:val="300"/>
          <w:jc w:val="center"/>
        </w:trPr>
        <w:tc>
          <w:tcPr>
            <w:tcW w:w="2500" w:type="pct"/>
            <w:tcBorders>
              <w:top w:val="nil"/>
              <w:left w:val="nil"/>
              <w:bottom w:val="nil"/>
              <w:right w:val="nil"/>
            </w:tcBorders>
            <w:noWrap/>
            <w:vAlign w:val="bottom"/>
          </w:tcPr>
          <w:p w14:paraId="17B2CD58" w14:textId="77777777" w:rsidR="000B7923" w:rsidRPr="002B1DFC" w:rsidRDefault="000B7923" w:rsidP="00F33595">
            <w:pPr>
              <w:jc w:val="right"/>
              <w:rPr>
                <w:rFonts w:cs="Times New Roman"/>
                <w:color w:val="000000"/>
              </w:rPr>
            </w:pPr>
            <w:r w:rsidRPr="002B1DFC">
              <w:rPr>
                <w:rFonts w:cs="Times New Roman"/>
                <w:color w:val="000000"/>
              </w:rPr>
              <w:t>2000</w:t>
            </w:r>
          </w:p>
        </w:tc>
        <w:tc>
          <w:tcPr>
            <w:tcW w:w="2500" w:type="pct"/>
            <w:tcBorders>
              <w:top w:val="nil"/>
              <w:left w:val="nil"/>
              <w:bottom w:val="nil"/>
              <w:right w:val="nil"/>
            </w:tcBorders>
            <w:noWrap/>
            <w:vAlign w:val="bottom"/>
          </w:tcPr>
          <w:p w14:paraId="417C5B8C" w14:textId="77777777" w:rsidR="000B7923" w:rsidRPr="002B1DFC" w:rsidRDefault="000B7923" w:rsidP="00F33595">
            <w:pPr>
              <w:jc w:val="left"/>
              <w:rPr>
                <w:rFonts w:cs="Times New Roman"/>
                <w:color w:val="000000"/>
              </w:rPr>
            </w:pPr>
            <w:r w:rsidRPr="002B1DFC">
              <w:rPr>
                <w:rFonts w:cs="Times New Roman"/>
                <w:color w:val="000000"/>
              </w:rPr>
              <w:t>5.44</w:t>
            </w:r>
          </w:p>
        </w:tc>
      </w:tr>
      <w:tr w:rsidR="000B7923" w:rsidRPr="002B1DFC" w14:paraId="47C38D57" w14:textId="77777777">
        <w:trPr>
          <w:trHeight w:val="300"/>
          <w:jc w:val="center"/>
        </w:trPr>
        <w:tc>
          <w:tcPr>
            <w:tcW w:w="2500" w:type="pct"/>
            <w:tcBorders>
              <w:top w:val="nil"/>
              <w:left w:val="nil"/>
              <w:bottom w:val="nil"/>
              <w:right w:val="nil"/>
            </w:tcBorders>
            <w:noWrap/>
            <w:vAlign w:val="bottom"/>
          </w:tcPr>
          <w:p w14:paraId="187A55B2" w14:textId="77777777" w:rsidR="000B7923" w:rsidRPr="002B1DFC" w:rsidRDefault="000B7923" w:rsidP="00F33595">
            <w:pPr>
              <w:jc w:val="right"/>
              <w:rPr>
                <w:rFonts w:cs="Times New Roman"/>
                <w:color w:val="000000"/>
              </w:rPr>
            </w:pPr>
            <w:r w:rsidRPr="002B1DFC">
              <w:rPr>
                <w:rFonts w:cs="Times New Roman"/>
                <w:color w:val="000000"/>
              </w:rPr>
              <w:t>2001</w:t>
            </w:r>
          </w:p>
        </w:tc>
        <w:tc>
          <w:tcPr>
            <w:tcW w:w="2500" w:type="pct"/>
            <w:tcBorders>
              <w:top w:val="nil"/>
              <w:left w:val="nil"/>
              <w:bottom w:val="nil"/>
              <w:right w:val="nil"/>
            </w:tcBorders>
            <w:noWrap/>
            <w:vAlign w:val="bottom"/>
          </w:tcPr>
          <w:p w14:paraId="28365765" w14:textId="77777777" w:rsidR="000B7923" w:rsidRPr="002B1DFC" w:rsidRDefault="000B7923" w:rsidP="00F33595">
            <w:pPr>
              <w:jc w:val="left"/>
              <w:rPr>
                <w:rFonts w:cs="Times New Roman"/>
                <w:color w:val="000000"/>
              </w:rPr>
            </w:pPr>
            <w:r w:rsidRPr="002B1DFC">
              <w:rPr>
                <w:rFonts w:cs="Times New Roman"/>
                <w:color w:val="000000"/>
              </w:rPr>
              <w:t>5.37</w:t>
            </w:r>
          </w:p>
        </w:tc>
      </w:tr>
      <w:tr w:rsidR="000B7923" w:rsidRPr="002B1DFC" w14:paraId="0FEED5AF" w14:textId="77777777">
        <w:trPr>
          <w:trHeight w:val="300"/>
          <w:jc w:val="center"/>
        </w:trPr>
        <w:tc>
          <w:tcPr>
            <w:tcW w:w="2500" w:type="pct"/>
            <w:tcBorders>
              <w:top w:val="nil"/>
              <w:left w:val="nil"/>
              <w:bottom w:val="nil"/>
              <w:right w:val="nil"/>
            </w:tcBorders>
            <w:noWrap/>
            <w:vAlign w:val="bottom"/>
          </w:tcPr>
          <w:p w14:paraId="34121FAB" w14:textId="77777777" w:rsidR="000B7923" w:rsidRPr="002B1DFC" w:rsidRDefault="000B7923" w:rsidP="00F33595">
            <w:pPr>
              <w:jc w:val="right"/>
              <w:rPr>
                <w:rFonts w:cs="Times New Roman"/>
                <w:color w:val="000000"/>
              </w:rPr>
            </w:pPr>
            <w:r w:rsidRPr="002B1DFC">
              <w:rPr>
                <w:rFonts w:cs="Times New Roman"/>
                <w:color w:val="000000"/>
              </w:rPr>
              <w:t>2002</w:t>
            </w:r>
          </w:p>
        </w:tc>
        <w:tc>
          <w:tcPr>
            <w:tcW w:w="2500" w:type="pct"/>
            <w:tcBorders>
              <w:top w:val="nil"/>
              <w:left w:val="nil"/>
              <w:bottom w:val="nil"/>
              <w:right w:val="nil"/>
            </w:tcBorders>
            <w:noWrap/>
            <w:vAlign w:val="bottom"/>
          </w:tcPr>
          <w:p w14:paraId="3655AD87" w14:textId="77777777" w:rsidR="000B7923" w:rsidRPr="002B1DFC" w:rsidRDefault="000B7923" w:rsidP="00F33595">
            <w:pPr>
              <w:jc w:val="left"/>
              <w:rPr>
                <w:rFonts w:cs="Times New Roman"/>
                <w:color w:val="000000"/>
              </w:rPr>
            </w:pPr>
            <w:r w:rsidRPr="002B1DFC">
              <w:rPr>
                <w:rFonts w:cs="Times New Roman"/>
                <w:color w:val="000000"/>
              </w:rPr>
              <w:t>5.33</w:t>
            </w:r>
          </w:p>
        </w:tc>
      </w:tr>
      <w:tr w:rsidR="000B7923" w:rsidRPr="002B1DFC" w14:paraId="4FAD3F85" w14:textId="77777777">
        <w:trPr>
          <w:trHeight w:val="300"/>
          <w:jc w:val="center"/>
        </w:trPr>
        <w:tc>
          <w:tcPr>
            <w:tcW w:w="2500" w:type="pct"/>
            <w:tcBorders>
              <w:top w:val="nil"/>
              <w:left w:val="nil"/>
              <w:bottom w:val="nil"/>
              <w:right w:val="nil"/>
            </w:tcBorders>
            <w:noWrap/>
            <w:vAlign w:val="bottom"/>
          </w:tcPr>
          <w:p w14:paraId="5888528B" w14:textId="77777777" w:rsidR="000B7923" w:rsidRPr="002B1DFC" w:rsidRDefault="000B7923" w:rsidP="00F33595">
            <w:pPr>
              <w:jc w:val="right"/>
              <w:rPr>
                <w:rFonts w:cs="Times New Roman"/>
                <w:color w:val="000000"/>
              </w:rPr>
            </w:pPr>
            <w:r w:rsidRPr="002B1DFC">
              <w:rPr>
                <w:rFonts w:cs="Times New Roman"/>
                <w:color w:val="000000"/>
              </w:rPr>
              <w:t>2003</w:t>
            </w:r>
          </w:p>
        </w:tc>
        <w:tc>
          <w:tcPr>
            <w:tcW w:w="2500" w:type="pct"/>
            <w:tcBorders>
              <w:top w:val="nil"/>
              <w:left w:val="nil"/>
              <w:bottom w:val="nil"/>
              <w:right w:val="nil"/>
            </w:tcBorders>
            <w:noWrap/>
            <w:vAlign w:val="bottom"/>
          </w:tcPr>
          <w:p w14:paraId="00D392A4" w14:textId="77777777" w:rsidR="000B7923" w:rsidRPr="002B1DFC" w:rsidRDefault="000B7923" w:rsidP="00F33595">
            <w:pPr>
              <w:jc w:val="left"/>
              <w:rPr>
                <w:rFonts w:cs="Times New Roman"/>
                <w:color w:val="000000"/>
              </w:rPr>
            </w:pPr>
            <w:r w:rsidRPr="002B1DFC">
              <w:rPr>
                <w:rFonts w:cs="Times New Roman"/>
                <w:color w:val="000000"/>
              </w:rPr>
              <w:t>5.33</w:t>
            </w:r>
          </w:p>
        </w:tc>
      </w:tr>
      <w:tr w:rsidR="000B7923" w:rsidRPr="002B1DFC" w14:paraId="40633DA4" w14:textId="77777777">
        <w:trPr>
          <w:trHeight w:val="300"/>
          <w:jc w:val="center"/>
        </w:trPr>
        <w:tc>
          <w:tcPr>
            <w:tcW w:w="2500" w:type="pct"/>
            <w:tcBorders>
              <w:top w:val="nil"/>
              <w:left w:val="nil"/>
              <w:bottom w:val="nil"/>
              <w:right w:val="nil"/>
            </w:tcBorders>
            <w:noWrap/>
            <w:vAlign w:val="bottom"/>
          </w:tcPr>
          <w:p w14:paraId="446AB605" w14:textId="77777777" w:rsidR="000B7923" w:rsidRPr="002B1DFC" w:rsidRDefault="000B7923" w:rsidP="00F33595">
            <w:pPr>
              <w:jc w:val="right"/>
              <w:rPr>
                <w:rFonts w:cs="Times New Roman"/>
                <w:color w:val="000000"/>
              </w:rPr>
            </w:pPr>
            <w:r w:rsidRPr="002B1DFC">
              <w:rPr>
                <w:rFonts w:cs="Times New Roman"/>
                <w:color w:val="000000"/>
              </w:rPr>
              <w:t>2004</w:t>
            </w:r>
          </w:p>
        </w:tc>
        <w:tc>
          <w:tcPr>
            <w:tcW w:w="2500" w:type="pct"/>
            <w:tcBorders>
              <w:top w:val="nil"/>
              <w:left w:val="nil"/>
              <w:bottom w:val="nil"/>
              <w:right w:val="nil"/>
            </w:tcBorders>
            <w:noWrap/>
            <w:vAlign w:val="bottom"/>
          </w:tcPr>
          <w:p w14:paraId="4CD5C7EA" w14:textId="77777777" w:rsidR="000B7923" w:rsidRPr="002B1DFC" w:rsidRDefault="000B7923" w:rsidP="00F33595">
            <w:pPr>
              <w:jc w:val="left"/>
              <w:rPr>
                <w:rFonts w:cs="Times New Roman"/>
                <w:color w:val="000000"/>
              </w:rPr>
            </w:pPr>
            <w:r w:rsidRPr="002B1DFC">
              <w:rPr>
                <w:rFonts w:cs="Times New Roman"/>
                <w:color w:val="000000"/>
              </w:rPr>
              <w:t>5.32</w:t>
            </w:r>
          </w:p>
        </w:tc>
      </w:tr>
      <w:tr w:rsidR="000B7923" w:rsidRPr="002B1DFC" w14:paraId="7F0A65EC" w14:textId="77777777">
        <w:trPr>
          <w:trHeight w:val="300"/>
          <w:jc w:val="center"/>
        </w:trPr>
        <w:tc>
          <w:tcPr>
            <w:tcW w:w="2500" w:type="pct"/>
            <w:tcBorders>
              <w:top w:val="nil"/>
              <w:left w:val="nil"/>
              <w:bottom w:val="nil"/>
              <w:right w:val="nil"/>
            </w:tcBorders>
            <w:noWrap/>
            <w:vAlign w:val="bottom"/>
          </w:tcPr>
          <w:p w14:paraId="3A408A0E" w14:textId="77777777" w:rsidR="000B7923" w:rsidRPr="002B1DFC" w:rsidRDefault="000B7923" w:rsidP="00F33595">
            <w:pPr>
              <w:jc w:val="right"/>
              <w:rPr>
                <w:rFonts w:cs="Times New Roman"/>
                <w:color w:val="000000"/>
              </w:rPr>
            </w:pPr>
            <w:r w:rsidRPr="002B1DFC">
              <w:rPr>
                <w:rFonts w:cs="Times New Roman"/>
                <w:color w:val="000000"/>
              </w:rPr>
              <w:t>2005</w:t>
            </w:r>
          </w:p>
        </w:tc>
        <w:tc>
          <w:tcPr>
            <w:tcW w:w="2500" w:type="pct"/>
            <w:tcBorders>
              <w:top w:val="nil"/>
              <w:left w:val="nil"/>
              <w:bottom w:val="nil"/>
              <w:right w:val="nil"/>
            </w:tcBorders>
            <w:noWrap/>
            <w:vAlign w:val="bottom"/>
          </w:tcPr>
          <w:p w14:paraId="58FD0DE1" w14:textId="77777777" w:rsidR="000B7923" w:rsidRPr="002B1DFC" w:rsidRDefault="000B7923" w:rsidP="00F33595">
            <w:pPr>
              <w:jc w:val="left"/>
              <w:rPr>
                <w:rFonts w:cs="Times New Roman"/>
                <w:color w:val="000000"/>
              </w:rPr>
            </w:pPr>
            <w:r w:rsidRPr="002B1DFC">
              <w:rPr>
                <w:rFonts w:cs="Times New Roman"/>
                <w:color w:val="000000"/>
              </w:rPr>
              <w:t>5.12</w:t>
            </w:r>
          </w:p>
        </w:tc>
      </w:tr>
      <w:tr w:rsidR="000B7923" w:rsidRPr="002B1DFC" w14:paraId="77718A5E" w14:textId="77777777">
        <w:trPr>
          <w:trHeight w:val="300"/>
          <w:jc w:val="center"/>
        </w:trPr>
        <w:tc>
          <w:tcPr>
            <w:tcW w:w="2500" w:type="pct"/>
            <w:tcBorders>
              <w:top w:val="nil"/>
              <w:left w:val="nil"/>
              <w:bottom w:val="nil"/>
              <w:right w:val="nil"/>
            </w:tcBorders>
            <w:noWrap/>
            <w:vAlign w:val="bottom"/>
          </w:tcPr>
          <w:p w14:paraId="4CF5123C" w14:textId="77777777" w:rsidR="000B7923" w:rsidRPr="002B1DFC" w:rsidRDefault="000B7923" w:rsidP="00F33595">
            <w:pPr>
              <w:jc w:val="right"/>
              <w:rPr>
                <w:rFonts w:cs="Times New Roman"/>
                <w:color w:val="000000"/>
              </w:rPr>
            </w:pPr>
            <w:r w:rsidRPr="002B1DFC">
              <w:rPr>
                <w:rFonts w:cs="Times New Roman"/>
                <w:color w:val="000000"/>
              </w:rPr>
              <w:t>2006</w:t>
            </w:r>
          </w:p>
        </w:tc>
        <w:tc>
          <w:tcPr>
            <w:tcW w:w="2500" w:type="pct"/>
            <w:tcBorders>
              <w:top w:val="nil"/>
              <w:left w:val="nil"/>
              <w:bottom w:val="nil"/>
              <w:right w:val="nil"/>
            </w:tcBorders>
            <w:noWrap/>
            <w:vAlign w:val="bottom"/>
          </w:tcPr>
          <w:p w14:paraId="70C9593E" w14:textId="77777777" w:rsidR="000B7923" w:rsidRPr="002B1DFC" w:rsidRDefault="000B7923" w:rsidP="00F33595">
            <w:pPr>
              <w:jc w:val="left"/>
              <w:rPr>
                <w:rFonts w:cs="Times New Roman"/>
                <w:color w:val="000000"/>
              </w:rPr>
            </w:pPr>
            <w:r w:rsidRPr="002B1DFC">
              <w:rPr>
                <w:rFonts w:cs="Times New Roman"/>
                <w:color w:val="000000"/>
              </w:rPr>
              <w:t>5.05</w:t>
            </w:r>
          </w:p>
        </w:tc>
      </w:tr>
      <w:tr w:rsidR="000B7923" w:rsidRPr="002B1DFC" w14:paraId="7F171418" w14:textId="77777777">
        <w:trPr>
          <w:trHeight w:val="300"/>
          <w:jc w:val="center"/>
        </w:trPr>
        <w:tc>
          <w:tcPr>
            <w:tcW w:w="2500" w:type="pct"/>
            <w:tcBorders>
              <w:top w:val="nil"/>
              <w:left w:val="nil"/>
              <w:bottom w:val="nil"/>
              <w:right w:val="nil"/>
            </w:tcBorders>
            <w:noWrap/>
            <w:vAlign w:val="bottom"/>
          </w:tcPr>
          <w:p w14:paraId="59D63940" w14:textId="77777777" w:rsidR="000B7923" w:rsidRPr="002B1DFC" w:rsidRDefault="000B7923" w:rsidP="00F33595">
            <w:pPr>
              <w:jc w:val="right"/>
              <w:rPr>
                <w:rFonts w:cs="Times New Roman"/>
                <w:color w:val="000000"/>
              </w:rPr>
            </w:pPr>
            <w:r w:rsidRPr="002B1DFC">
              <w:rPr>
                <w:rFonts w:cs="Times New Roman"/>
                <w:color w:val="000000"/>
              </w:rPr>
              <w:t>2007</w:t>
            </w:r>
          </w:p>
        </w:tc>
        <w:tc>
          <w:tcPr>
            <w:tcW w:w="2500" w:type="pct"/>
            <w:tcBorders>
              <w:top w:val="nil"/>
              <w:left w:val="nil"/>
              <w:bottom w:val="nil"/>
              <w:right w:val="nil"/>
            </w:tcBorders>
            <w:noWrap/>
            <w:vAlign w:val="bottom"/>
          </w:tcPr>
          <w:p w14:paraId="0A5F24E5" w14:textId="77777777" w:rsidR="000B7923" w:rsidRPr="002B1DFC" w:rsidRDefault="000B7923" w:rsidP="00F33595">
            <w:pPr>
              <w:jc w:val="left"/>
              <w:rPr>
                <w:rFonts w:cs="Times New Roman"/>
                <w:color w:val="000000"/>
              </w:rPr>
            </w:pPr>
            <w:r w:rsidRPr="002B1DFC">
              <w:rPr>
                <w:rFonts w:cs="Times New Roman"/>
                <w:color w:val="000000"/>
              </w:rPr>
              <w:t>5.05</w:t>
            </w:r>
          </w:p>
        </w:tc>
      </w:tr>
      <w:tr w:rsidR="000B7923" w:rsidRPr="002B1DFC" w14:paraId="6CAB1271" w14:textId="77777777">
        <w:trPr>
          <w:trHeight w:val="300"/>
          <w:jc w:val="center"/>
        </w:trPr>
        <w:tc>
          <w:tcPr>
            <w:tcW w:w="2500" w:type="pct"/>
            <w:tcBorders>
              <w:top w:val="nil"/>
              <w:left w:val="nil"/>
              <w:bottom w:val="nil"/>
              <w:right w:val="nil"/>
            </w:tcBorders>
            <w:noWrap/>
            <w:vAlign w:val="bottom"/>
          </w:tcPr>
          <w:p w14:paraId="336AD1AF" w14:textId="77777777" w:rsidR="000B7923" w:rsidRPr="002B1DFC" w:rsidRDefault="000B7923" w:rsidP="00F33595">
            <w:pPr>
              <w:jc w:val="right"/>
              <w:rPr>
                <w:rFonts w:cs="Times New Roman"/>
                <w:color w:val="000000"/>
              </w:rPr>
            </w:pPr>
            <w:r w:rsidRPr="002B1DFC">
              <w:rPr>
                <w:rFonts w:cs="Times New Roman"/>
                <w:color w:val="000000"/>
              </w:rPr>
              <w:t>2008</w:t>
            </w:r>
          </w:p>
        </w:tc>
        <w:tc>
          <w:tcPr>
            <w:tcW w:w="2500" w:type="pct"/>
            <w:tcBorders>
              <w:top w:val="nil"/>
              <w:left w:val="nil"/>
              <w:bottom w:val="nil"/>
              <w:right w:val="nil"/>
            </w:tcBorders>
            <w:noWrap/>
            <w:vAlign w:val="bottom"/>
          </w:tcPr>
          <w:p w14:paraId="23FAEEE2" w14:textId="77777777" w:rsidR="000B7923" w:rsidRPr="002B1DFC" w:rsidRDefault="000B7923" w:rsidP="00F33595">
            <w:pPr>
              <w:jc w:val="left"/>
              <w:rPr>
                <w:rFonts w:cs="Times New Roman"/>
                <w:color w:val="000000"/>
              </w:rPr>
            </w:pPr>
            <w:r w:rsidRPr="002B1DFC">
              <w:rPr>
                <w:rFonts w:cs="Times New Roman"/>
                <w:color w:val="000000"/>
              </w:rPr>
              <w:t>5.27</w:t>
            </w:r>
          </w:p>
        </w:tc>
      </w:tr>
      <w:tr w:rsidR="000B7923" w:rsidRPr="002B1DFC" w14:paraId="20A84ED7" w14:textId="77777777">
        <w:trPr>
          <w:trHeight w:val="300"/>
          <w:jc w:val="center"/>
        </w:trPr>
        <w:tc>
          <w:tcPr>
            <w:tcW w:w="2500" w:type="pct"/>
            <w:tcBorders>
              <w:top w:val="nil"/>
              <w:left w:val="nil"/>
              <w:bottom w:val="nil"/>
              <w:right w:val="nil"/>
            </w:tcBorders>
            <w:noWrap/>
            <w:vAlign w:val="bottom"/>
          </w:tcPr>
          <w:p w14:paraId="79EF57AF" w14:textId="77777777" w:rsidR="000B7923" w:rsidRPr="002B1DFC" w:rsidRDefault="000B7923" w:rsidP="00F33595">
            <w:pPr>
              <w:jc w:val="right"/>
              <w:rPr>
                <w:rFonts w:cs="Times New Roman"/>
                <w:color w:val="000000"/>
              </w:rPr>
            </w:pPr>
            <w:r w:rsidRPr="002B1DFC">
              <w:rPr>
                <w:rFonts w:cs="Times New Roman"/>
                <w:color w:val="000000"/>
              </w:rPr>
              <w:t>2009</w:t>
            </w:r>
          </w:p>
        </w:tc>
        <w:tc>
          <w:tcPr>
            <w:tcW w:w="2500" w:type="pct"/>
            <w:tcBorders>
              <w:top w:val="nil"/>
              <w:left w:val="nil"/>
              <w:bottom w:val="nil"/>
              <w:right w:val="nil"/>
            </w:tcBorders>
            <w:noWrap/>
            <w:vAlign w:val="bottom"/>
          </w:tcPr>
          <w:p w14:paraId="6E03BE4C" w14:textId="77777777" w:rsidR="000B7923" w:rsidRPr="002B1DFC" w:rsidRDefault="000B7923" w:rsidP="00F33595">
            <w:pPr>
              <w:jc w:val="left"/>
              <w:rPr>
                <w:rFonts w:cs="Times New Roman"/>
                <w:color w:val="000000"/>
              </w:rPr>
            </w:pPr>
            <w:r w:rsidRPr="002B1DFC">
              <w:rPr>
                <w:rFonts w:cs="Times New Roman"/>
                <w:color w:val="000000"/>
              </w:rPr>
              <w:t>7.79</w:t>
            </w:r>
          </w:p>
        </w:tc>
      </w:tr>
      <w:tr w:rsidR="000B7923" w:rsidRPr="002B1DFC" w14:paraId="4D876DB5" w14:textId="77777777">
        <w:trPr>
          <w:trHeight w:val="300"/>
          <w:jc w:val="center"/>
        </w:trPr>
        <w:tc>
          <w:tcPr>
            <w:tcW w:w="2500" w:type="pct"/>
            <w:tcBorders>
              <w:top w:val="nil"/>
              <w:left w:val="nil"/>
              <w:bottom w:val="nil"/>
              <w:right w:val="nil"/>
            </w:tcBorders>
            <w:noWrap/>
            <w:vAlign w:val="bottom"/>
          </w:tcPr>
          <w:p w14:paraId="73E550DD" w14:textId="77777777" w:rsidR="000B7923" w:rsidRPr="002B1DFC" w:rsidRDefault="000B7923" w:rsidP="00F33595">
            <w:pPr>
              <w:jc w:val="right"/>
              <w:rPr>
                <w:rFonts w:cs="Times New Roman"/>
                <w:color w:val="000000"/>
              </w:rPr>
            </w:pPr>
            <w:r w:rsidRPr="002B1DFC">
              <w:rPr>
                <w:rFonts w:cs="Times New Roman"/>
                <w:color w:val="000000"/>
              </w:rPr>
              <w:t>2010</w:t>
            </w:r>
          </w:p>
        </w:tc>
        <w:tc>
          <w:tcPr>
            <w:tcW w:w="2500" w:type="pct"/>
            <w:tcBorders>
              <w:top w:val="nil"/>
              <w:left w:val="nil"/>
              <w:bottom w:val="nil"/>
              <w:right w:val="nil"/>
            </w:tcBorders>
            <w:noWrap/>
            <w:vAlign w:val="bottom"/>
          </w:tcPr>
          <w:p w14:paraId="3F5C286B" w14:textId="77777777" w:rsidR="000B7923" w:rsidRPr="002B1DFC" w:rsidRDefault="000B7923" w:rsidP="00F33595">
            <w:pPr>
              <w:jc w:val="left"/>
              <w:rPr>
                <w:rFonts w:cs="Times New Roman"/>
                <w:color w:val="000000"/>
              </w:rPr>
            </w:pPr>
            <w:r w:rsidRPr="002B1DFC">
              <w:rPr>
                <w:rFonts w:cs="Times New Roman"/>
                <w:color w:val="000000"/>
              </w:rPr>
              <w:t>7.94</w:t>
            </w:r>
          </w:p>
        </w:tc>
      </w:tr>
      <w:tr w:rsidR="000B7923" w:rsidRPr="002B1DFC" w14:paraId="251F0944" w14:textId="77777777">
        <w:trPr>
          <w:trHeight w:val="300"/>
          <w:jc w:val="center"/>
        </w:trPr>
        <w:tc>
          <w:tcPr>
            <w:tcW w:w="2500" w:type="pct"/>
            <w:tcBorders>
              <w:top w:val="nil"/>
              <w:left w:val="nil"/>
              <w:bottom w:val="nil"/>
              <w:right w:val="nil"/>
            </w:tcBorders>
            <w:noWrap/>
            <w:vAlign w:val="bottom"/>
          </w:tcPr>
          <w:p w14:paraId="5F88949D" w14:textId="77777777" w:rsidR="000B7923" w:rsidRPr="002B1DFC" w:rsidRDefault="000B7923" w:rsidP="00F33595">
            <w:pPr>
              <w:jc w:val="right"/>
              <w:rPr>
                <w:rFonts w:cs="Times New Roman"/>
                <w:color w:val="000000"/>
              </w:rPr>
            </w:pPr>
            <w:r w:rsidRPr="002B1DFC">
              <w:rPr>
                <w:rFonts w:cs="Times New Roman"/>
                <w:color w:val="000000"/>
              </w:rPr>
              <w:t>2011</w:t>
            </w:r>
          </w:p>
        </w:tc>
        <w:tc>
          <w:tcPr>
            <w:tcW w:w="2500" w:type="pct"/>
            <w:tcBorders>
              <w:top w:val="nil"/>
              <w:left w:val="nil"/>
              <w:bottom w:val="nil"/>
              <w:right w:val="nil"/>
            </w:tcBorders>
            <w:noWrap/>
            <w:vAlign w:val="bottom"/>
          </w:tcPr>
          <w:p w14:paraId="15BA3F67" w14:textId="77777777" w:rsidR="000B7923" w:rsidRPr="002B1DFC" w:rsidRDefault="000B7923" w:rsidP="00F33595">
            <w:pPr>
              <w:jc w:val="left"/>
              <w:rPr>
                <w:rFonts w:cs="Times New Roman"/>
                <w:color w:val="000000"/>
              </w:rPr>
            </w:pPr>
            <w:r w:rsidRPr="002B1DFC">
              <w:rPr>
                <w:rFonts w:cs="Times New Roman"/>
                <w:color w:val="000000"/>
              </w:rPr>
              <w:t>7.97</w:t>
            </w:r>
          </w:p>
        </w:tc>
      </w:tr>
      <w:tr w:rsidR="000B7923" w:rsidRPr="002B1DFC" w14:paraId="788C5A32" w14:textId="77777777">
        <w:trPr>
          <w:trHeight w:val="300"/>
          <w:jc w:val="center"/>
        </w:trPr>
        <w:tc>
          <w:tcPr>
            <w:tcW w:w="2500" w:type="pct"/>
            <w:tcBorders>
              <w:top w:val="nil"/>
              <w:left w:val="nil"/>
              <w:bottom w:val="nil"/>
              <w:right w:val="nil"/>
            </w:tcBorders>
            <w:noWrap/>
            <w:vAlign w:val="bottom"/>
          </w:tcPr>
          <w:p w14:paraId="32B34E0B" w14:textId="77777777" w:rsidR="000B7923" w:rsidRPr="002B1DFC" w:rsidRDefault="000B7923" w:rsidP="00F33595">
            <w:pPr>
              <w:jc w:val="right"/>
              <w:rPr>
                <w:rFonts w:cs="Times New Roman"/>
                <w:color w:val="000000"/>
              </w:rPr>
            </w:pPr>
            <w:r w:rsidRPr="002B1DFC">
              <w:rPr>
                <w:rFonts w:cs="Times New Roman"/>
                <w:color w:val="000000"/>
              </w:rPr>
              <w:t>2012</w:t>
            </w:r>
          </w:p>
        </w:tc>
        <w:tc>
          <w:tcPr>
            <w:tcW w:w="2500" w:type="pct"/>
            <w:tcBorders>
              <w:top w:val="nil"/>
              <w:left w:val="nil"/>
              <w:bottom w:val="nil"/>
              <w:right w:val="nil"/>
            </w:tcBorders>
            <w:noWrap/>
            <w:vAlign w:val="bottom"/>
          </w:tcPr>
          <w:p w14:paraId="23C5DBC2" w14:textId="77777777" w:rsidR="000B7923" w:rsidRPr="002B1DFC" w:rsidRDefault="000B7923" w:rsidP="00F33595">
            <w:pPr>
              <w:jc w:val="left"/>
              <w:rPr>
                <w:rFonts w:cs="Times New Roman"/>
                <w:color w:val="000000"/>
              </w:rPr>
            </w:pPr>
            <w:r w:rsidRPr="002B1DFC">
              <w:rPr>
                <w:rFonts w:cs="Times New Roman"/>
                <w:color w:val="000000"/>
              </w:rPr>
              <w:t>7.99</w:t>
            </w:r>
          </w:p>
        </w:tc>
      </w:tr>
      <w:tr w:rsidR="000B7923" w:rsidRPr="002B1DFC" w14:paraId="2F437290" w14:textId="77777777">
        <w:trPr>
          <w:trHeight w:val="300"/>
          <w:jc w:val="center"/>
        </w:trPr>
        <w:tc>
          <w:tcPr>
            <w:tcW w:w="2500" w:type="pct"/>
            <w:tcBorders>
              <w:top w:val="nil"/>
              <w:left w:val="nil"/>
              <w:bottom w:val="nil"/>
              <w:right w:val="nil"/>
            </w:tcBorders>
            <w:noWrap/>
            <w:vAlign w:val="bottom"/>
          </w:tcPr>
          <w:p w14:paraId="3B6D1D43" w14:textId="77777777" w:rsidR="000B7923" w:rsidRPr="002B1DFC" w:rsidRDefault="000B7923" w:rsidP="00F33595">
            <w:pPr>
              <w:jc w:val="right"/>
              <w:rPr>
                <w:rFonts w:cs="Times New Roman"/>
                <w:color w:val="000000"/>
              </w:rPr>
            </w:pPr>
            <w:r w:rsidRPr="002B1DFC">
              <w:rPr>
                <w:rFonts w:cs="Times New Roman"/>
                <w:color w:val="000000"/>
              </w:rPr>
              <w:t>2013</w:t>
            </w:r>
          </w:p>
        </w:tc>
        <w:tc>
          <w:tcPr>
            <w:tcW w:w="2500" w:type="pct"/>
            <w:tcBorders>
              <w:top w:val="nil"/>
              <w:left w:val="nil"/>
              <w:bottom w:val="nil"/>
              <w:right w:val="nil"/>
            </w:tcBorders>
            <w:noWrap/>
            <w:vAlign w:val="bottom"/>
          </w:tcPr>
          <w:p w14:paraId="640858CC" w14:textId="77777777" w:rsidR="000B7923" w:rsidRPr="002B1DFC" w:rsidRDefault="000B7923" w:rsidP="00F33595">
            <w:pPr>
              <w:jc w:val="left"/>
              <w:rPr>
                <w:rFonts w:cs="Times New Roman"/>
                <w:color w:val="000000"/>
              </w:rPr>
            </w:pPr>
            <w:r w:rsidRPr="002B1DFC">
              <w:rPr>
                <w:rFonts w:cs="Times New Roman"/>
                <w:color w:val="000000"/>
              </w:rPr>
              <w:t>7.99</w:t>
            </w:r>
          </w:p>
        </w:tc>
      </w:tr>
      <w:tr w:rsidR="000B7923" w:rsidRPr="002B1DFC" w14:paraId="30FE1EE3" w14:textId="77777777">
        <w:trPr>
          <w:trHeight w:val="300"/>
          <w:jc w:val="center"/>
        </w:trPr>
        <w:tc>
          <w:tcPr>
            <w:tcW w:w="2500" w:type="pct"/>
            <w:tcBorders>
              <w:top w:val="nil"/>
              <w:left w:val="nil"/>
              <w:bottom w:val="nil"/>
              <w:right w:val="nil"/>
            </w:tcBorders>
            <w:noWrap/>
            <w:vAlign w:val="bottom"/>
          </w:tcPr>
          <w:p w14:paraId="498EB9BB" w14:textId="77777777" w:rsidR="000B7923" w:rsidRPr="002B1DFC" w:rsidRDefault="000B7923" w:rsidP="00F33595">
            <w:pPr>
              <w:jc w:val="right"/>
              <w:rPr>
                <w:rFonts w:cs="Times New Roman"/>
                <w:color w:val="000000"/>
              </w:rPr>
            </w:pPr>
            <w:r w:rsidRPr="002B1DFC">
              <w:rPr>
                <w:rFonts w:cs="Times New Roman"/>
                <w:color w:val="000000"/>
              </w:rPr>
              <w:t>2014</w:t>
            </w:r>
          </w:p>
        </w:tc>
        <w:tc>
          <w:tcPr>
            <w:tcW w:w="2500" w:type="pct"/>
            <w:tcBorders>
              <w:top w:val="nil"/>
              <w:left w:val="nil"/>
              <w:bottom w:val="nil"/>
              <w:right w:val="nil"/>
            </w:tcBorders>
            <w:noWrap/>
            <w:vAlign w:val="bottom"/>
          </w:tcPr>
          <w:p w14:paraId="0378165A" w14:textId="77777777" w:rsidR="000B7923" w:rsidRPr="002B1DFC" w:rsidRDefault="000B7923" w:rsidP="00F33595">
            <w:pPr>
              <w:jc w:val="left"/>
              <w:rPr>
                <w:rFonts w:cs="Times New Roman"/>
                <w:color w:val="000000"/>
              </w:rPr>
            </w:pPr>
            <w:r w:rsidRPr="002B1DFC">
              <w:rPr>
                <w:rFonts w:cs="Times New Roman"/>
                <w:color w:val="000000"/>
              </w:rPr>
              <w:t>11.89</w:t>
            </w:r>
          </w:p>
        </w:tc>
      </w:tr>
      <w:tr w:rsidR="000B7923" w:rsidRPr="002B1DFC" w14:paraId="5CAA9918" w14:textId="77777777">
        <w:trPr>
          <w:trHeight w:val="300"/>
          <w:jc w:val="center"/>
        </w:trPr>
        <w:tc>
          <w:tcPr>
            <w:tcW w:w="2500" w:type="pct"/>
            <w:tcBorders>
              <w:top w:val="nil"/>
              <w:left w:val="nil"/>
              <w:bottom w:val="nil"/>
              <w:right w:val="nil"/>
            </w:tcBorders>
            <w:noWrap/>
            <w:vAlign w:val="bottom"/>
          </w:tcPr>
          <w:p w14:paraId="1FF3BA0A" w14:textId="77777777" w:rsidR="000B7923" w:rsidRPr="002B1DFC" w:rsidRDefault="000B7923" w:rsidP="00F33595">
            <w:pPr>
              <w:jc w:val="right"/>
              <w:rPr>
                <w:rFonts w:cs="Times New Roman"/>
                <w:color w:val="000000"/>
              </w:rPr>
            </w:pPr>
            <w:r w:rsidRPr="002B1DFC">
              <w:rPr>
                <w:rFonts w:cs="Times New Roman"/>
                <w:color w:val="000000"/>
              </w:rPr>
              <w:t>2015</w:t>
            </w:r>
          </w:p>
        </w:tc>
        <w:tc>
          <w:tcPr>
            <w:tcW w:w="2500" w:type="pct"/>
            <w:tcBorders>
              <w:top w:val="nil"/>
              <w:left w:val="nil"/>
              <w:bottom w:val="nil"/>
              <w:right w:val="nil"/>
            </w:tcBorders>
            <w:noWrap/>
            <w:vAlign w:val="bottom"/>
          </w:tcPr>
          <w:p w14:paraId="6434E7B9" w14:textId="77777777" w:rsidR="000B7923" w:rsidRPr="002B1DFC" w:rsidRDefault="000B7923" w:rsidP="0032156B">
            <w:pPr>
              <w:jc w:val="left"/>
              <w:rPr>
                <w:rFonts w:cs="Times New Roman"/>
                <w:color w:val="000000"/>
              </w:rPr>
            </w:pPr>
            <w:r w:rsidRPr="002B1DFC">
              <w:rPr>
                <w:rFonts w:cs="Times New Roman"/>
                <w:color w:val="000000"/>
              </w:rPr>
              <w:t>21.47 (January–October 2015)</w:t>
            </w:r>
          </w:p>
        </w:tc>
      </w:tr>
    </w:tbl>
    <w:p w14:paraId="17C01559" w14:textId="77777777" w:rsidR="000B7923" w:rsidRPr="002B1DFC" w:rsidRDefault="000B7923" w:rsidP="00F33595">
      <w:pPr>
        <w:tabs>
          <w:tab w:val="left" w:pos="360"/>
        </w:tabs>
        <w:rPr>
          <w:rFonts w:cs="Times New Roman"/>
          <w:bCs/>
          <w:iCs/>
        </w:rPr>
      </w:pPr>
    </w:p>
    <w:p w14:paraId="3EFFB2D3" w14:textId="77777777" w:rsidR="000B7923" w:rsidRPr="002B1DFC" w:rsidRDefault="000B7923" w:rsidP="00F33595">
      <w:pPr>
        <w:tabs>
          <w:tab w:val="left" w:pos="360"/>
        </w:tabs>
        <w:rPr>
          <w:rFonts w:cs="Times New Roman"/>
          <w:bCs/>
          <w:iCs/>
        </w:rPr>
      </w:pPr>
    </w:p>
    <w:p w14:paraId="727C2B08" w14:textId="77777777" w:rsidR="000B7923" w:rsidRPr="002B1DFC" w:rsidRDefault="000B7923" w:rsidP="00F33595">
      <w:pPr>
        <w:tabs>
          <w:tab w:val="left" w:pos="360"/>
        </w:tabs>
        <w:rPr>
          <w:rFonts w:cs="Times New Roman"/>
          <w:bCs/>
          <w:iCs/>
        </w:rPr>
        <w:sectPr w:rsidR="000B7923" w:rsidRPr="002B1DFC" w:rsidSect="007D498E">
          <w:pgSz w:w="12240" w:h="15840"/>
          <w:pgMar w:top="1440" w:right="1440" w:bottom="1440" w:left="1440" w:header="720" w:footer="720" w:gutter="0"/>
          <w:pgNumType w:fmt="lowerRoman"/>
          <w:cols w:space="720"/>
          <w:docGrid w:linePitch="360"/>
        </w:sectPr>
      </w:pPr>
    </w:p>
    <w:p w14:paraId="179FB9B4" w14:textId="7D8F6123" w:rsidR="001D3BC4" w:rsidRDefault="001D3BC4">
      <w:pPr>
        <w:jc w:val="left"/>
        <w:rPr>
          <w:rFonts w:cs="Times New Roman"/>
          <w:b/>
          <w:bCs/>
        </w:rPr>
      </w:pPr>
      <w:bookmarkStart w:id="1" w:name="_Toc403738242"/>
    </w:p>
    <w:p w14:paraId="29A95C28" w14:textId="77777777" w:rsidR="00991FA8" w:rsidRDefault="00991FA8">
      <w:pPr>
        <w:jc w:val="left"/>
        <w:rPr>
          <w:rFonts w:cs="Times New Roman"/>
          <w:b/>
          <w:bCs/>
        </w:rPr>
      </w:pPr>
      <w:r>
        <w:br w:type="page"/>
      </w:r>
    </w:p>
    <w:p w14:paraId="2C1FCF57" w14:textId="1FAF785D" w:rsidR="00EF183B" w:rsidRPr="00EF183B" w:rsidRDefault="00EF183B" w:rsidP="00EF183B">
      <w:pPr>
        <w:pStyle w:val="Heading12"/>
        <w:rPr>
          <w:color w:val="auto"/>
          <w:sz w:val="22"/>
          <w:szCs w:val="22"/>
        </w:rPr>
      </w:pPr>
      <w:bookmarkStart w:id="2" w:name="_Toc440273946"/>
      <w:r w:rsidRPr="00EF183B">
        <w:rPr>
          <w:color w:val="auto"/>
          <w:sz w:val="22"/>
          <w:szCs w:val="22"/>
        </w:rPr>
        <w:lastRenderedPageBreak/>
        <w:t>Acknowledgements</w:t>
      </w:r>
      <w:bookmarkEnd w:id="2"/>
    </w:p>
    <w:p w14:paraId="5B620F2D" w14:textId="77777777" w:rsidR="00EF183B" w:rsidRPr="00EF183B" w:rsidRDefault="00EF183B" w:rsidP="00EF183B">
      <w:pPr>
        <w:pStyle w:val="Heading12"/>
        <w:rPr>
          <w:color w:val="auto"/>
          <w:sz w:val="22"/>
          <w:szCs w:val="22"/>
        </w:rPr>
      </w:pPr>
    </w:p>
    <w:p w14:paraId="5BED11A1" w14:textId="77777777" w:rsidR="00EF183B" w:rsidRPr="00EF183B" w:rsidRDefault="00EF183B" w:rsidP="001557B4"/>
    <w:p w14:paraId="30CA36FD" w14:textId="619C6D34" w:rsidR="00A55B4B" w:rsidRDefault="00A55B4B" w:rsidP="00475986">
      <w:pPr>
        <w:rPr>
          <w:rFonts w:cs="Times New Roman"/>
        </w:rPr>
      </w:pPr>
      <w:r w:rsidRPr="00EF183B">
        <w:t>The preparation of th</w:t>
      </w:r>
      <w:r>
        <w:t>e Ukraine Country Environmental Analysis has greatly benefited from the opinions and participation of</w:t>
      </w:r>
      <w:r w:rsidR="003C3671">
        <w:t xml:space="preserve"> management and</w:t>
      </w:r>
      <w:r>
        <w:t xml:space="preserve"> staff in a variety of </w:t>
      </w:r>
      <w:r w:rsidRPr="00A55B4B">
        <w:t>agencies through interviews</w:t>
      </w:r>
      <w:r>
        <w:t xml:space="preserve">, focus groups, and / or workshops, including central authorities in Kyiv: </w:t>
      </w:r>
      <w:r w:rsidRPr="00EF183B">
        <w:t>Ministry of E</w:t>
      </w:r>
      <w:r>
        <w:t xml:space="preserve">cology and Natural Resources, </w:t>
      </w:r>
      <w:r>
        <w:rPr>
          <w:rFonts w:cs="Times New Roman"/>
        </w:rPr>
        <w:t xml:space="preserve">State </w:t>
      </w:r>
      <w:r w:rsidRPr="0028654F">
        <w:rPr>
          <w:rFonts w:cs="Times New Roman"/>
        </w:rPr>
        <w:t xml:space="preserve">Ecological </w:t>
      </w:r>
      <w:r w:rsidRPr="00A55B4B">
        <w:rPr>
          <w:rFonts w:cs="Times New Roman"/>
        </w:rPr>
        <w:t>Inspectorate</w:t>
      </w:r>
      <w:r>
        <w:rPr>
          <w:rFonts w:cs="Times New Roman"/>
        </w:rPr>
        <w:t>,</w:t>
      </w:r>
      <w:r w:rsidRPr="009B19C3">
        <w:rPr>
          <w:rFonts w:cs="Times New Roman"/>
        </w:rPr>
        <w:t xml:space="preserve"> </w:t>
      </w:r>
      <w:r w:rsidRPr="0028654F">
        <w:rPr>
          <w:rFonts w:cs="Times New Roman"/>
        </w:rPr>
        <w:t>State Statistics Service</w:t>
      </w:r>
      <w:r>
        <w:rPr>
          <w:rFonts w:cs="Times New Roman"/>
        </w:rPr>
        <w:t xml:space="preserve">, </w:t>
      </w:r>
      <w:r w:rsidRPr="0028654F">
        <w:rPr>
          <w:rFonts w:cs="Times New Roman"/>
        </w:rPr>
        <w:t xml:space="preserve">Secretariat of the Committee for Environment at the </w:t>
      </w:r>
      <w:proofErr w:type="spellStart"/>
      <w:r w:rsidRPr="0028654F">
        <w:rPr>
          <w:rFonts w:cs="Times New Roman"/>
        </w:rPr>
        <w:t>Verkhovna</w:t>
      </w:r>
      <w:proofErr w:type="spellEnd"/>
      <w:r w:rsidRPr="0028654F">
        <w:rPr>
          <w:rFonts w:cs="Times New Roman"/>
        </w:rPr>
        <w:t xml:space="preserve"> Rada</w:t>
      </w:r>
      <w:r>
        <w:rPr>
          <w:rFonts w:cs="Times New Roman"/>
        </w:rPr>
        <w:t xml:space="preserve">; local and regional governments: </w:t>
      </w:r>
      <w:r w:rsidRPr="0028654F">
        <w:rPr>
          <w:rFonts w:cs="Times New Roman"/>
        </w:rPr>
        <w:t>Ivano-Frankivsk</w:t>
      </w:r>
      <w:r>
        <w:rPr>
          <w:rFonts w:cs="Times New Roman"/>
        </w:rPr>
        <w:t xml:space="preserve"> and Poltava municipalities, </w:t>
      </w:r>
      <w:r w:rsidRPr="0028654F">
        <w:rPr>
          <w:rFonts w:cs="Times New Roman"/>
        </w:rPr>
        <w:t>Kyiv City</w:t>
      </w:r>
      <w:r>
        <w:rPr>
          <w:rFonts w:cs="Times New Roman"/>
        </w:rPr>
        <w:t xml:space="preserve">, </w:t>
      </w:r>
      <w:r w:rsidR="003C3671">
        <w:rPr>
          <w:rFonts w:cs="Times New Roman"/>
        </w:rPr>
        <w:t xml:space="preserve">and </w:t>
      </w:r>
      <w:proofErr w:type="spellStart"/>
      <w:r>
        <w:rPr>
          <w:rFonts w:cs="Times New Roman"/>
        </w:rPr>
        <w:t>Ivano</w:t>
      </w:r>
      <w:proofErr w:type="spellEnd"/>
      <w:r>
        <w:rPr>
          <w:rFonts w:cs="Times New Roman"/>
        </w:rPr>
        <w:t xml:space="preserve"> </w:t>
      </w:r>
      <w:proofErr w:type="spellStart"/>
      <w:r>
        <w:rPr>
          <w:rFonts w:cs="Times New Roman"/>
        </w:rPr>
        <w:t>Frankivsk</w:t>
      </w:r>
      <w:proofErr w:type="spellEnd"/>
      <w:r>
        <w:rPr>
          <w:rFonts w:cs="Times New Roman"/>
        </w:rPr>
        <w:t xml:space="preserve">, Kyiv, Poltava, and </w:t>
      </w:r>
      <w:proofErr w:type="spellStart"/>
      <w:r>
        <w:rPr>
          <w:rFonts w:cs="Times New Roman"/>
        </w:rPr>
        <w:t>Vinnytsya</w:t>
      </w:r>
      <w:proofErr w:type="spellEnd"/>
      <w:r>
        <w:rPr>
          <w:rFonts w:cs="Times New Roman"/>
        </w:rPr>
        <w:t xml:space="preserve"> Oblast State Administrations; representatives from civil society, private sector, and academia: </w:t>
      </w:r>
      <w:r>
        <w:t xml:space="preserve">ECO Alliance, </w:t>
      </w:r>
      <w:r w:rsidRPr="00921F1B">
        <w:t>All-Ukrainian Ecological League</w:t>
      </w:r>
      <w:r>
        <w:t xml:space="preserve">; </w:t>
      </w:r>
      <w:r w:rsidRPr="0028654F">
        <w:rPr>
          <w:rFonts w:cs="Times New Roman"/>
        </w:rPr>
        <w:t>Green Dossier Information Center</w:t>
      </w:r>
      <w:r>
        <w:rPr>
          <w:rFonts w:cs="Times New Roman"/>
        </w:rPr>
        <w:t>,</w:t>
      </w:r>
      <w:r w:rsidRPr="0028654F">
        <w:rPr>
          <w:rFonts w:cs="Times New Roman"/>
        </w:rPr>
        <w:t xml:space="preserve"> Living Planet</w:t>
      </w:r>
      <w:r>
        <w:rPr>
          <w:rFonts w:cs="Times New Roman"/>
        </w:rPr>
        <w:t xml:space="preserve">, </w:t>
      </w:r>
      <w:r w:rsidRPr="0028654F">
        <w:rPr>
          <w:rFonts w:cs="Times New Roman"/>
        </w:rPr>
        <w:t>Mama-86</w:t>
      </w:r>
      <w:r>
        <w:rPr>
          <w:rFonts w:cs="Times New Roman"/>
        </w:rPr>
        <w:t xml:space="preserve">, </w:t>
      </w:r>
      <w:r w:rsidRPr="0028654F">
        <w:rPr>
          <w:rFonts w:cs="Times New Roman"/>
        </w:rPr>
        <w:t>National Ecological Center</w:t>
      </w:r>
      <w:r>
        <w:rPr>
          <w:rFonts w:cs="Times New Roman"/>
        </w:rPr>
        <w:t xml:space="preserve">, </w:t>
      </w:r>
      <w:r w:rsidRPr="00DD26B9">
        <w:rPr>
          <w:rFonts w:cs="Times New Roman"/>
        </w:rPr>
        <w:t>Ivano-Frankivsk National Technical University of Oil and Gas</w:t>
      </w:r>
      <w:r>
        <w:rPr>
          <w:rFonts w:cs="Times New Roman"/>
        </w:rPr>
        <w:t xml:space="preserve">; </w:t>
      </w:r>
      <w:r w:rsidR="00475986">
        <w:rPr>
          <w:rFonts w:cs="Times New Roman"/>
        </w:rPr>
        <w:t xml:space="preserve">and </w:t>
      </w:r>
      <w:r>
        <w:rPr>
          <w:rFonts w:cs="Times New Roman"/>
        </w:rPr>
        <w:t xml:space="preserve">the </w:t>
      </w:r>
      <w:r w:rsidRPr="0028654F">
        <w:rPr>
          <w:rFonts w:cs="Times New Roman"/>
        </w:rPr>
        <w:t xml:space="preserve">EU </w:t>
      </w:r>
      <w:proofErr w:type="spellStart"/>
      <w:r w:rsidRPr="0028654F">
        <w:rPr>
          <w:rFonts w:cs="Times New Roman"/>
        </w:rPr>
        <w:t>Programme</w:t>
      </w:r>
      <w:proofErr w:type="spellEnd"/>
      <w:r w:rsidRPr="0028654F">
        <w:rPr>
          <w:rFonts w:cs="Times New Roman"/>
        </w:rPr>
        <w:t xml:space="preserve"> for Sector Budget Support “Implementation of the Strategy of National Environmental Policy of Ukraine</w:t>
      </w:r>
      <w:r w:rsidR="00475986">
        <w:rPr>
          <w:rFonts w:cs="Times New Roman"/>
        </w:rPr>
        <w:t>.</w:t>
      </w:r>
    </w:p>
    <w:p w14:paraId="58AC5828" w14:textId="77777777" w:rsidR="00A55B4B" w:rsidRPr="00EF183B" w:rsidRDefault="00A55B4B" w:rsidP="00A55B4B"/>
    <w:p w14:paraId="1DB9D790" w14:textId="391134FE" w:rsidR="00B7008F" w:rsidRDefault="00A55B4B" w:rsidP="00A55B4B">
      <w:r w:rsidRPr="0051472F">
        <w:t xml:space="preserve">The World Bank team was led by Helena </w:t>
      </w:r>
      <w:proofErr w:type="spellStart"/>
      <w:r w:rsidRPr="0051472F">
        <w:t>Naber</w:t>
      </w:r>
      <w:proofErr w:type="spellEnd"/>
      <w:r>
        <w:t>, Senior Environmental Specialist</w:t>
      </w:r>
      <w:r w:rsidRPr="0051472F">
        <w:t xml:space="preserve"> and Alexei </w:t>
      </w:r>
      <w:proofErr w:type="spellStart"/>
      <w:r w:rsidRPr="0051472F">
        <w:t>Slenzak</w:t>
      </w:r>
      <w:proofErr w:type="spellEnd"/>
      <w:r w:rsidRPr="0051472F">
        <w:t>,</w:t>
      </w:r>
      <w:r w:rsidRPr="00921F1B">
        <w:t xml:space="preserve"> </w:t>
      </w:r>
      <w:r>
        <w:t xml:space="preserve">Senior Environmental Specialist and </w:t>
      </w:r>
      <w:r w:rsidRPr="00921F1B">
        <w:t xml:space="preserve">Task Team Leaders for the Ukraine CEA and included </w:t>
      </w:r>
      <w:r w:rsidRPr="001A5AE8">
        <w:t xml:space="preserve">Natalia </w:t>
      </w:r>
      <w:proofErr w:type="spellStart"/>
      <w:r w:rsidRPr="001A5AE8">
        <w:t>Stranadko</w:t>
      </w:r>
      <w:proofErr w:type="spellEnd"/>
      <w:r>
        <w:t>, Policy and Legal Analysis Consultant, a</w:t>
      </w:r>
      <w:r w:rsidRPr="0051472F">
        <w:t xml:space="preserve">nd </w:t>
      </w:r>
      <w:proofErr w:type="spellStart"/>
      <w:r w:rsidRPr="0051472F">
        <w:t>Volodymyr</w:t>
      </w:r>
      <w:proofErr w:type="spellEnd"/>
      <w:r w:rsidRPr="0051472F">
        <w:t xml:space="preserve"> </w:t>
      </w:r>
      <w:proofErr w:type="spellStart"/>
      <w:r w:rsidRPr="0051472F">
        <w:t>Tykhyy</w:t>
      </w:r>
      <w:proofErr w:type="spellEnd"/>
      <w:r>
        <w:t xml:space="preserve">, </w:t>
      </w:r>
      <w:r w:rsidRPr="00156A91">
        <w:t>Institutional Assessment Consultant</w:t>
      </w:r>
      <w:r w:rsidRPr="0051472F">
        <w:t>.</w:t>
      </w:r>
      <w:r w:rsidRPr="00EF183B">
        <w:t xml:space="preserve"> Many colleagues at the World Bank provided support and technical</w:t>
      </w:r>
      <w:r>
        <w:t xml:space="preserve"> advice that shaped this report including Tamara </w:t>
      </w:r>
      <w:proofErr w:type="spellStart"/>
      <w:r>
        <w:t>Sulukhia</w:t>
      </w:r>
      <w:proofErr w:type="spellEnd"/>
      <w:r>
        <w:t xml:space="preserve">, Program Leader and </w:t>
      </w:r>
      <w:proofErr w:type="spellStart"/>
      <w:r w:rsidRPr="005714EB">
        <w:t>Kseniya</w:t>
      </w:r>
      <w:proofErr w:type="spellEnd"/>
      <w:r w:rsidRPr="005714EB">
        <w:t xml:space="preserve"> </w:t>
      </w:r>
      <w:proofErr w:type="spellStart"/>
      <w:r>
        <w:t>Lvovsky</w:t>
      </w:r>
      <w:proofErr w:type="spellEnd"/>
      <w:r>
        <w:t xml:space="preserve">, Practice Manager. </w:t>
      </w:r>
      <w:r w:rsidR="002648AB">
        <w:t xml:space="preserve">This report was prepared under the management guidance of </w:t>
      </w:r>
      <w:proofErr w:type="spellStart"/>
      <w:r w:rsidR="002648AB">
        <w:t>Qimiao</w:t>
      </w:r>
      <w:proofErr w:type="spellEnd"/>
      <w:r w:rsidR="002648AB">
        <w:t xml:space="preserve"> Fan, Country Director and </w:t>
      </w:r>
      <w:proofErr w:type="spellStart"/>
      <w:r w:rsidR="002648AB">
        <w:t>Kulsum</w:t>
      </w:r>
      <w:proofErr w:type="spellEnd"/>
      <w:r w:rsidR="002648AB">
        <w:t xml:space="preserve"> Ahmed, Practice Manager, Environmental and Natural Resources Global Practice.</w:t>
      </w:r>
    </w:p>
    <w:p w14:paraId="44631A9E" w14:textId="77777777" w:rsidR="00A55B4B" w:rsidRDefault="00A55B4B" w:rsidP="00A55B4B"/>
    <w:p w14:paraId="29010A66" w14:textId="0FCBF2E7" w:rsidR="00A55B4B" w:rsidRDefault="00A55B4B" w:rsidP="000D2787">
      <w:r w:rsidRPr="00EF183B">
        <w:t>Peer reviewers in the World Bank included: Ernesto Sanchez-</w:t>
      </w:r>
      <w:proofErr w:type="spellStart"/>
      <w:r w:rsidRPr="00EF183B">
        <w:t>Triana</w:t>
      </w:r>
      <w:proofErr w:type="spellEnd"/>
      <w:r w:rsidRPr="00EF183B">
        <w:t>, Lead Environmental Specialist;</w:t>
      </w:r>
      <w:r>
        <w:t xml:space="preserve"> Fernando </w:t>
      </w:r>
      <w:proofErr w:type="spellStart"/>
      <w:r>
        <w:t>Loayza</w:t>
      </w:r>
      <w:proofErr w:type="spellEnd"/>
      <w:r>
        <w:t xml:space="preserve">, Senior Environmental Economist; </w:t>
      </w:r>
      <w:proofErr w:type="spellStart"/>
      <w:r>
        <w:t>Hocine</w:t>
      </w:r>
      <w:proofErr w:type="spellEnd"/>
      <w:r>
        <w:t xml:space="preserve"> </w:t>
      </w:r>
      <w:proofErr w:type="spellStart"/>
      <w:r>
        <w:t>Chalal</w:t>
      </w:r>
      <w:proofErr w:type="spellEnd"/>
      <w:r>
        <w:t xml:space="preserve">, </w:t>
      </w:r>
      <w:r w:rsidRPr="007F4F6C">
        <w:t>Lead Environmental Specialist</w:t>
      </w:r>
      <w:r>
        <w:t>; and peer reviewers</w:t>
      </w:r>
      <w:r w:rsidR="003C3671">
        <w:t xml:space="preserve"> at concept note stage</w:t>
      </w:r>
      <w:r>
        <w:t xml:space="preserve">: </w:t>
      </w:r>
      <w:proofErr w:type="spellStart"/>
      <w:r w:rsidRPr="00EF183B">
        <w:t>Grzegorz</w:t>
      </w:r>
      <w:proofErr w:type="spellEnd"/>
      <w:r w:rsidRPr="00EF183B">
        <w:t xml:space="preserve"> </w:t>
      </w:r>
      <w:proofErr w:type="spellStart"/>
      <w:r w:rsidRPr="00EF183B">
        <w:t>Peszko</w:t>
      </w:r>
      <w:proofErr w:type="spellEnd"/>
      <w:r>
        <w:t xml:space="preserve">, Lead Economist and </w:t>
      </w:r>
      <w:proofErr w:type="spellStart"/>
      <w:r>
        <w:t>Yewande</w:t>
      </w:r>
      <w:proofErr w:type="spellEnd"/>
      <w:r>
        <w:t xml:space="preserve"> Awe, Senior Environmental Engineer. </w:t>
      </w:r>
      <w:r w:rsidR="000D2787">
        <w:rPr>
          <w:rFonts w:cs="Times New Roman"/>
        </w:rPr>
        <w:t xml:space="preserve">Comments on the final draft of the report were </w:t>
      </w:r>
      <w:r w:rsidR="00356D5F">
        <w:rPr>
          <w:rFonts w:cs="Times New Roman"/>
        </w:rPr>
        <w:t xml:space="preserve">also </w:t>
      </w:r>
      <w:r w:rsidR="000D2787">
        <w:rPr>
          <w:rFonts w:cs="Times New Roman"/>
        </w:rPr>
        <w:t xml:space="preserve">provided by the </w:t>
      </w:r>
      <w:r w:rsidR="00475986">
        <w:rPr>
          <w:rFonts w:cs="Times New Roman"/>
        </w:rPr>
        <w:t>Poltava Oblast State Administration’s Department of Ecology and Natural Resources</w:t>
      </w:r>
      <w:r w:rsidR="000D2787">
        <w:rPr>
          <w:rFonts w:cs="Times New Roman"/>
        </w:rPr>
        <w:t>;</w:t>
      </w:r>
      <w:r w:rsidR="00475986">
        <w:rPr>
          <w:rFonts w:cs="Times New Roman"/>
        </w:rPr>
        <w:t xml:space="preserve"> Mr. </w:t>
      </w:r>
      <w:proofErr w:type="spellStart"/>
      <w:r w:rsidR="00475986">
        <w:rPr>
          <w:rFonts w:cs="Times New Roman"/>
        </w:rPr>
        <w:t>Oleh</w:t>
      </w:r>
      <w:proofErr w:type="spellEnd"/>
      <w:r w:rsidR="00475986">
        <w:rPr>
          <w:rFonts w:cs="Times New Roman"/>
        </w:rPr>
        <w:t xml:space="preserve"> </w:t>
      </w:r>
      <w:proofErr w:type="spellStart"/>
      <w:r w:rsidR="00475986">
        <w:rPr>
          <w:rFonts w:cs="Times New Roman"/>
        </w:rPr>
        <w:t>Kartavtsev</w:t>
      </w:r>
      <w:proofErr w:type="spellEnd"/>
      <w:r w:rsidR="00475986" w:rsidRPr="005015B6">
        <w:rPr>
          <w:rFonts w:cs="Times New Roman"/>
        </w:rPr>
        <w:t xml:space="preserve">, </w:t>
      </w:r>
      <w:r w:rsidR="00475986">
        <w:rPr>
          <w:rFonts w:cs="Times New Roman"/>
        </w:rPr>
        <w:t>Director of Center of Ecological Initiatives of the Ministry of Ecology and Natural Resources</w:t>
      </w:r>
      <w:r w:rsidR="000D2787">
        <w:rPr>
          <w:rFonts w:cs="Times New Roman"/>
        </w:rPr>
        <w:t>;</w:t>
      </w:r>
      <w:r w:rsidR="00475986">
        <w:rPr>
          <w:rFonts w:cs="Times New Roman"/>
        </w:rPr>
        <w:t xml:space="preserve"> and State Ecological In</w:t>
      </w:r>
      <w:r w:rsidR="000D2787">
        <w:rPr>
          <w:rFonts w:cs="Times New Roman"/>
        </w:rPr>
        <w:t>spection of Ukraine</w:t>
      </w:r>
      <w:r w:rsidR="00475986">
        <w:rPr>
          <w:rFonts w:cs="Times New Roman"/>
        </w:rPr>
        <w:t>.</w:t>
      </w:r>
    </w:p>
    <w:p w14:paraId="27F8AD38" w14:textId="77777777" w:rsidR="00A55B4B" w:rsidRDefault="00A55B4B" w:rsidP="00A55B4B"/>
    <w:p w14:paraId="6A67FBFF" w14:textId="77777777" w:rsidR="00A55B4B" w:rsidRDefault="00A55B4B" w:rsidP="00E33DFB">
      <w:r w:rsidRPr="00EF183B">
        <w:t>Operational and administrative support was provided</w:t>
      </w:r>
      <w:r w:rsidR="00E33DFB">
        <w:t>, in Kyiv</w:t>
      </w:r>
      <w:r w:rsidRPr="00EF183B">
        <w:t xml:space="preserve"> by: </w:t>
      </w:r>
      <w:r>
        <w:t xml:space="preserve">Julia </w:t>
      </w:r>
      <w:proofErr w:type="spellStart"/>
      <w:r>
        <w:t>Samoslied</w:t>
      </w:r>
      <w:proofErr w:type="spellEnd"/>
      <w:r>
        <w:t>, Team Assistant</w:t>
      </w:r>
      <w:r w:rsidR="00E33DFB">
        <w:t>;</w:t>
      </w:r>
      <w:r>
        <w:t xml:space="preserve"> Nadia </w:t>
      </w:r>
      <w:proofErr w:type="spellStart"/>
      <w:r>
        <w:t>Kislova</w:t>
      </w:r>
      <w:proofErr w:type="spellEnd"/>
      <w:r>
        <w:t xml:space="preserve">, Team Assistant; and </w:t>
      </w:r>
      <w:proofErr w:type="spellStart"/>
      <w:r w:rsidRPr="005714EB">
        <w:t>Yulia</w:t>
      </w:r>
      <w:proofErr w:type="spellEnd"/>
      <w:r w:rsidRPr="005714EB">
        <w:t xml:space="preserve"> </w:t>
      </w:r>
      <w:proofErr w:type="spellStart"/>
      <w:r w:rsidRPr="005714EB">
        <w:t>Tomilenko</w:t>
      </w:r>
      <w:proofErr w:type="spellEnd"/>
      <w:r>
        <w:t>, Senior Team Assistant</w:t>
      </w:r>
      <w:r w:rsidR="00E33DFB">
        <w:t>, and in Washington D.C. by: Grace Aguilar, Program Assistant</w:t>
      </w:r>
      <w:r w:rsidR="00E33DFB" w:rsidRPr="005714EB">
        <w:t xml:space="preserve"> </w:t>
      </w:r>
      <w:r w:rsidR="00E33DFB">
        <w:t xml:space="preserve">and </w:t>
      </w:r>
      <w:r w:rsidR="00E33DFB" w:rsidRPr="005714EB">
        <w:t>Linh Van Nguyen</w:t>
      </w:r>
      <w:r w:rsidR="00E33DFB">
        <w:t>, Program Assistant</w:t>
      </w:r>
      <w:r w:rsidRPr="00EF183B">
        <w:t xml:space="preserve">. Editorial support was provided by Stanley </w:t>
      </w:r>
      <w:proofErr w:type="spellStart"/>
      <w:r w:rsidRPr="00EF183B">
        <w:t>Wanat</w:t>
      </w:r>
      <w:proofErr w:type="spellEnd"/>
      <w:r w:rsidRPr="00EF183B">
        <w:t xml:space="preserve">, Editor. </w:t>
      </w:r>
    </w:p>
    <w:p w14:paraId="323B580E" w14:textId="77777777" w:rsidR="00FC456E" w:rsidRDefault="00EF183B" w:rsidP="001557B4">
      <w:r>
        <w:br w:type="page"/>
      </w:r>
    </w:p>
    <w:p w14:paraId="1D31217C" w14:textId="77777777" w:rsidR="00991FA8" w:rsidRDefault="00991FA8">
      <w:pPr>
        <w:jc w:val="left"/>
        <w:rPr>
          <w:rFonts w:cs="Times New Roman"/>
          <w:b/>
          <w:bCs/>
        </w:rPr>
      </w:pPr>
      <w:r>
        <w:lastRenderedPageBreak/>
        <w:br w:type="page"/>
      </w:r>
    </w:p>
    <w:p w14:paraId="29ADD293" w14:textId="6141323C" w:rsidR="000B7923" w:rsidRPr="00240C4B" w:rsidRDefault="000B7923" w:rsidP="00240C4B">
      <w:pPr>
        <w:pStyle w:val="Heading12"/>
        <w:rPr>
          <w:color w:val="auto"/>
          <w:sz w:val="22"/>
          <w:szCs w:val="22"/>
        </w:rPr>
      </w:pPr>
      <w:bookmarkStart w:id="3" w:name="_Toc440273947"/>
      <w:r w:rsidRPr="00240C4B">
        <w:rPr>
          <w:color w:val="auto"/>
          <w:sz w:val="22"/>
          <w:szCs w:val="22"/>
        </w:rPr>
        <w:lastRenderedPageBreak/>
        <w:t>Abbreviations</w:t>
      </w:r>
      <w:r w:rsidR="001F1E96" w:rsidRPr="00240C4B">
        <w:rPr>
          <w:color w:val="auto"/>
          <w:sz w:val="22"/>
          <w:szCs w:val="22"/>
        </w:rPr>
        <w:t xml:space="preserve"> and Terms Used</w:t>
      </w:r>
      <w:bookmarkEnd w:id="3"/>
    </w:p>
    <w:p w14:paraId="0C7421CE" w14:textId="77777777" w:rsidR="000B7923" w:rsidRPr="002B1DFC" w:rsidRDefault="000B7923" w:rsidP="00F33595">
      <w:pPr>
        <w:rPr>
          <w:rFonts w:cs="Times New Roman"/>
        </w:rPr>
      </w:pPr>
    </w:p>
    <w:p w14:paraId="5E418B7D" w14:textId="77777777" w:rsidR="000B7923" w:rsidRPr="002B1DFC" w:rsidRDefault="000B7923" w:rsidP="00F33595">
      <w:pPr>
        <w:rPr>
          <w:rFonts w:cs="Times New Roman"/>
          <w:b/>
          <w:bCs/>
        </w:rPr>
      </w:pPr>
      <w:r w:rsidRPr="002B1DFC">
        <w:rPr>
          <w:rFonts w:cs="Times New Roman"/>
          <w:b/>
          <w:bCs/>
        </w:rPr>
        <w:t>Abbreviations</w:t>
      </w:r>
      <w:r w:rsidR="000F2147">
        <w:rPr>
          <w:rFonts w:cs="Times New Roman"/>
          <w:b/>
          <w:bCs/>
        </w:rPr>
        <w:t xml:space="preserve"> </w:t>
      </w:r>
    </w:p>
    <w:p w14:paraId="13912855" w14:textId="77777777" w:rsidR="000B7923" w:rsidRPr="002B1DFC" w:rsidRDefault="000B7923" w:rsidP="00F33595">
      <w:pPr>
        <w:rPr>
          <w:rFonts w:cs="Times New Roman"/>
        </w:rPr>
      </w:pPr>
    </w:p>
    <w:tbl>
      <w:tblPr>
        <w:tblW w:w="0" w:type="auto"/>
        <w:tblLook w:val="00A0" w:firstRow="1" w:lastRow="0" w:firstColumn="1" w:lastColumn="0" w:noHBand="0" w:noVBand="0"/>
      </w:tblPr>
      <w:tblGrid>
        <w:gridCol w:w="1265"/>
        <w:gridCol w:w="8095"/>
      </w:tblGrid>
      <w:tr w:rsidR="000B7923" w:rsidRPr="002B1DFC" w14:paraId="34789731" w14:textId="77777777">
        <w:tc>
          <w:tcPr>
            <w:tcW w:w="1278" w:type="dxa"/>
          </w:tcPr>
          <w:p w14:paraId="42C50A43" w14:textId="77777777" w:rsidR="000B7923" w:rsidRPr="002B1DFC" w:rsidRDefault="000B7923" w:rsidP="00F33595">
            <w:pPr>
              <w:rPr>
                <w:rFonts w:eastAsia="Times New Roman" w:cs="Times New Roman"/>
              </w:rPr>
            </w:pPr>
            <w:r w:rsidRPr="002B1DFC">
              <w:rPr>
                <w:rFonts w:eastAsia="Times New Roman" w:cs="Times New Roman"/>
              </w:rPr>
              <w:t>CEA</w:t>
            </w:r>
          </w:p>
        </w:tc>
        <w:tc>
          <w:tcPr>
            <w:tcW w:w="8298" w:type="dxa"/>
          </w:tcPr>
          <w:p w14:paraId="1C278DD3" w14:textId="77777777" w:rsidR="000B7923" w:rsidRPr="002B1DFC" w:rsidRDefault="000B7923" w:rsidP="00F33595">
            <w:pPr>
              <w:rPr>
                <w:rFonts w:eastAsia="Times New Roman" w:cs="Times New Roman"/>
              </w:rPr>
            </w:pPr>
            <w:r w:rsidRPr="002B1DFC">
              <w:rPr>
                <w:rFonts w:eastAsia="Times New Roman" w:cs="Times New Roman"/>
              </w:rPr>
              <w:t>Country Environmental Analysis</w:t>
            </w:r>
          </w:p>
        </w:tc>
      </w:tr>
      <w:tr w:rsidR="00400263" w:rsidRPr="002B1DFC" w14:paraId="270E55E2" w14:textId="77777777">
        <w:tc>
          <w:tcPr>
            <w:tcW w:w="1278" w:type="dxa"/>
          </w:tcPr>
          <w:p w14:paraId="718BCF6F" w14:textId="6C0184A2" w:rsidR="00400263" w:rsidRPr="002B1DFC" w:rsidRDefault="00400263" w:rsidP="00F33595">
            <w:pPr>
              <w:rPr>
                <w:rFonts w:eastAsia="Times New Roman" w:cs="Times New Roman"/>
              </w:rPr>
            </w:pPr>
            <w:r>
              <w:rPr>
                <w:rFonts w:eastAsia="Times New Roman" w:cs="Times New Roman"/>
              </w:rPr>
              <w:t>EE</w:t>
            </w:r>
          </w:p>
        </w:tc>
        <w:tc>
          <w:tcPr>
            <w:tcW w:w="8298" w:type="dxa"/>
          </w:tcPr>
          <w:p w14:paraId="1BA1BE4D" w14:textId="114A2A46" w:rsidR="00400263" w:rsidRPr="002B1DFC" w:rsidRDefault="00400263" w:rsidP="00F33595">
            <w:pPr>
              <w:rPr>
                <w:rFonts w:eastAsia="Times New Roman" w:cs="Times New Roman"/>
              </w:rPr>
            </w:pPr>
            <w:r>
              <w:rPr>
                <w:rFonts w:eastAsia="Times New Roman" w:cs="Times New Roman"/>
              </w:rPr>
              <w:t>Ecological Expertise</w:t>
            </w:r>
          </w:p>
        </w:tc>
      </w:tr>
      <w:tr w:rsidR="000B7923" w:rsidRPr="002B1DFC" w14:paraId="546B2BE4" w14:textId="77777777">
        <w:tc>
          <w:tcPr>
            <w:tcW w:w="1278" w:type="dxa"/>
          </w:tcPr>
          <w:p w14:paraId="114D0DD8" w14:textId="77777777" w:rsidR="000B7923" w:rsidRPr="002B1DFC" w:rsidRDefault="000B7923" w:rsidP="00F33595">
            <w:pPr>
              <w:rPr>
                <w:rFonts w:eastAsia="Times New Roman" w:cs="Times New Roman"/>
              </w:rPr>
            </w:pPr>
            <w:r w:rsidRPr="002B1DFC">
              <w:rPr>
                <w:rFonts w:eastAsia="Times New Roman" w:cs="Times New Roman"/>
              </w:rPr>
              <w:t>EIA</w:t>
            </w:r>
          </w:p>
        </w:tc>
        <w:tc>
          <w:tcPr>
            <w:tcW w:w="8298" w:type="dxa"/>
          </w:tcPr>
          <w:p w14:paraId="5418BF2E" w14:textId="77777777" w:rsidR="000B7923" w:rsidRPr="002B1DFC" w:rsidRDefault="000B7923" w:rsidP="00F33595">
            <w:pPr>
              <w:rPr>
                <w:rFonts w:eastAsia="Times New Roman" w:cs="Times New Roman"/>
              </w:rPr>
            </w:pPr>
            <w:r w:rsidRPr="002B1DFC">
              <w:rPr>
                <w:rFonts w:eastAsia="Times New Roman" w:cs="Times New Roman"/>
              </w:rPr>
              <w:t>Environmental Impact Assessment</w:t>
            </w:r>
          </w:p>
        </w:tc>
      </w:tr>
      <w:tr w:rsidR="000B7923" w:rsidRPr="002B1DFC" w14:paraId="38D54756" w14:textId="77777777">
        <w:tc>
          <w:tcPr>
            <w:tcW w:w="1278" w:type="dxa"/>
          </w:tcPr>
          <w:p w14:paraId="2E7F9E0D" w14:textId="77777777" w:rsidR="000B7923" w:rsidRPr="002B1DFC" w:rsidRDefault="000B7923" w:rsidP="00F33595">
            <w:pPr>
              <w:rPr>
                <w:rFonts w:eastAsia="Times New Roman" w:cs="Times New Roman"/>
              </w:rPr>
            </w:pPr>
            <w:r w:rsidRPr="002B1DFC">
              <w:rPr>
                <w:rFonts w:eastAsia="Times New Roman" w:cs="Times New Roman"/>
              </w:rPr>
              <w:t>EPF</w:t>
            </w:r>
          </w:p>
        </w:tc>
        <w:tc>
          <w:tcPr>
            <w:tcW w:w="8298" w:type="dxa"/>
          </w:tcPr>
          <w:p w14:paraId="70DF127D" w14:textId="77777777" w:rsidR="000B7923" w:rsidRPr="002B1DFC" w:rsidRDefault="000B7923" w:rsidP="00F33595">
            <w:pPr>
              <w:rPr>
                <w:rFonts w:eastAsia="Times New Roman" w:cs="Times New Roman"/>
              </w:rPr>
            </w:pPr>
            <w:r w:rsidRPr="002B1DFC">
              <w:rPr>
                <w:rFonts w:eastAsia="Times New Roman" w:cs="Times New Roman"/>
              </w:rPr>
              <w:t>Environment Protection Fund (</w:t>
            </w:r>
            <w:r w:rsidRPr="002B1DFC">
              <w:rPr>
                <w:rFonts w:eastAsia="Times New Roman" w:cs="Times New Roman"/>
                <w:i/>
                <w:iCs/>
              </w:rPr>
              <w:t xml:space="preserve">Fond </w:t>
            </w:r>
            <w:proofErr w:type="spellStart"/>
            <w:r w:rsidRPr="002B1DFC">
              <w:rPr>
                <w:rFonts w:eastAsia="Times New Roman" w:cs="Times New Roman"/>
                <w:i/>
                <w:iCs/>
              </w:rPr>
              <w:t>Ohorony</w:t>
            </w:r>
            <w:proofErr w:type="spellEnd"/>
            <w:r w:rsidRPr="002B1DFC">
              <w:rPr>
                <w:rFonts w:eastAsia="Times New Roman" w:cs="Times New Roman"/>
                <w:i/>
                <w:iCs/>
              </w:rPr>
              <w:t xml:space="preserve"> </w:t>
            </w:r>
            <w:proofErr w:type="spellStart"/>
            <w:r w:rsidRPr="002B1DFC">
              <w:rPr>
                <w:rFonts w:eastAsia="Times New Roman" w:cs="Times New Roman"/>
                <w:i/>
                <w:iCs/>
              </w:rPr>
              <w:t>Navkolyshniogo</w:t>
            </w:r>
            <w:proofErr w:type="spellEnd"/>
            <w:r w:rsidRPr="002B1DFC">
              <w:rPr>
                <w:rFonts w:eastAsia="Times New Roman" w:cs="Times New Roman"/>
                <w:i/>
                <w:iCs/>
              </w:rPr>
              <w:t xml:space="preserve"> </w:t>
            </w:r>
            <w:proofErr w:type="spellStart"/>
            <w:r w:rsidRPr="002B1DFC">
              <w:rPr>
                <w:rFonts w:eastAsia="Times New Roman" w:cs="Times New Roman"/>
                <w:i/>
                <w:iCs/>
              </w:rPr>
              <w:t>Pryrodnogo</w:t>
            </w:r>
            <w:proofErr w:type="spellEnd"/>
            <w:r w:rsidRPr="002B1DFC">
              <w:rPr>
                <w:rFonts w:eastAsia="Times New Roman" w:cs="Times New Roman"/>
                <w:i/>
                <w:iCs/>
              </w:rPr>
              <w:t xml:space="preserve"> </w:t>
            </w:r>
            <w:proofErr w:type="spellStart"/>
            <w:r w:rsidRPr="002B1DFC">
              <w:rPr>
                <w:rFonts w:eastAsia="Times New Roman" w:cs="Times New Roman"/>
                <w:i/>
                <w:iCs/>
              </w:rPr>
              <w:t>Seredovyscha</w:t>
            </w:r>
            <w:proofErr w:type="spellEnd"/>
            <w:r w:rsidRPr="002B1DFC">
              <w:rPr>
                <w:rFonts w:eastAsia="Times New Roman" w:cs="Times New Roman"/>
              </w:rPr>
              <w:t>)</w:t>
            </w:r>
          </w:p>
        </w:tc>
      </w:tr>
      <w:tr w:rsidR="000B7923" w:rsidRPr="002B1DFC" w14:paraId="7589481C" w14:textId="77777777">
        <w:tc>
          <w:tcPr>
            <w:tcW w:w="1278" w:type="dxa"/>
          </w:tcPr>
          <w:p w14:paraId="691E86E1" w14:textId="77777777" w:rsidR="000B7923" w:rsidRPr="002B1DFC" w:rsidRDefault="000B7923" w:rsidP="00F33595">
            <w:pPr>
              <w:rPr>
                <w:rFonts w:eastAsia="Times New Roman" w:cs="Times New Roman"/>
              </w:rPr>
            </w:pPr>
            <w:r w:rsidRPr="002B1DFC">
              <w:rPr>
                <w:rFonts w:eastAsia="Times New Roman" w:cs="Times New Roman"/>
              </w:rPr>
              <w:t>MENR</w:t>
            </w:r>
          </w:p>
        </w:tc>
        <w:tc>
          <w:tcPr>
            <w:tcW w:w="8298" w:type="dxa"/>
          </w:tcPr>
          <w:p w14:paraId="5329615E" w14:textId="77777777" w:rsidR="000B7923" w:rsidRPr="002B1DFC" w:rsidRDefault="000B7923" w:rsidP="00F33595">
            <w:pPr>
              <w:rPr>
                <w:rFonts w:eastAsia="Times New Roman" w:cs="Times New Roman"/>
              </w:rPr>
            </w:pPr>
            <w:r w:rsidRPr="002B1DFC">
              <w:rPr>
                <w:rFonts w:eastAsia="Times New Roman" w:cs="Times New Roman"/>
              </w:rPr>
              <w:t>Ministry of Ecology and Natural Resources</w:t>
            </w:r>
          </w:p>
        </w:tc>
      </w:tr>
      <w:tr w:rsidR="000B7923" w:rsidRPr="002B1DFC" w14:paraId="67712DF1" w14:textId="77777777">
        <w:tc>
          <w:tcPr>
            <w:tcW w:w="1278" w:type="dxa"/>
          </w:tcPr>
          <w:p w14:paraId="2EA048C4" w14:textId="77777777" w:rsidR="000B7923" w:rsidRPr="002B1DFC" w:rsidRDefault="000B7923" w:rsidP="00F33595">
            <w:pPr>
              <w:rPr>
                <w:rFonts w:eastAsia="Times New Roman" w:cs="Times New Roman"/>
              </w:rPr>
            </w:pPr>
            <w:r w:rsidRPr="002B1DFC">
              <w:rPr>
                <w:rFonts w:eastAsia="Times New Roman" w:cs="Times New Roman"/>
              </w:rPr>
              <w:t>MRDC</w:t>
            </w:r>
          </w:p>
        </w:tc>
        <w:tc>
          <w:tcPr>
            <w:tcW w:w="8298" w:type="dxa"/>
          </w:tcPr>
          <w:p w14:paraId="561464F0" w14:textId="77777777" w:rsidR="000B7923" w:rsidRPr="002B1DFC" w:rsidRDefault="000B7923" w:rsidP="00F33595">
            <w:pPr>
              <w:rPr>
                <w:rFonts w:eastAsia="Times New Roman" w:cs="Times New Roman"/>
              </w:rPr>
            </w:pPr>
            <w:r w:rsidRPr="002B1DFC">
              <w:rPr>
                <w:rFonts w:eastAsia="Times New Roman" w:cs="Times New Roman"/>
              </w:rPr>
              <w:t>Ministry of Regional Development, Construction, Housing and Communal Services</w:t>
            </w:r>
          </w:p>
        </w:tc>
      </w:tr>
      <w:tr w:rsidR="000B7923" w:rsidRPr="002B1DFC" w14:paraId="218EB4DE" w14:textId="77777777">
        <w:tc>
          <w:tcPr>
            <w:tcW w:w="1278" w:type="dxa"/>
          </w:tcPr>
          <w:p w14:paraId="7BFC5FD2" w14:textId="77777777" w:rsidR="000B7923" w:rsidRPr="002B1DFC" w:rsidRDefault="000B7923" w:rsidP="00F33595">
            <w:pPr>
              <w:rPr>
                <w:rFonts w:eastAsia="Times New Roman" w:cs="Times New Roman"/>
              </w:rPr>
            </w:pPr>
            <w:r w:rsidRPr="002B1DFC">
              <w:rPr>
                <w:rFonts w:eastAsia="Times New Roman" w:cs="Times New Roman"/>
              </w:rPr>
              <w:t>NES</w:t>
            </w:r>
          </w:p>
        </w:tc>
        <w:tc>
          <w:tcPr>
            <w:tcW w:w="8298" w:type="dxa"/>
          </w:tcPr>
          <w:p w14:paraId="1BF5035D" w14:textId="77777777" w:rsidR="000B7923" w:rsidRPr="002B1DFC" w:rsidRDefault="000B7923" w:rsidP="00F33595">
            <w:pPr>
              <w:rPr>
                <w:rFonts w:eastAsia="Times New Roman" w:cs="Times New Roman"/>
              </w:rPr>
            </w:pPr>
            <w:r w:rsidRPr="002B1DFC">
              <w:rPr>
                <w:rFonts w:eastAsia="Times New Roman" w:cs="Times New Roman"/>
              </w:rPr>
              <w:t>National Environment Strategy</w:t>
            </w:r>
          </w:p>
        </w:tc>
      </w:tr>
      <w:tr w:rsidR="000B7923" w:rsidRPr="002B1DFC" w14:paraId="3B3DA863" w14:textId="77777777">
        <w:tc>
          <w:tcPr>
            <w:tcW w:w="1278" w:type="dxa"/>
          </w:tcPr>
          <w:p w14:paraId="7ABD7752" w14:textId="77777777" w:rsidR="000B7923" w:rsidRPr="002B1DFC" w:rsidRDefault="000B7923" w:rsidP="00F33595">
            <w:pPr>
              <w:rPr>
                <w:rFonts w:eastAsia="Times New Roman" w:cs="Times New Roman"/>
              </w:rPr>
            </w:pPr>
            <w:r w:rsidRPr="002B1DFC">
              <w:rPr>
                <w:rFonts w:eastAsia="Times New Roman" w:cs="Times New Roman"/>
              </w:rPr>
              <w:t>NPF</w:t>
            </w:r>
          </w:p>
        </w:tc>
        <w:tc>
          <w:tcPr>
            <w:tcW w:w="8298" w:type="dxa"/>
          </w:tcPr>
          <w:p w14:paraId="51977A5A" w14:textId="77777777" w:rsidR="000B7923" w:rsidRPr="002B1DFC" w:rsidRDefault="000B7923" w:rsidP="006B6F90">
            <w:pPr>
              <w:rPr>
                <w:rFonts w:eastAsia="Times New Roman" w:cs="Times New Roman"/>
              </w:rPr>
            </w:pPr>
            <w:r w:rsidRPr="002B1DFC">
              <w:rPr>
                <w:rFonts w:eastAsia="Times New Roman" w:cs="Times New Roman"/>
              </w:rPr>
              <w:t>Nature Protection Fund (</w:t>
            </w:r>
            <w:proofErr w:type="spellStart"/>
            <w:r w:rsidRPr="002B1DFC">
              <w:rPr>
                <w:rFonts w:eastAsia="Times New Roman" w:cs="Times New Roman"/>
                <w:i/>
                <w:iCs/>
              </w:rPr>
              <w:t>Pryrodno-zapovidnyy</w:t>
            </w:r>
            <w:proofErr w:type="spellEnd"/>
            <w:r w:rsidRPr="002B1DFC">
              <w:rPr>
                <w:rFonts w:eastAsia="Times New Roman" w:cs="Times New Roman"/>
                <w:i/>
                <w:iCs/>
              </w:rPr>
              <w:t xml:space="preserve"> fond</w:t>
            </w:r>
            <w:r w:rsidRPr="002B1DFC">
              <w:rPr>
                <w:rFonts w:eastAsia="Times New Roman" w:cs="Times New Roman"/>
              </w:rPr>
              <w:t>)</w:t>
            </w:r>
          </w:p>
        </w:tc>
      </w:tr>
      <w:tr w:rsidR="000B7923" w:rsidRPr="002B1DFC" w14:paraId="785EEDDE" w14:textId="77777777">
        <w:tc>
          <w:tcPr>
            <w:tcW w:w="1278" w:type="dxa"/>
          </w:tcPr>
          <w:p w14:paraId="4771A1B3" w14:textId="77777777" w:rsidR="000B7923" w:rsidRPr="002B1DFC" w:rsidRDefault="000B7923" w:rsidP="00F33595">
            <w:pPr>
              <w:rPr>
                <w:rFonts w:eastAsia="Times New Roman" w:cs="Times New Roman"/>
              </w:rPr>
            </w:pPr>
            <w:r w:rsidRPr="002B1DFC">
              <w:rPr>
                <w:rFonts w:eastAsia="Times New Roman" w:cs="Times New Roman"/>
              </w:rPr>
              <w:t>OSA</w:t>
            </w:r>
          </w:p>
        </w:tc>
        <w:tc>
          <w:tcPr>
            <w:tcW w:w="8298" w:type="dxa"/>
          </w:tcPr>
          <w:p w14:paraId="6D5531A8" w14:textId="77777777" w:rsidR="000B7923" w:rsidRPr="002B1DFC" w:rsidRDefault="000B7923" w:rsidP="00F33595">
            <w:pPr>
              <w:rPr>
                <w:rFonts w:eastAsia="Times New Roman" w:cs="Times New Roman"/>
              </w:rPr>
            </w:pPr>
            <w:r w:rsidRPr="002B1DFC">
              <w:rPr>
                <w:rFonts w:eastAsia="Times New Roman" w:cs="Times New Roman"/>
              </w:rPr>
              <w:t>Oblast State Administration</w:t>
            </w:r>
          </w:p>
        </w:tc>
      </w:tr>
      <w:tr w:rsidR="000B7923" w:rsidRPr="002B1DFC" w14:paraId="2F5B010B" w14:textId="77777777">
        <w:tc>
          <w:tcPr>
            <w:tcW w:w="1278" w:type="dxa"/>
          </w:tcPr>
          <w:p w14:paraId="6CD856F4" w14:textId="77777777" w:rsidR="000B7923" w:rsidRPr="002B1DFC" w:rsidRDefault="000B7923" w:rsidP="00F33595">
            <w:pPr>
              <w:rPr>
                <w:rFonts w:eastAsia="Times New Roman" w:cs="Times New Roman"/>
              </w:rPr>
            </w:pPr>
            <w:r w:rsidRPr="002B1DFC">
              <w:rPr>
                <w:rFonts w:eastAsia="Times New Roman" w:cs="Times New Roman"/>
              </w:rPr>
              <w:t>OVNS</w:t>
            </w:r>
          </w:p>
        </w:tc>
        <w:tc>
          <w:tcPr>
            <w:tcW w:w="8298" w:type="dxa"/>
          </w:tcPr>
          <w:p w14:paraId="428CD1D7" w14:textId="4B215BF0" w:rsidR="000B7923" w:rsidRPr="002B1DFC" w:rsidRDefault="000B7923" w:rsidP="00C541C5">
            <w:pPr>
              <w:rPr>
                <w:rFonts w:eastAsia="Times New Roman" w:cs="Times New Roman"/>
              </w:rPr>
            </w:pPr>
            <w:r w:rsidRPr="002B1DFC">
              <w:rPr>
                <w:rFonts w:eastAsia="Times New Roman" w:cs="Times New Roman"/>
              </w:rPr>
              <w:t>Environmental Impact Assessment</w:t>
            </w:r>
            <w:r w:rsidR="00C541C5">
              <w:rPr>
                <w:rFonts w:eastAsia="Times New Roman" w:cs="Times New Roman"/>
              </w:rPr>
              <w:t xml:space="preserve"> (</w:t>
            </w:r>
            <w:proofErr w:type="spellStart"/>
            <w:r w:rsidR="00C541C5" w:rsidRPr="00C541C5">
              <w:rPr>
                <w:rFonts w:eastAsia="Times New Roman" w:cs="Times New Roman"/>
                <w:i/>
                <w:iCs/>
              </w:rPr>
              <w:t>Otsinka</w:t>
            </w:r>
            <w:proofErr w:type="spellEnd"/>
            <w:r w:rsidR="00C541C5" w:rsidRPr="00C541C5">
              <w:rPr>
                <w:rFonts w:eastAsia="Times New Roman" w:cs="Times New Roman"/>
                <w:i/>
                <w:iCs/>
              </w:rPr>
              <w:t xml:space="preserve"> </w:t>
            </w:r>
            <w:proofErr w:type="spellStart"/>
            <w:r w:rsidR="00C541C5" w:rsidRPr="00C541C5">
              <w:rPr>
                <w:rFonts w:eastAsia="Times New Roman" w:cs="Times New Roman"/>
                <w:i/>
                <w:iCs/>
              </w:rPr>
              <w:t>Vplyvu</w:t>
            </w:r>
            <w:proofErr w:type="spellEnd"/>
            <w:r w:rsidR="00C541C5" w:rsidRPr="00C541C5">
              <w:rPr>
                <w:rFonts w:eastAsia="Times New Roman" w:cs="Times New Roman"/>
                <w:i/>
                <w:iCs/>
              </w:rPr>
              <w:t xml:space="preserve"> </w:t>
            </w:r>
            <w:proofErr w:type="spellStart"/>
            <w:r w:rsidR="00C541C5" w:rsidRPr="00C541C5">
              <w:rPr>
                <w:rFonts w:eastAsia="Times New Roman" w:cs="Times New Roman"/>
                <w:i/>
                <w:iCs/>
              </w:rPr>
              <w:t>na</w:t>
            </w:r>
            <w:proofErr w:type="spellEnd"/>
            <w:r w:rsidR="00C541C5" w:rsidRPr="00C541C5">
              <w:rPr>
                <w:rFonts w:eastAsia="Times New Roman" w:cs="Times New Roman"/>
                <w:i/>
                <w:iCs/>
              </w:rPr>
              <w:t xml:space="preserve"> </w:t>
            </w:r>
            <w:proofErr w:type="spellStart"/>
            <w:r w:rsidR="00C541C5" w:rsidRPr="00C541C5">
              <w:rPr>
                <w:rFonts w:eastAsia="Times New Roman" w:cs="Times New Roman"/>
                <w:i/>
                <w:iCs/>
              </w:rPr>
              <w:t>Navkolyshnye</w:t>
            </w:r>
            <w:proofErr w:type="spellEnd"/>
            <w:r w:rsidR="00C541C5" w:rsidRPr="00C541C5">
              <w:rPr>
                <w:rFonts w:eastAsia="Times New Roman" w:cs="Times New Roman"/>
                <w:i/>
                <w:iCs/>
              </w:rPr>
              <w:t xml:space="preserve"> </w:t>
            </w:r>
            <w:proofErr w:type="spellStart"/>
            <w:r w:rsidR="00C541C5" w:rsidRPr="00C541C5">
              <w:rPr>
                <w:rFonts w:eastAsia="Times New Roman" w:cs="Times New Roman"/>
                <w:i/>
                <w:iCs/>
              </w:rPr>
              <w:t>Seredovysche</w:t>
            </w:r>
            <w:proofErr w:type="spellEnd"/>
            <w:r w:rsidR="00C541C5">
              <w:rPr>
                <w:rFonts w:eastAsia="Times New Roman" w:cs="Times New Roman"/>
              </w:rPr>
              <w:t>)</w:t>
            </w:r>
          </w:p>
        </w:tc>
      </w:tr>
      <w:tr w:rsidR="006A5F06" w:rsidRPr="002B1DFC" w14:paraId="5F99E3E1" w14:textId="77777777">
        <w:tc>
          <w:tcPr>
            <w:tcW w:w="1278" w:type="dxa"/>
          </w:tcPr>
          <w:p w14:paraId="29147BC4" w14:textId="2DC80B20" w:rsidR="006A5F06" w:rsidRPr="002B1DFC" w:rsidRDefault="006A5F06" w:rsidP="00F33595">
            <w:pPr>
              <w:rPr>
                <w:rFonts w:eastAsia="Times New Roman" w:cs="Times New Roman"/>
              </w:rPr>
            </w:pPr>
            <w:r>
              <w:rPr>
                <w:rFonts w:eastAsia="Times New Roman" w:cs="Times New Roman"/>
              </w:rPr>
              <w:t>SEA</w:t>
            </w:r>
          </w:p>
        </w:tc>
        <w:tc>
          <w:tcPr>
            <w:tcW w:w="8298" w:type="dxa"/>
          </w:tcPr>
          <w:p w14:paraId="11DCD311" w14:textId="6E5FA30A" w:rsidR="006A5F06" w:rsidRPr="002B1DFC" w:rsidRDefault="006A5F06" w:rsidP="00F33595">
            <w:pPr>
              <w:rPr>
                <w:rFonts w:eastAsia="Times New Roman" w:cs="Times New Roman"/>
              </w:rPr>
            </w:pPr>
            <w:r>
              <w:rPr>
                <w:rFonts w:eastAsia="Times New Roman" w:cs="Times New Roman"/>
              </w:rPr>
              <w:t>Strategic Environmental Assessment</w:t>
            </w:r>
          </w:p>
        </w:tc>
      </w:tr>
      <w:tr w:rsidR="001A0908" w:rsidRPr="002B1DFC" w14:paraId="2FF00C01" w14:textId="77777777">
        <w:tc>
          <w:tcPr>
            <w:tcW w:w="1278" w:type="dxa"/>
          </w:tcPr>
          <w:p w14:paraId="5143D7F7" w14:textId="77777777" w:rsidR="001A0908" w:rsidRPr="002B1DFC" w:rsidRDefault="001A0908" w:rsidP="00F33595">
            <w:pPr>
              <w:rPr>
                <w:rFonts w:eastAsia="Times New Roman" w:cs="Times New Roman"/>
              </w:rPr>
            </w:pPr>
            <w:r w:rsidRPr="002B1DFC">
              <w:rPr>
                <w:rFonts w:eastAsia="Times New Roman" w:cs="Times New Roman"/>
              </w:rPr>
              <w:t>SEE</w:t>
            </w:r>
          </w:p>
        </w:tc>
        <w:tc>
          <w:tcPr>
            <w:tcW w:w="8298" w:type="dxa"/>
          </w:tcPr>
          <w:p w14:paraId="32C0F7D2" w14:textId="77777777" w:rsidR="001A0908" w:rsidRPr="002B1DFC" w:rsidRDefault="001A0908" w:rsidP="00F33595">
            <w:pPr>
              <w:rPr>
                <w:rFonts w:eastAsia="Times New Roman" w:cs="Times New Roman"/>
              </w:rPr>
            </w:pPr>
            <w:r w:rsidRPr="002B1DFC">
              <w:rPr>
                <w:rFonts w:eastAsia="Times New Roman" w:cs="Times New Roman"/>
              </w:rPr>
              <w:t>State Ecological Expertise</w:t>
            </w:r>
          </w:p>
        </w:tc>
      </w:tr>
      <w:tr w:rsidR="00F046A2" w:rsidRPr="002B1DFC" w14:paraId="7CD99233" w14:textId="77777777">
        <w:tc>
          <w:tcPr>
            <w:tcW w:w="1278" w:type="dxa"/>
          </w:tcPr>
          <w:p w14:paraId="27095E9A" w14:textId="77777777" w:rsidR="00F046A2" w:rsidRPr="002B1DFC" w:rsidRDefault="00F046A2" w:rsidP="00F33595">
            <w:pPr>
              <w:rPr>
                <w:rFonts w:eastAsia="Times New Roman" w:cs="Times New Roman"/>
              </w:rPr>
            </w:pPr>
            <w:r>
              <w:rPr>
                <w:rFonts w:eastAsia="Times New Roman" w:cs="Times New Roman"/>
              </w:rPr>
              <w:t>SEI</w:t>
            </w:r>
          </w:p>
        </w:tc>
        <w:tc>
          <w:tcPr>
            <w:tcW w:w="8298" w:type="dxa"/>
          </w:tcPr>
          <w:p w14:paraId="2D7F046D" w14:textId="77777777" w:rsidR="00F046A2" w:rsidRPr="002B1DFC" w:rsidRDefault="00F046A2" w:rsidP="00F33595">
            <w:pPr>
              <w:rPr>
                <w:rFonts w:eastAsia="Times New Roman" w:cs="Times New Roman"/>
              </w:rPr>
            </w:pPr>
            <w:r>
              <w:rPr>
                <w:rFonts w:eastAsia="Times New Roman" w:cs="Times New Roman"/>
              </w:rPr>
              <w:t>State Ecological Inspectorate</w:t>
            </w:r>
          </w:p>
        </w:tc>
      </w:tr>
      <w:tr w:rsidR="001A0908" w:rsidRPr="002B1DFC" w14:paraId="4CDCDE27" w14:textId="77777777">
        <w:tc>
          <w:tcPr>
            <w:tcW w:w="1278" w:type="dxa"/>
          </w:tcPr>
          <w:p w14:paraId="41CAAF1B" w14:textId="77777777" w:rsidR="001A0908" w:rsidRPr="002B1DFC" w:rsidRDefault="001A0908" w:rsidP="00F33595">
            <w:pPr>
              <w:rPr>
                <w:rFonts w:eastAsia="Times New Roman" w:cs="Times New Roman"/>
              </w:rPr>
            </w:pPr>
            <w:r w:rsidRPr="002B1DFC">
              <w:rPr>
                <w:rFonts w:eastAsia="Times New Roman" w:cs="Times New Roman"/>
              </w:rPr>
              <w:t>SGS</w:t>
            </w:r>
          </w:p>
        </w:tc>
        <w:tc>
          <w:tcPr>
            <w:tcW w:w="8298" w:type="dxa"/>
          </w:tcPr>
          <w:p w14:paraId="17AC6CF6" w14:textId="77777777" w:rsidR="001A0908" w:rsidRPr="002B1DFC" w:rsidRDefault="001A0908" w:rsidP="00F33595">
            <w:pPr>
              <w:rPr>
                <w:rFonts w:eastAsia="Times New Roman" w:cs="Times New Roman"/>
              </w:rPr>
            </w:pPr>
            <w:r w:rsidRPr="002B1DFC">
              <w:rPr>
                <w:rFonts w:eastAsia="Times New Roman" w:cs="Times New Roman"/>
              </w:rPr>
              <w:t>State Geological Service</w:t>
            </w:r>
          </w:p>
        </w:tc>
      </w:tr>
      <w:tr w:rsidR="001A0908" w:rsidRPr="002B1DFC" w14:paraId="466A5AA8" w14:textId="77777777">
        <w:tc>
          <w:tcPr>
            <w:tcW w:w="1278" w:type="dxa"/>
          </w:tcPr>
          <w:p w14:paraId="50434E44" w14:textId="77777777" w:rsidR="001A0908" w:rsidRPr="002B1DFC" w:rsidRDefault="001A0908" w:rsidP="00F33595">
            <w:pPr>
              <w:rPr>
                <w:rFonts w:eastAsia="Times New Roman" w:cs="Times New Roman"/>
              </w:rPr>
            </w:pPr>
            <w:r w:rsidRPr="002B1DFC">
              <w:rPr>
                <w:rFonts w:eastAsia="Times New Roman" w:cs="Times New Roman"/>
              </w:rPr>
              <w:t>SSSU</w:t>
            </w:r>
          </w:p>
        </w:tc>
        <w:tc>
          <w:tcPr>
            <w:tcW w:w="8298" w:type="dxa"/>
          </w:tcPr>
          <w:p w14:paraId="411E6736" w14:textId="77777777" w:rsidR="001A0908" w:rsidRPr="002B1DFC" w:rsidRDefault="001A0908" w:rsidP="00F33595">
            <w:pPr>
              <w:rPr>
                <w:rFonts w:eastAsia="Times New Roman" w:cs="Times New Roman"/>
              </w:rPr>
            </w:pPr>
            <w:r w:rsidRPr="002B1DFC">
              <w:rPr>
                <w:rFonts w:eastAsia="Times New Roman" w:cs="Times New Roman"/>
              </w:rPr>
              <w:t>State Statistical Service of Ukraine</w:t>
            </w:r>
          </w:p>
        </w:tc>
      </w:tr>
      <w:tr w:rsidR="001A0908" w:rsidRPr="002B1DFC" w14:paraId="2FC3ED18" w14:textId="77777777">
        <w:tc>
          <w:tcPr>
            <w:tcW w:w="1278" w:type="dxa"/>
          </w:tcPr>
          <w:p w14:paraId="7924C947" w14:textId="77777777" w:rsidR="001A0908" w:rsidRPr="002B1DFC" w:rsidRDefault="001A0908" w:rsidP="00F33595">
            <w:pPr>
              <w:rPr>
                <w:rFonts w:eastAsia="Times New Roman" w:cs="Times New Roman"/>
              </w:rPr>
            </w:pPr>
            <w:r w:rsidRPr="002B1DFC">
              <w:rPr>
                <w:rFonts w:eastAsia="Times New Roman" w:cs="Times New Roman"/>
              </w:rPr>
              <w:t>SWRA</w:t>
            </w:r>
          </w:p>
        </w:tc>
        <w:tc>
          <w:tcPr>
            <w:tcW w:w="8298" w:type="dxa"/>
          </w:tcPr>
          <w:p w14:paraId="134A985D" w14:textId="77777777" w:rsidR="001A0908" w:rsidRPr="002B1DFC" w:rsidRDefault="001A0908" w:rsidP="00F33595">
            <w:pPr>
              <w:rPr>
                <w:rFonts w:eastAsia="Times New Roman" w:cs="Times New Roman"/>
              </w:rPr>
            </w:pPr>
            <w:r w:rsidRPr="002B1DFC">
              <w:rPr>
                <w:rFonts w:eastAsia="Times New Roman" w:cs="Times New Roman"/>
              </w:rPr>
              <w:t xml:space="preserve">State Water Resources Agency </w:t>
            </w:r>
          </w:p>
        </w:tc>
      </w:tr>
    </w:tbl>
    <w:p w14:paraId="0A6B8C3C" w14:textId="77777777" w:rsidR="000B7923" w:rsidRPr="002B1DFC" w:rsidRDefault="000B7923" w:rsidP="00856F36">
      <w:pPr>
        <w:pStyle w:val="Heading12"/>
        <w:rPr>
          <w:color w:val="auto"/>
          <w:sz w:val="22"/>
          <w:szCs w:val="22"/>
        </w:rPr>
      </w:pPr>
    </w:p>
    <w:p w14:paraId="5AEF9D75" w14:textId="77777777" w:rsidR="000B7923" w:rsidRPr="002B1DFC" w:rsidRDefault="000B7923" w:rsidP="00E56309">
      <w:pPr>
        <w:rPr>
          <w:b/>
          <w:bCs/>
        </w:rPr>
      </w:pPr>
      <w:r w:rsidRPr="002B1DFC">
        <w:rPr>
          <w:b/>
          <w:bCs/>
        </w:rPr>
        <w:t xml:space="preserve">Terms Used </w:t>
      </w:r>
    </w:p>
    <w:p w14:paraId="35786C2B" w14:textId="77777777" w:rsidR="000B7923" w:rsidRPr="002B1DFC" w:rsidRDefault="000B7923" w:rsidP="00856F36"/>
    <w:tbl>
      <w:tblPr>
        <w:tblW w:w="0" w:type="auto"/>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3117"/>
        <w:gridCol w:w="3115"/>
        <w:gridCol w:w="3118"/>
      </w:tblGrid>
      <w:tr w:rsidR="000B7923" w:rsidRPr="002B1DFC" w14:paraId="5ABD9A99" w14:textId="77777777">
        <w:tc>
          <w:tcPr>
            <w:tcW w:w="3192" w:type="dxa"/>
            <w:tcBorders>
              <w:top w:val="single" w:sz="4" w:space="0" w:color="4F81BD"/>
              <w:left w:val="single" w:sz="4" w:space="0" w:color="4F81BD"/>
              <w:bottom w:val="nil"/>
              <w:right w:val="nil"/>
            </w:tcBorders>
            <w:shd w:val="clear" w:color="auto" w:fill="4F81BD"/>
          </w:tcPr>
          <w:p w14:paraId="67DA7F37" w14:textId="77777777" w:rsidR="000B7923" w:rsidRPr="002B1DFC" w:rsidRDefault="000B7923" w:rsidP="001461FB">
            <w:pPr>
              <w:rPr>
                <w:rFonts w:eastAsia="Times New Roman" w:cs="Times New Roman"/>
                <w:b/>
                <w:bCs/>
                <w:color w:val="FFFFFF"/>
                <w:sz w:val="20"/>
                <w:szCs w:val="20"/>
              </w:rPr>
            </w:pPr>
            <w:r w:rsidRPr="002B1DFC">
              <w:rPr>
                <w:rFonts w:eastAsia="Times New Roman" w:cs="Times New Roman"/>
                <w:b/>
                <w:bCs/>
                <w:color w:val="FFFFFF"/>
                <w:sz w:val="20"/>
                <w:szCs w:val="20"/>
              </w:rPr>
              <w:t>Term Used in Report</w:t>
            </w:r>
          </w:p>
        </w:tc>
        <w:tc>
          <w:tcPr>
            <w:tcW w:w="3192" w:type="dxa"/>
            <w:tcBorders>
              <w:top w:val="single" w:sz="4" w:space="0" w:color="4F81BD"/>
            </w:tcBorders>
            <w:shd w:val="clear" w:color="auto" w:fill="4F81BD"/>
          </w:tcPr>
          <w:p w14:paraId="444F59C4" w14:textId="77777777" w:rsidR="000B7923" w:rsidRPr="002B1DFC" w:rsidRDefault="000B7923" w:rsidP="001461FB">
            <w:pPr>
              <w:rPr>
                <w:rFonts w:eastAsia="Times New Roman" w:cs="Times New Roman"/>
                <w:b/>
                <w:bCs/>
                <w:color w:val="FFFFFF"/>
                <w:sz w:val="20"/>
                <w:szCs w:val="20"/>
              </w:rPr>
            </w:pPr>
            <w:r w:rsidRPr="002B1DFC">
              <w:rPr>
                <w:rFonts w:eastAsia="Times New Roman" w:cs="Times New Roman"/>
                <w:b/>
                <w:bCs/>
                <w:color w:val="FFFFFF"/>
                <w:sz w:val="20"/>
                <w:szCs w:val="20"/>
              </w:rPr>
              <w:t>Ukrainian</w:t>
            </w:r>
          </w:p>
        </w:tc>
        <w:tc>
          <w:tcPr>
            <w:tcW w:w="3192" w:type="dxa"/>
            <w:tcBorders>
              <w:top w:val="single" w:sz="4" w:space="0" w:color="4F81BD"/>
              <w:right w:val="single" w:sz="4" w:space="0" w:color="4F81BD"/>
            </w:tcBorders>
            <w:shd w:val="clear" w:color="auto" w:fill="4F81BD"/>
          </w:tcPr>
          <w:p w14:paraId="3333868D" w14:textId="77777777" w:rsidR="000B7923" w:rsidRPr="002B1DFC" w:rsidRDefault="000B7923" w:rsidP="001461FB">
            <w:pPr>
              <w:rPr>
                <w:rFonts w:eastAsia="Times New Roman" w:cs="Times New Roman"/>
                <w:b/>
                <w:bCs/>
                <w:color w:val="FFFFFF"/>
                <w:sz w:val="20"/>
                <w:szCs w:val="20"/>
              </w:rPr>
            </w:pPr>
            <w:r w:rsidRPr="002B1DFC">
              <w:rPr>
                <w:rFonts w:eastAsia="Times New Roman" w:cs="Times New Roman"/>
                <w:b/>
                <w:bCs/>
                <w:color w:val="FFFFFF"/>
                <w:sz w:val="20"/>
                <w:szCs w:val="20"/>
              </w:rPr>
              <w:t>Transliterated</w:t>
            </w:r>
          </w:p>
        </w:tc>
      </w:tr>
      <w:tr w:rsidR="000B7923" w:rsidRPr="002B1DFC" w14:paraId="2EEE668C" w14:textId="77777777">
        <w:tc>
          <w:tcPr>
            <w:tcW w:w="3192" w:type="dxa"/>
            <w:tcBorders>
              <w:left w:val="single" w:sz="4" w:space="0" w:color="4F81BD"/>
              <w:right w:val="nil"/>
            </w:tcBorders>
            <w:shd w:val="clear" w:color="auto" w:fill="FFFFFF"/>
          </w:tcPr>
          <w:p w14:paraId="36E0D572" w14:textId="77777777" w:rsidR="000B7923" w:rsidRPr="002B1DFC" w:rsidRDefault="000B7923" w:rsidP="001461FB">
            <w:pPr>
              <w:rPr>
                <w:rFonts w:eastAsia="Times New Roman" w:cs="Times New Roman"/>
                <w:b/>
                <w:bCs/>
                <w:sz w:val="20"/>
                <w:szCs w:val="20"/>
              </w:rPr>
            </w:pPr>
            <w:r w:rsidRPr="002B1DFC">
              <w:rPr>
                <w:rFonts w:eastAsia="Times New Roman" w:cs="Times New Roman"/>
                <w:sz w:val="20"/>
                <w:szCs w:val="20"/>
              </w:rPr>
              <w:t>District State Administration (DSA)</w:t>
            </w:r>
          </w:p>
        </w:tc>
        <w:tc>
          <w:tcPr>
            <w:tcW w:w="3192" w:type="dxa"/>
          </w:tcPr>
          <w:p w14:paraId="6A694589" w14:textId="77777777" w:rsidR="000B7923" w:rsidRPr="002B1DFC" w:rsidRDefault="000B7923" w:rsidP="001461FB">
            <w:pPr>
              <w:rPr>
                <w:rFonts w:eastAsia="Times New Roman" w:cs="Times New Roman"/>
                <w:sz w:val="20"/>
                <w:szCs w:val="20"/>
              </w:rPr>
            </w:pPr>
            <w:proofErr w:type="spellStart"/>
            <w:r w:rsidRPr="002B1DFC">
              <w:rPr>
                <w:rFonts w:eastAsia="Times New Roman" w:cs="Times New Roman"/>
                <w:sz w:val="20"/>
                <w:szCs w:val="20"/>
              </w:rPr>
              <w:t>Районна</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Державна</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Адміністрація</w:t>
            </w:r>
            <w:proofErr w:type="spellEnd"/>
          </w:p>
        </w:tc>
        <w:tc>
          <w:tcPr>
            <w:tcW w:w="3192" w:type="dxa"/>
            <w:tcBorders>
              <w:right w:val="single" w:sz="4" w:space="0" w:color="4F81BD"/>
            </w:tcBorders>
          </w:tcPr>
          <w:p w14:paraId="639D91C7" w14:textId="77777777" w:rsidR="000B7923" w:rsidRPr="002B1DFC" w:rsidRDefault="000B7923" w:rsidP="001461FB">
            <w:pPr>
              <w:rPr>
                <w:rFonts w:eastAsia="Times New Roman" w:cs="Times New Roman"/>
                <w:sz w:val="20"/>
                <w:szCs w:val="20"/>
              </w:rPr>
            </w:pPr>
            <w:proofErr w:type="spellStart"/>
            <w:r w:rsidRPr="002B1DFC">
              <w:rPr>
                <w:rFonts w:eastAsia="Times New Roman" w:cs="Times New Roman"/>
                <w:sz w:val="20"/>
                <w:szCs w:val="20"/>
              </w:rPr>
              <w:t>Rayonna</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Derzhavna</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Administratsiya</w:t>
            </w:r>
            <w:proofErr w:type="spellEnd"/>
          </w:p>
        </w:tc>
      </w:tr>
      <w:tr w:rsidR="00470855" w:rsidRPr="002B1DFC" w14:paraId="5E7E5894" w14:textId="77777777">
        <w:tc>
          <w:tcPr>
            <w:tcW w:w="3192" w:type="dxa"/>
            <w:tcBorders>
              <w:top w:val="single" w:sz="4" w:space="0" w:color="4F81BD"/>
              <w:left w:val="single" w:sz="4" w:space="0" w:color="4F81BD"/>
              <w:bottom w:val="single" w:sz="4" w:space="0" w:color="4F81BD"/>
              <w:right w:val="nil"/>
            </w:tcBorders>
            <w:shd w:val="clear" w:color="auto" w:fill="FFFFFF"/>
          </w:tcPr>
          <w:p w14:paraId="0AE0C7E1" w14:textId="77777777" w:rsidR="00470855" w:rsidRPr="002B1DFC" w:rsidRDefault="00470855" w:rsidP="001461FB">
            <w:pPr>
              <w:rPr>
                <w:rFonts w:eastAsia="Times New Roman" w:cs="Times New Roman"/>
                <w:sz w:val="20"/>
                <w:szCs w:val="20"/>
              </w:rPr>
            </w:pPr>
            <w:r w:rsidRPr="002B1DFC">
              <w:rPr>
                <w:rFonts w:eastAsia="Times New Roman" w:cs="Times New Roman"/>
                <w:sz w:val="20"/>
                <w:szCs w:val="20"/>
              </w:rPr>
              <w:t>Oblast State Administration (OSA)</w:t>
            </w:r>
          </w:p>
        </w:tc>
        <w:tc>
          <w:tcPr>
            <w:tcW w:w="3192" w:type="dxa"/>
            <w:tcBorders>
              <w:top w:val="single" w:sz="4" w:space="0" w:color="4F81BD"/>
              <w:bottom w:val="single" w:sz="4" w:space="0" w:color="4F81BD"/>
            </w:tcBorders>
          </w:tcPr>
          <w:p w14:paraId="6C60ACFF" w14:textId="77777777" w:rsidR="00470855" w:rsidRPr="002B1DFC" w:rsidRDefault="00470855" w:rsidP="001461FB">
            <w:pPr>
              <w:rPr>
                <w:rFonts w:eastAsia="Times New Roman" w:cs="Times New Roman"/>
                <w:sz w:val="20"/>
                <w:szCs w:val="20"/>
              </w:rPr>
            </w:pPr>
            <w:proofErr w:type="spellStart"/>
            <w:r w:rsidRPr="002B1DFC">
              <w:rPr>
                <w:rFonts w:eastAsia="Times New Roman" w:cs="Times New Roman"/>
                <w:sz w:val="20"/>
                <w:szCs w:val="20"/>
              </w:rPr>
              <w:t>Обласна</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Державна</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Адміністрація</w:t>
            </w:r>
            <w:proofErr w:type="spellEnd"/>
          </w:p>
        </w:tc>
        <w:tc>
          <w:tcPr>
            <w:tcW w:w="3192" w:type="dxa"/>
            <w:tcBorders>
              <w:top w:val="single" w:sz="4" w:space="0" w:color="4F81BD"/>
              <w:bottom w:val="single" w:sz="4" w:space="0" w:color="4F81BD"/>
              <w:right w:val="single" w:sz="4" w:space="0" w:color="4F81BD"/>
            </w:tcBorders>
          </w:tcPr>
          <w:p w14:paraId="53D99D8F" w14:textId="77777777" w:rsidR="00470855" w:rsidRPr="002B1DFC" w:rsidRDefault="00470855" w:rsidP="001461FB">
            <w:pPr>
              <w:rPr>
                <w:rFonts w:eastAsia="Times New Roman" w:cs="Times New Roman"/>
                <w:sz w:val="20"/>
                <w:szCs w:val="20"/>
              </w:rPr>
            </w:pPr>
            <w:proofErr w:type="spellStart"/>
            <w:r w:rsidRPr="002B1DFC">
              <w:rPr>
                <w:rFonts w:eastAsia="Times New Roman" w:cs="Times New Roman"/>
                <w:sz w:val="20"/>
                <w:szCs w:val="20"/>
              </w:rPr>
              <w:t>Oblasna</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Derzhavna</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Administratsiya</w:t>
            </w:r>
            <w:proofErr w:type="spellEnd"/>
          </w:p>
        </w:tc>
      </w:tr>
      <w:tr w:rsidR="00470855" w:rsidRPr="002B1DFC" w14:paraId="378D07FD" w14:textId="77777777">
        <w:tc>
          <w:tcPr>
            <w:tcW w:w="3192" w:type="dxa"/>
            <w:tcBorders>
              <w:top w:val="single" w:sz="4" w:space="0" w:color="4F81BD"/>
              <w:left w:val="single" w:sz="4" w:space="0" w:color="4F81BD"/>
              <w:bottom w:val="single" w:sz="4" w:space="0" w:color="4F81BD"/>
              <w:right w:val="nil"/>
            </w:tcBorders>
            <w:shd w:val="clear" w:color="auto" w:fill="FFFFFF"/>
          </w:tcPr>
          <w:p w14:paraId="3019199B" w14:textId="77777777" w:rsidR="00470855" w:rsidRPr="002B1DFC" w:rsidRDefault="00470855" w:rsidP="001461FB">
            <w:pPr>
              <w:rPr>
                <w:rFonts w:eastAsia="Times New Roman" w:cs="Times New Roman"/>
                <w:sz w:val="20"/>
                <w:szCs w:val="20"/>
              </w:rPr>
            </w:pPr>
            <w:r w:rsidRPr="002B1DFC">
              <w:rPr>
                <w:rFonts w:eastAsia="Times New Roman" w:cs="Times New Roman"/>
                <w:sz w:val="20"/>
                <w:szCs w:val="20"/>
              </w:rPr>
              <w:t>OVNS / EIA (Environmental Impact Assessment)</w:t>
            </w:r>
          </w:p>
        </w:tc>
        <w:tc>
          <w:tcPr>
            <w:tcW w:w="3192" w:type="dxa"/>
            <w:tcBorders>
              <w:top w:val="single" w:sz="4" w:space="0" w:color="4F81BD"/>
              <w:bottom w:val="single" w:sz="4" w:space="0" w:color="4F81BD"/>
            </w:tcBorders>
          </w:tcPr>
          <w:p w14:paraId="4DF8221B" w14:textId="77777777" w:rsidR="00470855" w:rsidRPr="002B1DFC" w:rsidRDefault="00470855" w:rsidP="001461FB">
            <w:pPr>
              <w:rPr>
                <w:rFonts w:eastAsia="Times New Roman" w:cs="Times New Roman"/>
                <w:sz w:val="20"/>
                <w:szCs w:val="20"/>
              </w:rPr>
            </w:pPr>
            <w:r w:rsidRPr="002B1DFC">
              <w:rPr>
                <w:rFonts w:eastAsia="Times New Roman" w:cs="Times New Roman"/>
                <w:sz w:val="20"/>
                <w:szCs w:val="20"/>
                <w:lang w:val="ru-RU"/>
              </w:rPr>
              <w:t>Оцінка впливу на навколишнє середовище</w:t>
            </w:r>
          </w:p>
        </w:tc>
        <w:tc>
          <w:tcPr>
            <w:tcW w:w="3192" w:type="dxa"/>
            <w:tcBorders>
              <w:top w:val="single" w:sz="4" w:space="0" w:color="4F81BD"/>
              <w:bottom w:val="single" w:sz="4" w:space="0" w:color="4F81BD"/>
              <w:right w:val="single" w:sz="4" w:space="0" w:color="4F81BD"/>
            </w:tcBorders>
          </w:tcPr>
          <w:p w14:paraId="434134A2" w14:textId="77777777" w:rsidR="00470855" w:rsidRPr="002B1DFC" w:rsidRDefault="00470855" w:rsidP="001461FB">
            <w:pPr>
              <w:rPr>
                <w:rFonts w:eastAsia="Times New Roman" w:cs="Times New Roman"/>
                <w:sz w:val="20"/>
                <w:szCs w:val="20"/>
              </w:rPr>
            </w:pPr>
            <w:proofErr w:type="spellStart"/>
            <w:r w:rsidRPr="002B1DFC">
              <w:rPr>
                <w:rFonts w:eastAsia="Times New Roman" w:cs="Times New Roman"/>
                <w:sz w:val="20"/>
                <w:szCs w:val="20"/>
              </w:rPr>
              <w:t>Otsinka</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Vplivu</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na</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Navkolyshnye</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Seredovysche</w:t>
            </w:r>
            <w:proofErr w:type="spellEnd"/>
            <w:r w:rsidRPr="002B1DFC">
              <w:rPr>
                <w:rFonts w:eastAsia="Times New Roman" w:cs="Times New Roman"/>
                <w:sz w:val="20"/>
                <w:szCs w:val="20"/>
              </w:rPr>
              <w:t xml:space="preserve"> </w:t>
            </w:r>
          </w:p>
        </w:tc>
      </w:tr>
      <w:tr w:rsidR="00470855" w:rsidRPr="002B1DFC" w14:paraId="619D5E70" w14:textId="77777777">
        <w:tc>
          <w:tcPr>
            <w:tcW w:w="3192" w:type="dxa"/>
            <w:tcBorders>
              <w:top w:val="single" w:sz="4" w:space="0" w:color="4F81BD"/>
              <w:left w:val="single" w:sz="4" w:space="0" w:color="4F81BD"/>
              <w:bottom w:val="single" w:sz="4" w:space="0" w:color="4F81BD"/>
              <w:right w:val="nil"/>
            </w:tcBorders>
            <w:shd w:val="clear" w:color="auto" w:fill="FFFFFF"/>
          </w:tcPr>
          <w:p w14:paraId="38784648" w14:textId="77777777" w:rsidR="00470855" w:rsidRPr="002B1DFC" w:rsidRDefault="00470855" w:rsidP="001461FB">
            <w:pPr>
              <w:rPr>
                <w:rFonts w:eastAsia="Times New Roman" w:cs="Times New Roman"/>
                <w:b/>
                <w:bCs/>
                <w:sz w:val="20"/>
                <w:szCs w:val="20"/>
              </w:rPr>
            </w:pPr>
            <w:r w:rsidRPr="002B1DFC">
              <w:rPr>
                <w:rFonts w:eastAsia="Times New Roman" w:cs="Times New Roman"/>
                <w:sz w:val="20"/>
                <w:szCs w:val="20"/>
              </w:rPr>
              <w:t>State Ecological Expertise (SEE)</w:t>
            </w:r>
          </w:p>
        </w:tc>
        <w:tc>
          <w:tcPr>
            <w:tcW w:w="3192" w:type="dxa"/>
            <w:tcBorders>
              <w:top w:val="single" w:sz="4" w:space="0" w:color="4F81BD"/>
              <w:bottom w:val="single" w:sz="4" w:space="0" w:color="4F81BD"/>
            </w:tcBorders>
          </w:tcPr>
          <w:p w14:paraId="792D1C08" w14:textId="77777777" w:rsidR="00470855" w:rsidRPr="002B1DFC" w:rsidRDefault="00470855" w:rsidP="001461FB">
            <w:pPr>
              <w:rPr>
                <w:rFonts w:eastAsia="Times New Roman" w:cs="Times New Roman"/>
                <w:sz w:val="20"/>
                <w:szCs w:val="20"/>
              </w:rPr>
            </w:pPr>
            <w:proofErr w:type="spellStart"/>
            <w:r w:rsidRPr="002B1DFC">
              <w:rPr>
                <w:rFonts w:eastAsia="Times New Roman" w:cs="Times New Roman"/>
                <w:sz w:val="20"/>
                <w:szCs w:val="20"/>
              </w:rPr>
              <w:t>Державна</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Екологічна</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Експертиза</w:t>
            </w:r>
            <w:proofErr w:type="spellEnd"/>
          </w:p>
        </w:tc>
        <w:tc>
          <w:tcPr>
            <w:tcW w:w="3192" w:type="dxa"/>
            <w:tcBorders>
              <w:top w:val="single" w:sz="4" w:space="0" w:color="4F81BD"/>
              <w:bottom w:val="single" w:sz="4" w:space="0" w:color="4F81BD"/>
              <w:right w:val="single" w:sz="4" w:space="0" w:color="4F81BD"/>
            </w:tcBorders>
          </w:tcPr>
          <w:p w14:paraId="529963FA" w14:textId="77777777" w:rsidR="00470855" w:rsidRPr="002B1DFC" w:rsidRDefault="00470855" w:rsidP="001461FB">
            <w:pPr>
              <w:rPr>
                <w:rFonts w:eastAsia="Times New Roman" w:cs="Times New Roman"/>
                <w:sz w:val="20"/>
                <w:szCs w:val="20"/>
              </w:rPr>
            </w:pPr>
            <w:proofErr w:type="spellStart"/>
            <w:r w:rsidRPr="002B1DFC">
              <w:rPr>
                <w:rFonts w:eastAsia="Times New Roman" w:cs="Times New Roman"/>
                <w:sz w:val="20"/>
                <w:szCs w:val="20"/>
              </w:rPr>
              <w:t>Derzhavna</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Ekolohichna</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Ekspertyza</w:t>
            </w:r>
            <w:proofErr w:type="spellEnd"/>
          </w:p>
        </w:tc>
      </w:tr>
      <w:tr w:rsidR="00470855" w:rsidRPr="002B1DFC" w14:paraId="1A336EB8" w14:textId="77777777">
        <w:tc>
          <w:tcPr>
            <w:tcW w:w="3192" w:type="dxa"/>
            <w:tcBorders>
              <w:top w:val="single" w:sz="4" w:space="0" w:color="4F81BD"/>
              <w:left w:val="single" w:sz="4" w:space="0" w:color="4F81BD"/>
              <w:bottom w:val="single" w:sz="4" w:space="0" w:color="4F81BD"/>
              <w:right w:val="nil"/>
            </w:tcBorders>
            <w:shd w:val="clear" w:color="auto" w:fill="FFFFFF"/>
          </w:tcPr>
          <w:p w14:paraId="6D3CC8C0" w14:textId="77777777" w:rsidR="00470855" w:rsidRPr="002B1DFC" w:rsidRDefault="00470855" w:rsidP="001461FB">
            <w:pPr>
              <w:rPr>
                <w:rFonts w:eastAsia="Times New Roman" w:cs="Times New Roman"/>
                <w:sz w:val="20"/>
                <w:szCs w:val="20"/>
              </w:rPr>
            </w:pPr>
            <w:r w:rsidRPr="002B1DFC">
              <w:rPr>
                <w:rFonts w:eastAsia="Times New Roman" w:cs="Times New Roman"/>
                <w:sz w:val="20"/>
                <w:szCs w:val="20"/>
              </w:rPr>
              <w:t>Territorial Branches (of central government agencies)</w:t>
            </w:r>
          </w:p>
        </w:tc>
        <w:tc>
          <w:tcPr>
            <w:tcW w:w="3192" w:type="dxa"/>
            <w:tcBorders>
              <w:top w:val="single" w:sz="4" w:space="0" w:color="4F81BD"/>
              <w:bottom w:val="single" w:sz="4" w:space="0" w:color="4F81BD"/>
            </w:tcBorders>
          </w:tcPr>
          <w:p w14:paraId="4FEE5454" w14:textId="77777777" w:rsidR="00470855" w:rsidRPr="002B1DFC" w:rsidRDefault="00470855" w:rsidP="001461FB">
            <w:pPr>
              <w:rPr>
                <w:rFonts w:eastAsia="Times New Roman" w:cs="Times New Roman"/>
                <w:sz w:val="20"/>
                <w:szCs w:val="20"/>
              </w:rPr>
            </w:pPr>
            <w:proofErr w:type="spellStart"/>
            <w:r w:rsidRPr="002B1DFC">
              <w:rPr>
                <w:rFonts w:eastAsia="Times New Roman" w:cs="Times New Roman"/>
                <w:sz w:val="20"/>
                <w:szCs w:val="20"/>
              </w:rPr>
              <w:t>Територіальні</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Підрозділі</w:t>
            </w:r>
            <w:proofErr w:type="spellEnd"/>
          </w:p>
        </w:tc>
        <w:tc>
          <w:tcPr>
            <w:tcW w:w="3192" w:type="dxa"/>
            <w:tcBorders>
              <w:top w:val="single" w:sz="4" w:space="0" w:color="4F81BD"/>
              <w:bottom w:val="single" w:sz="4" w:space="0" w:color="4F81BD"/>
              <w:right w:val="single" w:sz="4" w:space="0" w:color="4F81BD"/>
            </w:tcBorders>
          </w:tcPr>
          <w:p w14:paraId="0525E79F" w14:textId="77777777" w:rsidR="00470855" w:rsidRPr="002B1DFC" w:rsidRDefault="00470855" w:rsidP="001461FB">
            <w:pPr>
              <w:rPr>
                <w:rFonts w:eastAsia="Times New Roman" w:cs="Times New Roman"/>
                <w:sz w:val="20"/>
                <w:szCs w:val="20"/>
              </w:rPr>
            </w:pPr>
            <w:proofErr w:type="spellStart"/>
            <w:r w:rsidRPr="002B1DFC">
              <w:rPr>
                <w:rFonts w:eastAsia="Times New Roman" w:cs="Times New Roman"/>
                <w:sz w:val="20"/>
                <w:szCs w:val="20"/>
              </w:rPr>
              <w:t>Teritorialni</w:t>
            </w:r>
            <w:proofErr w:type="spellEnd"/>
            <w:r w:rsidRPr="002B1DFC">
              <w:rPr>
                <w:rFonts w:eastAsia="Times New Roman" w:cs="Times New Roman"/>
                <w:sz w:val="20"/>
                <w:szCs w:val="20"/>
              </w:rPr>
              <w:t xml:space="preserve"> </w:t>
            </w:r>
            <w:proofErr w:type="spellStart"/>
            <w:r w:rsidRPr="002B1DFC">
              <w:rPr>
                <w:rFonts w:eastAsia="Times New Roman" w:cs="Times New Roman"/>
                <w:sz w:val="20"/>
                <w:szCs w:val="20"/>
              </w:rPr>
              <w:t>Pidrozdili</w:t>
            </w:r>
            <w:proofErr w:type="spellEnd"/>
          </w:p>
        </w:tc>
      </w:tr>
    </w:tbl>
    <w:p w14:paraId="422B45E9" w14:textId="77777777" w:rsidR="000B7923" w:rsidRPr="002B1DFC" w:rsidRDefault="000B7923" w:rsidP="00F33595">
      <w:pPr>
        <w:rPr>
          <w:rFonts w:cs="Times New Roman"/>
        </w:rPr>
      </w:pPr>
    </w:p>
    <w:p w14:paraId="1125D6E9" w14:textId="77777777" w:rsidR="000B7923" w:rsidRPr="002B1DFC" w:rsidRDefault="000B7923" w:rsidP="00F33595">
      <w:pPr>
        <w:rPr>
          <w:rFonts w:eastAsia="Times New Roman" w:cs="Times New Roman"/>
          <w:b/>
          <w:bCs/>
        </w:rPr>
      </w:pPr>
      <w:r w:rsidRPr="002B1DFC">
        <w:rPr>
          <w:rFonts w:cs="Times New Roman"/>
        </w:rPr>
        <w:br w:type="page"/>
      </w:r>
    </w:p>
    <w:p w14:paraId="6A06F862" w14:textId="77777777" w:rsidR="00991FA8" w:rsidRDefault="00991FA8">
      <w:pPr>
        <w:jc w:val="left"/>
        <w:rPr>
          <w:rFonts w:cs="Times New Roman"/>
          <w:b/>
          <w:bCs/>
          <w:smallCaps/>
          <w:color w:val="365F91"/>
          <w:sz w:val="28"/>
          <w:szCs w:val="28"/>
        </w:rPr>
      </w:pPr>
      <w:r>
        <w:lastRenderedPageBreak/>
        <w:br w:type="page"/>
      </w:r>
    </w:p>
    <w:p w14:paraId="73B26542" w14:textId="00DE44ED" w:rsidR="000B7923" w:rsidRPr="002B1DFC" w:rsidRDefault="000B7923" w:rsidP="00F046A2">
      <w:pPr>
        <w:pStyle w:val="Subtitle"/>
        <w:spacing w:before="0"/>
      </w:pPr>
      <w:bookmarkStart w:id="4" w:name="_Toc440273948"/>
      <w:r w:rsidRPr="00F046A2">
        <w:lastRenderedPageBreak/>
        <w:t>Executive Summary</w:t>
      </w:r>
      <w:bookmarkEnd w:id="1"/>
      <w:bookmarkEnd w:id="4"/>
      <w:r w:rsidR="003E3AC9" w:rsidRPr="00F046A2">
        <w:t xml:space="preserve">  </w:t>
      </w:r>
    </w:p>
    <w:p w14:paraId="1DE39329" w14:textId="77777777" w:rsidR="000B7923" w:rsidRDefault="000B7923" w:rsidP="00110D89">
      <w:pPr>
        <w:tabs>
          <w:tab w:val="left" w:pos="360"/>
        </w:tabs>
        <w:rPr>
          <w:rFonts w:cs="Times New Roman"/>
          <w:bCs/>
          <w:iCs/>
        </w:rPr>
      </w:pPr>
    </w:p>
    <w:p w14:paraId="3E913AE0" w14:textId="5A75DEB5" w:rsidR="00AC5C4D" w:rsidRPr="00B76BDA" w:rsidRDefault="00AC5C4D" w:rsidP="00B76BDA">
      <w:pPr>
        <w:pStyle w:val="ListParagraph"/>
        <w:numPr>
          <w:ilvl w:val="0"/>
          <w:numId w:val="67"/>
        </w:numPr>
        <w:tabs>
          <w:tab w:val="left" w:pos="360"/>
        </w:tabs>
        <w:spacing w:line="23" w:lineRule="atLeast"/>
        <w:ind w:left="0" w:firstLine="0"/>
        <w:rPr>
          <w:rFonts w:eastAsia="Times New Roman" w:cs="Times New Roman"/>
          <w:iCs/>
          <w:color w:val="000000"/>
        </w:rPr>
      </w:pPr>
      <w:r w:rsidRPr="00B76BDA">
        <w:rPr>
          <w:rFonts w:cs="Times New Roman"/>
        </w:rPr>
        <w:t xml:space="preserve">Ukraine is the second largest country in Europe and has a population of 43 million, the majority of whom live in urban areas. It is a lower middle income country, with the services, industry and agriculture sectors </w:t>
      </w:r>
      <w:r w:rsidR="00783497" w:rsidRPr="00B76BDA">
        <w:rPr>
          <w:rFonts w:cs="Times New Roman"/>
        </w:rPr>
        <w:t xml:space="preserve">being main </w:t>
      </w:r>
      <w:r w:rsidRPr="00B76BDA">
        <w:rPr>
          <w:rFonts w:cs="Times New Roman"/>
        </w:rPr>
        <w:t>contribut</w:t>
      </w:r>
      <w:r w:rsidR="00783497" w:rsidRPr="00B76BDA">
        <w:rPr>
          <w:rFonts w:cs="Times New Roman"/>
        </w:rPr>
        <w:t xml:space="preserve">ors </w:t>
      </w:r>
      <w:r w:rsidRPr="00B76BDA">
        <w:rPr>
          <w:rFonts w:cs="Times New Roman"/>
        </w:rPr>
        <w:t xml:space="preserve">to the country’s GDP. </w:t>
      </w:r>
      <w:r w:rsidRPr="00B76BDA">
        <w:rPr>
          <w:rFonts w:eastAsia="Times New Roman" w:cs="Times New Roman"/>
          <w:bCs/>
          <w:iCs/>
          <w:color w:val="000000"/>
        </w:rPr>
        <w:t xml:space="preserve">Ukraine faces a number of environmental challenges, as identified in its </w:t>
      </w:r>
      <w:r w:rsidRPr="00B76BDA">
        <w:rPr>
          <w:rFonts w:eastAsia="Times New Roman" w:cs="Times New Roman"/>
          <w:iCs/>
          <w:color w:val="000000"/>
        </w:rPr>
        <w:t>National Environmental Strategy 2020 (NES)</w:t>
      </w:r>
      <w:r w:rsidRPr="00B76BDA">
        <w:rPr>
          <w:rFonts w:eastAsia="Times New Roman" w:cs="Times New Roman"/>
          <w:color w:val="000000"/>
        </w:rPr>
        <w:t xml:space="preserve">. Key among these are: air pollution; quality of water resources and land degradation; solid waste management; biodiversity loss; human health </w:t>
      </w:r>
      <w:r w:rsidR="00772403">
        <w:rPr>
          <w:rFonts w:eastAsia="Times New Roman" w:cs="Times New Roman"/>
          <w:color w:val="000000"/>
        </w:rPr>
        <w:t>issues</w:t>
      </w:r>
      <w:r w:rsidR="00772403" w:rsidRPr="00B76BDA">
        <w:rPr>
          <w:rFonts w:eastAsia="Times New Roman" w:cs="Times New Roman"/>
          <w:color w:val="000000"/>
        </w:rPr>
        <w:t xml:space="preserve"> </w:t>
      </w:r>
      <w:r w:rsidR="00D3659F" w:rsidRPr="00B76BDA">
        <w:rPr>
          <w:rFonts w:eastAsia="Times New Roman" w:cs="Times New Roman"/>
          <w:color w:val="000000"/>
        </w:rPr>
        <w:t>associated with environmental risk factors</w:t>
      </w:r>
      <w:r w:rsidRPr="00B76BDA">
        <w:rPr>
          <w:rFonts w:eastAsia="Times New Roman" w:cs="Times New Roman"/>
          <w:color w:val="000000"/>
        </w:rPr>
        <w:t xml:space="preserve">; in addition to climate change. </w:t>
      </w:r>
    </w:p>
    <w:p w14:paraId="648C78F1" w14:textId="77777777" w:rsidR="00AC5C4D" w:rsidRDefault="00AC5C4D" w:rsidP="00AC5C4D">
      <w:pPr>
        <w:tabs>
          <w:tab w:val="left" w:pos="360"/>
        </w:tabs>
        <w:spacing w:line="23" w:lineRule="atLeast"/>
        <w:rPr>
          <w:rFonts w:eastAsia="Times New Roman" w:cs="Times New Roman"/>
          <w:color w:val="000000"/>
        </w:rPr>
      </w:pPr>
    </w:p>
    <w:p w14:paraId="7C08A005" w14:textId="7FFEF320" w:rsidR="00FF4E30" w:rsidRDefault="00AC5C4D" w:rsidP="00B2430F">
      <w:pPr>
        <w:pStyle w:val="ListParagraph"/>
        <w:numPr>
          <w:ilvl w:val="0"/>
          <w:numId w:val="67"/>
        </w:numPr>
        <w:tabs>
          <w:tab w:val="left" w:pos="360"/>
        </w:tabs>
        <w:spacing w:line="23" w:lineRule="atLeast"/>
        <w:ind w:left="0" w:firstLine="0"/>
        <w:rPr>
          <w:rFonts w:eastAsia="Times New Roman" w:cs="Times New Roman"/>
          <w:color w:val="000000"/>
        </w:rPr>
      </w:pPr>
      <w:r>
        <w:rPr>
          <w:rFonts w:eastAsia="Times New Roman" w:cs="Times New Roman"/>
          <w:color w:val="000000"/>
        </w:rPr>
        <w:t xml:space="preserve">To address its environmental challenges, Ukraine has made important steps in building its environmental </w:t>
      </w:r>
      <w:r w:rsidRPr="00B76BDA">
        <w:rPr>
          <w:rFonts w:cs="Times New Roman"/>
        </w:rPr>
        <w:t>institutions</w:t>
      </w:r>
      <w:r>
        <w:rPr>
          <w:rFonts w:eastAsia="Times New Roman" w:cs="Times New Roman"/>
          <w:color w:val="000000"/>
        </w:rPr>
        <w:t xml:space="preserve"> and management, since gaining independence in 1991: the country developed a comprehensive regulatory framework for environmental protection; became signatory to major international </w:t>
      </w:r>
      <w:r w:rsidRPr="00B76BDA">
        <w:rPr>
          <w:rFonts w:cs="Times New Roman"/>
        </w:rPr>
        <w:t>conventions</w:t>
      </w:r>
      <w:r>
        <w:rPr>
          <w:rFonts w:eastAsia="Times New Roman" w:cs="Times New Roman"/>
          <w:color w:val="000000"/>
        </w:rPr>
        <w:t xml:space="preserve">; established the Ministry of </w:t>
      </w:r>
      <w:r w:rsidR="001A7823">
        <w:rPr>
          <w:rFonts w:eastAsia="Times New Roman" w:cs="Times New Roman"/>
          <w:color w:val="000000"/>
        </w:rPr>
        <w:t xml:space="preserve">Ecology </w:t>
      </w:r>
      <w:r>
        <w:rPr>
          <w:rFonts w:eastAsia="Times New Roman" w:cs="Times New Roman"/>
          <w:color w:val="000000"/>
        </w:rPr>
        <w:t>and Natur</w:t>
      </w:r>
      <w:r w:rsidR="001A7823">
        <w:rPr>
          <w:rFonts w:eastAsia="Times New Roman" w:cs="Times New Roman"/>
          <w:color w:val="000000"/>
        </w:rPr>
        <w:t>al</w:t>
      </w:r>
      <w:r>
        <w:rPr>
          <w:rFonts w:eastAsia="Times New Roman" w:cs="Times New Roman"/>
          <w:color w:val="000000"/>
        </w:rPr>
        <w:t xml:space="preserve"> Resources (MENR) and a number of agencies with environmental protection responsibilities; developed environmental management instruments; and established environment and nature protection funds. </w:t>
      </w:r>
    </w:p>
    <w:p w14:paraId="71EFE449" w14:textId="77777777" w:rsidR="00AC5C4D" w:rsidRDefault="00AC5C4D" w:rsidP="00AC5C4D">
      <w:pPr>
        <w:spacing w:line="23" w:lineRule="atLeast"/>
        <w:rPr>
          <w:rFonts w:eastAsia="Times New Roman" w:cs="Times New Roman"/>
          <w:color w:val="000000"/>
        </w:rPr>
      </w:pPr>
    </w:p>
    <w:p w14:paraId="1B15CA1F" w14:textId="156C57C1" w:rsidR="00B357FA" w:rsidRPr="000F2147" w:rsidRDefault="00B357FA" w:rsidP="00B76BDA">
      <w:pPr>
        <w:pStyle w:val="ListParagraph"/>
        <w:numPr>
          <w:ilvl w:val="0"/>
          <w:numId w:val="67"/>
        </w:numPr>
        <w:tabs>
          <w:tab w:val="left" w:pos="360"/>
        </w:tabs>
        <w:spacing w:line="23" w:lineRule="atLeast"/>
        <w:ind w:left="0" w:firstLine="0"/>
        <w:rPr>
          <w:rFonts w:eastAsia="Times New Roman" w:cs="Times New Roman"/>
          <w:color w:val="000000"/>
        </w:rPr>
      </w:pPr>
      <w:r w:rsidRPr="000F2147">
        <w:rPr>
          <w:rFonts w:eastAsia="Times New Roman" w:cs="Times New Roman"/>
          <w:color w:val="000000"/>
        </w:rPr>
        <w:t xml:space="preserve">The system of </w:t>
      </w:r>
      <w:r w:rsidRPr="00B76BDA">
        <w:rPr>
          <w:rFonts w:cs="Times New Roman"/>
        </w:rPr>
        <w:t>environmental</w:t>
      </w:r>
      <w:r w:rsidRPr="000F2147">
        <w:rPr>
          <w:rFonts w:eastAsia="Times New Roman" w:cs="Times New Roman"/>
          <w:color w:val="000000"/>
        </w:rPr>
        <w:t xml:space="preserve"> protection inevitably depends on the overall system of public governance in the country. </w:t>
      </w:r>
      <w:r>
        <w:rPr>
          <w:rFonts w:eastAsia="Times New Roman" w:cs="Times New Roman"/>
          <w:color w:val="000000"/>
        </w:rPr>
        <w:t xml:space="preserve">Ukraine’s environmental management has been undergoing changes over the past 3-5 years with a decentralization reform that started in 2010-2012. </w:t>
      </w:r>
      <w:r w:rsidRPr="000F2147">
        <w:rPr>
          <w:rFonts w:eastAsia="Times New Roman" w:cs="Times New Roman"/>
          <w:color w:val="000000"/>
        </w:rPr>
        <w:t xml:space="preserve">Ukraine embarked on decentralization reform, which aims to delegate significant </w:t>
      </w:r>
      <w:r w:rsidR="00A91BEF">
        <w:rPr>
          <w:rFonts w:eastAsia="Times New Roman" w:cs="Times New Roman"/>
          <w:color w:val="000000"/>
        </w:rPr>
        <w:t xml:space="preserve">governance </w:t>
      </w:r>
      <w:r w:rsidRPr="000F2147">
        <w:rPr>
          <w:rFonts w:eastAsia="Times New Roman" w:cs="Times New Roman"/>
          <w:color w:val="000000"/>
        </w:rPr>
        <w:t xml:space="preserve">authority and financial resources from </w:t>
      </w:r>
      <w:r w:rsidR="00F43A5E">
        <w:rPr>
          <w:rFonts w:eastAsia="Times New Roman" w:cs="Times New Roman"/>
          <w:color w:val="000000"/>
        </w:rPr>
        <w:t>central level</w:t>
      </w:r>
      <w:r w:rsidRPr="000F2147">
        <w:rPr>
          <w:rFonts w:eastAsia="Times New Roman" w:cs="Times New Roman"/>
          <w:color w:val="000000"/>
        </w:rPr>
        <w:t xml:space="preserve"> to local </w:t>
      </w:r>
      <w:r w:rsidR="00F43A5E">
        <w:rPr>
          <w:rFonts w:eastAsia="Times New Roman" w:cs="Times New Roman"/>
          <w:color w:val="000000"/>
        </w:rPr>
        <w:t>government</w:t>
      </w:r>
      <w:r w:rsidRPr="000F2147">
        <w:rPr>
          <w:rFonts w:eastAsia="Times New Roman" w:cs="Times New Roman"/>
          <w:color w:val="000000"/>
        </w:rPr>
        <w:t>. The concept of the reform was approved in April 2014</w:t>
      </w:r>
      <w:r>
        <w:rPr>
          <w:rFonts w:eastAsia="Times New Roman" w:cs="Times New Roman"/>
          <w:color w:val="000000"/>
        </w:rPr>
        <w:t>.</w:t>
      </w:r>
      <w:r w:rsidRPr="000F2147">
        <w:rPr>
          <w:rFonts w:eastAsia="Times New Roman" w:cs="Times New Roman"/>
          <w:color w:val="000000"/>
        </w:rPr>
        <w:t xml:space="preserve"> </w:t>
      </w:r>
      <w:r>
        <w:rPr>
          <w:rFonts w:eastAsia="Times New Roman" w:cs="Times New Roman"/>
          <w:color w:val="000000"/>
        </w:rPr>
        <w:t>I</w:t>
      </w:r>
      <w:r w:rsidRPr="000F2147">
        <w:rPr>
          <w:rFonts w:eastAsia="Times New Roman" w:cs="Times New Roman"/>
          <w:color w:val="000000"/>
        </w:rPr>
        <w:t>t includes, inter alia</w:t>
      </w:r>
      <w:r>
        <w:rPr>
          <w:rFonts w:eastAsia="Times New Roman" w:cs="Times New Roman"/>
          <w:color w:val="000000"/>
        </w:rPr>
        <w:t>, a</w:t>
      </w:r>
      <w:r w:rsidRPr="00FF4E30">
        <w:rPr>
          <w:rFonts w:eastAsia="Times New Roman" w:cs="Times New Roman"/>
          <w:iCs/>
          <w:color w:val="000000"/>
        </w:rPr>
        <w:t>chieving optimal distribution of powers between the local authorities and central authorities;</w:t>
      </w:r>
      <w:r>
        <w:rPr>
          <w:rFonts w:eastAsia="Times New Roman" w:cs="Times New Roman"/>
          <w:iCs/>
          <w:color w:val="000000"/>
        </w:rPr>
        <w:t xml:space="preserve"> i</w:t>
      </w:r>
      <w:r w:rsidRPr="00FF4E30">
        <w:rPr>
          <w:rFonts w:eastAsia="Times New Roman" w:cs="Times New Roman"/>
          <w:iCs/>
          <w:color w:val="000000"/>
        </w:rPr>
        <w:t>mplementing fiscal decentralization, including through redistribution of taxes;</w:t>
      </w:r>
      <w:r>
        <w:rPr>
          <w:rFonts w:eastAsia="Times New Roman" w:cs="Times New Roman"/>
          <w:iCs/>
          <w:color w:val="000000"/>
        </w:rPr>
        <w:t xml:space="preserve"> i</w:t>
      </w:r>
      <w:r w:rsidRPr="00FF4E30">
        <w:rPr>
          <w:rFonts w:eastAsia="Times New Roman" w:cs="Times New Roman"/>
          <w:iCs/>
          <w:color w:val="000000"/>
        </w:rPr>
        <w:t>mproving the quality of management at the regional level;</w:t>
      </w:r>
      <w:r>
        <w:rPr>
          <w:rFonts w:eastAsia="Times New Roman" w:cs="Times New Roman"/>
          <w:iCs/>
          <w:color w:val="000000"/>
        </w:rPr>
        <w:t xml:space="preserve"> s</w:t>
      </w:r>
      <w:r w:rsidRPr="00FF4E30">
        <w:rPr>
          <w:rFonts w:eastAsia="Times New Roman" w:cs="Times New Roman"/>
          <w:iCs/>
          <w:color w:val="000000"/>
        </w:rPr>
        <w:t>trengthening inter-sectoral coordination in the formation and implementation of state regional policy; and</w:t>
      </w:r>
      <w:r>
        <w:rPr>
          <w:rFonts w:eastAsia="Times New Roman" w:cs="Times New Roman"/>
          <w:iCs/>
          <w:color w:val="000000"/>
        </w:rPr>
        <w:t xml:space="preserve"> h</w:t>
      </w:r>
      <w:r w:rsidRPr="00FF4E30">
        <w:rPr>
          <w:rFonts w:eastAsia="Times New Roman" w:cs="Times New Roman"/>
          <w:iCs/>
          <w:color w:val="000000"/>
        </w:rPr>
        <w:t>armonizing national and regional long-term strategic priorities.</w:t>
      </w:r>
      <w:r>
        <w:rPr>
          <w:rFonts w:eastAsia="Times New Roman" w:cs="Times New Roman"/>
          <w:iCs/>
          <w:color w:val="000000"/>
        </w:rPr>
        <w:t xml:space="preserve">  </w:t>
      </w:r>
      <w:r w:rsidRPr="000F2147">
        <w:rPr>
          <w:rFonts w:eastAsia="Times New Roman" w:cs="Times New Roman"/>
          <w:color w:val="000000"/>
        </w:rPr>
        <w:t xml:space="preserve">Ukraine </w:t>
      </w:r>
      <w:r>
        <w:rPr>
          <w:rFonts w:eastAsia="Times New Roman" w:cs="Times New Roman"/>
          <w:color w:val="000000"/>
        </w:rPr>
        <w:t xml:space="preserve">also </w:t>
      </w:r>
      <w:r w:rsidRPr="000F2147">
        <w:rPr>
          <w:rFonts w:eastAsia="Times New Roman" w:cs="Times New Roman"/>
          <w:color w:val="000000"/>
        </w:rPr>
        <w:t>took a course towards European Union integration and started to adopt legislative acts in line with EU directives and norms. In 2014, the Association Agreement between Ukraine and the EU was ratified</w:t>
      </w:r>
      <w:r>
        <w:rPr>
          <w:rFonts w:eastAsia="Times New Roman" w:cs="Times New Roman"/>
          <w:color w:val="000000"/>
        </w:rPr>
        <w:t>. This agreement</w:t>
      </w:r>
      <w:r w:rsidRPr="000F2147">
        <w:rPr>
          <w:rFonts w:eastAsia="Times New Roman" w:cs="Times New Roman"/>
          <w:color w:val="000000"/>
        </w:rPr>
        <w:t xml:space="preserve"> now defines the principles of cooperation in different spheres, including environmental protection and natural resources management.</w:t>
      </w:r>
    </w:p>
    <w:p w14:paraId="2DF7B5A5" w14:textId="77777777" w:rsidR="00B357FA" w:rsidRDefault="00B357FA" w:rsidP="00AC5C4D">
      <w:pPr>
        <w:spacing w:line="23" w:lineRule="atLeast"/>
        <w:rPr>
          <w:rFonts w:eastAsia="Times New Roman" w:cs="Times New Roman"/>
          <w:color w:val="000000"/>
        </w:rPr>
      </w:pPr>
    </w:p>
    <w:p w14:paraId="13003F21" w14:textId="647275F0" w:rsidR="00AC5C4D" w:rsidRDefault="00AC5C4D" w:rsidP="00B76BDA">
      <w:pPr>
        <w:pStyle w:val="ListParagraph"/>
        <w:numPr>
          <w:ilvl w:val="0"/>
          <w:numId w:val="67"/>
        </w:numPr>
        <w:tabs>
          <w:tab w:val="left" w:pos="360"/>
        </w:tabs>
        <w:spacing w:line="23" w:lineRule="atLeast"/>
        <w:ind w:left="0" w:firstLine="0"/>
        <w:rPr>
          <w:rFonts w:eastAsia="Times New Roman" w:cs="Times New Roman"/>
          <w:color w:val="000000"/>
        </w:rPr>
      </w:pPr>
      <w:r>
        <w:rPr>
          <w:rFonts w:eastAsia="Times New Roman" w:cs="Times New Roman"/>
          <w:b/>
          <w:bCs/>
          <w:color w:val="000000"/>
        </w:rPr>
        <w:t>Objective</w:t>
      </w:r>
      <w:r>
        <w:rPr>
          <w:rFonts w:eastAsia="Times New Roman" w:cs="Times New Roman"/>
          <w:color w:val="000000"/>
        </w:rPr>
        <w:t>. The objective of the Country Environmental Analysis (CEA) is to assess the adequacy and performance of the policy, legal, and institutional framework for environmental management in Ukraine</w:t>
      </w:r>
      <w:r w:rsidR="00146A60">
        <w:rPr>
          <w:rFonts w:eastAsia="Times New Roman" w:cs="Times New Roman"/>
          <w:color w:val="000000"/>
        </w:rPr>
        <w:t>,</w:t>
      </w:r>
      <w:r>
        <w:rPr>
          <w:rFonts w:eastAsia="Times New Roman" w:cs="Times New Roman"/>
          <w:color w:val="000000"/>
        </w:rPr>
        <w:t xml:space="preserve"> in light of the decentralization process of environmental governance and wider reform objectives, and </w:t>
      </w:r>
      <w:r w:rsidR="00146A60">
        <w:rPr>
          <w:rFonts w:eastAsia="Times New Roman" w:cs="Times New Roman"/>
          <w:color w:val="000000"/>
        </w:rPr>
        <w:t xml:space="preserve">to </w:t>
      </w:r>
      <w:r>
        <w:rPr>
          <w:rFonts w:eastAsia="Times New Roman" w:cs="Times New Roman"/>
          <w:color w:val="000000"/>
        </w:rPr>
        <w:t xml:space="preserve">provide recommendations to government to address </w:t>
      </w:r>
      <w:r w:rsidR="00146A60">
        <w:rPr>
          <w:rFonts w:eastAsia="Times New Roman" w:cs="Times New Roman"/>
          <w:color w:val="000000"/>
        </w:rPr>
        <w:t xml:space="preserve">the </w:t>
      </w:r>
      <w:r>
        <w:rPr>
          <w:rFonts w:eastAsia="Times New Roman" w:cs="Times New Roman"/>
          <w:color w:val="000000"/>
        </w:rPr>
        <w:t>key gaps identified.</w:t>
      </w:r>
    </w:p>
    <w:p w14:paraId="0B8293B5" w14:textId="77777777" w:rsidR="00AC5C4D" w:rsidRPr="000F2147" w:rsidRDefault="00AC5C4D" w:rsidP="00AC5C4D">
      <w:pPr>
        <w:rPr>
          <w:rFonts w:eastAsia="Times New Roman" w:cs="Times New Roman"/>
          <w:color w:val="000000"/>
        </w:rPr>
      </w:pPr>
    </w:p>
    <w:p w14:paraId="2B693B81" w14:textId="77777777" w:rsidR="00AC5C4D" w:rsidRPr="000F2147" w:rsidRDefault="00AC5C4D" w:rsidP="00B76BDA">
      <w:pPr>
        <w:pStyle w:val="ListParagraph"/>
        <w:numPr>
          <w:ilvl w:val="0"/>
          <w:numId w:val="67"/>
        </w:numPr>
        <w:tabs>
          <w:tab w:val="left" w:pos="360"/>
        </w:tabs>
        <w:spacing w:line="23" w:lineRule="atLeast"/>
        <w:ind w:left="0" w:firstLine="0"/>
        <w:rPr>
          <w:rFonts w:eastAsia="Times New Roman" w:cs="Times New Roman"/>
          <w:color w:val="000000"/>
        </w:rPr>
      </w:pPr>
      <w:r w:rsidRPr="000F2147">
        <w:rPr>
          <w:rFonts w:eastAsia="Times New Roman" w:cs="Times New Roman"/>
          <w:color w:val="000000"/>
        </w:rPr>
        <w:t xml:space="preserve">The preparation of the CEA relied on information published and posted on </w:t>
      </w:r>
      <w:r w:rsidRPr="005850DE">
        <w:rPr>
          <w:rFonts w:eastAsia="Times New Roman" w:cs="Times New Roman"/>
          <w:color w:val="000000"/>
        </w:rPr>
        <w:t>W</w:t>
      </w:r>
      <w:r w:rsidRPr="000F2147">
        <w:rPr>
          <w:rFonts w:eastAsia="Times New Roman" w:cs="Times New Roman"/>
          <w:color w:val="000000"/>
        </w:rPr>
        <w:t>eb</w:t>
      </w:r>
      <w:r w:rsidRPr="005850DE">
        <w:rPr>
          <w:rFonts w:eastAsia="Times New Roman" w:cs="Times New Roman"/>
          <w:color w:val="000000"/>
        </w:rPr>
        <w:t xml:space="preserve"> </w:t>
      </w:r>
      <w:r w:rsidRPr="000F2147">
        <w:rPr>
          <w:rFonts w:eastAsia="Times New Roman" w:cs="Times New Roman"/>
          <w:color w:val="000000"/>
        </w:rPr>
        <w:t>sites by government and regional authorities; on the review of available analytical reports on environmental management in Ukraine; and on interviews and focus group meetings with stakeholders in Kyiv, as well as in three pilot regions: Ivano-Frankivsk, Poltava</w:t>
      </w:r>
      <w:r>
        <w:rPr>
          <w:rFonts w:eastAsia="Times New Roman" w:cs="Times New Roman"/>
          <w:color w:val="000000"/>
        </w:rPr>
        <w:t>,</w:t>
      </w:r>
      <w:r w:rsidRPr="000F2147">
        <w:rPr>
          <w:rFonts w:eastAsia="Times New Roman" w:cs="Times New Roman"/>
          <w:color w:val="000000"/>
        </w:rPr>
        <w:t xml:space="preserve"> and </w:t>
      </w:r>
      <w:proofErr w:type="spellStart"/>
      <w:r w:rsidRPr="000F2147">
        <w:rPr>
          <w:rFonts w:eastAsia="Times New Roman" w:cs="Times New Roman"/>
          <w:color w:val="000000"/>
        </w:rPr>
        <w:t>Vinnytsya</w:t>
      </w:r>
      <w:proofErr w:type="spellEnd"/>
      <w:r w:rsidRPr="000F2147">
        <w:rPr>
          <w:rFonts w:eastAsia="Times New Roman" w:cs="Times New Roman"/>
          <w:color w:val="000000"/>
        </w:rPr>
        <w:t>.</w:t>
      </w:r>
      <w:r>
        <w:rPr>
          <w:rFonts w:eastAsia="Times New Roman" w:cs="Times New Roman"/>
          <w:color w:val="000000"/>
        </w:rPr>
        <w:t xml:space="preserve"> </w:t>
      </w:r>
      <w:r w:rsidRPr="000F2147">
        <w:rPr>
          <w:rFonts w:eastAsia="Times New Roman" w:cs="Times New Roman"/>
          <w:color w:val="000000"/>
        </w:rPr>
        <w:t xml:space="preserve">The </w:t>
      </w:r>
      <w:r w:rsidR="00FE1494">
        <w:rPr>
          <w:rFonts w:eastAsia="Times New Roman" w:cs="Times New Roman"/>
          <w:color w:val="000000"/>
        </w:rPr>
        <w:t xml:space="preserve">scope of this report did not include economic analysis of </w:t>
      </w:r>
      <w:r w:rsidR="00B357FA">
        <w:rPr>
          <w:rFonts w:eastAsia="Times New Roman" w:cs="Times New Roman"/>
          <w:color w:val="000000"/>
        </w:rPr>
        <w:t xml:space="preserve">Ukraine’s </w:t>
      </w:r>
      <w:r w:rsidR="00FE1494">
        <w:rPr>
          <w:rFonts w:eastAsia="Times New Roman" w:cs="Times New Roman"/>
          <w:color w:val="000000"/>
        </w:rPr>
        <w:t xml:space="preserve">environmental priorities and its </w:t>
      </w:r>
      <w:r w:rsidR="00B357FA">
        <w:rPr>
          <w:rFonts w:eastAsia="Times New Roman" w:cs="Times New Roman"/>
          <w:color w:val="000000"/>
        </w:rPr>
        <w:t>environmental management system.</w:t>
      </w:r>
      <w:r w:rsidRPr="000F2147">
        <w:rPr>
          <w:rFonts w:eastAsia="Times New Roman" w:cs="Times New Roman"/>
          <w:color w:val="000000"/>
        </w:rPr>
        <w:t xml:space="preserve"> </w:t>
      </w:r>
      <w:r w:rsidR="00B357FA">
        <w:rPr>
          <w:rFonts w:eastAsia="Times New Roman" w:cs="Times New Roman"/>
          <w:color w:val="000000"/>
        </w:rPr>
        <w:t>S</w:t>
      </w:r>
      <w:r w:rsidRPr="000F2147">
        <w:rPr>
          <w:rFonts w:eastAsia="Times New Roman" w:cs="Times New Roman"/>
          <w:color w:val="000000"/>
        </w:rPr>
        <w:t xml:space="preserve">uch analysis </w:t>
      </w:r>
      <w:r w:rsidR="00FE1494">
        <w:rPr>
          <w:rFonts w:eastAsia="Times New Roman" w:cs="Times New Roman"/>
          <w:color w:val="000000"/>
        </w:rPr>
        <w:t xml:space="preserve">is recommended to </w:t>
      </w:r>
      <w:r w:rsidRPr="000F2147">
        <w:rPr>
          <w:rFonts w:eastAsia="Times New Roman" w:cs="Times New Roman"/>
          <w:color w:val="000000"/>
        </w:rPr>
        <w:t xml:space="preserve">link environmental management with growth and development objectives. </w:t>
      </w:r>
      <w:r w:rsidR="00FE1494">
        <w:rPr>
          <w:rFonts w:eastAsia="Times New Roman" w:cs="Times New Roman"/>
          <w:color w:val="000000"/>
        </w:rPr>
        <w:t xml:space="preserve"> </w:t>
      </w:r>
    </w:p>
    <w:p w14:paraId="7F1C98E7" w14:textId="77777777" w:rsidR="00AC5C4D" w:rsidRDefault="00AC5C4D" w:rsidP="00AC5C4D">
      <w:pPr>
        <w:spacing w:line="23" w:lineRule="atLeast"/>
        <w:rPr>
          <w:rFonts w:eastAsia="Times New Roman" w:cs="Times New Roman"/>
          <w:b/>
          <w:color w:val="000000"/>
        </w:rPr>
      </w:pPr>
    </w:p>
    <w:p w14:paraId="0722DC58" w14:textId="77777777" w:rsidR="00AC5C4D" w:rsidRDefault="00AC5C4D" w:rsidP="00B76BDA">
      <w:pPr>
        <w:pStyle w:val="ListParagraph"/>
        <w:numPr>
          <w:ilvl w:val="0"/>
          <w:numId w:val="67"/>
        </w:numPr>
        <w:tabs>
          <w:tab w:val="left" w:pos="360"/>
        </w:tabs>
        <w:spacing w:line="23" w:lineRule="atLeast"/>
        <w:ind w:left="0" w:firstLine="0"/>
      </w:pPr>
      <w:r w:rsidRPr="00AC5C4D">
        <w:rPr>
          <w:rFonts w:eastAsia="Times New Roman" w:cs="Times New Roman"/>
          <w:b/>
          <w:iCs/>
          <w:color w:val="000000"/>
        </w:rPr>
        <w:t>Key Findings</w:t>
      </w:r>
      <w:r>
        <w:rPr>
          <w:rFonts w:eastAsia="Times New Roman" w:cs="Times New Roman"/>
          <w:iCs/>
          <w:color w:val="000000"/>
        </w:rPr>
        <w:t>.</w:t>
      </w:r>
      <w:r w:rsidRPr="004C11C9" w:rsidDel="00903950">
        <w:rPr>
          <w:rFonts w:eastAsia="Times New Roman" w:cs="Times New Roman"/>
          <w:color w:val="000000"/>
        </w:rPr>
        <w:t xml:space="preserve"> </w:t>
      </w:r>
      <w:r>
        <w:t xml:space="preserve">The institutional analysis has identified several key challenges that need to be addressed to foster the </w:t>
      </w:r>
      <w:r w:rsidRPr="00B76BDA">
        <w:rPr>
          <w:rFonts w:eastAsia="Times New Roman" w:cs="Times New Roman"/>
          <w:color w:val="000000"/>
        </w:rPr>
        <w:t>environmental</w:t>
      </w:r>
      <w:r>
        <w:t xml:space="preserve"> management system’s role in setting a sustainable development path and enhancing Ukraine’s competitiveness for attracting public and private investments: </w:t>
      </w:r>
    </w:p>
    <w:p w14:paraId="5F6BCA59" w14:textId="77777777" w:rsidR="00AC5C4D" w:rsidRDefault="00AC5C4D" w:rsidP="00AC5C4D">
      <w:pPr>
        <w:spacing w:line="23" w:lineRule="atLeast"/>
      </w:pPr>
    </w:p>
    <w:p w14:paraId="4ECB4DC6" w14:textId="77777777" w:rsidR="00D67F4D" w:rsidRDefault="00D67F4D" w:rsidP="00D67F4D">
      <w:pPr>
        <w:pStyle w:val="ListParagraph"/>
        <w:tabs>
          <w:tab w:val="left" w:pos="360"/>
        </w:tabs>
        <w:spacing w:line="23" w:lineRule="atLeast"/>
        <w:ind w:left="0"/>
        <w:rPr>
          <w:i/>
          <w:iCs/>
        </w:rPr>
      </w:pPr>
      <w:r w:rsidRPr="00B759E2">
        <w:rPr>
          <w:i/>
          <w:iCs/>
        </w:rPr>
        <w:t xml:space="preserve">Enhance the </w:t>
      </w:r>
      <w:r>
        <w:rPr>
          <w:i/>
          <w:iCs/>
        </w:rPr>
        <w:t>legislative</w:t>
      </w:r>
      <w:r w:rsidRPr="00B759E2">
        <w:rPr>
          <w:i/>
          <w:iCs/>
        </w:rPr>
        <w:t xml:space="preserve"> framework </w:t>
      </w:r>
      <w:r>
        <w:rPr>
          <w:i/>
          <w:iCs/>
        </w:rPr>
        <w:t>for environmental management.</w:t>
      </w:r>
    </w:p>
    <w:p w14:paraId="6873740D" w14:textId="77777777" w:rsidR="00D67F4D" w:rsidRDefault="00D67F4D" w:rsidP="00D67F4D">
      <w:pPr>
        <w:spacing w:line="23" w:lineRule="atLeast"/>
        <w:rPr>
          <w:i/>
          <w:iCs/>
        </w:rPr>
      </w:pPr>
    </w:p>
    <w:p w14:paraId="30380FBC" w14:textId="16A628C7" w:rsidR="00D67F4D" w:rsidRPr="00A049EF" w:rsidRDefault="00D67F4D" w:rsidP="00B76BDA">
      <w:pPr>
        <w:pStyle w:val="ListParagraph"/>
        <w:numPr>
          <w:ilvl w:val="0"/>
          <w:numId w:val="67"/>
        </w:numPr>
        <w:tabs>
          <w:tab w:val="left" w:pos="360"/>
        </w:tabs>
        <w:spacing w:line="23" w:lineRule="atLeast"/>
        <w:ind w:left="0" w:firstLine="0"/>
      </w:pPr>
      <w:r w:rsidRPr="000F2147">
        <w:rPr>
          <w:rFonts w:eastAsia="Times New Roman" w:cs="Times New Roman"/>
          <w:color w:val="000000"/>
        </w:rPr>
        <w:t xml:space="preserve">The scope of Ukrainian environmental legislation is quite broad and comprehensive (more than 300 legal acts). However, environmental legislation is largely declaratory in nature and does not have all the </w:t>
      </w:r>
      <w:r w:rsidRPr="000F2147">
        <w:rPr>
          <w:rFonts w:eastAsia="Times New Roman" w:cs="Times New Roman"/>
          <w:color w:val="000000"/>
        </w:rPr>
        <w:lastRenderedPageBreak/>
        <w:t>essential enforcement mechanisms, many of the acts are not coordinated with each other, and legislation undergoes limited analysis of its impact and is frequently changed</w:t>
      </w:r>
      <w:r w:rsidRPr="00865E47">
        <w:rPr>
          <w:rFonts w:eastAsia="Times New Roman" w:cs="Times New Roman"/>
          <w:color w:val="000000"/>
        </w:rPr>
        <w:t>.</w:t>
      </w:r>
      <w:r w:rsidR="00B71217">
        <w:rPr>
          <w:rFonts w:eastAsia="Times New Roman" w:cs="Times New Roman"/>
          <w:color w:val="000000"/>
        </w:rPr>
        <w:t xml:space="preserve"> The signature of the EU-Ukraine </w:t>
      </w:r>
      <w:r w:rsidR="002B319F">
        <w:rPr>
          <w:rFonts w:eastAsia="Times New Roman" w:cs="Times New Roman"/>
          <w:color w:val="000000"/>
        </w:rPr>
        <w:t>Association Agreement is expected to spur the</w:t>
      </w:r>
      <w:r w:rsidR="00675F69">
        <w:rPr>
          <w:rFonts w:eastAsia="Times New Roman" w:cs="Times New Roman"/>
          <w:color w:val="000000"/>
        </w:rPr>
        <w:t xml:space="preserve"> enhancing environmental legislation by bringing in line with the EU directives.</w:t>
      </w:r>
      <w:r w:rsidR="00661C48">
        <w:rPr>
          <w:rFonts w:eastAsia="Times New Roman" w:cs="Times New Roman"/>
          <w:color w:val="000000"/>
        </w:rPr>
        <w:t xml:space="preserve"> </w:t>
      </w:r>
    </w:p>
    <w:p w14:paraId="25D746FE" w14:textId="77777777" w:rsidR="00D67F4D" w:rsidRDefault="00D67F4D">
      <w:pPr>
        <w:pStyle w:val="ListParagraph"/>
        <w:tabs>
          <w:tab w:val="left" w:pos="360"/>
        </w:tabs>
        <w:spacing w:line="23" w:lineRule="atLeast"/>
        <w:ind w:left="0"/>
        <w:rPr>
          <w:i/>
          <w:iCs/>
        </w:rPr>
      </w:pPr>
    </w:p>
    <w:p w14:paraId="554BA4FA" w14:textId="786F4FDE" w:rsidR="006D7DA6" w:rsidRDefault="00AC5C4D">
      <w:pPr>
        <w:pStyle w:val="ListParagraph"/>
        <w:tabs>
          <w:tab w:val="left" w:pos="360"/>
        </w:tabs>
        <w:spacing w:line="23" w:lineRule="atLeast"/>
        <w:ind w:left="0"/>
        <w:rPr>
          <w:i/>
          <w:iCs/>
        </w:rPr>
      </w:pPr>
      <w:r>
        <w:rPr>
          <w:i/>
          <w:iCs/>
        </w:rPr>
        <w:t>Strengthen mechanisms for setting e</w:t>
      </w:r>
      <w:r w:rsidRPr="00AC5C4D">
        <w:rPr>
          <w:i/>
          <w:iCs/>
        </w:rPr>
        <w:t xml:space="preserve">nvironmental priorities linked with Ukraine’s growth and </w:t>
      </w:r>
      <w:r>
        <w:rPr>
          <w:i/>
          <w:iCs/>
        </w:rPr>
        <w:t>development</w:t>
      </w:r>
      <w:r w:rsidRPr="00AC5C4D">
        <w:rPr>
          <w:i/>
          <w:iCs/>
        </w:rPr>
        <w:t xml:space="preserve"> objectives</w:t>
      </w:r>
      <w:r w:rsidR="00C26464">
        <w:rPr>
          <w:i/>
          <w:iCs/>
        </w:rPr>
        <w:t xml:space="preserve"> and reflect these priorities in environmental and sectoral policies and strategies</w:t>
      </w:r>
      <w:r w:rsidR="00B759E2">
        <w:rPr>
          <w:i/>
          <w:iCs/>
        </w:rPr>
        <w:t>.</w:t>
      </w:r>
      <w:r w:rsidR="006D7DA6" w:rsidRPr="006D7DA6">
        <w:rPr>
          <w:i/>
          <w:iCs/>
        </w:rPr>
        <w:t xml:space="preserve"> </w:t>
      </w:r>
    </w:p>
    <w:p w14:paraId="7C5653AC" w14:textId="77777777" w:rsidR="00F470D5" w:rsidRDefault="00F470D5" w:rsidP="00AC5C4D">
      <w:pPr>
        <w:spacing w:line="23" w:lineRule="atLeast"/>
        <w:rPr>
          <w:rFonts w:eastAsia="Times New Roman" w:cs="Times New Roman"/>
          <w:color w:val="000000"/>
        </w:rPr>
      </w:pPr>
    </w:p>
    <w:p w14:paraId="16D4F3E9" w14:textId="2E76C3E5" w:rsidR="00AC5C4D" w:rsidRPr="00B76BDA" w:rsidRDefault="00AC5C4D" w:rsidP="00B76BDA">
      <w:pPr>
        <w:pStyle w:val="ListParagraph"/>
        <w:numPr>
          <w:ilvl w:val="0"/>
          <w:numId w:val="67"/>
        </w:numPr>
        <w:tabs>
          <w:tab w:val="left" w:pos="360"/>
        </w:tabs>
        <w:spacing w:line="23" w:lineRule="atLeast"/>
        <w:ind w:left="0" w:firstLine="0"/>
        <w:rPr>
          <w:i/>
          <w:iCs/>
        </w:rPr>
      </w:pPr>
      <w:r>
        <w:rPr>
          <w:rFonts w:eastAsia="Times New Roman" w:cs="Times New Roman"/>
          <w:color w:val="000000"/>
        </w:rPr>
        <w:t>The Government of Ukraine approved the</w:t>
      </w:r>
      <w:r w:rsidRPr="000F2147">
        <w:rPr>
          <w:rFonts w:eastAsia="Times New Roman" w:cs="Times New Roman"/>
          <w:color w:val="000000"/>
        </w:rPr>
        <w:t xml:space="preserve"> National Environment Strategy </w:t>
      </w:r>
      <w:r>
        <w:rPr>
          <w:rFonts w:eastAsia="Times New Roman" w:cs="Times New Roman"/>
          <w:color w:val="000000"/>
        </w:rPr>
        <w:t>–</w:t>
      </w:r>
      <w:r w:rsidRPr="000F2147">
        <w:rPr>
          <w:rFonts w:eastAsia="Times New Roman" w:cs="Times New Roman"/>
          <w:color w:val="000000"/>
        </w:rPr>
        <w:t xml:space="preserve"> 2020, </w:t>
      </w:r>
      <w:r>
        <w:rPr>
          <w:rFonts w:eastAsia="Times New Roman" w:cs="Times New Roman"/>
          <w:color w:val="000000"/>
        </w:rPr>
        <w:t xml:space="preserve">as well as </w:t>
      </w:r>
      <w:r w:rsidRPr="000F2147">
        <w:rPr>
          <w:rFonts w:eastAsia="Times New Roman" w:cs="Times New Roman"/>
          <w:color w:val="000000"/>
        </w:rPr>
        <w:t xml:space="preserve">other strategic government </w:t>
      </w:r>
      <w:r>
        <w:rPr>
          <w:rFonts w:eastAsia="Times New Roman" w:cs="Times New Roman"/>
          <w:color w:val="000000"/>
        </w:rPr>
        <w:t>both cross sectoral and sector specific.</w:t>
      </w:r>
      <w:r w:rsidRPr="000F2147">
        <w:rPr>
          <w:rFonts w:eastAsia="Times New Roman" w:cs="Times New Roman"/>
          <w:color w:val="000000"/>
        </w:rPr>
        <w:t xml:space="preserve"> The following key gaps are identified in Ukraine’s strategy documents in the area of environment:</w:t>
      </w:r>
      <w:r>
        <w:rPr>
          <w:rFonts w:eastAsia="Times New Roman" w:cs="Times New Roman"/>
          <w:color w:val="000000"/>
        </w:rPr>
        <w:t xml:space="preserve"> </w:t>
      </w:r>
      <w:r w:rsidR="00C5351E">
        <w:rPr>
          <w:rFonts w:eastAsia="Times New Roman" w:cs="Times New Roman"/>
          <w:bCs/>
          <w:color w:val="000000"/>
        </w:rPr>
        <w:t>l</w:t>
      </w:r>
      <w:r w:rsidRPr="000F2147">
        <w:rPr>
          <w:rFonts w:eastAsia="Times New Roman" w:cs="Times New Roman"/>
          <w:bCs/>
          <w:color w:val="000000"/>
        </w:rPr>
        <w:t xml:space="preserve">ack of clear prioritization among the different </w:t>
      </w:r>
      <w:r w:rsidRPr="00B76BDA">
        <w:rPr>
          <w:rFonts w:eastAsia="Times New Roman" w:cs="Times New Roman"/>
          <w:color w:val="000000"/>
        </w:rPr>
        <w:t>environmental</w:t>
      </w:r>
      <w:r>
        <w:rPr>
          <w:rFonts w:eastAsia="Times New Roman" w:cs="Times New Roman"/>
          <w:bCs/>
          <w:color w:val="000000"/>
        </w:rPr>
        <w:t xml:space="preserve"> </w:t>
      </w:r>
      <w:r w:rsidRPr="000F2147">
        <w:rPr>
          <w:rFonts w:eastAsia="Times New Roman" w:cs="Times New Roman"/>
          <w:bCs/>
          <w:color w:val="000000"/>
        </w:rPr>
        <w:t>goals (</w:t>
      </w:r>
      <w:r>
        <w:rPr>
          <w:rFonts w:eastAsia="Times New Roman" w:cs="Times New Roman"/>
          <w:bCs/>
          <w:color w:val="000000"/>
        </w:rPr>
        <w:t>this lack</w:t>
      </w:r>
      <w:r w:rsidRPr="000F2147">
        <w:rPr>
          <w:rFonts w:eastAsia="Times New Roman" w:cs="Times New Roman"/>
          <w:bCs/>
          <w:color w:val="000000"/>
        </w:rPr>
        <w:t xml:space="preserve"> undermines opportunities for implementation </w:t>
      </w:r>
      <w:r>
        <w:rPr>
          <w:rFonts w:eastAsia="Times New Roman" w:cs="Times New Roman"/>
          <w:bCs/>
          <w:color w:val="000000"/>
        </w:rPr>
        <w:t>by failing to be responsive to</w:t>
      </w:r>
      <w:r w:rsidRPr="000F2147">
        <w:rPr>
          <w:rFonts w:eastAsia="Times New Roman" w:cs="Times New Roman"/>
          <w:bCs/>
          <w:color w:val="000000"/>
        </w:rPr>
        <w:t xml:space="preserve"> </w:t>
      </w:r>
      <w:r w:rsidRPr="000F2147">
        <w:rPr>
          <w:rFonts w:eastAsia="Times New Roman" w:cs="Times New Roman"/>
          <w:color w:val="000000"/>
        </w:rPr>
        <w:t>financial and human resources scarcity);</w:t>
      </w:r>
      <w:r>
        <w:rPr>
          <w:rFonts w:eastAsia="Times New Roman" w:cs="Times New Roman"/>
          <w:color w:val="000000"/>
        </w:rPr>
        <w:t xml:space="preserve"> </w:t>
      </w:r>
      <w:r>
        <w:rPr>
          <w:rFonts w:eastAsia="Times New Roman" w:cs="Times New Roman"/>
          <w:bCs/>
          <w:color w:val="000000"/>
        </w:rPr>
        <w:t>l</w:t>
      </w:r>
      <w:r w:rsidRPr="000F2147">
        <w:rPr>
          <w:rFonts w:eastAsia="Times New Roman" w:cs="Times New Roman"/>
          <w:bCs/>
          <w:color w:val="000000"/>
        </w:rPr>
        <w:t>ack of a clear baseline and realistic target indicators;</w:t>
      </w:r>
      <w:r w:rsidRPr="000F2147">
        <w:rPr>
          <w:rFonts w:eastAsia="Times New Roman" w:cs="Times New Roman"/>
          <w:color w:val="000000"/>
        </w:rPr>
        <w:t xml:space="preserve"> </w:t>
      </w:r>
      <w:r>
        <w:rPr>
          <w:rFonts w:eastAsia="Times New Roman" w:cs="Times New Roman"/>
          <w:bCs/>
          <w:color w:val="000000"/>
        </w:rPr>
        <w:t>l</w:t>
      </w:r>
      <w:r w:rsidRPr="000F2147">
        <w:rPr>
          <w:rFonts w:eastAsia="Times New Roman" w:cs="Times New Roman"/>
          <w:bCs/>
          <w:color w:val="000000"/>
        </w:rPr>
        <w:t>ack of clear time frames in the national plans of measures;</w:t>
      </w:r>
      <w:r>
        <w:rPr>
          <w:rFonts w:eastAsia="Times New Roman" w:cs="Times New Roman"/>
          <w:bCs/>
          <w:color w:val="000000"/>
        </w:rPr>
        <w:t xml:space="preserve"> and</w:t>
      </w:r>
      <w:r>
        <w:rPr>
          <w:rFonts w:eastAsia="Times New Roman" w:cs="Times New Roman"/>
          <w:color w:val="000000"/>
        </w:rPr>
        <w:t xml:space="preserve"> </w:t>
      </w:r>
      <w:r>
        <w:rPr>
          <w:rFonts w:eastAsia="Times New Roman" w:cs="Times New Roman"/>
          <w:bCs/>
          <w:color w:val="000000"/>
        </w:rPr>
        <w:t>w</w:t>
      </w:r>
      <w:r w:rsidRPr="000F2147">
        <w:rPr>
          <w:rFonts w:eastAsia="Times New Roman" w:cs="Times New Roman"/>
          <w:bCs/>
          <w:color w:val="000000"/>
        </w:rPr>
        <w:t>eak integration of environmental issues into sectoral strategies, programs</w:t>
      </w:r>
      <w:r>
        <w:rPr>
          <w:rFonts w:eastAsia="Times New Roman" w:cs="Times New Roman"/>
          <w:bCs/>
          <w:color w:val="000000"/>
        </w:rPr>
        <w:t>,</w:t>
      </w:r>
      <w:r w:rsidRPr="000F2147">
        <w:rPr>
          <w:rFonts w:eastAsia="Times New Roman" w:cs="Times New Roman"/>
          <w:bCs/>
          <w:color w:val="000000"/>
        </w:rPr>
        <w:t xml:space="preserve"> and activities.</w:t>
      </w:r>
    </w:p>
    <w:p w14:paraId="60541C4D" w14:textId="77777777" w:rsidR="00B759E2" w:rsidRDefault="00B759E2" w:rsidP="00B76BDA">
      <w:pPr>
        <w:tabs>
          <w:tab w:val="left" w:pos="360"/>
        </w:tabs>
        <w:spacing w:line="23" w:lineRule="atLeast"/>
        <w:rPr>
          <w:i/>
          <w:iCs/>
        </w:rPr>
      </w:pPr>
    </w:p>
    <w:p w14:paraId="36B1E6F5" w14:textId="1EA9A288" w:rsidR="00A8113D" w:rsidRDefault="00B759E2">
      <w:pPr>
        <w:spacing w:line="23" w:lineRule="atLeast"/>
        <w:rPr>
          <w:i/>
          <w:iCs/>
        </w:rPr>
      </w:pPr>
      <w:r>
        <w:rPr>
          <w:i/>
          <w:iCs/>
        </w:rPr>
        <w:t>Build e</w:t>
      </w:r>
      <w:r w:rsidR="00A8113D">
        <w:rPr>
          <w:i/>
          <w:iCs/>
        </w:rPr>
        <w:t xml:space="preserve">ffectiveness of the </w:t>
      </w:r>
      <w:r w:rsidR="006D7DA6">
        <w:rPr>
          <w:i/>
          <w:iCs/>
        </w:rPr>
        <w:t xml:space="preserve">environmental institutions </w:t>
      </w:r>
      <w:r>
        <w:rPr>
          <w:i/>
          <w:iCs/>
        </w:rPr>
        <w:t xml:space="preserve">by improving coordination and streamlining </w:t>
      </w:r>
      <w:r w:rsidR="006D7DA6">
        <w:rPr>
          <w:i/>
          <w:iCs/>
        </w:rPr>
        <w:t>mandates</w:t>
      </w:r>
      <w:r>
        <w:rPr>
          <w:i/>
          <w:iCs/>
        </w:rPr>
        <w:t xml:space="preserve"> across the different agencies</w:t>
      </w:r>
      <w:r w:rsidR="006D7DA6">
        <w:rPr>
          <w:i/>
          <w:iCs/>
        </w:rPr>
        <w:t xml:space="preserve">. </w:t>
      </w:r>
    </w:p>
    <w:p w14:paraId="122691CB" w14:textId="77998139" w:rsidR="00865E47" w:rsidRPr="00B76BDA" w:rsidRDefault="00AC5C4D" w:rsidP="00B76BDA">
      <w:pPr>
        <w:pStyle w:val="ListParagraph"/>
        <w:tabs>
          <w:tab w:val="left" w:pos="360"/>
        </w:tabs>
        <w:spacing w:line="23" w:lineRule="atLeast"/>
        <w:ind w:left="0"/>
        <w:rPr>
          <w:i/>
          <w:iCs/>
        </w:rPr>
      </w:pPr>
      <w:r>
        <w:rPr>
          <w:i/>
          <w:iCs/>
        </w:rPr>
        <w:t xml:space="preserve"> </w:t>
      </w:r>
    </w:p>
    <w:p w14:paraId="41055254" w14:textId="11DA6D64" w:rsidR="00C5351E" w:rsidRPr="00B76BDA" w:rsidRDefault="00C95907" w:rsidP="00B76BDA">
      <w:pPr>
        <w:pStyle w:val="ListParagraph"/>
        <w:numPr>
          <w:ilvl w:val="0"/>
          <w:numId w:val="67"/>
        </w:numPr>
        <w:tabs>
          <w:tab w:val="left" w:pos="360"/>
        </w:tabs>
        <w:spacing w:line="23" w:lineRule="atLeast"/>
        <w:ind w:left="0" w:firstLine="0"/>
        <w:rPr>
          <w:rFonts w:eastAsia="Times New Roman" w:cs="Times New Roman"/>
          <w:color w:val="000000"/>
        </w:rPr>
      </w:pPr>
      <w:r>
        <w:rPr>
          <w:rFonts w:eastAsia="Times New Roman" w:cs="Times New Roman"/>
          <w:color w:val="000000"/>
        </w:rPr>
        <w:t>A</w:t>
      </w:r>
      <w:r w:rsidR="00074ABA" w:rsidRPr="00B76BDA">
        <w:rPr>
          <w:rFonts w:eastAsia="Times New Roman" w:cs="Times New Roman"/>
          <w:color w:val="000000"/>
        </w:rPr>
        <w:t xml:space="preserve"> number of agencies at the central level </w:t>
      </w:r>
      <w:r>
        <w:rPr>
          <w:rFonts w:eastAsia="Times New Roman" w:cs="Times New Roman"/>
          <w:color w:val="000000"/>
        </w:rPr>
        <w:t xml:space="preserve">are </w:t>
      </w:r>
      <w:r w:rsidR="00074ABA" w:rsidRPr="00B76BDA">
        <w:rPr>
          <w:rFonts w:eastAsia="Times New Roman" w:cs="Times New Roman"/>
          <w:color w:val="000000"/>
        </w:rPr>
        <w:t>responsibl</w:t>
      </w:r>
      <w:r>
        <w:rPr>
          <w:rFonts w:eastAsia="Times New Roman" w:cs="Times New Roman"/>
          <w:color w:val="000000"/>
        </w:rPr>
        <w:t>e</w:t>
      </w:r>
      <w:r w:rsidR="00074ABA" w:rsidRPr="00B76BDA">
        <w:rPr>
          <w:rFonts w:eastAsia="Times New Roman" w:cs="Times New Roman"/>
          <w:color w:val="000000"/>
        </w:rPr>
        <w:t xml:space="preserve"> </w:t>
      </w:r>
      <w:r>
        <w:rPr>
          <w:rFonts w:eastAsia="Times New Roman" w:cs="Times New Roman"/>
          <w:color w:val="000000"/>
        </w:rPr>
        <w:t xml:space="preserve">for </w:t>
      </w:r>
      <w:r w:rsidR="00074ABA" w:rsidRPr="00B76BDA">
        <w:rPr>
          <w:rFonts w:eastAsia="Times New Roman" w:cs="Times New Roman"/>
          <w:color w:val="000000"/>
        </w:rPr>
        <w:t xml:space="preserve">environmental management. </w:t>
      </w:r>
      <w:r w:rsidR="00C677E0" w:rsidRPr="00B76BDA">
        <w:rPr>
          <w:rFonts w:eastAsia="Times New Roman" w:cs="Times New Roman"/>
          <w:color w:val="000000"/>
        </w:rPr>
        <w:t>T</w:t>
      </w:r>
      <w:r w:rsidR="0010159E" w:rsidRPr="00B76BDA">
        <w:rPr>
          <w:rFonts w:eastAsia="Times New Roman" w:cs="Times New Roman"/>
          <w:color w:val="000000"/>
        </w:rPr>
        <w:t>h</w:t>
      </w:r>
      <w:r w:rsidR="00AC5C4D" w:rsidRPr="00C320FA">
        <w:rPr>
          <w:rFonts w:eastAsia="Times New Roman" w:cs="Times New Roman"/>
          <w:color w:val="000000"/>
        </w:rPr>
        <w:t>e Ministry of Ecology and Natural Resources (MENR) is the main state authority</w:t>
      </w:r>
      <w:r w:rsidR="00AC5C4D" w:rsidRPr="0020397D">
        <w:rPr>
          <w:rFonts w:eastAsia="Times New Roman" w:cs="Times New Roman"/>
          <w:color w:val="000000"/>
        </w:rPr>
        <w:t xml:space="preserve"> tasked with the key role of developing and ensuring the implementation of environmental policy</w:t>
      </w:r>
      <w:r w:rsidR="00C677E0" w:rsidRPr="00B76BDA">
        <w:rPr>
          <w:rFonts w:eastAsia="Times New Roman" w:cs="Times New Roman"/>
          <w:color w:val="000000"/>
        </w:rPr>
        <w:t xml:space="preserve"> at the central government level</w:t>
      </w:r>
      <w:r w:rsidR="00AC5C4D" w:rsidRPr="00C320FA">
        <w:rPr>
          <w:rFonts w:eastAsia="Times New Roman" w:cs="Times New Roman"/>
          <w:color w:val="000000"/>
        </w:rPr>
        <w:t xml:space="preserve">. The ministry coordinates </w:t>
      </w:r>
      <w:r w:rsidR="00074ABA" w:rsidRPr="00B76BDA">
        <w:rPr>
          <w:rFonts w:eastAsia="Times New Roman" w:cs="Times New Roman"/>
          <w:color w:val="000000"/>
        </w:rPr>
        <w:t>several</w:t>
      </w:r>
      <w:r w:rsidR="006571D4" w:rsidRPr="00B76BDA">
        <w:rPr>
          <w:rFonts w:eastAsia="Times New Roman" w:cs="Times New Roman"/>
          <w:color w:val="000000"/>
        </w:rPr>
        <w:t xml:space="preserve"> agencies, including </w:t>
      </w:r>
      <w:r w:rsidR="00AC5C4D" w:rsidRPr="00C320FA">
        <w:rPr>
          <w:rFonts w:eastAsia="Times New Roman" w:cs="Times New Roman"/>
          <w:color w:val="000000"/>
        </w:rPr>
        <w:t>the State Ecological Inspectorate, State Agency of Water Resources, State Service of Geology and Mineral Resources, and State Agency o</w:t>
      </w:r>
      <w:r w:rsidR="00AC5C4D" w:rsidRPr="0020397D">
        <w:rPr>
          <w:rFonts w:eastAsia="Times New Roman" w:cs="Times New Roman"/>
          <w:color w:val="000000"/>
        </w:rPr>
        <w:t xml:space="preserve">f Ukraine on Exclusion Zone Management. MENR also supervises three research institutes and nine state enterprises. </w:t>
      </w:r>
    </w:p>
    <w:p w14:paraId="656EF80E" w14:textId="77777777" w:rsidR="00C5351E" w:rsidRPr="00B76BDA" w:rsidRDefault="00C5351E" w:rsidP="00B76BDA">
      <w:pPr>
        <w:tabs>
          <w:tab w:val="left" w:pos="360"/>
        </w:tabs>
        <w:spacing w:line="23" w:lineRule="atLeast"/>
        <w:rPr>
          <w:i/>
          <w:iCs/>
        </w:rPr>
      </w:pPr>
    </w:p>
    <w:p w14:paraId="5B250D80" w14:textId="2B12CE2A" w:rsidR="00AC5C4D" w:rsidRPr="0020397D" w:rsidRDefault="00AC5C4D" w:rsidP="00B76BDA">
      <w:pPr>
        <w:pStyle w:val="ListParagraph"/>
        <w:numPr>
          <w:ilvl w:val="0"/>
          <w:numId w:val="67"/>
        </w:numPr>
        <w:tabs>
          <w:tab w:val="left" w:pos="360"/>
        </w:tabs>
        <w:spacing w:line="23" w:lineRule="atLeast"/>
        <w:ind w:left="0" w:firstLine="0"/>
        <w:rPr>
          <w:rFonts w:eastAsia="Times New Roman" w:cs="Times New Roman"/>
          <w:color w:val="000000"/>
        </w:rPr>
      </w:pPr>
      <w:r w:rsidRPr="00C320FA">
        <w:rPr>
          <w:rFonts w:eastAsia="Times New Roman" w:cs="Times New Roman"/>
          <w:color w:val="000000"/>
        </w:rPr>
        <w:t>The MENR’s structure and responsibility have been undergoing significant and continuous change over the past 25 years</w:t>
      </w:r>
      <w:r w:rsidR="00C677E0" w:rsidRPr="00B76BDA">
        <w:rPr>
          <w:rFonts w:eastAsia="Times New Roman" w:cs="Times New Roman"/>
          <w:color w:val="000000"/>
        </w:rPr>
        <w:t xml:space="preserve"> that</w:t>
      </w:r>
      <w:r w:rsidR="0010159E" w:rsidRPr="00B76BDA">
        <w:rPr>
          <w:rFonts w:eastAsia="Times New Roman" w:cs="Times New Roman"/>
          <w:color w:val="000000"/>
        </w:rPr>
        <w:t xml:space="preserve"> includ</w:t>
      </w:r>
      <w:r w:rsidR="00C677E0" w:rsidRPr="00B76BDA">
        <w:rPr>
          <w:rFonts w:eastAsia="Times New Roman" w:cs="Times New Roman"/>
          <w:color w:val="000000"/>
        </w:rPr>
        <w:t>ed</w:t>
      </w:r>
      <w:r w:rsidR="0010159E" w:rsidRPr="00B76BDA">
        <w:rPr>
          <w:rFonts w:eastAsia="Times New Roman" w:cs="Times New Roman"/>
          <w:color w:val="000000"/>
        </w:rPr>
        <w:t xml:space="preserve"> </w:t>
      </w:r>
      <w:r w:rsidRPr="00C320FA">
        <w:rPr>
          <w:rFonts w:eastAsia="Times New Roman" w:cs="Times New Roman"/>
          <w:color w:val="000000"/>
        </w:rPr>
        <w:t xml:space="preserve">frequent reorganizations and restructuring. The last significant organizational change was </w:t>
      </w:r>
      <w:r w:rsidR="00C677E0" w:rsidRPr="00B76BDA">
        <w:rPr>
          <w:rFonts w:eastAsia="Times New Roman" w:cs="Times New Roman"/>
          <w:color w:val="000000"/>
        </w:rPr>
        <w:t>conducted</w:t>
      </w:r>
      <w:r w:rsidR="00C677E0" w:rsidRPr="00C320FA">
        <w:rPr>
          <w:rFonts w:eastAsia="Times New Roman" w:cs="Times New Roman"/>
          <w:color w:val="000000"/>
        </w:rPr>
        <w:t xml:space="preserve"> </w:t>
      </w:r>
      <w:r w:rsidRPr="0020397D">
        <w:rPr>
          <w:rFonts w:eastAsia="Times New Roman" w:cs="Times New Roman"/>
          <w:color w:val="000000"/>
        </w:rPr>
        <w:t xml:space="preserve">in 2013, when the State Environmental Investment Agency responsible for the implementation of the UN Convention on Climate Change and Kyoto Protocol was abolished.  </w:t>
      </w:r>
    </w:p>
    <w:p w14:paraId="3783BC05" w14:textId="77777777" w:rsidR="00AC5C4D" w:rsidRPr="0020397D" w:rsidRDefault="00AC5C4D" w:rsidP="00AC5C4D">
      <w:pPr>
        <w:spacing w:line="23" w:lineRule="atLeast"/>
        <w:rPr>
          <w:rFonts w:eastAsia="Times New Roman" w:cs="Times New Roman"/>
          <w:color w:val="000000"/>
        </w:rPr>
      </w:pPr>
    </w:p>
    <w:p w14:paraId="53D0E175" w14:textId="4C33218B" w:rsidR="00AC5C4D" w:rsidRPr="00B76BDA" w:rsidRDefault="00AC5C4D" w:rsidP="00B76BDA">
      <w:pPr>
        <w:pStyle w:val="ListParagraph"/>
        <w:numPr>
          <w:ilvl w:val="0"/>
          <w:numId w:val="67"/>
        </w:numPr>
        <w:tabs>
          <w:tab w:val="left" w:pos="360"/>
        </w:tabs>
        <w:spacing w:line="23" w:lineRule="atLeast"/>
        <w:ind w:left="0" w:firstLine="0"/>
        <w:rPr>
          <w:rFonts w:eastAsia="Times New Roman" w:cs="Times New Roman"/>
          <w:color w:val="000000"/>
        </w:rPr>
      </w:pPr>
      <w:r w:rsidRPr="006428F7">
        <w:rPr>
          <w:rFonts w:eastAsia="Times New Roman" w:cs="Times New Roman"/>
          <w:color w:val="000000"/>
        </w:rPr>
        <w:t>MENR collaborates with other Ministries: Ministry of Energy and Coal Industry; Ministry of Agrarian Policy and Food; Ministry of Regional Development, Construction, Housing, and Commu</w:t>
      </w:r>
      <w:r w:rsidRPr="00C95907">
        <w:rPr>
          <w:rFonts w:eastAsia="Times New Roman" w:cs="Times New Roman"/>
          <w:color w:val="000000"/>
        </w:rPr>
        <w:t>nal Services; Ministry of Infrastructure, and other ministries, state agencies, and inspectorates. However, the level of collaboration is low and consists mainly of providing "no objection" to legislative acts, programs, and regulations issued by each government agency.</w:t>
      </w:r>
      <w:r w:rsidR="006571D4" w:rsidRPr="00B76BDA">
        <w:rPr>
          <w:rFonts w:eastAsia="Times New Roman" w:cs="Times New Roman"/>
          <w:color w:val="000000"/>
        </w:rPr>
        <w:t xml:space="preserve"> Th</w:t>
      </w:r>
      <w:r w:rsidR="00C95907">
        <w:rPr>
          <w:rFonts w:eastAsia="Times New Roman" w:cs="Times New Roman"/>
          <w:color w:val="000000"/>
        </w:rPr>
        <w:t xml:space="preserve">is </w:t>
      </w:r>
      <w:r w:rsidR="006571D4" w:rsidRPr="00B76BDA">
        <w:rPr>
          <w:rFonts w:eastAsia="Times New Roman" w:cs="Times New Roman"/>
          <w:color w:val="000000"/>
        </w:rPr>
        <w:t>multitude of agencies with responsibilities in environmental management, couple</w:t>
      </w:r>
      <w:r w:rsidR="00504510" w:rsidRPr="00B76BDA">
        <w:rPr>
          <w:rFonts w:eastAsia="Times New Roman" w:cs="Times New Roman"/>
          <w:color w:val="000000"/>
        </w:rPr>
        <w:t>d</w:t>
      </w:r>
      <w:r w:rsidR="006571D4" w:rsidRPr="00B76BDA">
        <w:rPr>
          <w:rFonts w:eastAsia="Times New Roman" w:cs="Times New Roman"/>
          <w:color w:val="000000"/>
        </w:rPr>
        <w:t xml:space="preserve"> with sometimes overlapping responsibilities</w:t>
      </w:r>
      <w:r w:rsidR="00145BD4" w:rsidRPr="00B76BDA">
        <w:rPr>
          <w:rFonts w:eastAsia="Times New Roman" w:cs="Times New Roman"/>
          <w:color w:val="000000"/>
        </w:rPr>
        <w:t xml:space="preserve">, frequent organizational change </w:t>
      </w:r>
      <w:r w:rsidR="00C95907">
        <w:rPr>
          <w:rFonts w:eastAsia="Times New Roman" w:cs="Times New Roman"/>
          <w:color w:val="000000"/>
        </w:rPr>
        <w:t xml:space="preserve">and weakness in coordination </w:t>
      </w:r>
      <w:r w:rsidR="00145BD4" w:rsidRPr="00B76BDA">
        <w:rPr>
          <w:rFonts w:eastAsia="Times New Roman" w:cs="Times New Roman"/>
          <w:color w:val="000000"/>
        </w:rPr>
        <w:t>limit</w:t>
      </w:r>
      <w:r w:rsidR="00C95907">
        <w:rPr>
          <w:rFonts w:eastAsia="Times New Roman" w:cs="Times New Roman"/>
          <w:color w:val="000000"/>
        </w:rPr>
        <w:t xml:space="preserve"> </w:t>
      </w:r>
      <w:r w:rsidR="00145BD4" w:rsidRPr="00B76BDA">
        <w:rPr>
          <w:rFonts w:eastAsia="Times New Roman" w:cs="Times New Roman"/>
          <w:color w:val="000000"/>
        </w:rPr>
        <w:t xml:space="preserve">the </w:t>
      </w:r>
      <w:r w:rsidR="006571D4" w:rsidRPr="00B76BDA">
        <w:rPr>
          <w:rFonts w:eastAsia="Times New Roman" w:cs="Times New Roman"/>
          <w:color w:val="000000"/>
        </w:rPr>
        <w:t>effectiveness</w:t>
      </w:r>
      <w:r w:rsidR="00145BD4" w:rsidRPr="00B76BDA">
        <w:rPr>
          <w:rFonts w:eastAsia="Times New Roman" w:cs="Times New Roman"/>
          <w:color w:val="000000"/>
        </w:rPr>
        <w:t xml:space="preserve"> of </w:t>
      </w:r>
      <w:r w:rsidR="00C95907" w:rsidRPr="00C320FA">
        <w:rPr>
          <w:rFonts w:eastAsia="Times New Roman" w:cs="Times New Roman"/>
          <w:color w:val="000000"/>
        </w:rPr>
        <w:t>environmental</w:t>
      </w:r>
      <w:r w:rsidR="00145BD4" w:rsidRPr="00B76BDA">
        <w:rPr>
          <w:rFonts w:eastAsia="Times New Roman" w:cs="Times New Roman"/>
          <w:color w:val="000000"/>
        </w:rPr>
        <w:t xml:space="preserve"> management</w:t>
      </w:r>
      <w:r w:rsidR="006571D4" w:rsidRPr="00B76BDA">
        <w:rPr>
          <w:rFonts w:eastAsia="Times New Roman" w:cs="Times New Roman"/>
          <w:color w:val="000000"/>
        </w:rPr>
        <w:t xml:space="preserve">. </w:t>
      </w:r>
    </w:p>
    <w:p w14:paraId="04726A7D" w14:textId="77777777" w:rsidR="006571D4" w:rsidRDefault="006571D4" w:rsidP="00AC5C4D">
      <w:pPr>
        <w:spacing w:line="23" w:lineRule="atLeast"/>
      </w:pPr>
    </w:p>
    <w:p w14:paraId="5F56BBE7" w14:textId="2DF0EE66" w:rsidR="00AC5C4D" w:rsidRDefault="00B759E2">
      <w:pPr>
        <w:spacing w:line="23" w:lineRule="atLeast"/>
        <w:rPr>
          <w:i/>
          <w:iCs/>
        </w:rPr>
      </w:pPr>
      <w:r>
        <w:rPr>
          <w:i/>
          <w:iCs/>
        </w:rPr>
        <w:t>S</w:t>
      </w:r>
      <w:r w:rsidR="00AC5C4D">
        <w:rPr>
          <w:i/>
          <w:iCs/>
        </w:rPr>
        <w:t xml:space="preserve">trengthen </w:t>
      </w:r>
      <w:r w:rsidR="00AC5C4D" w:rsidRPr="00AC5C4D">
        <w:rPr>
          <w:i/>
          <w:iCs/>
        </w:rPr>
        <w:t>environmental management capacity at the</w:t>
      </w:r>
      <w:r w:rsidR="00AC5C4D">
        <w:rPr>
          <w:i/>
          <w:iCs/>
        </w:rPr>
        <w:t xml:space="preserve"> </w:t>
      </w:r>
      <w:r w:rsidR="00C26464">
        <w:rPr>
          <w:i/>
          <w:iCs/>
        </w:rPr>
        <w:t>regional</w:t>
      </w:r>
      <w:r w:rsidR="00C26464" w:rsidRPr="00AC5C4D">
        <w:rPr>
          <w:i/>
          <w:iCs/>
        </w:rPr>
        <w:t xml:space="preserve"> </w:t>
      </w:r>
      <w:r w:rsidR="00AC5C4D" w:rsidRPr="00AC5C4D">
        <w:rPr>
          <w:i/>
          <w:iCs/>
        </w:rPr>
        <w:t>level</w:t>
      </w:r>
      <w:r w:rsidR="00AC5C4D" w:rsidRPr="009218E9">
        <w:rPr>
          <w:i/>
          <w:iCs/>
        </w:rPr>
        <w:t>.</w:t>
      </w:r>
    </w:p>
    <w:p w14:paraId="1D736C87" w14:textId="77777777" w:rsidR="00AC5C4D" w:rsidRPr="00B76BDA" w:rsidRDefault="00AC5C4D" w:rsidP="00B76BDA">
      <w:pPr>
        <w:pStyle w:val="ListParagraph"/>
        <w:tabs>
          <w:tab w:val="left" w:pos="360"/>
        </w:tabs>
        <w:spacing w:line="23" w:lineRule="atLeast"/>
        <w:ind w:left="0"/>
        <w:rPr>
          <w:rFonts w:eastAsia="Times New Roman" w:cs="Times New Roman"/>
          <w:color w:val="000000"/>
        </w:rPr>
      </w:pPr>
    </w:p>
    <w:p w14:paraId="70174830" w14:textId="77777777" w:rsidR="00AC5C4D" w:rsidRPr="000F2147" w:rsidRDefault="00AC5C4D" w:rsidP="00B76BDA">
      <w:pPr>
        <w:pStyle w:val="ListParagraph"/>
        <w:numPr>
          <w:ilvl w:val="0"/>
          <w:numId w:val="67"/>
        </w:numPr>
        <w:tabs>
          <w:tab w:val="left" w:pos="360"/>
        </w:tabs>
        <w:spacing w:line="23" w:lineRule="atLeast"/>
        <w:ind w:left="0" w:firstLine="0"/>
        <w:rPr>
          <w:rFonts w:eastAsia="Times New Roman" w:cs="Times New Roman"/>
          <w:color w:val="000000"/>
        </w:rPr>
      </w:pPr>
      <w:r>
        <w:rPr>
          <w:i/>
          <w:iCs/>
        </w:rPr>
        <w:t xml:space="preserve"> </w:t>
      </w:r>
      <w:r w:rsidRPr="000F2147">
        <w:rPr>
          <w:rFonts w:eastAsia="Times New Roman" w:cs="Times New Roman"/>
          <w:color w:val="000000"/>
        </w:rPr>
        <w:t xml:space="preserve">The environmental management system underwent significant changes due to the </w:t>
      </w:r>
      <w:r>
        <w:rPr>
          <w:rFonts w:eastAsia="Times New Roman" w:cs="Times New Roman"/>
          <w:color w:val="000000"/>
        </w:rPr>
        <w:t>L</w:t>
      </w:r>
      <w:r w:rsidRPr="000F2147">
        <w:rPr>
          <w:rFonts w:eastAsia="Times New Roman" w:cs="Times New Roman"/>
          <w:color w:val="000000"/>
        </w:rPr>
        <w:t xml:space="preserve">aw of 2012 on </w:t>
      </w:r>
      <w:r>
        <w:rPr>
          <w:rFonts w:eastAsia="Times New Roman" w:cs="Times New Roman"/>
          <w:color w:val="000000"/>
        </w:rPr>
        <w:t>“</w:t>
      </w:r>
      <w:r w:rsidRPr="000F2147">
        <w:rPr>
          <w:rFonts w:eastAsia="Times New Roman" w:cs="Times New Roman"/>
          <w:color w:val="000000"/>
        </w:rPr>
        <w:t xml:space="preserve">Introducing </w:t>
      </w:r>
      <w:r>
        <w:rPr>
          <w:rFonts w:eastAsia="Times New Roman" w:cs="Times New Roman"/>
          <w:color w:val="000000"/>
        </w:rPr>
        <w:t>C</w:t>
      </w:r>
      <w:r w:rsidRPr="000F2147">
        <w:rPr>
          <w:rFonts w:eastAsia="Times New Roman" w:cs="Times New Roman"/>
          <w:color w:val="000000"/>
        </w:rPr>
        <w:t xml:space="preserve">hanges to </w:t>
      </w:r>
      <w:r>
        <w:rPr>
          <w:rFonts w:eastAsia="Times New Roman" w:cs="Times New Roman"/>
          <w:color w:val="000000"/>
        </w:rPr>
        <w:t>C</w:t>
      </w:r>
      <w:r w:rsidRPr="000F2147">
        <w:rPr>
          <w:rFonts w:eastAsia="Times New Roman" w:cs="Times New Roman"/>
          <w:color w:val="000000"/>
        </w:rPr>
        <w:t xml:space="preserve">ertain </w:t>
      </w:r>
      <w:r>
        <w:rPr>
          <w:rFonts w:eastAsia="Times New Roman" w:cs="Times New Roman"/>
          <w:color w:val="000000"/>
        </w:rPr>
        <w:t>L</w:t>
      </w:r>
      <w:r w:rsidRPr="000F2147">
        <w:rPr>
          <w:rFonts w:eastAsia="Times New Roman" w:cs="Times New Roman"/>
          <w:color w:val="000000"/>
        </w:rPr>
        <w:t xml:space="preserve">egislative </w:t>
      </w:r>
      <w:r>
        <w:rPr>
          <w:rFonts w:eastAsia="Times New Roman" w:cs="Times New Roman"/>
          <w:color w:val="000000"/>
        </w:rPr>
        <w:t>A</w:t>
      </w:r>
      <w:r w:rsidRPr="000F2147">
        <w:rPr>
          <w:rFonts w:eastAsia="Times New Roman" w:cs="Times New Roman"/>
          <w:color w:val="000000"/>
        </w:rPr>
        <w:t xml:space="preserve">cts of Ukraine with the </w:t>
      </w:r>
      <w:r>
        <w:rPr>
          <w:rFonts w:eastAsia="Times New Roman" w:cs="Times New Roman"/>
          <w:color w:val="000000"/>
        </w:rPr>
        <w:t>A</w:t>
      </w:r>
      <w:r w:rsidRPr="000F2147">
        <w:rPr>
          <w:rFonts w:eastAsia="Times New Roman" w:cs="Times New Roman"/>
          <w:color w:val="000000"/>
        </w:rPr>
        <w:t xml:space="preserve">im of </w:t>
      </w:r>
      <w:r>
        <w:rPr>
          <w:rFonts w:eastAsia="Times New Roman" w:cs="Times New Roman"/>
          <w:color w:val="000000"/>
        </w:rPr>
        <w:t>O</w:t>
      </w:r>
      <w:r w:rsidRPr="000F2147">
        <w:rPr>
          <w:rFonts w:eastAsia="Times New Roman" w:cs="Times New Roman"/>
          <w:color w:val="000000"/>
        </w:rPr>
        <w:t xml:space="preserve">ptimization of </w:t>
      </w:r>
      <w:r>
        <w:rPr>
          <w:rFonts w:eastAsia="Times New Roman" w:cs="Times New Roman"/>
          <w:color w:val="000000"/>
        </w:rPr>
        <w:t>P</w:t>
      </w:r>
      <w:r w:rsidRPr="000F2147">
        <w:rPr>
          <w:rFonts w:eastAsia="Times New Roman" w:cs="Times New Roman"/>
          <w:color w:val="000000"/>
        </w:rPr>
        <w:t xml:space="preserve">owers and </w:t>
      </w:r>
      <w:r>
        <w:rPr>
          <w:rFonts w:eastAsia="Times New Roman" w:cs="Times New Roman"/>
          <w:color w:val="000000"/>
        </w:rPr>
        <w:t>A</w:t>
      </w:r>
      <w:r w:rsidRPr="000F2147">
        <w:rPr>
          <w:rFonts w:eastAsia="Times New Roman" w:cs="Times New Roman"/>
          <w:color w:val="000000"/>
        </w:rPr>
        <w:t xml:space="preserve">uthorities of the </w:t>
      </w:r>
      <w:r>
        <w:rPr>
          <w:rFonts w:eastAsia="Times New Roman" w:cs="Times New Roman"/>
          <w:color w:val="000000"/>
        </w:rPr>
        <w:t>E</w:t>
      </w:r>
      <w:r w:rsidRPr="000F2147">
        <w:rPr>
          <w:rFonts w:eastAsia="Times New Roman" w:cs="Times New Roman"/>
          <w:color w:val="000000"/>
        </w:rPr>
        <w:t xml:space="preserve">xecutive </w:t>
      </w:r>
      <w:r>
        <w:rPr>
          <w:rFonts w:eastAsia="Times New Roman" w:cs="Times New Roman"/>
          <w:color w:val="000000"/>
        </w:rPr>
        <w:t>A</w:t>
      </w:r>
      <w:r w:rsidRPr="000F2147">
        <w:rPr>
          <w:rFonts w:eastAsia="Times New Roman" w:cs="Times New Roman"/>
          <w:color w:val="000000"/>
        </w:rPr>
        <w:t xml:space="preserve">uthorities in the </w:t>
      </w:r>
      <w:r>
        <w:rPr>
          <w:rFonts w:eastAsia="Times New Roman" w:cs="Times New Roman"/>
          <w:color w:val="000000"/>
        </w:rPr>
        <w:t>S</w:t>
      </w:r>
      <w:r w:rsidRPr="000F2147">
        <w:rPr>
          <w:rFonts w:eastAsia="Times New Roman" w:cs="Times New Roman"/>
          <w:color w:val="000000"/>
        </w:rPr>
        <w:t xml:space="preserve">phere of </w:t>
      </w:r>
      <w:r>
        <w:rPr>
          <w:rFonts w:eastAsia="Times New Roman" w:cs="Times New Roman"/>
          <w:color w:val="000000"/>
        </w:rPr>
        <w:t>E</w:t>
      </w:r>
      <w:r w:rsidRPr="000F2147">
        <w:rPr>
          <w:rFonts w:eastAsia="Times New Roman" w:cs="Times New Roman"/>
          <w:color w:val="000000"/>
        </w:rPr>
        <w:t xml:space="preserve">cology and </w:t>
      </w:r>
      <w:r>
        <w:rPr>
          <w:rFonts w:eastAsia="Times New Roman" w:cs="Times New Roman"/>
          <w:color w:val="000000"/>
        </w:rPr>
        <w:t>N</w:t>
      </w:r>
      <w:r w:rsidRPr="000F2147">
        <w:rPr>
          <w:rFonts w:eastAsia="Times New Roman" w:cs="Times New Roman"/>
          <w:color w:val="000000"/>
        </w:rPr>
        <w:t>atur</w:t>
      </w:r>
      <w:r>
        <w:rPr>
          <w:rFonts w:eastAsia="Times New Roman" w:cs="Times New Roman"/>
          <w:color w:val="000000"/>
        </w:rPr>
        <w:t>al</w:t>
      </w:r>
      <w:r w:rsidRPr="000F2147">
        <w:rPr>
          <w:rFonts w:eastAsia="Times New Roman" w:cs="Times New Roman"/>
          <w:color w:val="000000"/>
        </w:rPr>
        <w:t xml:space="preserve"> </w:t>
      </w:r>
      <w:r>
        <w:rPr>
          <w:rFonts w:eastAsia="Times New Roman" w:cs="Times New Roman"/>
          <w:color w:val="000000"/>
        </w:rPr>
        <w:t>R</w:t>
      </w:r>
      <w:r w:rsidRPr="000F2147">
        <w:rPr>
          <w:rFonts w:eastAsia="Times New Roman" w:cs="Times New Roman"/>
          <w:color w:val="000000"/>
        </w:rPr>
        <w:t xml:space="preserve">esources, </w:t>
      </w:r>
      <w:r>
        <w:rPr>
          <w:rFonts w:eastAsia="Times New Roman" w:cs="Times New Roman"/>
          <w:color w:val="000000"/>
        </w:rPr>
        <w:t>I</w:t>
      </w:r>
      <w:r w:rsidRPr="000F2147">
        <w:rPr>
          <w:rFonts w:eastAsia="Times New Roman" w:cs="Times New Roman"/>
          <w:color w:val="000000"/>
        </w:rPr>
        <w:t xml:space="preserve">ncluding </w:t>
      </w:r>
      <w:r>
        <w:rPr>
          <w:rFonts w:eastAsia="Times New Roman" w:cs="Times New Roman"/>
          <w:color w:val="000000"/>
        </w:rPr>
        <w:t>the L</w:t>
      </w:r>
      <w:r w:rsidRPr="000F2147">
        <w:rPr>
          <w:rFonts w:eastAsia="Times New Roman" w:cs="Times New Roman"/>
          <w:color w:val="000000"/>
        </w:rPr>
        <w:t xml:space="preserve">ocal </w:t>
      </w:r>
      <w:r>
        <w:rPr>
          <w:rFonts w:eastAsia="Times New Roman" w:cs="Times New Roman"/>
          <w:color w:val="000000"/>
        </w:rPr>
        <w:t>L</w:t>
      </w:r>
      <w:r w:rsidRPr="000F2147">
        <w:rPr>
          <w:rFonts w:eastAsia="Times New Roman" w:cs="Times New Roman"/>
          <w:color w:val="000000"/>
        </w:rPr>
        <w:t>evel</w:t>
      </w:r>
      <w:r>
        <w:rPr>
          <w:rFonts w:eastAsia="Times New Roman" w:cs="Times New Roman"/>
          <w:color w:val="000000"/>
        </w:rPr>
        <w:t>.” The law amended several laws and codes and transferred</w:t>
      </w:r>
      <w:r w:rsidRPr="000F2147">
        <w:rPr>
          <w:rFonts w:eastAsia="Times New Roman" w:cs="Times New Roman"/>
          <w:color w:val="000000"/>
        </w:rPr>
        <w:t xml:space="preserve"> a number of functions (</w:t>
      </w:r>
      <w:r>
        <w:rPr>
          <w:rFonts w:eastAsia="Times New Roman" w:cs="Times New Roman"/>
          <w:color w:val="000000"/>
        </w:rPr>
        <w:t xml:space="preserve">such as </w:t>
      </w:r>
      <w:r w:rsidRPr="000F2147">
        <w:rPr>
          <w:rFonts w:eastAsia="Times New Roman" w:cs="Times New Roman"/>
          <w:color w:val="000000"/>
        </w:rPr>
        <w:t>permits for certain activities, monitoring, supervision, expert reviews</w:t>
      </w:r>
      <w:r>
        <w:rPr>
          <w:rFonts w:eastAsia="Times New Roman" w:cs="Times New Roman"/>
          <w:color w:val="000000"/>
        </w:rPr>
        <w:t>, and so forth</w:t>
      </w:r>
      <w:r w:rsidRPr="000F2147">
        <w:rPr>
          <w:rFonts w:eastAsia="Times New Roman" w:cs="Times New Roman"/>
          <w:color w:val="000000"/>
        </w:rPr>
        <w:t>) from the central government (MENR) to local government</w:t>
      </w:r>
      <w:r>
        <w:rPr>
          <w:rFonts w:eastAsia="Times New Roman" w:cs="Times New Roman"/>
          <w:color w:val="000000"/>
        </w:rPr>
        <w:t>s</w:t>
      </w:r>
      <w:r w:rsidRPr="000F2147">
        <w:rPr>
          <w:rFonts w:eastAsia="Times New Roman" w:cs="Times New Roman"/>
          <w:color w:val="000000"/>
        </w:rPr>
        <w:t xml:space="preserve"> (oblast state administrations). This law was followed by the Resolution of the Cabinet of Ministers </w:t>
      </w:r>
      <w:r>
        <w:rPr>
          <w:rFonts w:eastAsia="Times New Roman" w:cs="Times New Roman"/>
          <w:color w:val="000000"/>
        </w:rPr>
        <w:t>N</w:t>
      </w:r>
      <w:r w:rsidRPr="000F2147">
        <w:rPr>
          <w:rFonts w:eastAsia="Times New Roman" w:cs="Times New Roman"/>
          <w:color w:val="000000"/>
        </w:rPr>
        <w:t xml:space="preserve">o. 159 (2013) </w:t>
      </w:r>
      <w:r>
        <w:rPr>
          <w:rFonts w:eastAsia="Times New Roman" w:cs="Times New Roman"/>
          <w:color w:val="000000"/>
        </w:rPr>
        <w:t>by</w:t>
      </w:r>
      <w:r w:rsidRPr="000F2147">
        <w:rPr>
          <w:rFonts w:eastAsia="Times New Roman" w:cs="Times New Roman"/>
          <w:color w:val="000000"/>
        </w:rPr>
        <w:t xml:space="preserve"> </w:t>
      </w:r>
      <w:r>
        <w:rPr>
          <w:rFonts w:eastAsia="Times New Roman" w:cs="Times New Roman"/>
          <w:color w:val="000000"/>
        </w:rPr>
        <w:t>which MENR’s o</w:t>
      </w:r>
      <w:r w:rsidRPr="000F2147">
        <w:rPr>
          <w:rFonts w:eastAsia="Times New Roman" w:cs="Times New Roman"/>
          <w:color w:val="000000"/>
        </w:rPr>
        <w:t xml:space="preserve">blast branches were abolished and respective departments in oblast state administrations (OSA) were created. </w:t>
      </w:r>
      <w:r>
        <w:rPr>
          <w:rFonts w:eastAsia="Times New Roman" w:cs="Times New Roman"/>
          <w:color w:val="000000"/>
        </w:rPr>
        <w:t xml:space="preserve">This process led to lack of </w:t>
      </w:r>
      <w:r w:rsidRPr="000F2147">
        <w:rPr>
          <w:rFonts w:eastAsia="Times New Roman" w:cs="Times New Roman"/>
          <w:bCs/>
          <w:color w:val="000000"/>
        </w:rPr>
        <w:t xml:space="preserve">continuity between </w:t>
      </w:r>
      <w:r>
        <w:rPr>
          <w:rFonts w:eastAsia="Times New Roman" w:cs="Times New Roman"/>
          <w:bCs/>
          <w:color w:val="000000"/>
        </w:rPr>
        <w:t xml:space="preserve">MENR’s </w:t>
      </w:r>
      <w:r w:rsidRPr="000F2147">
        <w:rPr>
          <w:rFonts w:eastAsia="Times New Roman" w:cs="Times New Roman"/>
          <w:bCs/>
          <w:color w:val="000000"/>
        </w:rPr>
        <w:t xml:space="preserve">oblast branches and </w:t>
      </w:r>
      <w:r>
        <w:rPr>
          <w:rFonts w:eastAsia="Times New Roman" w:cs="Times New Roman"/>
          <w:bCs/>
          <w:color w:val="000000"/>
        </w:rPr>
        <w:t xml:space="preserve">OSAs’ </w:t>
      </w:r>
      <w:r w:rsidRPr="000F2147">
        <w:rPr>
          <w:rFonts w:eastAsia="Times New Roman" w:cs="Times New Roman"/>
          <w:bCs/>
          <w:color w:val="000000"/>
        </w:rPr>
        <w:t>environmental departments.</w:t>
      </w:r>
      <w:r w:rsidRPr="000F2147">
        <w:rPr>
          <w:rFonts w:eastAsia="Times New Roman" w:cs="Times New Roman"/>
          <w:color w:val="000000"/>
        </w:rPr>
        <w:t xml:space="preserve"> </w:t>
      </w:r>
      <w:r>
        <w:rPr>
          <w:rFonts w:eastAsia="Times New Roman" w:cs="Times New Roman"/>
          <w:color w:val="000000"/>
        </w:rPr>
        <w:t>Consequently,</w:t>
      </w:r>
      <w:r w:rsidRPr="000F2147">
        <w:rPr>
          <w:rFonts w:eastAsia="Times New Roman" w:cs="Times New Roman"/>
          <w:color w:val="000000"/>
        </w:rPr>
        <w:t xml:space="preserve"> </w:t>
      </w:r>
      <w:r>
        <w:rPr>
          <w:rFonts w:eastAsia="Times New Roman" w:cs="Times New Roman"/>
          <w:color w:val="000000"/>
        </w:rPr>
        <w:t xml:space="preserve">these </w:t>
      </w:r>
      <w:r>
        <w:rPr>
          <w:rFonts w:eastAsia="Times New Roman" w:cs="Times New Roman"/>
          <w:color w:val="000000"/>
        </w:rPr>
        <w:lastRenderedPageBreak/>
        <w:t xml:space="preserve">environmental </w:t>
      </w:r>
      <w:r w:rsidRPr="000F2147">
        <w:rPr>
          <w:rFonts w:eastAsia="Times New Roman" w:cs="Times New Roman"/>
          <w:color w:val="000000"/>
        </w:rPr>
        <w:t xml:space="preserve">departments do not have legal information </w:t>
      </w:r>
      <w:r>
        <w:rPr>
          <w:rFonts w:eastAsia="Times New Roman" w:cs="Times New Roman"/>
          <w:color w:val="000000"/>
        </w:rPr>
        <w:t>regarding</w:t>
      </w:r>
      <w:r w:rsidRPr="000F2147">
        <w:rPr>
          <w:rFonts w:eastAsia="Times New Roman" w:cs="Times New Roman"/>
          <w:color w:val="000000"/>
        </w:rPr>
        <w:t xml:space="preserve"> past </w:t>
      </w:r>
      <w:r>
        <w:rPr>
          <w:rFonts w:eastAsia="Times New Roman" w:cs="Times New Roman"/>
          <w:color w:val="000000"/>
        </w:rPr>
        <w:t xml:space="preserve">actions, such as </w:t>
      </w:r>
      <w:r w:rsidRPr="000F2147">
        <w:rPr>
          <w:rFonts w:eastAsia="Times New Roman" w:cs="Times New Roman"/>
          <w:color w:val="000000"/>
        </w:rPr>
        <w:t xml:space="preserve">decisions of ecological </w:t>
      </w:r>
      <w:r w:rsidRPr="000F2147">
        <w:rPr>
          <w:rFonts w:eastAsia="Times New Roman" w:cs="Times New Roman"/>
          <w:iCs/>
          <w:color w:val="000000"/>
        </w:rPr>
        <w:t>expertise</w:t>
      </w:r>
      <w:r w:rsidRPr="000F2147">
        <w:rPr>
          <w:rFonts w:eastAsia="Times New Roman" w:cs="Times New Roman"/>
          <w:color w:val="000000"/>
        </w:rPr>
        <w:t>, records of past performance</w:t>
      </w:r>
      <w:r>
        <w:rPr>
          <w:rFonts w:eastAsia="Times New Roman" w:cs="Times New Roman"/>
          <w:color w:val="000000"/>
        </w:rPr>
        <w:t>,</w:t>
      </w:r>
      <w:r w:rsidRPr="000F2147">
        <w:rPr>
          <w:rFonts w:eastAsia="Times New Roman" w:cs="Times New Roman"/>
          <w:color w:val="000000"/>
        </w:rPr>
        <w:t xml:space="preserve"> and violations of environmental regulations</w:t>
      </w:r>
      <w:r>
        <w:rPr>
          <w:rFonts w:eastAsia="Times New Roman" w:cs="Times New Roman"/>
          <w:color w:val="000000"/>
        </w:rPr>
        <w:t>.</w:t>
      </w:r>
    </w:p>
    <w:p w14:paraId="48394EC6" w14:textId="77777777" w:rsidR="00AC5C4D" w:rsidRPr="000F2147" w:rsidRDefault="00AC5C4D" w:rsidP="00AC5C4D">
      <w:pPr>
        <w:spacing w:line="23" w:lineRule="atLeast"/>
        <w:rPr>
          <w:rFonts w:eastAsia="Times New Roman" w:cs="Times New Roman"/>
          <w:color w:val="000000"/>
        </w:rPr>
      </w:pPr>
      <w:r w:rsidRPr="000F2147">
        <w:rPr>
          <w:rFonts w:eastAsia="Times New Roman" w:cs="Times New Roman"/>
          <w:color w:val="000000"/>
        </w:rPr>
        <w:t xml:space="preserve"> </w:t>
      </w:r>
    </w:p>
    <w:p w14:paraId="598FED27" w14:textId="361D174C" w:rsidR="00AC5C4D" w:rsidRPr="000F2147" w:rsidRDefault="00AC5C4D" w:rsidP="00B76BDA">
      <w:pPr>
        <w:pStyle w:val="ListParagraph"/>
        <w:numPr>
          <w:ilvl w:val="0"/>
          <w:numId w:val="67"/>
        </w:numPr>
        <w:tabs>
          <w:tab w:val="left" w:pos="360"/>
        </w:tabs>
        <w:spacing w:line="23" w:lineRule="atLeast"/>
        <w:ind w:left="0" w:firstLine="0"/>
        <w:rPr>
          <w:rFonts w:eastAsia="Times New Roman" w:cs="Times New Roman"/>
          <w:color w:val="000000"/>
        </w:rPr>
      </w:pPr>
      <w:r w:rsidRPr="000F2147">
        <w:rPr>
          <w:rFonts w:eastAsia="Times New Roman" w:cs="Times New Roman"/>
          <w:color w:val="000000"/>
        </w:rPr>
        <w:t>At present, each oblast has several agencies with responsibilities for natur</w:t>
      </w:r>
      <w:r>
        <w:rPr>
          <w:rFonts w:eastAsia="Times New Roman" w:cs="Times New Roman"/>
          <w:color w:val="000000"/>
        </w:rPr>
        <w:t>al</w:t>
      </w:r>
      <w:r w:rsidRPr="000F2147">
        <w:rPr>
          <w:rFonts w:eastAsia="Times New Roman" w:cs="Times New Roman"/>
          <w:color w:val="000000"/>
        </w:rPr>
        <w:t xml:space="preserve"> resources, permitting, control</w:t>
      </w:r>
      <w:r>
        <w:rPr>
          <w:rFonts w:eastAsia="Times New Roman" w:cs="Times New Roman"/>
          <w:color w:val="000000"/>
        </w:rPr>
        <w:t>,</w:t>
      </w:r>
      <w:r w:rsidRPr="000F2147">
        <w:rPr>
          <w:rFonts w:eastAsia="Times New Roman" w:cs="Times New Roman"/>
          <w:color w:val="000000"/>
        </w:rPr>
        <w:t xml:space="preserve"> and enforcement</w:t>
      </w:r>
      <w:r w:rsidR="00313B84">
        <w:rPr>
          <w:rFonts w:eastAsia="Times New Roman" w:cs="Times New Roman"/>
          <w:color w:val="000000"/>
        </w:rPr>
        <w:t xml:space="preserve"> – and th</w:t>
      </w:r>
      <w:r w:rsidRPr="000F2147">
        <w:rPr>
          <w:rFonts w:eastAsia="Times New Roman" w:cs="Times New Roman"/>
          <w:color w:val="000000"/>
        </w:rPr>
        <w:t xml:space="preserve">ere is no procedure </w:t>
      </w:r>
      <w:r w:rsidR="00313B84">
        <w:rPr>
          <w:rFonts w:eastAsia="Times New Roman" w:cs="Times New Roman"/>
          <w:color w:val="000000"/>
        </w:rPr>
        <w:t>outlining the</w:t>
      </w:r>
      <w:r w:rsidRPr="000F2147">
        <w:rPr>
          <w:rFonts w:eastAsia="Times New Roman" w:cs="Times New Roman"/>
          <w:color w:val="000000"/>
        </w:rPr>
        <w:t xml:space="preserve"> coordination </w:t>
      </w:r>
      <w:r w:rsidR="00313B84">
        <w:rPr>
          <w:rFonts w:eastAsia="Times New Roman" w:cs="Times New Roman"/>
          <w:color w:val="000000"/>
        </w:rPr>
        <w:t xml:space="preserve">mechanism </w:t>
      </w:r>
      <w:r w:rsidRPr="000F2147">
        <w:rPr>
          <w:rFonts w:eastAsia="Times New Roman" w:cs="Times New Roman"/>
          <w:color w:val="000000"/>
        </w:rPr>
        <w:t xml:space="preserve">among them. </w:t>
      </w:r>
      <w:r>
        <w:rPr>
          <w:rFonts w:eastAsia="Times New Roman" w:cs="Times New Roman"/>
          <w:color w:val="000000"/>
        </w:rPr>
        <w:t>Consequently</w:t>
      </w:r>
      <w:r w:rsidRPr="000F2147">
        <w:rPr>
          <w:rFonts w:eastAsia="Times New Roman" w:cs="Times New Roman"/>
          <w:color w:val="000000"/>
        </w:rPr>
        <w:t>, the system of environmental management at the sub-national level requires considerable effort to develop and organize, because legislative acts are not consistent</w:t>
      </w:r>
      <w:r>
        <w:rPr>
          <w:rFonts w:eastAsia="Times New Roman" w:cs="Times New Roman"/>
          <w:color w:val="000000"/>
        </w:rPr>
        <w:t>;</w:t>
      </w:r>
      <w:r w:rsidRPr="000F2147">
        <w:rPr>
          <w:rFonts w:eastAsia="Times New Roman" w:cs="Times New Roman"/>
          <w:color w:val="000000"/>
        </w:rPr>
        <w:t xml:space="preserve"> regulatory acts are often missing</w:t>
      </w:r>
      <w:r>
        <w:rPr>
          <w:rFonts w:eastAsia="Times New Roman" w:cs="Times New Roman"/>
          <w:color w:val="000000"/>
        </w:rPr>
        <w:t>;</w:t>
      </w:r>
      <w:r w:rsidRPr="000F2147">
        <w:rPr>
          <w:rFonts w:eastAsia="Times New Roman" w:cs="Times New Roman"/>
          <w:color w:val="000000"/>
        </w:rPr>
        <w:t xml:space="preserve"> </w:t>
      </w:r>
      <w:r>
        <w:rPr>
          <w:rFonts w:eastAsia="Times New Roman" w:cs="Times New Roman"/>
          <w:color w:val="000000"/>
        </w:rPr>
        <w:t xml:space="preserve">and the </w:t>
      </w:r>
      <w:r w:rsidRPr="000F2147">
        <w:rPr>
          <w:rFonts w:eastAsia="Times New Roman" w:cs="Times New Roman"/>
          <w:color w:val="000000"/>
        </w:rPr>
        <w:t>functions of various agencies are not clearly defined</w:t>
      </w:r>
      <w:r>
        <w:rPr>
          <w:rFonts w:eastAsia="Times New Roman" w:cs="Times New Roman"/>
          <w:color w:val="000000"/>
        </w:rPr>
        <w:t>,</w:t>
      </w:r>
      <w:r w:rsidRPr="000F2147">
        <w:rPr>
          <w:rFonts w:eastAsia="Times New Roman" w:cs="Times New Roman"/>
          <w:color w:val="000000"/>
        </w:rPr>
        <w:t xml:space="preserve"> which results in gaps for some functions on one hand, and overlap with the central level functions on the other</w:t>
      </w:r>
      <w:r>
        <w:rPr>
          <w:rFonts w:eastAsia="Times New Roman" w:cs="Times New Roman"/>
          <w:color w:val="000000"/>
        </w:rPr>
        <w:t xml:space="preserve"> hand</w:t>
      </w:r>
      <w:r w:rsidRPr="000F2147">
        <w:rPr>
          <w:rFonts w:eastAsia="Times New Roman" w:cs="Times New Roman"/>
          <w:color w:val="000000"/>
        </w:rPr>
        <w:t xml:space="preserve">. </w:t>
      </w:r>
    </w:p>
    <w:p w14:paraId="0189C83D" w14:textId="77777777" w:rsidR="00AC5C4D" w:rsidRDefault="00AC5C4D" w:rsidP="00AC5C4D">
      <w:pPr>
        <w:spacing w:line="23" w:lineRule="atLeast"/>
      </w:pPr>
    </w:p>
    <w:p w14:paraId="1DD38230" w14:textId="3F803B30" w:rsidR="00AC5C4D" w:rsidRDefault="00AC5C4D">
      <w:pPr>
        <w:spacing w:line="23" w:lineRule="atLeast"/>
        <w:rPr>
          <w:i/>
          <w:iCs/>
        </w:rPr>
      </w:pPr>
      <w:r w:rsidRPr="003D5E65">
        <w:rPr>
          <w:i/>
          <w:iCs/>
        </w:rPr>
        <w:t xml:space="preserve">Expand and strengthen the implementation of a portfolio of environmental policy instruments, with emphasis on economic instruments and mechanisms to foster </w:t>
      </w:r>
      <w:r w:rsidR="00700808" w:rsidRPr="003D5E65">
        <w:rPr>
          <w:i/>
          <w:iCs/>
        </w:rPr>
        <w:t>good environmental practice in line with EU requirements</w:t>
      </w:r>
      <w:r w:rsidRPr="003D5E65">
        <w:rPr>
          <w:i/>
          <w:iCs/>
        </w:rPr>
        <w:t>.</w:t>
      </w:r>
    </w:p>
    <w:p w14:paraId="0CC6F34D" w14:textId="4BDEACD4" w:rsidR="00865E47" w:rsidRDefault="00865E47" w:rsidP="00B76BDA">
      <w:pPr>
        <w:pStyle w:val="ListParagraph"/>
        <w:tabs>
          <w:tab w:val="left" w:pos="360"/>
        </w:tabs>
        <w:spacing w:line="23" w:lineRule="atLeast"/>
        <w:ind w:left="0"/>
      </w:pPr>
    </w:p>
    <w:p w14:paraId="751636A3" w14:textId="77777777" w:rsidR="00AC5C4D" w:rsidRPr="00BF22AE" w:rsidRDefault="00AC5C4D" w:rsidP="00772403">
      <w:pPr>
        <w:pStyle w:val="ListParagraph"/>
        <w:numPr>
          <w:ilvl w:val="0"/>
          <w:numId w:val="67"/>
        </w:numPr>
        <w:tabs>
          <w:tab w:val="left" w:pos="360"/>
        </w:tabs>
        <w:spacing w:line="23" w:lineRule="atLeast"/>
        <w:ind w:left="0" w:firstLine="0"/>
      </w:pPr>
      <w:r>
        <w:t xml:space="preserve">Ukraine’s legislation provides for the use of a wide spectrum of direct and indirect environmental policy </w:t>
      </w:r>
      <w:r w:rsidRPr="00772403">
        <w:rPr>
          <w:rFonts w:eastAsia="Times New Roman" w:cs="Times New Roman"/>
          <w:color w:val="000000"/>
        </w:rPr>
        <w:t>instruments</w:t>
      </w:r>
      <w:r>
        <w:t xml:space="preserve">. However, implementation requires strengthening to ensure that they are in line with international good practices: </w:t>
      </w:r>
    </w:p>
    <w:p w14:paraId="703AF4DC" w14:textId="77777777" w:rsidR="00FA6D98" w:rsidRDefault="00FA6D98" w:rsidP="00FA6D98">
      <w:pPr>
        <w:spacing w:line="23" w:lineRule="atLeast"/>
        <w:rPr>
          <w:rFonts w:eastAsia="Times New Roman" w:cs="Times New Roman"/>
          <w:b/>
          <w:color w:val="000000"/>
        </w:rPr>
      </w:pPr>
    </w:p>
    <w:p w14:paraId="20D0A09F" w14:textId="7E2A1AAE" w:rsidR="00AC5C4D" w:rsidRPr="00B76BDA" w:rsidRDefault="00AC5C4D" w:rsidP="00B76BDA">
      <w:pPr>
        <w:pStyle w:val="ListParagraph"/>
        <w:numPr>
          <w:ilvl w:val="0"/>
          <w:numId w:val="67"/>
        </w:numPr>
        <w:tabs>
          <w:tab w:val="left" w:pos="360"/>
        </w:tabs>
        <w:spacing w:line="23" w:lineRule="atLeast"/>
        <w:ind w:left="0" w:firstLine="0"/>
        <w:rPr>
          <w:rFonts w:eastAsia="Times New Roman" w:cs="Times New Roman"/>
          <w:bCs/>
          <w:color w:val="000000"/>
        </w:rPr>
      </w:pPr>
      <w:r w:rsidRPr="003D5E65">
        <w:rPr>
          <w:rFonts w:eastAsia="Times New Roman" w:cs="Times New Roman"/>
          <w:b/>
          <w:color w:val="000000"/>
        </w:rPr>
        <w:t>Environmental Regulations and Standards</w:t>
      </w:r>
      <w:r w:rsidRPr="00B76BDA">
        <w:rPr>
          <w:rFonts w:eastAsia="Times New Roman" w:cs="Times New Roman"/>
          <w:bCs/>
          <w:color w:val="000000"/>
        </w:rPr>
        <w:t xml:space="preserve"> are based mainly on the use of maximum allowable concentrations. Only recently, Ukraine started introducing changes for implementation and </w:t>
      </w:r>
      <w:r w:rsidRPr="003D5E65">
        <w:rPr>
          <w:rFonts w:eastAsia="Times New Roman" w:cs="Times New Roman"/>
          <w:color w:val="000000"/>
        </w:rPr>
        <w:t>adoption</w:t>
      </w:r>
      <w:r w:rsidRPr="00B76BDA">
        <w:rPr>
          <w:rFonts w:eastAsia="Times New Roman" w:cs="Times New Roman"/>
          <w:bCs/>
          <w:color w:val="000000"/>
        </w:rPr>
        <w:t xml:space="preserve"> of the EU </w:t>
      </w:r>
      <w:r w:rsidR="003D5E65" w:rsidRPr="003D5E65">
        <w:rPr>
          <w:rFonts w:eastAsia="Times New Roman" w:cs="Times New Roman"/>
          <w:bCs/>
          <w:color w:val="000000"/>
        </w:rPr>
        <w:t xml:space="preserve">Integrated Pollution Prevention and Control </w:t>
      </w:r>
      <w:r w:rsidRPr="00B76BDA">
        <w:rPr>
          <w:rFonts w:eastAsia="Times New Roman" w:cs="Times New Roman"/>
          <w:bCs/>
          <w:color w:val="000000"/>
        </w:rPr>
        <w:t xml:space="preserve">Directive and use of the principle of </w:t>
      </w:r>
      <w:r w:rsidR="003D5E65">
        <w:rPr>
          <w:rFonts w:eastAsia="Times New Roman" w:cs="Times New Roman"/>
          <w:bCs/>
          <w:color w:val="000000"/>
        </w:rPr>
        <w:t>b</w:t>
      </w:r>
      <w:r w:rsidR="003D5E65" w:rsidRPr="00B76BDA">
        <w:rPr>
          <w:rFonts w:eastAsia="Times New Roman" w:cs="Times New Roman"/>
          <w:bCs/>
          <w:color w:val="000000"/>
        </w:rPr>
        <w:t xml:space="preserve">est </w:t>
      </w:r>
      <w:r w:rsidR="003D5E65">
        <w:rPr>
          <w:rFonts w:eastAsia="Times New Roman" w:cs="Times New Roman"/>
          <w:bCs/>
          <w:color w:val="000000"/>
        </w:rPr>
        <w:t>a</w:t>
      </w:r>
      <w:r w:rsidR="003D5E65" w:rsidRPr="00B76BDA">
        <w:rPr>
          <w:rFonts w:eastAsia="Times New Roman" w:cs="Times New Roman"/>
          <w:bCs/>
          <w:color w:val="000000"/>
        </w:rPr>
        <w:t xml:space="preserve">vailable </w:t>
      </w:r>
      <w:r w:rsidR="003D5E65">
        <w:rPr>
          <w:rFonts w:eastAsia="Times New Roman" w:cs="Times New Roman"/>
          <w:bCs/>
          <w:color w:val="000000"/>
        </w:rPr>
        <w:t>t</w:t>
      </w:r>
      <w:r w:rsidR="003D5E65" w:rsidRPr="00B76BDA">
        <w:rPr>
          <w:rFonts w:eastAsia="Times New Roman" w:cs="Times New Roman"/>
          <w:bCs/>
          <w:color w:val="000000"/>
        </w:rPr>
        <w:t>echniques</w:t>
      </w:r>
      <w:r w:rsidRPr="00B76BDA">
        <w:rPr>
          <w:rFonts w:eastAsia="Times New Roman" w:cs="Times New Roman"/>
          <w:bCs/>
          <w:color w:val="000000"/>
        </w:rPr>
        <w:t>.</w:t>
      </w:r>
    </w:p>
    <w:p w14:paraId="7EAEC19C" w14:textId="77777777" w:rsidR="00FA6D98" w:rsidRDefault="00FA6D98" w:rsidP="00FA6D98">
      <w:pPr>
        <w:spacing w:line="23" w:lineRule="atLeast"/>
        <w:rPr>
          <w:rFonts w:eastAsia="Times New Roman" w:cs="Times New Roman"/>
          <w:b/>
          <w:bCs/>
          <w:color w:val="000000"/>
        </w:rPr>
      </w:pPr>
    </w:p>
    <w:p w14:paraId="11467350" w14:textId="511E9149" w:rsidR="00AC5C4D" w:rsidRPr="00FA6D98" w:rsidRDefault="00AC5C4D" w:rsidP="00B76BDA">
      <w:pPr>
        <w:pStyle w:val="ListParagraph"/>
        <w:numPr>
          <w:ilvl w:val="0"/>
          <w:numId w:val="67"/>
        </w:numPr>
        <w:tabs>
          <w:tab w:val="left" w:pos="360"/>
        </w:tabs>
        <w:spacing w:line="23" w:lineRule="atLeast"/>
        <w:ind w:left="0" w:firstLine="0"/>
        <w:rPr>
          <w:rFonts w:eastAsia="Times New Roman" w:cs="Times New Roman"/>
          <w:color w:val="000000"/>
        </w:rPr>
      </w:pPr>
      <w:r w:rsidRPr="00FA6D98">
        <w:rPr>
          <w:rFonts w:eastAsia="Times New Roman" w:cs="Times New Roman"/>
          <w:b/>
          <w:bCs/>
          <w:color w:val="000000"/>
        </w:rPr>
        <w:t xml:space="preserve">Environmental and Compliance Monitoring and enforcement: </w:t>
      </w:r>
      <w:r w:rsidRPr="00FA6D98">
        <w:rPr>
          <w:rFonts w:eastAsia="Times New Roman" w:cs="Times New Roman"/>
          <w:bCs/>
          <w:color w:val="000000"/>
        </w:rPr>
        <w:t xml:space="preserve">A number of government agencies have responsibilities for environmental monitoring, but the efficiency of their work is undermined by outdated equipment, lack of qualified personnel, and insufficient funding. </w:t>
      </w:r>
      <w:r w:rsidRPr="00FA6D98">
        <w:rPr>
          <w:rFonts w:eastAsia="Times New Roman" w:cs="Times New Roman"/>
          <w:color w:val="000000"/>
        </w:rPr>
        <w:t xml:space="preserve">There is need to clearly divide responsibilities between the state bodies at the national and regional levels. The OSA environmental departments lost some of the functions that regional MENR departments had. Cooperation between departments of OSA and oblast branches of State Ecological </w:t>
      </w:r>
      <w:r w:rsidR="003D5E65">
        <w:rPr>
          <w:rFonts w:eastAsia="Times New Roman" w:cs="Times New Roman"/>
          <w:color w:val="000000"/>
        </w:rPr>
        <w:t>Inspectorate</w:t>
      </w:r>
      <w:r w:rsidR="003D5E65" w:rsidRPr="00FA6D98">
        <w:rPr>
          <w:rFonts w:eastAsia="Times New Roman" w:cs="Times New Roman"/>
          <w:color w:val="000000"/>
        </w:rPr>
        <w:t xml:space="preserve"> </w:t>
      </w:r>
      <w:r w:rsidRPr="00FA6D98">
        <w:rPr>
          <w:rFonts w:eastAsia="Times New Roman" w:cs="Times New Roman"/>
          <w:color w:val="000000"/>
        </w:rPr>
        <w:t xml:space="preserve">is weak. Moreover, in August 2014, the CMU imposed a moratorium (with certain exceptions) on inspections of the enterprises and organizations by the State Ecological </w:t>
      </w:r>
      <w:r w:rsidR="00A80CE6">
        <w:rPr>
          <w:rFonts w:eastAsia="Times New Roman" w:cs="Times New Roman"/>
          <w:color w:val="000000"/>
        </w:rPr>
        <w:t>Inspectorate</w:t>
      </w:r>
      <w:r w:rsidRPr="00FA6D98">
        <w:rPr>
          <w:rFonts w:eastAsia="Times New Roman" w:cs="Times New Roman"/>
          <w:color w:val="000000"/>
        </w:rPr>
        <w:t xml:space="preserve">. </w:t>
      </w:r>
    </w:p>
    <w:p w14:paraId="56C27E6E" w14:textId="77777777" w:rsidR="00FA6D98" w:rsidRDefault="00FA6D98" w:rsidP="00FA6D98">
      <w:pPr>
        <w:spacing w:line="23" w:lineRule="atLeast"/>
        <w:rPr>
          <w:rFonts w:eastAsia="Times New Roman" w:cs="Times New Roman"/>
          <w:b/>
          <w:bCs/>
          <w:color w:val="000000"/>
        </w:rPr>
      </w:pPr>
    </w:p>
    <w:p w14:paraId="7E792EE7" w14:textId="0EAC36BF" w:rsidR="00AC5C4D" w:rsidRPr="00FA6D98" w:rsidRDefault="00AC5C4D" w:rsidP="00893B23">
      <w:pPr>
        <w:pStyle w:val="ListParagraph"/>
        <w:numPr>
          <w:ilvl w:val="0"/>
          <w:numId w:val="67"/>
        </w:numPr>
        <w:tabs>
          <w:tab w:val="left" w:pos="360"/>
        </w:tabs>
        <w:spacing w:line="23" w:lineRule="atLeast"/>
        <w:ind w:left="0" w:firstLine="0"/>
        <w:rPr>
          <w:rFonts w:eastAsia="Times New Roman" w:cs="Times New Roman"/>
          <w:color w:val="000000"/>
        </w:rPr>
      </w:pPr>
      <w:r w:rsidRPr="00FA6D98">
        <w:rPr>
          <w:rFonts w:eastAsia="Times New Roman" w:cs="Times New Roman"/>
          <w:b/>
          <w:bCs/>
          <w:color w:val="000000"/>
        </w:rPr>
        <w:t xml:space="preserve">Environmental Licensing: </w:t>
      </w:r>
      <w:r w:rsidRPr="00FA6D98">
        <w:rPr>
          <w:rFonts w:eastAsia="Times New Roman" w:cs="Times New Roman"/>
          <w:color w:val="000000"/>
        </w:rPr>
        <w:t xml:space="preserve">The environmental licensing system is broad, and it is characterized by a large number of permits. By the Law of 2012 (mentioned above), responsibilities for environmental </w:t>
      </w:r>
      <w:r w:rsidR="00893B23">
        <w:rPr>
          <w:rFonts w:eastAsia="Times New Roman" w:cs="Times New Roman"/>
          <w:color w:val="000000"/>
        </w:rPr>
        <w:t>permits</w:t>
      </w:r>
      <w:r w:rsidR="00893B23" w:rsidRPr="00FA6D98">
        <w:rPr>
          <w:rFonts w:eastAsia="Times New Roman" w:cs="Times New Roman"/>
          <w:color w:val="000000"/>
        </w:rPr>
        <w:t xml:space="preserve"> </w:t>
      </w:r>
      <w:r w:rsidRPr="00FA6D98">
        <w:rPr>
          <w:rFonts w:eastAsia="Times New Roman" w:cs="Times New Roman"/>
          <w:color w:val="000000"/>
        </w:rPr>
        <w:t xml:space="preserve">were divided between the central government and OSA environment departments. Most functions stayed with the central agency, which also reserves the right to revoke any permit approved by regional authorities. </w:t>
      </w:r>
    </w:p>
    <w:p w14:paraId="0A09582C" w14:textId="77777777" w:rsidR="00FA6D98" w:rsidRDefault="00FA6D98" w:rsidP="00FA6D98">
      <w:pPr>
        <w:spacing w:line="23" w:lineRule="atLeast"/>
        <w:rPr>
          <w:rFonts w:eastAsia="Times New Roman" w:cs="Times New Roman"/>
          <w:b/>
          <w:bCs/>
          <w:color w:val="000000"/>
        </w:rPr>
      </w:pPr>
    </w:p>
    <w:p w14:paraId="23883407" w14:textId="77777777" w:rsidR="00AC5C4D" w:rsidRPr="00FA6D98" w:rsidRDefault="00AC5C4D" w:rsidP="00772403">
      <w:pPr>
        <w:pStyle w:val="ListParagraph"/>
        <w:numPr>
          <w:ilvl w:val="0"/>
          <w:numId w:val="67"/>
        </w:numPr>
        <w:tabs>
          <w:tab w:val="left" w:pos="360"/>
        </w:tabs>
        <w:spacing w:line="23" w:lineRule="atLeast"/>
        <w:ind w:left="0" w:firstLine="0"/>
        <w:rPr>
          <w:rFonts w:eastAsia="Times New Roman" w:cs="Times New Roman"/>
          <w:color w:val="000000"/>
        </w:rPr>
      </w:pPr>
      <w:r w:rsidRPr="00FA6D98">
        <w:rPr>
          <w:rFonts w:eastAsia="Times New Roman" w:cs="Times New Roman"/>
          <w:b/>
          <w:bCs/>
          <w:color w:val="000000"/>
        </w:rPr>
        <w:t>Environmental Impact Assessment</w:t>
      </w:r>
      <w:r w:rsidRPr="00FA6D98">
        <w:rPr>
          <w:rFonts w:eastAsia="Times New Roman" w:cs="Times New Roman"/>
          <w:color w:val="000000"/>
        </w:rPr>
        <w:t>: The EIA process is highly technical, and consultation and disclosure are limited. In addition to MENR, t</w:t>
      </w:r>
      <w:r>
        <w:t xml:space="preserve">he Ministry of Regional Development and Construction plays an </w:t>
      </w:r>
      <w:r w:rsidRPr="00772403">
        <w:rPr>
          <w:rFonts w:eastAsia="Times New Roman" w:cs="Times New Roman"/>
          <w:color w:val="000000"/>
        </w:rPr>
        <w:t>important</w:t>
      </w:r>
      <w:r>
        <w:t xml:space="preserve"> role in regulating requirements to EIA, as well as in reviewing EIA documentation. </w:t>
      </w:r>
      <w:r w:rsidRPr="00FA6D98">
        <w:rPr>
          <w:rFonts w:eastAsia="Times New Roman" w:cs="Times New Roman"/>
          <w:color w:val="000000"/>
        </w:rPr>
        <w:t xml:space="preserve">The MENR prepared a draft EIA law in response to the adaptation of Ukraine’s legislation to EU norms, although this EIA law has not yet been adopted. </w:t>
      </w:r>
    </w:p>
    <w:p w14:paraId="3B40B22E" w14:textId="77777777" w:rsidR="00FA6D98" w:rsidRDefault="00FA6D98" w:rsidP="00FA6D98">
      <w:pPr>
        <w:spacing w:line="23" w:lineRule="atLeast"/>
        <w:rPr>
          <w:rFonts w:eastAsia="Times New Roman" w:cs="Times New Roman"/>
          <w:b/>
          <w:bCs/>
          <w:color w:val="000000"/>
        </w:rPr>
      </w:pPr>
    </w:p>
    <w:p w14:paraId="3C006D0C" w14:textId="77777777" w:rsidR="00AC5C4D" w:rsidRPr="00FA6D98" w:rsidRDefault="00AC5C4D" w:rsidP="00772403">
      <w:pPr>
        <w:pStyle w:val="ListParagraph"/>
        <w:numPr>
          <w:ilvl w:val="0"/>
          <w:numId w:val="67"/>
        </w:numPr>
        <w:tabs>
          <w:tab w:val="left" w:pos="360"/>
        </w:tabs>
        <w:spacing w:line="23" w:lineRule="atLeast"/>
        <w:ind w:left="0" w:firstLine="0"/>
        <w:rPr>
          <w:rFonts w:eastAsia="Times New Roman" w:cs="Times New Roman"/>
          <w:color w:val="000000"/>
        </w:rPr>
      </w:pPr>
      <w:r w:rsidRPr="00FA6D98">
        <w:rPr>
          <w:rFonts w:eastAsia="Times New Roman" w:cs="Times New Roman"/>
          <w:b/>
          <w:bCs/>
          <w:color w:val="000000"/>
        </w:rPr>
        <w:t>Strategic Environmental Assessment:</w:t>
      </w:r>
      <w:r w:rsidRPr="00FA6D98">
        <w:rPr>
          <w:rFonts w:eastAsia="Times New Roman" w:cs="Times New Roman"/>
          <w:color w:val="000000"/>
        </w:rPr>
        <w:t xml:space="preserve"> At present, no dedicated law or regulations govern SEA. A draft SEA law was prepared in line with the EU directives, but it remains in draft form.</w:t>
      </w:r>
    </w:p>
    <w:p w14:paraId="77643322" w14:textId="77777777" w:rsidR="00FA6D98" w:rsidRDefault="00FA6D98" w:rsidP="00FA6D98">
      <w:pPr>
        <w:spacing w:line="23" w:lineRule="atLeast"/>
        <w:rPr>
          <w:rFonts w:eastAsia="Times New Roman" w:cs="Times New Roman"/>
          <w:b/>
          <w:bCs/>
          <w:color w:val="000000"/>
        </w:rPr>
      </w:pPr>
    </w:p>
    <w:p w14:paraId="5A0A8E05" w14:textId="77777777" w:rsidR="00AC5C4D" w:rsidRPr="00FA6D98" w:rsidRDefault="00AC5C4D" w:rsidP="00772403">
      <w:pPr>
        <w:pStyle w:val="ListParagraph"/>
        <w:numPr>
          <w:ilvl w:val="0"/>
          <w:numId w:val="67"/>
        </w:numPr>
        <w:tabs>
          <w:tab w:val="left" w:pos="360"/>
        </w:tabs>
        <w:spacing w:line="23" w:lineRule="atLeast"/>
        <w:ind w:left="0" w:firstLine="0"/>
        <w:rPr>
          <w:rFonts w:eastAsia="Times New Roman" w:cs="Times New Roman"/>
          <w:color w:val="000000"/>
        </w:rPr>
      </w:pPr>
      <w:r w:rsidRPr="00FA6D98">
        <w:rPr>
          <w:rFonts w:eastAsia="Times New Roman" w:cs="Times New Roman"/>
          <w:b/>
          <w:bCs/>
          <w:color w:val="000000"/>
        </w:rPr>
        <w:t>Market-Based Instruments / Economic Instruments:</w:t>
      </w:r>
      <w:r w:rsidRPr="00FA6D98">
        <w:rPr>
          <w:rFonts w:eastAsia="Times New Roman" w:cs="Times New Roman"/>
          <w:color w:val="000000"/>
        </w:rPr>
        <w:t xml:space="preserve"> Market-based mechanisms/instruments are not well developed in Ukraine. Environmental economic instruments that are in use in Ukraine include emission charges, taxes for special use of natural resources, sanctions on environmental pollution, and excises and customs duties on environmentally harmful products. However, in many cases, emission charges and sanctions are low and do not stimulate the introduction of environmentally sound technologies.</w:t>
      </w:r>
    </w:p>
    <w:p w14:paraId="61F73A98" w14:textId="77777777" w:rsidR="00AC5C4D" w:rsidRDefault="00AC5C4D" w:rsidP="00AC5C4D">
      <w:pPr>
        <w:spacing w:line="23" w:lineRule="atLeast"/>
        <w:rPr>
          <w:rFonts w:eastAsia="Times New Roman" w:cs="Times New Roman"/>
          <w:b/>
          <w:bCs/>
          <w:color w:val="000000"/>
        </w:rPr>
      </w:pPr>
    </w:p>
    <w:p w14:paraId="648FBED2" w14:textId="77777777" w:rsidR="007E15C6" w:rsidRDefault="007E15C6" w:rsidP="007E15C6">
      <w:pPr>
        <w:spacing w:line="23" w:lineRule="atLeast"/>
        <w:rPr>
          <w:i/>
          <w:iCs/>
        </w:rPr>
      </w:pPr>
      <w:r w:rsidRPr="007E15C6">
        <w:rPr>
          <w:i/>
          <w:iCs/>
        </w:rPr>
        <w:t>Build demand for strengthened environmental management and governance through public access to information and public participation</w:t>
      </w:r>
      <w:r>
        <w:rPr>
          <w:i/>
          <w:iCs/>
        </w:rPr>
        <w:t>.</w:t>
      </w:r>
    </w:p>
    <w:p w14:paraId="799863D0" w14:textId="77777777" w:rsidR="007E15C6" w:rsidRDefault="007E15C6" w:rsidP="007E15C6">
      <w:pPr>
        <w:spacing w:line="23" w:lineRule="atLeast"/>
        <w:rPr>
          <w:i/>
          <w:iCs/>
        </w:rPr>
      </w:pPr>
    </w:p>
    <w:p w14:paraId="663A277C" w14:textId="72C21838" w:rsidR="007E15C6" w:rsidRPr="000F2147" w:rsidRDefault="007E15C6" w:rsidP="00341202">
      <w:pPr>
        <w:pStyle w:val="ListParagraph"/>
        <w:numPr>
          <w:ilvl w:val="0"/>
          <w:numId w:val="67"/>
        </w:numPr>
        <w:tabs>
          <w:tab w:val="left" w:pos="360"/>
        </w:tabs>
        <w:spacing w:line="23" w:lineRule="atLeast"/>
        <w:ind w:left="0" w:firstLine="0"/>
        <w:rPr>
          <w:rFonts w:eastAsia="Times New Roman" w:cs="Times New Roman"/>
          <w:color w:val="000000"/>
        </w:rPr>
      </w:pPr>
      <w:r w:rsidRPr="000F2147">
        <w:rPr>
          <w:rFonts w:eastAsia="Times New Roman" w:cs="Times New Roman"/>
          <w:color w:val="000000"/>
        </w:rPr>
        <w:t>Ukraine is party to the Aarhus Convention on Access to Information, Public Participation, and Access to Justice on Environmental Protection</w:t>
      </w:r>
      <w:r>
        <w:rPr>
          <w:rFonts w:eastAsia="Times New Roman" w:cs="Times New Roman"/>
          <w:color w:val="000000"/>
        </w:rPr>
        <w:t>.</w:t>
      </w:r>
      <w:r w:rsidRPr="000F2147">
        <w:rPr>
          <w:rFonts w:eastAsia="Times New Roman" w:cs="Times New Roman"/>
          <w:color w:val="000000"/>
        </w:rPr>
        <w:t xml:space="preserve"> The MENR publishes some information and the results of its work on its </w:t>
      </w:r>
      <w:r>
        <w:rPr>
          <w:rFonts w:eastAsia="Times New Roman" w:cs="Times New Roman"/>
          <w:color w:val="000000"/>
        </w:rPr>
        <w:t>W</w:t>
      </w:r>
      <w:r w:rsidRPr="000F2147">
        <w:rPr>
          <w:rFonts w:eastAsia="Times New Roman" w:cs="Times New Roman"/>
          <w:color w:val="000000"/>
        </w:rPr>
        <w:t>eb</w:t>
      </w:r>
      <w:r>
        <w:rPr>
          <w:rFonts w:eastAsia="Times New Roman" w:cs="Times New Roman"/>
          <w:color w:val="000000"/>
        </w:rPr>
        <w:t xml:space="preserve"> </w:t>
      </w:r>
      <w:r w:rsidRPr="000F2147">
        <w:rPr>
          <w:rFonts w:eastAsia="Times New Roman" w:cs="Times New Roman"/>
          <w:color w:val="000000"/>
        </w:rPr>
        <w:t xml:space="preserve">site, and so do environmental departments of OSA and other agencies. Agencies also share information they have upon request, but often they do not have </w:t>
      </w:r>
      <w:r>
        <w:rPr>
          <w:rFonts w:eastAsia="Times New Roman" w:cs="Times New Roman"/>
          <w:color w:val="000000"/>
        </w:rPr>
        <w:t xml:space="preserve">the </w:t>
      </w:r>
      <w:r w:rsidRPr="000F2147">
        <w:rPr>
          <w:rFonts w:eastAsia="Times New Roman" w:cs="Times New Roman"/>
          <w:color w:val="000000"/>
        </w:rPr>
        <w:t xml:space="preserve">requested information. </w:t>
      </w:r>
      <w:r w:rsidRPr="000F2147">
        <w:rPr>
          <w:rFonts w:eastAsia="Times New Roman" w:cs="Times New Roman"/>
          <w:bCs/>
          <w:color w:val="000000"/>
        </w:rPr>
        <w:t>Public participation</w:t>
      </w:r>
      <w:r w:rsidRPr="000F2147">
        <w:rPr>
          <w:rFonts w:eastAsia="Times New Roman" w:cs="Times New Roman"/>
          <w:color w:val="000000"/>
        </w:rPr>
        <w:t xml:space="preserve"> is effected through the </w:t>
      </w:r>
      <w:r w:rsidRPr="000F2147">
        <w:rPr>
          <w:rFonts w:eastAsia="Times New Roman" w:cs="Times New Roman"/>
          <w:bCs/>
          <w:color w:val="000000"/>
        </w:rPr>
        <w:t>MENR Public Council (</w:t>
      </w:r>
      <w:proofErr w:type="spellStart"/>
      <w:r w:rsidR="00361CAA">
        <w:rPr>
          <w:rFonts w:eastAsia="Times New Roman" w:cs="Times New Roman"/>
          <w:bCs/>
          <w:color w:val="000000"/>
        </w:rPr>
        <w:t>H</w:t>
      </w:r>
      <w:r w:rsidRPr="000F2147">
        <w:rPr>
          <w:rFonts w:eastAsia="Times New Roman" w:cs="Times New Roman"/>
          <w:bCs/>
          <w:color w:val="000000"/>
        </w:rPr>
        <w:t>romadska</w:t>
      </w:r>
      <w:proofErr w:type="spellEnd"/>
      <w:r w:rsidRPr="000F2147">
        <w:rPr>
          <w:rFonts w:eastAsia="Times New Roman" w:cs="Times New Roman"/>
          <w:bCs/>
          <w:color w:val="000000"/>
        </w:rPr>
        <w:t xml:space="preserve"> Rada)</w:t>
      </w:r>
      <w:r w:rsidRPr="000F2147">
        <w:rPr>
          <w:rFonts w:eastAsia="Times New Roman" w:cs="Times New Roman"/>
          <w:color w:val="000000"/>
        </w:rPr>
        <w:t xml:space="preserve">, which fulfills the functions of </w:t>
      </w:r>
      <w:r>
        <w:rPr>
          <w:rFonts w:eastAsia="Times New Roman" w:cs="Times New Roman"/>
          <w:color w:val="000000"/>
        </w:rPr>
        <w:t xml:space="preserve">consultation and of an </w:t>
      </w:r>
      <w:r w:rsidRPr="000F2147">
        <w:rPr>
          <w:rFonts w:eastAsia="Times New Roman" w:cs="Times New Roman"/>
          <w:color w:val="000000"/>
        </w:rPr>
        <w:t>advising body</w:t>
      </w:r>
      <w:r>
        <w:rPr>
          <w:rFonts w:eastAsia="Times New Roman" w:cs="Times New Roman"/>
          <w:color w:val="000000"/>
        </w:rPr>
        <w:t xml:space="preserve"> </w:t>
      </w:r>
      <w:r w:rsidRPr="000F2147">
        <w:rPr>
          <w:rFonts w:eastAsia="Times New Roman" w:cs="Times New Roman"/>
          <w:color w:val="000000"/>
        </w:rPr>
        <w:t xml:space="preserve">for the development of environmental policy. Similar </w:t>
      </w:r>
      <w:r>
        <w:rPr>
          <w:rFonts w:eastAsia="Times New Roman" w:cs="Times New Roman"/>
          <w:color w:val="000000"/>
        </w:rPr>
        <w:t>c</w:t>
      </w:r>
      <w:r w:rsidRPr="000F2147">
        <w:rPr>
          <w:rFonts w:eastAsia="Times New Roman" w:cs="Times New Roman"/>
          <w:color w:val="000000"/>
        </w:rPr>
        <w:t xml:space="preserve">ouncils exist as advisory bodies at </w:t>
      </w:r>
      <w:r>
        <w:rPr>
          <w:rFonts w:eastAsia="Times New Roman" w:cs="Times New Roman"/>
          <w:color w:val="000000"/>
        </w:rPr>
        <w:t>O</w:t>
      </w:r>
      <w:r w:rsidR="00BE4BFD">
        <w:rPr>
          <w:rFonts w:eastAsia="Times New Roman" w:cs="Times New Roman"/>
          <w:color w:val="000000"/>
        </w:rPr>
        <w:t>SA</w:t>
      </w:r>
      <w:r w:rsidRPr="000F2147">
        <w:rPr>
          <w:rFonts w:eastAsia="Times New Roman" w:cs="Times New Roman"/>
          <w:color w:val="000000"/>
        </w:rPr>
        <w:t>s.</w:t>
      </w:r>
      <w:r>
        <w:rPr>
          <w:rFonts w:eastAsia="Times New Roman" w:cs="Times New Roman"/>
          <w:color w:val="000000"/>
        </w:rPr>
        <w:t xml:space="preserve"> There is significant scope for enhancing public access to information and public participation by activating the public consultation and participation mechanisms of the different policy instruments and strengthening the environmental monitoring and data availability. </w:t>
      </w:r>
    </w:p>
    <w:p w14:paraId="6009A2E0" w14:textId="77777777" w:rsidR="00AC5C4D" w:rsidRDefault="00AC5C4D" w:rsidP="00AC5C4D">
      <w:pPr>
        <w:spacing w:line="23" w:lineRule="atLeast"/>
        <w:rPr>
          <w:rFonts w:eastAsia="Times New Roman" w:cs="Times New Roman"/>
          <w:b/>
          <w:bCs/>
          <w:color w:val="000000"/>
        </w:rPr>
      </w:pPr>
    </w:p>
    <w:p w14:paraId="6CBA5B9D" w14:textId="77777777" w:rsidR="00437685" w:rsidRPr="00B76BDA" w:rsidRDefault="00437685" w:rsidP="00772403">
      <w:pPr>
        <w:pStyle w:val="ListParagraph"/>
        <w:numPr>
          <w:ilvl w:val="0"/>
          <w:numId w:val="67"/>
        </w:numPr>
        <w:tabs>
          <w:tab w:val="left" w:pos="360"/>
        </w:tabs>
        <w:spacing w:line="23" w:lineRule="atLeast"/>
        <w:ind w:left="0" w:firstLine="0"/>
        <w:rPr>
          <w:rFonts w:eastAsia="Times New Roman" w:cs="Times New Roman"/>
          <w:color w:val="000000"/>
        </w:rPr>
      </w:pPr>
      <w:r w:rsidRPr="002B319F">
        <w:rPr>
          <w:rFonts w:eastAsia="Times New Roman" w:cs="Times New Roman"/>
          <w:color w:val="000000"/>
        </w:rPr>
        <w:t xml:space="preserve">NES–2020 foresaw the development and implementation by 2015 of incentives for enterprises to introduce clean technology production, various energy-efficient and environmental measures, corporate social responsibility, and environmental audit and certification to stimulate </w:t>
      </w:r>
      <w:r w:rsidRPr="00B76BDA">
        <w:rPr>
          <w:rFonts w:eastAsia="Times New Roman" w:cs="Times New Roman"/>
          <w:color w:val="000000"/>
        </w:rPr>
        <w:t xml:space="preserve">Private Sector Engagement in Environmental Management. </w:t>
      </w:r>
      <w:r w:rsidRPr="002B319F">
        <w:rPr>
          <w:rFonts w:eastAsia="Times New Roman" w:cs="Times New Roman"/>
          <w:color w:val="000000"/>
        </w:rPr>
        <w:t>However, assessment of the NES’s implementation demonstrated that this objective of the strategy was not achieved.</w:t>
      </w:r>
    </w:p>
    <w:p w14:paraId="445999FC" w14:textId="77777777" w:rsidR="00437685" w:rsidRDefault="00437685" w:rsidP="00AC5C4D">
      <w:pPr>
        <w:spacing w:line="23" w:lineRule="atLeast"/>
        <w:rPr>
          <w:rFonts w:eastAsia="Times New Roman" w:cs="Times New Roman"/>
          <w:b/>
          <w:bCs/>
          <w:color w:val="000000"/>
        </w:rPr>
      </w:pPr>
    </w:p>
    <w:p w14:paraId="3C752D71" w14:textId="42235643" w:rsidR="00437685" w:rsidRDefault="00AC5C4D" w:rsidP="00772403">
      <w:pPr>
        <w:pStyle w:val="ListParagraph"/>
        <w:numPr>
          <w:ilvl w:val="0"/>
          <w:numId w:val="67"/>
        </w:numPr>
        <w:tabs>
          <w:tab w:val="left" w:pos="360"/>
        </w:tabs>
        <w:spacing w:line="23" w:lineRule="atLeast"/>
        <w:ind w:left="0" w:firstLine="0"/>
        <w:rPr>
          <w:rFonts w:eastAsia="Times New Roman" w:cs="Times New Roman"/>
          <w:color w:val="000000"/>
        </w:rPr>
      </w:pPr>
      <w:r>
        <w:rPr>
          <w:rFonts w:eastAsia="Times New Roman" w:cs="Times New Roman"/>
          <w:b/>
          <w:bCs/>
          <w:color w:val="000000"/>
        </w:rPr>
        <w:t>Synergies for Strengthening Ukraine’s Environmental Institutions.</w:t>
      </w:r>
      <w:r w:rsidR="00FF4E30">
        <w:rPr>
          <w:rFonts w:eastAsia="Times New Roman" w:cs="Times New Roman"/>
          <w:b/>
          <w:bCs/>
          <w:color w:val="000000"/>
        </w:rPr>
        <w:t xml:space="preserve"> </w:t>
      </w:r>
      <w:r w:rsidR="00644F45">
        <w:rPr>
          <w:rFonts w:eastAsia="Times New Roman" w:cs="Times New Roman"/>
          <w:color w:val="000000"/>
        </w:rPr>
        <w:t>The ongoing decentralization reform and the EU–Ukraine Association Agreement create an opportunity and an impetus for the much-needed reform of the environmental management system in Ukraine.</w:t>
      </w:r>
      <w:r w:rsidR="00437685">
        <w:rPr>
          <w:rFonts w:eastAsia="Times New Roman" w:cs="Times New Roman"/>
          <w:color w:val="000000"/>
        </w:rPr>
        <w:t xml:space="preserve">  </w:t>
      </w:r>
      <w:r>
        <w:rPr>
          <w:rFonts w:eastAsia="Times New Roman" w:cs="Times New Roman"/>
          <w:bCs/>
          <w:iCs/>
          <w:color w:val="000000"/>
        </w:rPr>
        <w:t>Strengthened environmental institutions would help Ukraine to more efficiency and cost-effectively address the country’s environmental priorities; would contribute towards ensuring that Ukraine’s economic growth and development objectives</w:t>
      </w:r>
      <w:r w:rsidR="00700808">
        <w:rPr>
          <w:rFonts w:eastAsia="Times New Roman" w:cs="Times New Roman"/>
          <w:bCs/>
          <w:iCs/>
          <w:color w:val="000000"/>
        </w:rPr>
        <w:t xml:space="preserve"> are met in an environmentally sustainable manner</w:t>
      </w:r>
      <w:r>
        <w:rPr>
          <w:rFonts w:eastAsia="Times New Roman" w:cs="Times New Roman"/>
          <w:bCs/>
          <w:iCs/>
          <w:color w:val="000000"/>
        </w:rPr>
        <w:t xml:space="preserve">; and facilitate Ukraine’s ability to be in line with </w:t>
      </w:r>
      <w:r w:rsidRPr="00772403">
        <w:rPr>
          <w:rFonts w:eastAsia="Times New Roman" w:cs="Times New Roman"/>
          <w:color w:val="000000"/>
        </w:rPr>
        <w:t>international</w:t>
      </w:r>
      <w:r>
        <w:rPr>
          <w:rFonts w:eastAsia="Times New Roman" w:cs="Times New Roman"/>
          <w:bCs/>
          <w:iCs/>
          <w:color w:val="000000"/>
        </w:rPr>
        <w:t xml:space="preserve"> financing institutions’ requirements for environmental and social safeguards, thus improving the country's attractiveness for investments</w:t>
      </w:r>
      <w:r w:rsidR="00437685">
        <w:rPr>
          <w:rFonts w:eastAsia="Times New Roman" w:cs="Times New Roman"/>
          <w:bCs/>
          <w:iCs/>
          <w:color w:val="000000"/>
        </w:rPr>
        <w:t xml:space="preserve">. </w:t>
      </w:r>
      <w:r w:rsidR="00437685">
        <w:rPr>
          <w:rFonts w:eastAsia="Times New Roman" w:cs="Times New Roman"/>
          <w:color w:val="000000"/>
        </w:rPr>
        <w:t>Strengthened environmental management system will also contribute towards facilitating the implementation of the signed EU-Ukraine Association Agreement.</w:t>
      </w:r>
    </w:p>
    <w:p w14:paraId="765D1A2B" w14:textId="77777777" w:rsidR="00AC5C4D" w:rsidRDefault="00AC5C4D" w:rsidP="00AC5C4D">
      <w:pPr>
        <w:spacing w:line="23" w:lineRule="atLeast"/>
        <w:rPr>
          <w:rFonts w:eastAsia="Times New Roman" w:cs="Times New Roman"/>
          <w:color w:val="000000"/>
        </w:rPr>
      </w:pPr>
    </w:p>
    <w:p w14:paraId="6CC1E6D1" w14:textId="77777777" w:rsidR="00AC5C4D" w:rsidRDefault="00AC5C4D" w:rsidP="00772403">
      <w:pPr>
        <w:pStyle w:val="ListParagraph"/>
        <w:numPr>
          <w:ilvl w:val="0"/>
          <w:numId w:val="67"/>
        </w:numPr>
        <w:tabs>
          <w:tab w:val="left" w:pos="360"/>
        </w:tabs>
        <w:spacing w:line="23" w:lineRule="atLeast"/>
        <w:ind w:left="0" w:firstLine="0"/>
        <w:rPr>
          <w:rFonts w:eastAsia="Times New Roman" w:cs="Times New Roman"/>
          <w:color w:val="000000"/>
        </w:rPr>
      </w:pPr>
      <w:r>
        <w:rPr>
          <w:rFonts w:eastAsia="Times New Roman" w:cs="Times New Roman"/>
          <w:b/>
          <w:bCs/>
          <w:color w:val="000000"/>
        </w:rPr>
        <w:t xml:space="preserve">Key Policy Recommendations. </w:t>
      </w:r>
      <w:r>
        <w:rPr>
          <w:rFonts w:eastAsia="Times New Roman" w:cs="Times New Roman"/>
          <w:color w:val="000000"/>
        </w:rPr>
        <w:t xml:space="preserve">To start, it may be essential to prepare and implement a </w:t>
      </w:r>
      <w:r>
        <w:rPr>
          <w:rFonts w:eastAsia="Times New Roman" w:cs="Times New Roman"/>
          <w:b/>
          <w:bCs/>
          <w:i/>
          <w:iCs/>
          <w:color w:val="000000"/>
        </w:rPr>
        <w:t xml:space="preserve">Roadmap for Reform of Environmental Management in Ukraine </w:t>
      </w:r>
      <w:r>
        <w:rPr>
          <w:rFonts w:eastAsia="Times New Roman" w:cs="Times New Roman"/>
          <w:color w:val="000000"/>
        </w:rPr>
        <w:t>in the short to medium term (1–2 years)</w:t>
      </w:r>
      <w:r>
        <w:rPr>
          <w:rFonts w:eastAsia="Times New Roman" w:cs="Times New Roman"/>
          <w:i/>
          <w:iCs/>
          <w:color w:val="000000"/>
        </w:rPr>
        <w:t>.</w:t>
      </w:r>
      <w:r>
        <w:rPr>
          <w:rFonts w:eastAsia="Times New Roman" w:cs="Times New Roman"/>
          <w:b/>
          <w:bCs/>
          <w:i/>
          <w:iCs/>
          <w:color w:val="000000"/>
        </w:rPr>
        <w:t xml:space="preserve"> </w:t>
      </w:r>
      <w:r>
        <w:rPr>
          <w:rFonts w:eastAsia="Times New Roman" w:cs="Times New Roman"/>
          <w:bCs/>
          <w:iCs/>
          <w:color w:val="000000"/>
        </w:rPr>
        <w:t xml:space="preserve">To achieve this, the </w:t>
      </w:r>
      <w:r w:rsidRPr="00772403">
        <w:rPr>
          <w:rFonts w:eastAsia="Times New Roman" w:cs="Times New Roman"/>
          <w:color w:val="000000"/>
        </w:rPr>
        <w:t>following</w:t>
      </w:r>
      <w:r>
        <w:rPr>
          <w:rFonts w:eastAsia="Times New Roman" w:cs="Times New Roman"/>
          <w:bCs/>
          <w:iCs/>
          <w:color w:val="000000"/>
        </w:rPr>
        <w:t xml:space="preserve"> tasks should be completed:</w:t>
      </w:r>
      <w:r>
        <w:rPr>
          <w:rFonts w:eastAsia="Times New Roman" w:cs="Times New Roman"/>
          <w:color w:val="000000"/>
        </w:rPr>
        <w:t xml:space="preserve"> </w:t>
      </w:r>
    </w:p>
    <w:p w14:paraId="65C0E239" w14:textId="77777777" w:rsidR="00AC5C4D" w:rsidRDefault="00AC5C4D" w:rsidP="00AC5C4D">
      <w:pPr>
        <w:spacing w:line="23" w:lineRule="atLeast"/>
        <w:rPr>
          <w:rFonts w:eastAsia="Times New Roman" w:cs="Times New Roman"/>
          <w:color w:val="000000"/>
        </w:rPr>
      </w:pPr>
    </w:p>
    <w:p w14:paraId="72CA5350" w14:textId="3E9541BB" w:rsidR="0054531D" w:rsidRPr="0054531D" w:rsidRDefault="00AC5C4D" w:rsidP="00B76BDA">
      <w:pPr>
        <w:spacing w:after="200" w:line="23" w:lineRule="atLeast"/>
        <w:ind w:left="720"/>
        <w:rPr>
          <w:rFonts w:eastAsia="Times New Roman" w:cs="Times New Roman"/>
        </w:rPr>
      </w:pPr>
      <w:r>
        <w:rPr>
          <w:rFonts w:eastAsia="Times New Roman" w:cs="Times New Roman"/>
        </w:rPr>
        <w:t>Task 1: Carry out a functional review of the institutions involved in environmental management from the point of view of implementation of the EU Environmental Directives. In other words, the review should answer the question of whether the environmental institutions in Ukraine as they are can effectively implement the EU Directives.</w:t>
      </w:r>
      <w:r w:rsidR="0054531D">
        <w:rPr>
          <w:rFonts w:eastAsia="Times New Roman" w:cs="Times New Roman"/>
        </w:rPr>
        <w:t xml:space="preserve"> A public environmental expenditure review should accompany the functional review, to identify </w:t>
      </w:r>
      <w:r w:rsidR="0054531D" w:rsidRPr="0054531D">
        <w:rPr>
          <w:rFonts w:eastAsia="Times New Roman" w:cs="Times New Roman"/>
        </w:rPr>
        <w:t>government resource allocations</w:t>
      </w:r>
      <w:r w:rsidR="0054531D">
        <w:rPr>
          <w:rFonts w:eastAsia="Times New Roman" w:cs="Times New Roman"/>
        </w:rPr>
        <w:t xml:space="preserve"> to different environment goals at central and regional levels. </w:t>
      </w:r>
    </w:p>
    <w:p w14:paraId="18AE0FCE" w14:textId="3B3F8160" w:rsidR="00C72010" w:rsidRDefault="00C72010" w:rsidP="00B76BDA">
      <w:pPr>
        <w:spacing w:after="200" w:line="23" w:lineRule="atLeast"/>
        <w:ind w:left="720"/>
        <w:rPr>
          <w:rFonts w:eastAsia="Times New Roman" w:cs="Times New Roman"/>
        </w:rPr>
      </w:pPr>
      <w:r w:rsidRPr="00C72010">
        <w:rPr>
          <w:rFonts w:eastAsia="Times New Roman" w:cs="Times New Roman"/>
        </w:rPr>
        <w:t>Task 2. Determine Ukraine’s environmental priorities linked to its growth and development agenda. An important input into setting priorities is the cost of environmental degradation study (COED)</w:t>
      </w:r>
      <w:r w:rsidR="00E358F7">
        <w:rPr>
          <w:rFonts w:eastAsia="Times New Roman" w:cs="Times New Roman"/>
        </w:rPr>
        <w:t>, which</w:t>
      </w:r>
      <w:r w:rsidRPr="00C72010">
        <w:rPr>
          <w:rFonts w:eastAsia="Times New Roman" w:cs="Times New Roman"/>
        </w:rPr>
        <w:t xml:space="preserve"> </w:t>
      </w:r>
      <w:r w:rsidR="00E358F7">
        <w:rPr>
          <w:rFonts w:eastAsia="Times New Roman" w:cs="Times New Roman"/>
        </w:rPr>
        <w:t xml:space="preserve">would </w:t>
      </w:r>
      <w:r w:rsidRPr="00C72010">
        <w:rPr>
          <w:rFonts w:eastAsia="Times New Roman" w:cs="Times New Roman"/>
        </w:rPr>
        <w:t xml:space="preserve">estimate in monetary terms the impacts of major environmental problems in Ukraine. The COED may be combined with statistical tools such as distributional surveys to determine the priorities that are linked to poverty.  </w:t>
      </w:r>
    </w:p>
    <w:p w14:paraId="0D125899" w14:textId="0E530D5B" w:rsidR="00AC5C4D" w:rsidRDefault="00AC5C4D" w:rsidP="00B76BDA">
      <w:pPr>
        <w:spacing w:after="200" w:line="23" w:lineRule="atLeast"/>
        <w:ind w:left="720"/>
        <w:rPr>
          <w:rFonts w:eastAsia="Times New Roman" w:cs="Times New Roman"/>
        </w:rPr>
      </w:pPr>
      <w:r>
        <w:rPr>
          <w:rFonts w:eastAsia="Times New Roman" w:cs="Times New Roman"/>
        </w:rPr>
        <w:t xml:space="preserve">Task </w:t>
      </w:r>
      <w:r w:rsidR="00C72010">
        <w:rPr>
          <w:rFonts w:eastAsia="Times New Roman" w:cs="Times New Roman"/>
        </w:rPr>
        <w:t>3</w:t>
      </w:r>
      <w:r>
        <w:rPr>
          <w:rFonts w:eastAsia="Times New Roman" w:cs="Times New Roman"/>
        </w:rPr>
        <w:t>. Apply EU requirements to environmental management, delineate responsibilities, and subordination and coordination in the sphere of environmental management of central government units (including MENR, ministries, agencies, and so forth); regional government; regional branches of central government units; and local government (city, settlement, and village).</w:t>
      </w:r>
    </w:p>
    <w:p w14:paraId="13DD93D1" w14:textId="1E36989A" w:rsidR="00AC5C4D" w:rsidRDefault="00AC5C4D" w:rsidP="00B76BDA">
      <w:pPr>
        <w:spacing w:after="200" w:line="23" w:lineRule="atLeast"/>
        <w:ind w:left="720"/>
        <w:rPr>
          <w:rFonts w:eastAsia="Times New Roman" w:cs="Times New Roman"/>
        </w:rPr>
      </w:pPr>
      <w:r>
        <w:rPr>
          <w:rFonts w:eastAsia="Times New Roman" w:cs="Times New Roman"/>
        </w:rPr>
        <w:lastRenderedPageBreak/>
        <w:t xml:space="preserve">Task </w:t>
      </w:r>
      <w:r w:rsidR="00C72010">
        <w:rPr>
          <w:rFonts w:eastAsia="Times New Roman" w:cs="Times New Roman"/>
        </w:rPr>
        <w:t>4</w:t>
      </w:r>
      <w:r>
        <w:rPr>
          <w:rFonts w:eastAsia="Times New Roman" w:cs="Times New Roman"/>
        </w:rPr>
        <w:t xml:space="preserve">. Develop a roadmap for necessary legislative and regulatory changes (prioritization, sequencing, and depth of necessary revisions/change), </w:t>
      </w:r>
      <w:r w:rsidR="00C72010">
        <w:rPr>
          <w:rFonts w:eastAsia="Times New Roman" w:cs="Times New Roman"/>
        </w:rPr>
        <w:t xml:space="preserve">based on Ukraine’s identified priorities and </w:t>
      </w:r>
      <w:r>
        <w:rPr>
          <w:rFonts w:eastAsia="Times New Roman" w:cs="Times New Roman"/>
        </w:rPr>
        <w:t xml:space="preserve">taking into account Ukraine's commitments under the EU–Ukraine Agreement. </w:t>
      </w:r>
    </w:p>
    <w:p w14:paraId="367C6F2D" w14:textId="77777777" w:rsidR="00AC5C4D" w:rsidRDefault="00AC5C4D" w:rsidP="00772403">
      <w:pPr>
        <w:pStyle w:val="ListParagraph"/>
        <w:numPr>
          <w:ilvl w:val="0"/>
          <w:numId w:val="67"/>
        </w:numPr>
        <w:tabs>
          <w:tab w:val="left" w:pos="360"/>
        </w:tabs>
        <w:spacing w:line="23" w:lineRule="atLeast"/>
        <w:ind w:left="0" w:firstLine="0"/>
        <w:rPr>
          <w:rFonts w:eastAsia="Times New Roman" w:cs="Times New Roman"/>
          <w:color w:val="000000"/>
        </w:rPr>
      </w:pPr>
      <w:r>
        <w:rPr>
          <w:rFonts w:eastAsia="Times New Roman" w:cs="Times New Roman"/>
          <w:color w:val="000000"/>
        </w:rPr>
        <w:t xml:space="preserve">The need for this roadmap is dictated by the necessity of reforming the existing Ukrainian post-Soviet institutional structure of environmental management in such a way that it can efficiently function in a significantly changed administrative, budget, and legal environment. </w:t>
      </w:r>
    </w:p>
    <w:p w14:paraId="5EC1D84E" w14:textId="77777777" w:rsidR="00AC5C4D" w:rsidRDefault="00AC5C4D" w:rsidP="00AC5C4D">
      <w:pPr>
        <w:spacing w:line="23" w:lineRule="atLeast"/>
        <w:rPr>
          <w:rFonts w:eastAsia="Times New Roman" w:cs="Times New Roman"/>
          <w:color w:val="000000"/>
        </w:rPr>
      </w:pPr>
    </w:p>
    <w:p w14:paraId="4D9402B3" w14:textId="77777777" w:rsidR="00AC5C4D" w:rsidRDefault="00AC5C4D" w:rsidP="00772403">
      <w:pPr>
        <w:pStyle w:val="ListParagraph"/>
        <w:numPr>
          <w:ilvl w:val="0"/>
          <w:numId w:val="67"/>
        </w:numPr>
        <w:tabs>
          <w:tab w:val="left" w:pos="360"/>
        </w:tabs>
        <w:spacing w:line="23" w:lineRule="atLeast"/>
        <w:ind w:left="0" w:firstLine="0"/>
        <w:rPr>
          <w:rFonts w:eastAsia="Times New Roman" w:cs="Times New Roman"/>
          <w:color w:val="000000"/>
        </w:rPr>
      </w:pPr>
      <w:r>
        <w:rPr>
          <w:rFonts w:eastAsia="Times New Roman" w:cs="Times New Roman"/>
          <w:color w:val="000000"/>
        </w:rPr>
        <w:t xml:space="preserve">A number of central government agencies, regional authorities, and municipalities will have to be involved in preparing and implementing the roadmap. This can be achieved by establishing a task force representing key relevant authorities under Ukraine’s Prime Minister or Vice-Prime Minister. Such a task force might, for example, be </w:t>
      </w:r>
      <w:r>
        <w:rPr>
          <w:rFonts w:cs="Times New Roman"/>
          <w:bCs/>
          <w:iCs/>
        </w:rPr>
        <w:t>called</w:t>
      </w:r>
      <w:r>
        <w:rPr>
          <w:rFonts w:eastAsia="Times New Roman" w:cs="Times New Roman"/>
          <w:color w:val="000000"/>
        </w:rPr>
        <w:t xml:space="preserve"> “The </w:t>
      </w:r>
      <w:r>
        <w:rPr>
          <w:rFonts w:eastAsia="Times New Roman" w:cs="Times New Roman"/>
          <w:bCs/>
          <w:iCs/>
          <w:color w:val="000000"/>
        </w:rPr>
        <w:t>Task Force for Preparation and Implementation of the</w:t>
      </w:r>
      <w:r>
        <w:rPr>
          <w:rFonts w:eastAsia="Times New Roman" w:cs="Times New Roman"/>
          <w:color w:val="000000"/>
        </w:rPr>
        <w:t xml:space="preserve"> </w:t>
      </w:r>
      <w:r>
        <w:rPr>
          <w:rFonts w:eastAsia="Times New Roman" w:cs="Times New Roman"/>
          <w:bCs/>
          <w:iCs/>
          <w:color w:val="000000"/>
        </w:rPr>
        <w:t>Roadmap for Reform of Environmental Management</w:t>
      </w:r>
      <w:r>
        <w:rPr>
          <w:rFonts w:eastAsia="Times New Roman" w:cs="Times New Roman"/>
          <w:color w:val="000000"/>
        </w:rPr>
        <w:t xml:space="preserve">.” </w:t>
      </w:r>
    </w:p>
    <w:p w14:paraId="4238691D" w14:textId="77777777" w:rsidR="00AC5C4D" w:rsidRDefault="00AC5C4D" w:rsidP="00AC5C4D">
      <w:pPr>
        <w:spacing w:line="23" w:lineRule="atLeast"/>
        <w:rPr>
          <w:rFonts w:eastAsia="Times New Roman" w:cs="Times New Roman"/>
          <w:color w:val="000000"/>
        </w:rPr>
      </w:pPr>
    </w:p>
    <w:p w14:paraId="09256072" w14:textId="2F8902B8" w:rsidR="00AC5C4D" w:rsidRPr="00B76BDA" w:rsidRDefault="00AC5C4D" w:rsidP="00772403">
      <w:pPr>
        <w:pStyle w:val="ListParagraph"/>
        <w:numPr>
          <w:ilvl w:val="0"/>
          <w:numId w:val="67"/>
        </w:numPr>
        <w:tabs>
          <w:tab w:val="left" w:pos="360"/>
        </w:tabs>
        <w:spacing w:line="23" w:lineRule="atLeast"/>
        <w:ind w:left="0" w:firstLine="0"/>
        <w:rPr>
          <w:rFonts w:eastAsia="Times New Roman" w:cs="Times New Roman"/>
          <w:color w:val="000000"/>
        </w:rPr>
      </w:pPr>
      <w:r w:rsidRPr="006428F7">
        <w:rPr>
          <w:rFonts w:eastAsia="Times New Roman" w:cs="Times New Roman"/>
          <w:color w:val="000000"/>
        </w:rPr>
        <w:t xml:space="preserve">The following table summarizes other recommendations, which should be followed </w:t>
      </w:r>
      <w:r w:rsidRPr="006428F7">
        <w:rPr>
          <w:rFonts w:eastAsia="Times New Roman" w:cs="Times New Roman"/>
          <w:b/>
          <w:color w:val="000000"/>
        </w:rPr>
        <w:t xml:space="preserve">after key tasks of the </w:t>
      </w:r>
      <w:r w:rsidRPr="006428F7">
        <w:rPr>
          <w:rFonts w:eastAsia="Times New Roman" w:cs="Times New Roman"/>
          <w:b/>
          <w:i/>
          <w:color w:val="000000"/>
        </w:rPr>
        <w:t>Roadmap for Reform</w:t>
      </w:r>
      <w:r w:rsidRPr="006428F7">
        <w:rPr>
          <w:rFonts w:eastAsia="Times New Roman" w:cs="Times New Roman"/>
          <w:b/>
          <w:color w:val="000000"/>
        </w:rPr>
        <w:t xml:space="preserve"> have been completed</w:t>
      </w:r>
      <w:r w:rsidR="000C0334" w:rsidRPr="006428F7">
        <w:rPr>
          <w:rFonts w:eastAsia="Times New Roman" w:cs="Times New Roman"/>
          <w:color w:val="000000"/>
        </w:rPr>
        <w:t>.</w:t>
      </w:r>
      <w:r w:rsidRPr="006428F7">
        <w:rPr>
          <w:rFonts w:eastAsia="Times New Roman" w:cs="Times New Roman"/>
          <w:color w:val="000000"/>
        </w:rPr>
        <w:t xml:space="preserve"> </w:t>
      </w:r>
      <w:r w:rsidRPr="00B76BDA">
        <w:rPr>
          <w:rFonts w:eastAsia="Times New Roman" w:cs="Times New Roman"/>
          <w:color w:val="000000"/>
        </w:rPr>
        <w:t xml:space="preserve"> </w:t>
      </w:r>
    </w:p>
    <w:p w14:paraId="79F19FE5" w14:textId="77777777" w:rsidR="00AC5C4D" w:rsidRDefault="00AC5C4D" w:rsidP="00AC5C4D"/>
    <w:p w14:paraId="45901405" w14:textId="77777777" w:rsidR="00FE1494" w:rsidRDefault="00FE1494" w:rsidP="00EC5D30">
      <w:pPr>
        <w:pStyle w:val="Caption"/>
        <w:sectPr w:rsidR="00FE1494" w:rsidSect="007D498E">
          <w:footerReference w:type="default" r:id="rId12"/>
          <w:pgSz w:w="12240" w:h="15840"/>
          <w:pgMar w:top="1440" w:right="1440" w:bottom="1440" w:left="1440" w:header="720" w:footer="720" w:gutter="0"/>
          <w:pgNumType w:fmt="lowerRoman"/>
          <w:cols w:space="720"/>
          <w:docGrid w:linePitch="360"/>
        </w:sectPr>
      </w:pPr>
    </w:p>
    <w:p w14:paraId="435CD929" w14:textId="77777777" w:rsidR="001B3CAE" w:rsidRPr="00663798" w:rsidRDefault="00EC5D30" w:rsidP="00EC5D30">
      <w:pPr>
        <w:pStyle w:val="Caption"/>
        <w:rPr>
          <w:b w:val="0"/>
        </w:rPr>
      </w:pPr>
      <w:bookmarkStart w:id="5" w:name="_Toc440273993"/>
      <w:r>
        <w:lastRenderedPageBreak/>
        <w:t xml:space="preserve">Table </w:t>
      </w:r>
      <w:r>
        <w:fldChar w:fldCharType="begin"/>
      </w:r>
      <w:r>
        <w:instrText xml:space="preserve"> SEQ Table \* ARABIC </w:instrText>
      </w:r>
      <w:r>
        <w:fldChar w:fldCharType="separate"/>
      </w:r>
      <w:r w:rsidR="00356D5F">
        <w:t>1</w:t>
      </w:r>
      <w:r>
        <w:fldChar w:fldCharType="end"/>
      </w:r>
      <w:r>
        <w:t xml:space="preserve">. </w:t>
      </w:r>
      <w:r>
        <w:rPr>
          <w:rFonts w:eastAsia="Times New Roman"/>
          <w:color w:val="000000"/>
        </w:rPr>
        <w:t>Summary of Key Recommendations</w:t>
      </w:r>
      <w:bookmarkEnd w:id="5"/>
      <w:r>
        <w:rPr>
          <w:rFonts w:eastAsia="Times New Roman"/>
          <w:color w:val="000000"/>
        </w:rPr>
        <w:t xml:space="preserve"> </w:t>
      </w:r>
      <w:r>
        <w:rPr>
          <w:rFonts w:eastAsia="Times New Roman"/>
          <w:b w:val="0"/>
          <w:color w:val="000000"/>
        </w:rPr>
        <w:t xml:space="preserve"> </w:t>
      </w:r>
      <w:r w:rsidR="00FA5C8F">
        <w:rPr>
          <w:b w:val="0"/>
        </w:rPr>
        <w:t xml:space="preserve"> </w:t>
      </w:r>
    </w:p>
    <w:tbl>
      <w:tblPr>
        <w:tblW w:w="5000" w:type="pct"/>
        <w:tblBorders>
          <w:top w:val="single" w:sz="4" w:space="0" w:color="4F81BD"/>
          <w:left w:val="single" w:sz="4" w:space="0" w:color="4F81BD"/>
          <w:bottom w:val="single" w:sz="4" w:space="0" w:color="4F81BD"/>
          <w:right w:val="single" w:sz="4" w:space="0" w:color="4F81BD"/>
        </w:tblBorders>
        <w:tblLayout w:type="fixed"/>
        <w:tblLook w:val="00A0" w:firstRow="1" w:lastRow="0" w:firstColumn="1" w:lastColumn="0" w:noHBand="0" w:noVBand="0"/>
      </w:tblPr>
      <w:tblGrid>
        <w:gridCol w:w="1565"/>
        <w:gridCol w:w="7208"/>
        <w:gridCol w:w="1391"/>
        <w:gridCol w:w="1393"/>
        <w:gridCol w:w="1393"/>
      </w:tblGrid>
      <w:tr w:rsidR="005850DE" w:rsidRPr="002B1DFC" w14:paraId="636B0441" w14:textId="77777777" w:rsidTr="00356D5F">
        <w:trPr>
          <w:tblHeader/>
        </w:trPr>
        <w:tc>
          <w:tcPr>
            <w:tcW w:w="604" w:type="pct"/>
            <w:tcBorders>
              <w:top w:val="single" w:sz="4" w:space="0" w:color="4F81BD"/>
              <w:bottom w:val="single" w:sz="4" w:space="0" w:color="5B9BD5" w:themeColor="accent1"/>
            </w:tcBorders>
            <w:shd w:val="clear" w:color="auto" w:fill="4F81BD"/>
            <w:vAlign w:val="center"/>
          </w:tcPr>
          <w:p w14:paraId="5C03CF76" w14:textId="77777777" w:rsidR="005850DE" w:rsidRPr="0059336D" w:rsidRDefault="005850DE" w:rsidP="005C6E03">
            <w:pPr>
              <w:pStyle w:val="ListParagraph"/>
              <w:ind w:left="0"/>
              <w:jc w:val="center"/>
              <w:rPr>
                <w:rFonts w:cs="Times New Roman"/>
                <w:b/>
                <w:bCs/>
                <w:color w:val="FFFFFF"/>
                <w:sz w:val="20"/>
                <w:szCs w:val="20"/>
              </w:rPr>
            </w:pPr>
            <w:r w:rsidRPr="0059336D">
              <w:rPr>
                <w:rFonts w:cs="Times New Roman"/>
                <w:b/>
                <w:bCs/>
                <w:color w:val="FFFFFF"/>
                <w:sz w:val="20"/>
                <w:szCs w:val="20"/>
              </w:rPr>
              <w:t>Challenge</w:t>
            </w:r>
          </w:p>
        </w:tc>
        <w:tc>
          <w:tcPr>
            <w:tcW w:w="2783" w:type="pct"/>
            <w:tcBorders>
              <w:top w:val="single" w:sz="4" w:space="0" w:color="4F81BD"/>
              <w:bottom w:val="single" w:sz="4" w:space="0" w:color="5B9BD5" w:themeColor="accent1"/>
            </w:tcBorders>
            <w:shd w:val="clear" w:color="auto" w:fill="4F81BD"/>
            <w:vAlign w:val="center"/>
          </w:tcPr>
          <w:p w14:paraId="193ACC58" w14:textId="77777777" w:rsidR="005850DE" w:rsidRPr="002B1DFC" w:rsidRDefault="005850DE" w:rsidP="005C6E03">
            <w:pPr>
              <w:pStyle w:val="ListParagraph"/>
              <w:ind w:left="0"/>
              <w:jc w:val="center"/>
              <w:rPr>
                <w:rFonts w:cs="Times New Roman"/>
                <w:b/>
                <w:bCs/>
                <w:color w:val="FFFFFF"/>
                <w:sz w:val="20"/>
                <w:szCs w:val="20"/>
              </w:rPr>
            </w:pPr>
            <w:r w:rsidRPr="002B1DFC">
              <w:rPr>
                <w:rFonts w:cs="Times New Roman"/>
                <w:b/>
                <w:bCs/>
                <w:color w:val="FFFFFF"/>
                <w:sz w:val="20"/>
                <w:szCs w:val="20"/>
              </w:rPr>
              <w:t>Action</w:t>
            </w:r>
          </w:p>
        </w:tc>
        <w:tc>
          <w:tcPr>
            <w:tcW w:w="537" w:type="pct"/>
            <w:tcBorders>
              <w:top w:val="single" w:sz="4" w:space="0" w:color="4F81BD"/>
              <w:bottom w:val="single" w:sz="4" w:space="0" w:color="5B9BD5" w:themeColor="accent1"/>
              <w:right w:val="single" w:sz="4" w:space="0" w:color="4F81BD"/>
            </w:tcBorders>
            <w:shd w:val="clear" w:color="auto" w:fill="4F81BD"/>
            <w:vAlign w:val="center"/>
          </w:tcPr>
          <w:p w14:paraId="7FBE03B6" w14:textId="77777777" w:rsidR="005850DE" w:rsidRPr="002B1DFC" w:rsidRDefault="005850DE" w:rsidP="005C6E03">
            <w:pPr>
              <w:ind w:left="12"/>
              <w:jc w:val="center"/>
              <w:rPr>
                <w:rFonts w:cs="Times New Roman"/>
                <w:b/>
                <w:bCs/>
                <w:color w:val="FFFFFF"/>
                <w:sz w:val="20"/>
                <w:szCs w:val="20"/>
              </w:rPr>
            </w:pPr>
            <w:r w:rsidRPr="002B1DFC">
              <w:rPr>
                <w:rFonts w:cs="Times New Roman"/>
                <w:b/>
                <w:bCs/>
                <w:color w:val="FFFFFF"/>
                <w:sz w:val="20"/>
                <w:szCs w:val="20"/>
              </w:rPr>
              <w:t>Priority Med/ High</w:t>
            </w:r>
          </w:p>
        </w:tc>
        <w:tc>
          <w:tcPr>
            <w:tcW w:w="538" w:type="pct"/>
            <w:tcBorders>
              <w:top w:val="single" w:sz="4" w:space="0" w:color="4F81BD"/>
              <w:bottom w:val="single" w:sz="4" w:space="0" w:color="5B9BD5" w:themeColor="accent1"/>
              <w:right w:val="single" w:sz="4" w:space="0" w:color="4F81BD"/>
            </w:tcBorders>
            <w:shd w:val="clear" w:color="auto" w:fill="4F81BD"/>
            <w:vAlign w:val="center"/>
          </w:tcPr>
          <w:p w14:paraId="37A162B7" w14:textId="77777777" w:rsidR="005850DE" w:rsidRPr="002B1DFC" w:rsidRDefault="005850DE" w:rsidP="005C6E03">
            <w:pPr>
              <w:ind w:left="12"/>
              <w:jc w:val="center"/>
              <w:rPr>
                <w:rFonts w:cs="Times New Roman"/>
                <w:b/>
                <w:bCs/>
                <w:color w:val="FFFFFF"/>
                <w:sz w:val="20"/>
                <w:szCs w:val="20"/>
              </w:rPr>
            </w:pPr>
            <w:r>
              <w:rPr>
                <w:rFonts w:cs="Times New Roman"/>
                <w:b/>
                <w:bCs/>
                <w:color w:val="FFFFFF"/>
                <w:sz w:val="20"/>
                <w:szCs w:val="20"/>
              </w:rPr>
              <w:t>Timeline*</w:t>
            </w:r>
          </w:p>
        </w:tc>
        <w:tc>
          <w:tcPr>
            <w:tcW w:w="538" w:type="pct"/>
            <w:tcBorders>
              <w:top w:val="single" w:sz="4" w:space="0" w:color="4F81BD"/>
              <w:bottom w:val="single" w:sz="4" w:space="0" w:color="5B9BD5" w:themeColor="accent1"/>
              <w:right w:val="single" w:sz="4" w:space="0" w:color="4F81BD"/>
            </w:tcBorders>
            <w:shd w:val="clear" w:color="auto" w:fill="4F81BD"/>
            <w:vAlign w:val="center"/>
          </w:tcPr>
          <w:p w14:paraId="4554DB39" w14:textId="77777777" w:rsidR="005850DE" w:rsidRPr="002B1DFC" w:rsidRDefault="005850DE" w:rsidP="005C6E03">
            <w:pPr>
              <w:ind w:left="12"/>
              <w:jc w:val="center"/>
              <w:rPr>
                <w:rFonts w:cs="Times New Roman"/>
                <w:b/>
                <w:bCs/>
                <w:color w:val="FFFFFF"/>
                <w:sz w:val="20"/>
                <w:szCs w:val="20"/>
              </w:rPr>
            </w:pPr>
            <w:r>
              <w:rPr>
                <w:rFonts w:cs="Times New Roman"/>
                <w:b/>
                <w:bCs/>
                <w:color w:val="FFFFFF"/>
                <w:sz w:val="20"/>
                <w:szCs w:val="20"/>
              </w:rPr>
              <w:t>Key Responsible Entity</w:t>
            </w:r>
          </w:p>
        </w:tc>
      </w:tr>
      <w:tr w:rsidR="00386DC4" w:rsidRPr="002B1DFC" w14:paraId="20E92D40" w14:textId="77777777" w:rsidTr="00356D5F">
        <w:tc>
          <w:tcPr>
            <w:tcW w:w="604" w:type="pct"/>
            <w:vMerge w:val="restart"/>
            <w:tcBorders>
              <w:top w:val="single" w:sz="4" w:space="0" w:color="5B9BD5" w:themeColor="accent1"/>
              <w:bottom w:val="single" w:sz="4" w:space="0" w:color="5B9BD5" w:themeColor="accent1"/>
            </w:tcBorders>
          </w:tcPr>
          <w:p w14:paraId="13961D7C" w14:textId="460D4720" w:rsidR="00386DC4" w:rsidRPr="005C6E03" w:rsidRDefault="00386DC4" w:rsidP="00F80398">
            <w:pPr>
              <w:pStyle w:val="ListParagraph"/>
              <w:ind w:left="0"/>
              <w:jc w:val="left"/>
              <w:rPr>
                <w:rFonts w:cs="Times New Roman"/>
                <w:sz w:val="20"/>
                <w:szCs w:val="20"/>
              </w:rPr>
            </w:pPr>
            <w:r w:rsidRPr="00B759E2">
              <w:rPr>
                <w:rFonts w:cs="Times New Roman"/>
                <w:sz w:val="20"/>
                <w:szCs w:val="20"/>
              </w:rPr>
              <w:t>Enhance the legislative framework for environmental management</w:t>
            </w:r>
          </w:p>
        </w:tc>
        <w:tc>
          <w:tcPr>
            <w:tcW w:w="2783" w:type="pct"/>
            <w:tcBorders>
              <w:top w:val="single" w:sz="4" w:space="0" w:color="5B9BD5" w:themeColor="accent1"/>
              <w:bottom w:val="single" w:sz="4" w:space="0" w:color="5B9BD5" w:themeColor="accent1"/>
            </w:tcBorders>
          </w:tcPr>
          <w:p w14:paraId="00F5E815" w14:textId="77777777" w:rsidR="00386DC4" w:rsidRPr="00973EE6" w:rsidRDefault="00386DC4" w:rsidP="00F80398">
            <w:pPr>
              <w:pStyle w:val="ListParagraph"/>
              <w:numPr>
                <w:ilvl w:val="0"/>
                <w:numId w:val="40"/>
              </w:numPr>
              <w:ind w:left="360"/>
              <w:jc w:val="left"/>
              <w:rPr>
                <w:rFonts w:cs="Times New Roman"/>
                <w:sz w:val="20"/>
                <w:szCs w:val="20"/>
              </w:rPr>
            </w:pPr>
            <w:r w:rsidRPr="00973EE6">
              <w:rPr>
                <w:rFonts w:cs="Times New Roman"/>
                <w:sz w:val="20"/>
                <w:szCs w:val="20"/>
              </w:rPr>
              <w:t xml:space="preserve">Carry out legislative review to identify the key legal acts that need to be revised and the regulations that need to be adopted. </w:t>
            </w:r>
          </w:p>
        </w:tc>
        <w:tc>
          <w:tcPr>
            <w:tcW w:w="537" w:type="pct"/>
            <w:tcBorders>
              <w:top w:val="single" w:sz="4" w:space="0" w:color="5B9BD5" w:themeColor="accent1"/>
              <w:bottom w:val="single" w:sz="4" w:space="0" w:color="5B9BD5" w:themeColor="accent1"/>
              <w:right w:val="single" w:sz="4" w:space="0" w:color="4F81BD"/>
            </w:tcBorders>
          </w:tcPr>
          <w:p w14:paraId="74D50C6C" w14:textId="77777777" w:rsidR="00386DC4" w:rsidRPr="002B1DFC" w:rsidRDefault="00386DC4" w:rsidP="00F80398">
            <w:pPr>
              <w:ind w:left="12"/>
              <w:jc w:val="center"/>
              <w:rPr>
                <w:rFonts w:cs="Times New Roman"/>
                <w:sz w:val="20"/>
                <w:szCs w:val="20"/>
              </w:rPr>
            </w:pPr>
            <w:r>
              <w:rPr>
                <w:rFonts w:cs="Times New Roman"/>
                <w:sz w:val="20"/>
                <w:szCs w:val="20"/>
              </w:rPr>
              <w:t xml:space="preserve"> High</w:t>
            </w:r>
          </w:p>
        </w:tc>
        <w:tc>
          <w:tcPr>
            <w:tcW w:w="538" w:type="pct"/>
            <w:tcBorders>
              <w:top w:val="single" w:sz="4" w:space="0" w:color="5B9BD5" w:themeColor="accent1"/>
              <w:bottom w:val="single" w:sz="4" w:space="0" w:color="5B9BD5" w:themeColor="accent1"/>
              <w:right w:val="single" w:sz="4" w:space="0" w:color="4F81BD"/>
            </w:tcBorders>
          </w:tcPr>
          <w:p w14:paraId="2C4A7E2D" w14:textId="77777777" w:rsidR="00386DC4" w:rsidRDefault="00386DC4" w:rsidP="00F80398">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40D75BCA" w14:textId="77777777" w:rsidR="00386DC4" w:rsidRDefault="00386DC4" w:rsidP="00F80398">
            <w:pPr>
              <w:ind w:left="12"/>
              <w:jc w:val="center"/>
              <w:rPr>
                <w:rFonts w:cs="Times New Roman"/>
                <w:sz w:val="20"/>
                <w:szCs w:val="20"/>
              </w:rPr>
            </w:pPr>
            <w:r>
              <w:rPr>
                <w:rFonts w:cs="Times New Roman"/>
                <w:sz w:val="20"/>
                <w:szCs w:val="20"/>
              </w:rPr>
              <w:t>CMU</w:t>
            </w:r>
          </w:p>
        </w:tc>
      </w:tr>
      <w:tr w:rsidR="006F2410" w:rsidRPr="002B1DFC" w14:paraId="07B619CF" w14:textId="77777777" w:rsidTr="00356D5F">
        <w:tc>
          <w:tcPr>
            <w:tcW w:w="604" w:type="pct"/>
            <w:vMerge/>
            <w:tcBorders>
              <w:top w:val="single" w:sz="4" w:space="0" w:color="5B9BD5" w:themeColor="accent1"/>
              <w:bottom w:val="single" w:sz="4" w:space="0" w:color="5B9BD5" w:themeColor="accent1"/>
            </w:tcBorders>
          </w:tcPr>
          <w:p w14:paraId="2C79B410"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53FD8C0C" w14:textId="77777777" w:rsidR="006F2410" w:rsidRPr="00973EE6" w:rsidRDefault="006F2410" w:rsidP="006F2410">
            <w:pPr>
              <w:pStyle w:val="ListParagraph"/>
              <w:numPr>
                <w:ilvl w:val="0"/>
                <w:numId w:val="40"/>
              </w:numPr>
              <w:ind w:left="360"/>
              <w:jc w:val="left"/>
              <w:rPr>
                <w:rFonts w:cs="Times New Roman"/>
                <w:sz w:val="20"/>
                <w:szCs w:val="20"/>
              </w:rPr>
            </w:pPr>
            <w:r w:rsidRPr="00973EE6">
              <w:rPr>
                <w:rFonts w:cs="Times New Roman"/>
                <w:sz w:val="20"/>
                <w:szCs w:val="20"/>
              </w:rPr>
              <w:t>Adopt necessary legislative and regulatory changes taking into account Ukraine's commitments under EU–Ukraine Agreement and in line with the agreed schedule of implementation.</w:t>
            </w:r>
          </w:p>
        </w:tc>
        <w:tc>
          <w:tcPr>
            <w:tcW w:w="537" w:type="pct"/>
            <w:tcBorders>
              <w:top w:val="single" w:sz="4" w:space="0" w:color="5B9BD5" w:themeColor="accent1"/>
              <w:bottom w:val="single" w:sz="4" w:space="0" w:color="5B9BD5" w:themeColor="accent1"/>
              <w:right w:val="single" w:sz="4" w:space="0" w:color="4F81BD"/>
            </w:tcBorders>
          </w:tcPr>
          <w:p w14:paraId="40F29814" w14:textId="16EB5B8F" w:rsidR="006F2410" w:rsidRPr="002B1DFC"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35C10A70" w14:textId="561A2670" w:rsidR="006F2410" w:rsidRDefault="006F2410" w:rsidP="00C320FA">
            <w:pPr>
              <w:ind w:left="12"/>
              <w:jc w:val="center"/>
              <w:rPr>
                <w:rFonts w:cs="Times New Roman"/>
                <w:sz w:val="20"/>
                <w:szCs w:val="20"/>
              </w:rPr>
            </w:pPr>
            <w:r>
              <w:rPr>
                <w:rFonts w:cs="Times New Roman"/>
                <w:sz w:val="20"/>
                <w:szCs w:val="20"/>
              </w:rPr>
              <w:t xml:space="preserve">Per </w:t>
            </w:r>
            <w:r w:rsidR="009C3D25">
              <w:rPr>
                <w:rFonts w:cs="Times New Roman"/>
                <w:sz w:val="20"/>
                <w:szCs w:val="20"/>
              </w:rPr>
              <w:t xml:space="preserve">Agreement implementation </w:t>
            </w:r>
            <w:r>
              <w:rPr>
                <w:rFonts w:cs="Times New Roman"/>
                <w:sz w:val="20"/>
                <w:szCs w:val="20"/>
              </w:rPr>
              <w:t>schedule</w:t>
            </w:r>
          </w:p>
        </w:tc>
        <w:tc>
          <w:tcPr>
            <w:tcW w:w="538" w:type="pct"/>
            <w:tcBorders>
              <w:top w:val="single" w:sz="4" w:space="0" w:color="5B9BD5" w:themeColor="accent1"/>
              <w:bottom w:val="single" w:sz="4" w:space="0" w:color="5B9BD5" w:themeColor="accent1"/>
              <w:right w:val="single" w:sz="4" w:space="0" w:color="4F81BD"/>
            </w:tcBorders>
          </w:tcPr>
          <w:p w14:paraId="49BA35FD" w14:textId="77777777" w:rsidR="006F2410" w:rsidRDefault="006F2410" w:rsidP="006F2410">
            <w:pPr>
              <w:ind w:left="12"/>
              <w:jc w:val="center"/>
              <w:rPr>
                <w:rFonts w:cs="Times New Roman"/>
                <w:sz w:val="20"/>
                <w:szCs w:val="20"/>
              </w:rPr>
            </w:pPr>
            <w:r>
              <w:rPr>
                <w:rFonts w:cs="Times New Roman"/>
                <w:sz w:val="20"/>
                <w:szCs w:val="20"/>
              </w:rPr>
              <w:t>CMU</w:t>
            </w:r>
          </w:p>
        </w:tc>
      </w:tr>
      <w:tr w:rsidR="006F2410" w:rsidRPr="002B1DFC" w14:paraId="68950ACD" w14:textId="77777777" w:rsidTr="00356D5F">
        <w:tc>
          <w:tcPr>
            <w:tcW w:w="604" w:type="pct"/>
            <w:vMerge/>
            <w:tcBorders>
              <w:top w:val="single" w:sz="4" w:space="0" w:color="5B9BD5" w:themeColor="accent1"/>
              <w:bottom w:val="single" w:sz="4" w:space="0" w:color="5B9BD5" w:themeColor="accent1"/>
            </w:tcBorders>
          </w:tcPr>
          <w:p w14:paraId="7008C714"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1BCA42E7" w14:textId="77777777" w:rsidR="006F2410" w:rsidRPr="00973EE6" w:rsidRDefault="006F2410" w:rsidP="006F2410">
            <w:pPr>
              <w:pStyle w:val="ListParagraph"/>
              <w:numPr>
                <w:ilvl w:val="0"/>
                <w:numId w:val="40"/>
              </w:numPr>
              <w:ind w:left="360"/>
              <w:jc w:val="left"/>
              <w:rPr>
                <w:rFonts w:cs="Times New Roman"/>
                <w:sz w:val="20"/>
                <w:szCs w:val="20"/>
              </w:rPr>
            </w:pPr>
            <w:r w:rsidRPr="00973EE6">
              <w:rPr>
                <w:rFonts w:cs="Times New Roman"/>
                <w:sz w:val="20"/>
                <w:szCs w:val="20"/>
              </w:rPr>
              <w:t>Establish a system for in-depth analysis, such as regulatory impact analysis for proposed pieces of legislation.</w:t>
            </w:r>
          </w:p>
        </w:tc>
        <w:tc>
          <w:tcPr>
            <w:tcW w:w="537" w:type="pct"/>
            <w:tcBorders>
              <w:top w:val="single" w:sz="4" w:space="0" w:color="5B9BD5" w:themeColor="accent1"/>
              <w:bottom w:val="single" w:sz="4" w:space="0" w:color="5B9BD5" w:themeColor="accent1"/>
              <w:right w:val="single" w:sz="4" w:space="0" w:color="4F81BD"/>
            </w:tcBorders>
          </w:tcPr>
          <w:p w14:paraId="39755C7A" w14:textId="7FBCF9C6" w:rsidR="006F2410" w:rsidRPr="002B1DFC" w:rsidRDefault="00893B23"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666995E0" w14:textId="77777777" w:rsidR="006F2410" w:rsidRDefault="006F2410" w:rsidP="006F2410">
            <w:pPr>
              <w:ind w:left="12"/>
              <w:jc w:val="center"/>
              <w:rPr>
                <w:rFonts w:cs="Times New Roman"/>
                <w:sz w:val="20"/>
                <w:szCs w:val="20"/>
              </w:rPr>
            </w:pPr>
            <w:r>
              <w:rPr>
                <w:rFonts w:cs="Times New Roman"/>
                <w:sz w:val="20"/>
                <w:szCs w:val="20"/>
              </w:rPr>
              <w:t>Long</w:t>
            </w:r>
          </w:p>
        </w:tc>
        <w:tc>
          <w:tcPr>
            <w:tcW w:w="538" w:type="pct"/>
            <w:tcBorders>
              <w:top w:val="single" w:sz="4" w:space="0" w:color="5B9BD5" w:themeColor="accent1"/>
              <w:bottom w:val="single" w:sz="4" w:space="0" w:color="5B9BD5" w:themeColor="accent1"/>
              <w:right w:val="single" w:sz="4" w:space="0" w:color="4F81BD"/>
            </w:tcBorders>
          </w:tcPr>
          <w:p w14:paraId="7BA79F3E" w14:textId="77777777" w:rsidR="006F2410" w:rsidRDefault="006F2410" w:rsidP="006F2410">
            <w:pPr>
              <w:ind w:left="12"/>
              <w:jc w:val="center"/>
              <w:rPr>
                <w:rFonts w:cs="Times New Roman"/>
                <w:sz w:val="20"/>
                <w:szCs w:val="20"/>
              </w:rPr>
            </w:pPr>
            <w:r>
              <w:rPr>
                <w:rFonts w:cs="Times New Roman"/>
                <w:sz w:val="20"/>
                <w:szCs w:val="20"/>
              </w:rPr>
              <w:t>CMU / MENR</w:t>
            </w:r>
          </w:p>
        </w:tc>
      </w:tr>
      <w:tr w:rsidR="006F2410" w:rsidRPr="002B1DFC" w14:paraId="17013977" w14:textId="77777777" w:rsidTr="00356D5F">
        <w:tc>
          <w:tcPr>
            <w:tcW w:w="604" w:type="pct"/>
            <w:vMerge/>
            <w:tcBorders>
              <w:top w:val="single" w:sz="4" w:space="0" w:color="5B9BD5" w:themeColor="accent1"/>
              <w:bottom w:val="single" w:sz="4" w:space="0" w:color="5B9BD5" w:themeColor="accent1"/>
            </w:tcBorders>
          </w:tcPr>
          <w:p w14:paraId="38CC4F49"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110A842E" w14:textId="77777777" w:rsidR="006F2410" w:rsidRPr="00973EE6" w:rsidRDefault="006F2410" w:rsidP="006F2410">
            <w:pPr>
              <w:pStyle w:val="ListParagraph"/>
              <w:numPr>
                <w:ilvl w:val="0"/>
                <w:numId w:val="40"/>
              </w:numPr>
              <w:ind w:left="360"/>
              <w:jc w:val="left"/>
              <w:rPr>
                <w:rFonts w:cs="Times New Roman"/>
                <w:sz w:val="20"/>
                <w:szCs w:val="20"/>
              </w:rPr>
            </w:pPr>
            <w:r w:rsidRPr="00973EE6">
              <w:rPr>
                <w:rFonts w:cs="Times New Roman"/>
                <w:sz w:val="20"/>
                <w:szCs w:val="20"/>
              </w:rPr>
              <w:t>Since changes to legislation and regulations will significantly affect the environment and environmental governance, these changes should undergo strategic environmental assessment—not in accordance with the SEA law, which does not yet exist, but in accordance with the spirit of SEA.</w:t>
            </w:r>
          </w:p>
        </w:tc>
        <w:tc>
          <w:tcPr>
            <w:tcW w:w="537" w:type="pct"/>
            <w:tcBorders>
              <w:top w:val="single" w:sz="4" w:space="0" w:color="5B9BD5" w:themeColor="accent1"/>
              <w:bottom w:val="single" w:sz="4" w:space="0" w:color="5B9BD5" w:themeColor="accent1"/>
              <w:right w:val="single" w:sz="4" w:space="0" w:color="4F81BD"/>
            </w:tcBorders>
          </w:tcPr>
          <w:p w14:paraId="5B7D9853" w14:textId="77777777" w:rsidR="006F2410" w:rsidRPr="002B1DFC"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7C498A28" w14:textId="77777777" w:rsidR="006F2410" w:rsidRDefault="006F2410" w:rsidP="006F2410">
            <w:pPr>
              <w:ind w:left="12"/>
              <w:jc w:val="center"/>
              <w:rPr>
                <w:rFonts w:cs="Times New Roman"/>
                <w:sz w:val="20"/>
                <w:szCs w:val="20"/>
              </w:rPr>
            </w:pPr>
            <w:r>
              <w:rPr>
                <w:rFonts w:cs="Times New Roman"/>
                <w:sz w:val="20"/>
                <w:szCs w:val="20"/>
              </w:rPr>
              <w:t>Short</w:t>
            </w:r>
          </w:p>
        </w:tc>
        <w:tc>
          <w:tcPr>
            <w:tcW w:w="538" w:type="pct"/>
            <w:tcBorders>
              <w:top w:val="single" w:sz="4" w:space="0" w:color="5B9BD5" w:themeColor="accent1"/>
              <w:bottom w:val="single" w:sz="4" w:space="0" w:color="5B9BD5" w:themeColor="accent1"/>
              <w:right w:val="single" w:sz="4" w:space="0" w:color="4F81BD"/>
            </w:tcBorders>
          </w:tcPr>
          <w:p w14:paraId="2C4610DA" w14:textId="77777777" w:rsidR="006F2410" w:rsidRDefault="006F2410" w:rsidP="006F2410">
            <w:pPr>
              <w:ind w:left="12"/>
              <w:jc w:val="center"/>
              <w:rPr>
                <w:rFonts w:cs="Times New Roman"/>
                <w:sz w:val="20"/>
                <w:szCs w:val="20"/>
              </w:rPr>
            </w:pPr>
            <w:r>
              <w:rPr>
                <w:rFonts w:cs="Times New Roman"/>
                <w:sz w:val="20"/>
                <w:szCs w:val="20"/>
              </w:rPr>
              <w:t>Relevant sectoral authorities</w:t>
            </w:r>
          </w:p>
        </w:tc>
      </w:tr>
      <w:tr w:rsidR="006F2410" w:rsidRPr="002B1DFC" w14:paraId="6BE46D48" w14:textId="77777777" w:rsidTr="00356D5F">
        <w:tc>
          <w:tcPr>
            <w:tcW w:w="604" w:type="pct"/>
            <w:vMerge/>
            <w:tcBorders>
              <w:top w:val="single" w:sz="4" w:space="0" w:color="5B9BD5" w:themeColor="accent1"/>
              <w:bottom w:val="single" w:sz="4" w:space="0" w:color="5B9BD5" w:themeColor="accent1"/>
            </w:tcBorders>
          </w:tcPr>
          <w:p w14:paraId="25063B89"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7B26BE2C" w14:textId="77777777" w:rsidR="006F2410" w:rsidRPr="00973EE6" w:rsidRDefault="006F2410" w:rsidP="006F2410">
            <w:pPr>
              <w:pStyle w:val="ListParagraph"/>
              <w:numPr>
                <w:ilvl w:val="0"/>
                <w:numId w:val="40"/>
              </w:numPr>
              <w:ind w:left="360"/>
              <w:jc w:val="left"/>
              <w:rPr>
                <w:rFonts w:cs="Times New Roman"/>
                <w:sz w:val="20"/>
                <w:szCs w:val="20"/>
              </w:rPr>
            </w:pPr>
            <w:r w:rsidRPr="002B1DFC">
              <w:rPr>
                <w:rFonts w:cs="Times New Roman"/>
                <w:sz w:val="20"/>
                <w:szCs w:val="20"/>
              </w:rPr>
              <w:t xml:space="preserve">Carry out SEA of the proposed changes to legislation and policies and regulations </w:t>
            </w:r>
          </w:p>
        </w:tc>
        <w:tc>
          <w:tcPr>
            <w:tcW w:w="537" w:type="pct"/>
            <w:tcBorders>
              <w:top w:val="single" w:sz="4" w:space="0" w:color="5B9BD5" w:themeColor="accent1"/>
              <w:bottom w:val="single" w:sz="4" w:space="0" w:color="5B9BD5" w:themeColor="accent1"/>
              <w:right w:val="single" w:sz="4" w:space="0" w:color="4F81BD"/>
            </w:tcBorders>
          </w:tcPr>
          <w:p w14:paraId="185AA229" w14:textId="77777777" w:rsidR="006F2410" w:rsidRPr="002B1DFC" w:rsidRDefault="006F2410" w:rsidP="006F2410">
            <w:pPr>
              <w:ind w:left="12"/>
              <w:jc w:val="center"/>
              <w:rPr>
                <w:rFonts w:cs="Times New Roman"/>
                <w:sz w:val="20"/>
                <w:szCs w:val="20"/>
              </w:rPr>
            </w:pPr>
            <w:r w:rsidRPr="002B1DFC">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680BC241" w14:textId="77777777" w:rsidR="006F2410"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26281CC5" w14:textId="77777777" w:rsidR="006F2410" w:rsidRDefault="006F2410" w:rsidP="006F2410">
            <w:pPr>
              <w:ind w:left="12"/>
              <w:jc w:val="center"/>
              <w:rPr>
                <w:rFonts w:cs="Times New Roman"/>
                <w:sz w:val="20"/>
                <w:szCs w:val="20"/>
              </w:rPr>
            </w:pPr>
            <w:r>
              <w:rPr>
                <w:rFonts w:cs="Times New Roman"/>
                <w:sz w:val="20"/>
                <w:szCs w:val="20"/>
              </w:rPr>
              <w:t>Relevant sectoral authorities</w:t>
            </w:r>
          </w:p>
        </w:tc>
      </w:tr>
      <w:tr w:rsidR="006F2410" w:rsidRPr="002B1DFC" w14:paraId="15F5FEFA" w14:textId="77777777" w:rsidTr="00356D5F">
        <w:tc>
          <w:tcPr>
            <w:tcW w:w="604" w:type="pct"/>
            <w:vMerge w:val="restart"/>
            <w:tcBorders>
              <w:top w:val="single" w:sz="4" w:space="0" w:color="5B9BD5" w:themeColor="accent1"/>
              <w:bottom w:val="single" w:sz="4" w:space="0" w:color="5B9BD5" w:themeColor="accent1"/>
            </w:tcBorders>
          </w:tcPr>
          <w:p w14:paraId="1B8F16B2" w14:textId="363A1E38" w:rsidR="006F2410" w:rsidRPr="005C6E03" w:rsidRDefault="00A51600" w:rsidP="006F2410">
            <w:pPr>
              <w:pStyle w:val="ListParagraph"/>
              <w:ind w:left="0"/>
              <w:jc w:val="left"/>
              <w:rPr>
                <w:sz w:val="20"/>
                <w:szCs w:val="20"/>
              </w:rPr>
            </w:pPr>
            <w:r w:rsidRPr="00A51600">
              <w:rPr>
                <w:sz w:val="20"/>
                <w:szCs w:val="20"/>
              </w:rPr>
              <w:t>Strengthen mechanisms for setting environmental priorities</w:t>
            </w:r>
          </w:p>
        </w:tc>
        <w:tc>
          <w:tcPr>
            <w:tcW w:w="2783" w:type="pct"/>
            <w:tcBorders>
              <w:top w:val="single" w:sz="4" w:space="0" w:color="5B9BD5" w:themeColor="accent1"/>
              <w:bottom w:val="single" w:sz="4" w:space="0" w:color="5B9BD5" w:themeColor="accent1"/>
            </w:tcBorders>
          </w:tcPr>
          <w:p w14:paraId="5B665F6A" w14:textId="066FAACE" w:rsidR="006F2410" w:rsidRPr="008A7865" w:rsidRDefault="006F2410" w:rsidP="00B76BDA">
            <w:pPr>
              <w:pStyle w:val="ListParagraph"/>
              <w:numPr>
                <w:ilvl w:val="0"/>
                <w:numId w:val="40"/>
              </w:numPr>
              <w:ind w:left="360"/>
              <w:jc w:val="left"/>
              <w:rPr>
                <w:rFonts w:cs="Times New Roman"/>
                <w:sz w:val="20"/>
                <w:szCs w:val="20"/>
              </w:rPr>
            </w:pPr>
            <w:r w:rsidRPr="008A7865">
              <w:rPr>
                <w:rFonts w:cs="Times New Roman"/>
                <w:sz w:val="20"/>
                <w:szCs w:val="20"/>
              </w:rPr>
              <w:t xml:space="preserve">Put in place a system for setting environmental priorities at the national and regional levels that are linked to Ukraine’s economic growth and poverty reduction priorities. An important input into setting priorities is </w:t>
            </w:r>
            <w:r>
              <w:rPr>
                <w:rFonts w:cs="Times New Roman"/>
                <w:sz w:val="20"/>
                <w:szCs w:val="20"/>
              </w:rPr>
              <w:t xml:space="preserve">the cost of environmental degradation study.  </w:t>
            </w:r>
          </w:p>
        </w:tc>
        <w:tc>
          <w:tcPr>
            <w:tcW w:w="537" w:type="pct"/>
            <w:tcBorders>
              <w:top w:val="single" w:sz="4" w:space="0" w:color="5B9BD5" w:themeColor="accent1"/>
              <w:bottom w:val="single" w:sz="4" w:space="0" w:color="5B9BD5" w:themeColor="accent1"/>
              <w:right w:val="single" w:sz="4" w:space="0" w:color="4F81BD"/>
            </w:tcBorders>
          </w:tcPr>
          <w:p w14:paraId="01673A8E" w14:textId="77777777" w:rsidR="006F2410" w:rsidRPr="002B1DFC" w:rsidRDefault="006F2410" w:rsidP="006F2410">
            <w:pPr>
              <w:ind w:left="12"/>
              <w:jc w:val="center"/>
              <w:rPr>
                <w:rFonts w:cs="Times New Roman"/>
                <w:sz w:val="20"/>
                <w:szCs w:val="20"/>
              </w:rPr>
            </w:pPr>
            <w:r>
              <w:rPr>
                <w:rFonts w:cs="Times New Roman"/>
                <w:sz w:val="20"/>
                <w:szCs w:val="20"/>
              </w:rPr>
              <w:t xml:space="preserve">High </w:t>
            </w:r>
          </w:p>
        </w:tc>
        <w:tc>
          <w:tcPr>
            <w:tcW w:w="538" w:type="pct"/>
            <w:tcBorders>
              <w:top w:val="single" w:sz="4" w:space="0" w:color="5B9BD5" w:themeColor="accent1"/>
              <w:bottom w:val="single" w:sz="4" w:space="0" w:color="5B9BD5" w:themeColor="accent1"/>
              <w:right w:val="single" w:sz="4" w:space="0" w:color="4F81BD"/>
            </w:tcBorders>
          </w:tcPr>
          <w:p w14:paraId="703E1347" w14:textId="6EA607DB" w:rsidR="006F2410" w:rsidRDefault="006F2410" w:rsidP="006F2410">
            <w:pPr>
              <w:ind w:left="12"/>
              <w:jc w:val="center"/>
              <w:rPr>
                <w:rFonts w:cs="Times New Roman"/>
                <w:sz w:val="20"/>
                <w:szCs w:val="20"/>
              </w:rPr>
            </w:pPr>
            <w:r>
              <w:rPr>
                <w:rFonts w:cs="Times New Roman"/>
                <w:sz w:val="20"/>
                <w:szCs w:val="20"/>
              </w:rPr>
              <w:t>Short</w:t>
            </w:r>
          </w:p>
        </w:tc>
        <w:tc>
          <w:tcPr>
            <w:tcW w:w="538" w:type="pct"/>
            <w:tcBorders>
              <w:top w:val="single" w:sz="4" w:space="0" w:color="5B9BD5" w:themeColor="accent1"/>
              <w:bottom w:val="single" w:sz="4" w:space="0" w:color="5B9BD5" w:themeColor="accent1"/>
              <w:right w:val="single" w:sz="4" w:space="0" w:color="4F81BD"/>
            </w:tcBorders>
          </w:tcPr>
          <w:p w14:paraId="187685C1" w14:textId="77777777" w:rsidR="006F2410" w:rsidRDefault="006F2410" w:rsidP="006F2410">
            <w:pPr>
              <w:ind w:left="12"/>
              <w:jc w:val="center"/>
              <w:rPr>
                <w:rFonts w:cs="Times New Roman"/>
                <w:sz w:val="20"/>
                <w:szCs w:val="20"/>
              </w:rPr>
            </w:pPr>
            <w:r>
              <w:rPr>
                <w:rFonts w:cs="Times New Roman"/>
                <w:sz w:val="20"/>
                <w:szCs w:val="20"/>
              </w:rPr>
              <w:t>CMU / Local Governments</w:t>
            </w:r>
          </w:p>
        </w:tc>
      </w:tr>
      <w:tr w:rsidR="006F2410" w:rsidRPr="002B1DFC" w14:paraId="465554A6" w14:textId="77777777" w:rsidTr="00356D5F">
        <w:tc>
          <w:tcPr>
            <w:tcW w:w="604" w:type="pct"/>
            <w:vMerge/>
            <w:tcBorders>
              <w:top w:val="single" w:sz="4" w:space="0" w:color="5B9BD5" w:themeColor="accent1"/>
              <w:bottom w:val="single" w:sz="4" w:space="0" w:color="5B9BD5" w:themeColor="accent1"/>
            </w:tcBorders>
          </w:tcPr>
          <w:p w14:paraId="194389B3"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4F065970" w14:textId="77777777" w:rsidR="006F2410" w:rsidRPr="002B1DFC" w:rsidRDefault="006F2410" w:rsidP="006F2410">
            <w:pPr>
              <w:pStyle w:val="ListParagraph"/>
              <w:numPr>
                <w:ilvl w:val="0"/>
                <w:numId w:val="40"/>
              </w:numPr>
              <w:ind w:left="360"/>
              <w:jc w:val="left"/>
              <w:rPr>
                <w:rFonts w:cs="Times New Roman"/>
                <w:sz w:val="20"/>
                <w:szCs w:val="20"/>
              </w:rPr>
            </w:pPr>
            <w:r w:rsidRPr="002B1DFC">
              <w:rPr>
                <w:rFonts w:cs="Times New Roman"/>
                <w:sz w:val="20"/>
                <w:szCs w:val="20"/>
              </w:rPr>
              <w:t>Ensure integration of National Environmental Strategy goals in sectoral and regional plans.</w:t>
            </w:r>
          </w:p>
        </w:tc>
        <w:tc>
          <w:tcPr>
            <w:tcW w:w="537" w:type="pct"/>
            <w:tcBorders>
              <w:top w:val="single" w:sz="4" w:space="0" w:color="5B9BD5" w:themeColor="accent1"/>
              <w:bottom w:val="single" w:sz="4" w:space="0" w:color="5B9BD5" w:themeColor="accent1"/>
              <w:right w:val="single" w:sz="4" w:space="0" w:color="4F81BD"/>
            </w:tcBorders>
          </w:tcPr>
          <w:p w14:paraId="41A20D7B" w14:textId="77777777" w:rsidR="006F2410" w:rsidRPr="002B1DFC" w:rsidRDefault="006F2410" w:rsidP="006F2410">
            <w:pPr>
              <w:ind w:left="12"/>
              <w:jc w:val="center"/>
              <w:rPr>
                <w:rFonts w:cs="Times New Roman"/>
                <w:sz w:val="20"/>
                <w:szCs w:val="20"/>
              </w:rPr>
            </w:pPr>
            <w:r w:rsidRPr="002B1DFC">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00EC01D4" w14:textId="77777777" w:rsidR="006F2410" w:rsidRPr="002B1DFC" w:rsidRDefault="006F2410" w:rsidP="006F2410">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themeColor="accent1"/>
              <w:bottom w:val="single" w:sz="4" w:space="0" w:color="5B9BD5" w:themeColor="accent1"/>
              <w:right w:val="single" w:sz="4" w:space="0" w:color="4F81BD"/>
            </w:tcBorders>
          </w:tcPr>
          <w:p w14:paraId="790EC2D5" w14:textId="77777777" w:rsidR="006F2410" w:rsidRPr="002B1DFC" w:rsidRDefault="006F2410" w:rsidP="006F2410">
            <w:pPr>
              <w:ind w:left="12"/>
              <w:jc w:val="center"/>
              <w:rPr>
                <w:rFonts w:cs="Times New Roman"/>
                <w:sz w:val="20"/>
                <w:szCs w:val="20"/>
              </w:rPr>
            </w:pPr>
            <w:r>
              <w:rPr>
                <w:rFonts w:cs="Times New Roman"/>
                <w:sz w:val="20"/>
                <w:szCs w:val="20"/>
              </w:rPr>
              <w:t>MENR</w:t>
            </w:r>
          </w:p>
        </w:tc>
      </w:tr>
      <w:tr w:rsidR="006F2410" w:rsidRPr="002B1DFC" w14:paraId="0AFE2D28" w14:textId="77777777" w:rsidTr="00356D5F">
        <w:tc>
          <w:tcPr>
            <w:tcW w:w="604" w:type="pct"/>
            <w:vMerge/>
            <w:tcBorders>
              <w:top w:val="single" w:sz="4" w:space="0" w:color="5B9BD5" w:themeColor="accent1"/>
              <w:bottom w:val="single" w:sz="4" w:space="0" w:color="5B9BD5" w:themeColor="accent1"/>
            </w:tcBorders>
          </w:tcPr>
          <w:p w14:paraId="529D3FA4" w14:textId="77777777" w:rsidR="006F2410" w:rsidRPr="005C6E03" w:rsidRDefault="006F2410" w:rsidP="006F2410">
            <w:pPr>
              <w:jc w:val="left"/>
              <w:rPr>
                <w:sz w:val="20"/>
                <w:szCs w:val="20"/>
              </w:rPr>
            </w:pPr>
          </w:p>
        </w:tc>
        <w:tc>
          <w:tcPr>
            <w:tcW w:w="2783" w:type="pct"/>
            <w:tcBorders>
              <w:top w:val="single" w:sz="4" w:space="0" w:color="5B9BD5" w:themeColor="accent1"/>
              <w:bottom w:val="single" w:sz="4" w:space="0" w:color="5B9BD5" w:themeColor="accent1"/>
            </w:tcBorders>
          </w:tcPr>
          <w:p w14:paraId="759F6086" w14:textId="77777777" w:rsidR="006F2410" w:rsidRPr="002B1DFC" w:rsidRDefault="006F2410" w:rsidP="006F2410">
            <w:pPr>
              <w:pStyle w:val="ListParagraph"/>
              <w:numPr>
                <w:ilvl w:val="0"/>
                <w:numId w:val="40"/>
              </w:numPr>
              <w:ind w:left="360"/>
              <w:jc w:val="left"/>
              <w:rPr>
                <w:rFonts w:cs="Times New Roman"/>
                <w:sz w:val="20"/>
                <w:szCs w:val="20"/>
              </w:rPr>
            </w:pPr>
            <w:r w:rsidRPr="002B1DFC">
              <w:rPr>
                <w:rFonts w:cs="Times New Roman"/>
                <w:sz w:val="20"/>
                <w:szCs w:val="20"/>
              </w:rPr>
              <w:t>Ensure the next National Environmental Strategy following year 2020 is prepared in full consultation with key stakeholders, and has clear targets and quantitative indicators.</w:t>
            </w:r>
          </w:p>
        </w:tc>
        <w:tc>
          <w:tcPr>
            <w:tcW w:w="537" w:type="pct"/>
            <w:tcBorders>
              <w:top w:val="single" w:sz="4" w:space="0" w:color="5B9BD5" w:themeColor="accent1"/>
              <w:bottom w:val="single" w:sz="4" w:space="0" w:color="5B9BD5" w:themeColor="accent1"/>
              <w:right w:val="single" w:sz="4" w:space="0" w:color="4F81BD"/>
            </w:tcBorders>
          </w:tcPr>
          <w:p w14:paraId="7E46EEBC" w14:textId="77777777" w:rsidR="006F2410" w:rsidRPr="002B1DFC" w:rsidRDefault="006F2410" w:rsidP="006F2410">
            <w:pPr>
              <w:ind w:left="12"/>
              <w:jc w:val="center"/>
              <w:rPr>
                <w:rFonts w:cs="Times New Roman"/>
                <w:sz w:val="20"/>
                <w:szCs w:val="20"/>
              </w:rPr>
            </w:pPr>
            <w:r w:rsidRPr="002B1DFC">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02419E75" w14:textId="77777777" w:rsidR="006F2410" w:rsidRPr="002B1DFC" w:rsidRDefault="006F2410" w:rsidP="006F2410">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themeColor="accent1"/>
              <w:bottom w:val="single" w:sz="4" w:space="0" w:color="5B9BD5" w:themeColor="accent1"/>
              <w:right w:val="single" w:sz="4" w:space="0" w:color="4F81BD"/>
            </w:tcBorders>
          </w:tcPr>
          <w:p w14:paraId="2A68A13B" w14:textId="77777777" w:rsidR="006F2410" w:rsidRPr="002B1DFC" w:rsidRDefault="006F2410" w:rsidP="006F2410">
            <w:pPr>
              <w:ind w:left="12"/>
              <w:jc w:val="center"/>
              <w:rPr>
                <w:rFonts w:cs="Times New Roman"/>
                <w:sz w:val="20"/>
                <w:szCs w:val="20"/>
              </w:rPr>
            </w:pPr>
            <w:r>
              <w:rPr>
                <w:rFonts w:cs="Times New Roman"/>
                <w:sz w:val="20"/>
                <w:szCs w:val="20"/>
              </w:rPr>
              <w:t>MENR</w:t>
            </w:r>
          </w:p>
        </w:tc>
      </w:tr>
      <w:tr w:rsidR="006F2410" w:rsidRPr="002B1DFC" w14:paraId="33076731" w14:textId="77777777" w:rsidTr="00356D5F">
        <w:tc>
          <w:tcPr>
            <w:tcW w:w="604" w:type="pct"/>
            <w:vMerge/>
            <w:tcBorders>
              <w:top w:val="single" w:sz="4" w:space="0" w:color="5B9BD5" w:themeColor="accent1"/>
              <w:bottom w:val="single" w:sz="4" w:space="0" w:color="5B9BD5" w:themeColor="accent1"/>
            </w:tcBorders>
          </w:tcPr>
          <w:p w14:paraId="5416FE0B"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111CD3C6" w14:textId="728861A1" w:rsidR="006F2410" w:rsidRPr="00B76BDA" w:rsidRDefault="006F2410" w:rsidP="006F2410">
            <w:pPr>
              <w:pStyle w:val="ListParagraph"/>
              <w:numPr>
                <w:ilvl w:val="0"/>
                <w:numId w:val="40"/>
              </w:numPr>
              <w:ind w:left="360"/>
              <w:jc w:val="left"/>
              <w:rPr>
                <w:rFonts w:cs="Times New Roman"/>
                <w:sz w:val="20"/>
                <w:szCs w:val="20"/>
              </w:rPr>
            </w:pPr>
            <w:r w:rsidRPr="006464D4">
              <w:rPr>
                <w:rFonts w:cs="Times New Roman"/>
                <w:sz w:val="20"/>
                <w:szCs w:val="20"/>
              </w:rPr>
              <w:t>Periodically review the impact of economic policy on the environment as well as the economic impact of environmental policies in order to mitigate the negative aspects in a timely manner.</w:t>
            </w:r>
          </w:p>
        </w:tc>
        <w:tc>
          <w:tcPr>
            <w:tcW w:w="537" w:type="pct"/>
            <w:tcBorders>
              <w:top w:val="single" w:sz="4" w:space="0" w:color="5B9BD5" w:themeColor="accent1"/>
              <w:bottom w:val="single" w:sz="4" w:space="0" w:color="5B9BD5" w:themeColor="accent1"/>
              <w:right w:val="single" w:sz="4" w:space="0" w:color="4F81BD"/>
            </w:tcBorders>
          </w:tcPr>
          <w:p w14:paraId="19F51C5D" w14:textId="75164E1A" w:rsidR="006F2410" w:rsidRPr="002B1DFC"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6B4DCF8F" w14:textId="73BF3BF2" w:rsidR="006F2410" w:rsidRPr="002B1DFC" w:rsidRDefault="006F2410" w:rsidP="006F2410">
            <w:pPr>
              <w:ind w:left="12"/>
              <w:jc w:val="center"/>
              <w:rPr>
                <w:rFonts w:cs="Times New Roman"/>
                <w:sz w:val="20"/>
                <w:szCs w:val="20"/>
              </w:rPr>
            </w:pPr>
            <w:r>
              <w:rPr>
                <w:rFonts w:cs="Times New Roman"/>
                <w:sz w:val="20"/>
                <w:szCs w:val="20"/>
              </w:rPr>
              <w:t>Long</w:t>
            </w:r>
          </w:p>
        </w:tc>
        <w:tc>
          <w:tcPr>
            <w:tcW w:w="538" w:type="pct"/>
            <w:tcBorders>
              <w:top w:val="single" w:sz="4" w:space="0" w:color="5B9BD5" w:themeColor="accent1"/>
              <w:bottom w:val="single" w:sz="4" w:space="0" w:color="5B9BD5" w:themeColor="accent1"/>
              <w:right w:val="single" w:sz="4" w:space="0" w:color="4F81BD"/>
            </w:tcBorders>
          </w:tcPr>
          <w:p w14:paraId="23208E7F" w14:textId="0A6BA08A" w:rsidR="006F2410" w:rsidRPr="002B1DFC" w:rsidRDefault="006F2410" w:rsidP="006F2410">
            <w:pPr>
              <w:ind w:left="12"/>
              <w:jc w:val="center"/>
              <w:rPr>
                <w:rFonts w:cs="Times New Roman"/>
                <w:sz w:val="20"/>
                <w:szCs w:val="20"/>
              </w:rPr>
            </w:pPr>
            <w:r>
              <w:rPr>
                <w:rFonts w:cs="Times New Roman"/>
                <w:sz w:val="20"/>
                <w:szCs w:val="20"/>
              </w:rPr>
              <w:t>MENR and OSA</w:t>
            </w:r>
          </w:p>
        </w:tc>
      </w:tr>
      <w:tr w:rsidR="006F2410" w:rsidRPr="002B1DFC" w14:paraId="422909E3" w14:textId="77777777" w:rsidTr="00356D5F">
        <w:tc>
          <w:tcPr>
            <w:tcW w:w="604" w:type="pct"/>
            <w:vMerge w:val="restart"/>
            <w:tcBorders>
              <w:top w:val="single" w:sz="4" w:space="0" w:color="5B9BD5" w:themeColor="accent1"/>
              <w:bottom w:val="single" w:sz="4" w:space="0" w:color="5B9BD5" w:themeColor="accent1"/>
            </w:tcBorders>
          </w:tcPr>
          <w:p w14:paraId="30DBDC24" w14:textId="5DFA77B7" w:rsidR="006F2410" w:rsidRPr="005C6E03" w:rsidRDefault="006F2410" w:rsidP="006F2410">
            <w:pPr>
              <w:pStyle w:val="ListParagraph"/>
              <w:ind w:left="0"/>
              <w:jc w:val="left"/>
              <w:rPr>
                <w:rFonts w:cs="Times New Roman"/>
                <w:sz w:val="20"/>
                <w:szCs w:val="20"/>
              </w:rPr>
            </w:pPr>
            <w:r w:rsidRPr="00C26464">
              <w:rPr>
                <w:sz w:val="20"/>
                <w:szCs w:val="20"/>
              </w:rPr>
              <w:t xml:space="preserve">Build effectiveness of the environmental institutions by improving </w:t>
            </w:r>
            <w:r w:rsidRPr="00C26464">
              <w:rPr>
                <w:sz w:val="20"/>
                <w:szCs w:val="20"/>
              </w:rPr>
              <w:lastRenderedPageBreak/>
              <w:t>coordination and streamlining mandate</w:t>
            </w:r>
            <w:r w:rsidR="00C320FA">
              <w:rPr>
                <w:sz w:val="20"/>
                <w:szCs w:val="20"/>
              </w:rPr>
              <w:t>s across the different agencies</w:t>
            </w:r>
          </w:p>
        </w:tc>
        <w:tc>
          <w:tcPr>
            <w:tcW w:w="2783" w:type="pct"/>
            <w:tcBorders>
              <w:top w:val="single" w:sz="4" w:space="0" w:color="5B9BD5" w:themeColor="accent1"/>
              <w:bottom w:val="single" w:sz="4" w:space="0" w:color="5B9BD5" w:themeColor="accent1"/>
            </w:tcBorders>
          </w:tcPr>
          <w:p w14:paraId="7D9915EF" w14:textId="7449E2CA"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lastRenderedPageBreak/>
              <w:t>Establish a clear mechanism of coordination and monitoring activity in order to avoid double functions between different organizations, and consolidate this mechanism at the legislative level introducing appropriate changes to current legal acts.</w:t>
            </w:r>
          </w:p>
        </w:tc>
        <w:tc>
          <w:tcPr>
            <w:tcW w:w="537" w:type="pct"/>
            <w:tcBorders>
              <w:top w:val="single" w:sz="4" w:space="0" w:color="5B9BD5" w:themeColor="accent1"/>
              <w:bottom w:val="single" w:sz="4" w:space="0" w:color="5B9BD5" w:themeColor="accent1"/>
              <w:right w:val="single" w:sz="4" w:space="0" w:color="4F81BD"/>
            </w:tcBorders>
          </w:tcPr>
          <w:p w14:paraId="74EB6F40" w14:textId="77777777" w:rsidR="006F2410" w:rsidRPr="002B1DFC" w:rsidRDefault="006F2410" w:rsidP="006F2410">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0717ED27" w14:textId="77777777" w:rsidR="006F2410" w:rsidRPr="002B1DFC" w:rsidRDefault="006F2410" w:rsidP="006F2410">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themeColor="accent1"/>
              <w:bottom w:val="single" w:sz="4" w:space="0" w:color="5B9BD5" w:themeColor="accent1"/>
              <w:right w:val="single" w:sz="4" w:space="0" w:color="4F81BD"/>
            </w:tcBorders>
          </w:tcPr>
          <w:p w14:paraId="3BF1B13B" w14:textId="77777777" w:rsidR="006F2410" w:rsidRPr="002B1DFC" w:rsidRDefault="006F2410" w:rsidP="006F2410">
            <w:pPr>
              <w:ind w:left="12"/>
              <w:jc w:val="center"/>
              <w:rPr>
                <w:rFonts w:cs="Times New Roman"/>
                <w:sz w:val="20"/>
                <w:szCs w:val="20"/>
              </w:rPr>
            </w:pPr>
            <w:r>
              <w:rPr>
                <w:rFonts w:cs="Times New Roman"/>
                <w:sz w:val="20"/>
                <w:szCs w:val="20"/>
              </w:rPr>
              <w:t>CMU / MENR / SEI / OSA</w:t>
            </w:r>
          </w:p>
        </w:tc>
      </w:tr>
      <w:tr w:rsidR="006F2410" w:rsidRPr="002B1DFC" w14:paraId="4AF9AEA1" w14:textId="77777777" w:rsidTr="00356D5F">
        <w:tc>
          <w:tcPr>
            <w:tcW w:w="604" w:type="pct"/>
            <w:vMerge/>
            <w:tcBorders>
              <w:top w:val="single" w:sz="4" w:space="0" w:color="5B9BD5" w:themeColor="accent1"/>
              <w:bottom w:val="single" w:sz="4" w:space="0" w:color="5B9BD5" w:themeColor="accent1"/>
            </w:tcBorders>
          </w:tcPr>
          <w:p w14:paraId="5B4F718D" w14:textId="77777777" w:rsidR="006F2410" w:rsidRPr="005C6E03" w:rsidRDefault="006F2410" w:rsidP="006F2410">
            <w:pPr>
              <w:pStyle w:val="ListParagraph"/>
              <w:ind w:left="0"/>
              <w:jc w:val="left"/>
              <w:rPr>
                <w:sz w:val="20"/>
                <w:szCs w:val="20"/>
              </w:rPr>
            </w:pPr>
          </w:p>
        </w:tc>
        <w:tc>
          <w:tcPr>
            <w:tcW w:w="2783" w:type="pct"/>
            <w:tcBorders>
              <w:top w:val="single" w:sz="4" w:space="0" w:color="5B9BD5" w:themeColor="accent1"/>
              <w:bottom w:val="single" w:sz="4" w:space="0" w:color="5B9BD5" w:themeColor="accent1"/>
            </w:tcBorders>
          </w:tcPr>
          <w:p w14:paraId="11C42164" w14:textId="3D9B0204" w:rsidR="006F2410" w:rsidRPr="00B76BDA" w:rsidRDefault="006F2410">
            <w:pPr>
              <w:pStyle w:val="ListParagraph"/>
              <w:numPr>
                <w:ilvl w:val="0"/>
                <w:numId w:val="40"/>
              </w:numPr>
              <w:ind w:left="360"/>
              <w:jc w:val="left"/>
              <w:rPr>
                <w:rFonts w:cs="Times New Roman"/>
                <w:sz w:val="20"/>
                <w:szCs w:val="20"/>
              </w:rPr>
            </w:pPr>
            <w:r w:rsidRPr="00B76BDA">
              <w:rPr>
                <w:rFonts w:cs="Times New Roman"/>
                <w:sz w:val="20"/>
                <w:szCs w:val="20"/>
              </w:rPr>
              <w:t xml:space="preserve">Strengthen the capacity of MENR in line with the reform and requirements of the </w:t>
            </w:r>
            <w:r w:rsidR="00E46760">
              <w:rPr>
                <w:rFonts w:cs="Times New Roman"/>
                <w:sz w:val="20"/>
                <w:szCs w:val="20"/>
              </w:rPr>
              <w:t xml:space="preserve">EU-Ukraine </w:t>
            </w:r>
            <w:r w:rsidRPr="00B76BDA">
              <w:rPr>
                <w:rFonts w:cs="Times New Roman"/>
                <w:sz w:val="20"/>
                <w:szCs w:val="20"/>
              </w:rPr>
              <w:t xml:space="preserve">Association Agreement. </w:t>
            </w:r>
          </w:p>
        </w:tc>
        <w:tc>
          <w:tcPr>
            <w:tcW w:w="537" w:type="pct"/>
            <w:tcBorders>
              <w:top w:val="single" w:sz="4" w:space="0" w:color="5B9BD5" w:themeColor="accent1"/>
              <w:bottom w:val="single" w:sz="4" w:space="0" w:color="5B9BD5" w:themeColor="accent1"/>
              <w:right w:val="single" w:sz="4" w:space="0" w:color="4F81BD"/>
            </w:tcBorders>
          </w:tcPr>
          <w:p w14:paraId="2C41B3C6" w14:textId="7BAC8482" w:rsidR="006F2410" w:rsidRPr="002B1DFC" w:rsidRDefault="006F2410" w:rsidP="006F2410">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6F9A807A" w14:textId="24645CB3" w:rsidR="006F2410" w:rsidRDefault="006F2410" w:rsidP="006F2410">
            <w:pPr>
              <w:ind w:left="12"/>
              <w:jc w:val="center"/>
              <w:rPr>
                <w:rFonts w:cs="Times New Roman"/>
                <w:sz w:val="20"/>
                <w:szCs w:val="20"/>
              </w:rPr>
            </w:pPr>
            <w:r>
              <w:rPr>
                <w:rFonts w:cs="Times New Roman"/>
                <w:sz w:val="20"/>
                <w:szCs w:val="20"/>
              </w:rPr>
              <w:t xml:space="preserve">Medium – long </w:t>
            </w:r>
          </w:p>
        </w:tc>
        <w:tc>
          <w:tcPr>
            <w:tcW w:w="538" w:type="pct"/>
            <w:tcBorders>
              <w:top w:val="single" w:sz="4" w:space="0" w:color="5B9BD5" w:themeColor="accent1"/>
              <w:bottom w:val="single" w:sz="4" w:space="0" w:color="5B9BD5" w:themeColor="accent1"/>
              <w:right w:val="single" w:sz="4" w:space="0" w:color="4F81BD"/>
            </w:tcBorders>
          </w:tcPr>
          <w:p w14:paraId="153FC873" w14:textId="3945010A" w:rsidR="006F2410" w:rsidRDefault="006F2410" w:rsidP="006F2410">
            <w:pPr>
              <w:ind w:left="12"/>
              <w:jc w:val="center"/>
              <w:rPr>
                <w:rFonts w:cs="Times New Roman"/>
                <w:sz w:val="20"/>
                <w:szCs w:val="20"/>
              </w:rPr>
            </w:pPr>
            <w:r>
              <w:rPr>
                <w:rFonts w:cs="Times New Roman"/>
                <w:sz w:val="20"/>
                <w:szCs w:val="20"/>
              </w:rPr>
              <w:t>CMU / MENR</w:t>
            </w:r>
          </w:p>
        </w:tc>
      </w:tr>
      <w:tr w:rsidR="006F2410" w:rsidRPr="002B1DFC" w14:paraId="585B2C06" w14:textId="77777777" w:rsidTr="00356D5F">
        <w:tc>
          <w:tcPr>
            <w:tcW w:w="604" w:type="pct"/>
            <w:vMerge/>
            <w:tcBorders>
              <w:top w:val="single" w:sz="4" w:space="0" w:color="5B9BD5" w:themeColor="accent1"/>
              <w:bottom w:val="single" w:sz="4" w:space="0" w:color="5B9BD5" w:themeColor="accent1"/>
            </w:tcBorders>
          </w:tcPr>
          <w:p w14:paraId="3B6D210E"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6499FCE3" w14:textId="518E48F5" w:rsidR="006F2410" w:rsidRPr="00F53FEA" w:rsidRDefault="006F2410">
            <w:pPr>
              <w:pStyle w:val="ListParagraph"/>
              <w:numPr>
                <w:ilvl w:val="0"/>
                <w:numId w:val="40"/>
              </w:numPr>
              <w:ind w:left="360"/>
              <w:jc w:val="left"/>
              <w:rPr>
                <w:rFonts w:cs="Times New Roman"/>
                <w:sz w:val="20"/>
                <w:szCs w:val="20"/>
              </w:rPr>
            </w:pPr>
            <w:r w:rsidRPr="00F53FEA">
              <w:rPr>
                <w:rFonts w:cs="Times New Roman"/>
                <w:sz w:val="20"/>
                <w:szCs w:val="20"/>
              </w:rPr>
              <w:t xml:space="preserve">Strengthen the capacity of other central government </w:t>
            </w:r>
            <w:r w:rsidR="00E46760">
              <w:rPr>
                <w:rFonts w:cs="Times New Roman"/>
                <w:sz w:val="20"/>
                <w:szCs w:val="20"/>
              </w:rPr>
              <w:t>agencies</w:t>
            </w:r>
            <w:r w:rsidR="00E46760" w:rsidRPr="00F53FEA">
              <w:rPr>
                <w:rFonts w:cs="Times New Roman"/>
                <w:sz w:val="20"/>
                <w:szCs w:val="20"/>
              </w:rPr>
              <w:t xml:space="preserve"> </w:t>
            </w:r>
            <w:r w:rsidRPr="00F53FEA">
              <w:rPr>
                <w:rFonts w:cs="Times New Roman"/>
                <w:sz w:val="20"/>
                <w:szCs w:val="20"/>
              </w:rPr>
              <w:t>responsible for environmental and natural resources management</w:t>
            </w:r>
          </w:p>
        </w:tc>
        <w:tc>
          <w:tcPr>
            <w:tcW w:w="537" w:type="pct"/>
            <w:tcBorders>
              <w:top w:val="single" w:sz="4" w:space="0" w:color="5B9BD5" w:themeColor="accent1"/>
              <w:bottom w:val="single" w:sz="4" w:space="0" w:color="5B9BD5" w:themeColor="accent1"/>
              <w:right w:val="single" w:sz="4" w:space="0" w:color="4F81BD"/>
            </w:tcBorders>
          </w:tcPr>
          <w:p w14:paraId="02877266" w14:textId="77777777" w:rsidR="006F2410" w:rsidRPr="002B1DFC" w:rsidRDefault="006F2410" w:rsidP="006F2410">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213C760B" w14:textId="77777777" w:rsidR="006F2410" w:rsidRPr="002B1DFC"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27894650" w14:textId="77777777" w:rsidR="006F2410" w:rsidRPr="002B1DFC" w:rsidRDefault="006F2410" w:rsidP="006F2410">
            <w:pPr>
              <w:ind w:left="12"/>
              <w:jc w:val="center"/>
              <w:rPr>
                <w:rFonts w:cs="Times New Roman"/>
                <w:sz w:val="20"/>
                <w:szCs w:val="20"/>
              </w:rPr>
            </w:pPr>
            <w:r>
              <w:rPr>
                <w:rFonts w:cs="Times New Roman"/>
                <w:sz w:val="20"/>
                <w:szCs w:val="20"/>
              </w:rPr>
              <w:t>MENR / Central authorities</w:t>
            </w:r>
          </w:p>
        </w:tc>
      </w:tr>
      <w:tr w:rsidR="006F2410" w:rsidRPr="002B1DFC" w14:paraId="79382A0F" w14:textId="77777777" w:rsidTr="00356D5F">
        <w:tc>
          <w:tcPr>
            <w:tcW w:w="604" w:type="pct"/>
            <w:vMerge/>
            <w:tcBorders>
              <w:top w:val="single" w:sz="4" w:space="0" w:color="5B9BD5" w:themeColor="accent1"/>
              <w:bottom w:val="single" w:sz="4" w:space="0" w:color="5B9BD5" w:themeColor="accent1"/>
            </w:tcBorders>
          </w:tcPr>
          <w:p w14:paraId="3C7764A7"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4B5D3E19" w14:textId="7E11D746" w:rsidR="006F2410" w:rsidRPr="00B76BD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 xml:space="preserve">Review the functions, responsibilities and subordination in the sphere of environmental management between the Ministry of Ecology and Natural Resources and other ministries, agencies and local authorities. </w:t>
            </w:r>
          </w:p>
        </w:tc>
        <w:tc>
          <w:tcPr>
            <w:tcW w:w="537" w:type="pct"/>
            <w:tcBorders>
              <w:top w:val="single" w:sz="4" w:space="0" w:color="5B9BD5" w:themeColor="accent1"/>
              <w:bottom w:val="single" w:sz="4" w:space="0" w:color="5B9BD5" w:themeColor="accent1"/>
              <w:right w:val="single" w:sz="4" w:space="0" w:color="4F81BD"/>
            </w:tcBorders>
          </w:tcPr>
          <w:p w14:paraId="53242058" w14:textId="57170F9A" w:rsidR="006F2410" w:rsidRPr="002B1DFC"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2BF9B2F3" w14:textId="2ABE6342" w:rsidR="006F2410"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2552EC18" w14:textId="64F2AC6C" w:rsidR="006F2410" w:rsidRDefault="006F2410" w:rsidP="006F2410">
            <w:pPr>
              <w:ind w:left="12"/>
              <w:jc w:val="center"/>
              <w:rPr>
                <w:rFonts w:cs="Times New Roman"/>
                <w:sz w:val="20"/>
                <w:szCs w:val="20"/>
              </w:rPr>
            </w:pPr>
            <w:r>
              <w:rPr>
                <w:rFonts w:cs="Times New Roman"/>
                <w:sz w:val="20"/>
                <w:szCs w:val="20"/>
              </w:rPr>
              <w:t>CMU and OSA</w:t>
            </w:r>
          </w:p>
        </w:tc>
      </w:tr>
      <w:tr w:rsidR="006F2410" w:rsidRPr="002B1DFC" w14:paraId="580A3EAF" w14:textId="77777777" w:rsidTr="00356D5F">
        <w:tc>
          <w:tcPr>
            <w:tcW w:w="604" w:type="pct"/>
            <w:vMerge/>
            <w:tcBorders>
              <w:top w:val="single" w:sz="4" w:space="0" w:color="5B9BD5" w:themeColor="accent1"/>
              <w:bottom w:val="single" w:sz="4" w:space="0" w:color="5B9BD5" w:themeColor="accent1"/>
            </w:tcBorders>
          </w:tcPr>
          <w:p w14:paraId="55EA720C"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1E261B71" w14:textId="24C63060" w:rsidR="006F2410" w:rsidRPr="00B76BD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 xml:space="preserve">Enhance and provide appropriate capacity building and personnel training for state bodies regarding environmental management and principle of sustainable development at the national and local levels with involvement of private sector and civil societies. This activity should take into account all requirements of the Association Agreement between the EU and Ukraine and the commitments that should be achieved according to this treaty. </w:t>
            </w:r>
          </w:p>
        </w:tc>
        <w:tc>
          <w:tcPr>
            <w:tcW w:w="537" w:type="pct"/>
            <w:tcBorders>
              <w:top w:val="single" w:sz="4" w:space="0" w:color="5B9BD5" w:themeColor="accent1"/>
              <w:bottom w:val="single" w:sz="4" w:space="0" w:color="5B9BD5" w:themeColor="accent1"/>
              <w:right w:val="single" w:sz="4" w:space="0" w:color="4F81BD"/>
            </w:tcBorders>
          </w:tcPr>
          <w:p w14:paraId="36F772CD" w14:textId="4CCD9615" w:rsidR="006F2410" w:rsidRPr="002B1DFC"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4DFBF784" w14:textId="06037E39" w:rsidR="006F2410" w:rsidRDefault="006F2410" w:rsidP="006F2410">
            <w:pPr>
              <w:ind w:left="12"/>
              <w:jc w:val="center"/>
              <w:rPr>
                <w:rFonts w:cs="Times New Roman"/>
                <w:sz w:val="20"/>
                <w:szCs w:val="20"/>
              </w:rPr>
            </w:pPr>
            <w:r>
              <w:rPr>
                <w:rFonts w:cs="Times New Roman"/>
                <w:sz w:val="20"/>
                <w:szCs w:val="20"/>
              </w:rPr>
              <w:t>Short</w:t>
            </w:r>
          </w:p>
        </w:tc>
        <w:tc>
          <w:tcPr>
            <w:tcW w:w="538" w:type="pct"/>
            <w:tcBorders>
              <w:top w:val="single" w:sz="4" w:space="0" w:color="5B9BD5" w:themeColor="accent1"/>
              <w:bottom w:val="single" w:sz="4" w:space="0" w:color="5B9BD5" w:themeColor="accent1"/>
              <w:right w:val="single" w:sz="4" w:space="0" w:color="4F81BD"/>
            </w:tcBorders>
          </w:tcPr>
          <w:p w14:paraId="56536303" w14:textId="4F0DF4F9" w:rsidR="006F2410" w:rsidRDefault="006F2410" w:rsidP="006F2410">
            <w:pPr>
              <w:ind w:left="12"/>
              <w:jc w:val="center"/>
              <w:rPr>
                <w:rFonts w:cs="Times New Roman"/>
                <w:sz w:val="20"/>
                <w:szCs w:val="20"/>
              </w:rPr>
            </w:pPr>
            <w:r>
              <w:rPr>
                <w:rFonts w:cs="Times New Roman"/>
                <w:sz w:val="20"/>
                <w:szCs w:val="20"/>
              </w:rPr>
              <w:t>MENR</w:t>
            </w:r>
          </w:p>
        </w:tc>
      </w:tr>
      <w:tr w:rsidR="006F2410" w:rsidRPr="002B1DFC" w14:paraId="370F4471" w14:textId="77777777" w:rsidTr="00356D5F">
        <w:tc>
          <w:tcPr>
            <w:tcW w:w="604" w:type="pct"/>
            <w:vMerge w:val="restart"/>
            <w:tcBorders>
              <w:top w:val="single" w:sz="4" w:space="0" w:color="5B9BD5" w:themeColor="accent1"/>
              <w:bottom w:val="single" w:sz="4" w:space="0" w:color="5B9BD5" w:themeColor="accent1"/>
            </w:tcBorders>
          </w:tcPr>
          <w:p w14:paraId="5DDBDAE2" w14:textId="5A91B64B" w:rsidR="006F2410" w:rsidRPr="005C6E03" w:rsidRDefault="006F2410">
            <w:pPr>
              <w:pStyle w:val="ListParagraph"/>
              <w:ind w:left="0"/>
              <w:jc w:val="left"/>
              <w:rPr>
                <w:sz w:val="20"/>
                <w:szCs w:val="20"/>
              </w:rPr>
            </w:pPr>
            <w:r w:rsidRPr="005C6E03">
              <w:rPr>
                <w:sz w:val="20"/>
                <w:szCs w:val="20"/>
              </w:rPr>
              <w:t xml:space="preserve">Build the capacity for environmental management </w:t>
            </w:r>
            <w:r>
              <w:rPr>
                <w:sz w:val="20"/>
                <w:szCs w:val="20"/>
              </w:rPr>
              <w:t xml:space="preserve">at the </w:t>
            </w:r>
            <w:r w:rsidR="00A51600">
              <w:rPr>
                <w:sz w:val="20"/>
                <w:szCs w:val="20"/>
              </w:rPr>
              <w:t>regional</w:t>
            </w:r>
            <w:r>
              <w:rPr>
                <w:sz w:val="20"/>
                <w:szCs w:val="20"/>
              </w:rPr>
              <w:t xml:space="preserve"> level</w:t>
            </w:r>
          </w:p>
        </w:tc>
        <w:tc>
          <w:tcPr>
            <w:tcW w:w="2783" w:type="pct"/>
            <w:tcBorders>
              <w:top w:val="single" w:sz="4" w:space="0" w:color="5B9BD5" w:themeColor="accent1"/>
              <w:bottom w:val="single" w:sz="4" w:space="0" w:color="5B9BD5" w:themeColor="accent1"/>
            </w:tcBorders>
          </w:tcPr>
          <w:p w14:paraId="5668FCD2" w14:textId="77777777"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Clarify the responsibilities of the regional OSA departments as per current legislation</w:t>
            </w:r>
          </w:p>
        </w:tc>
        <w:tc>
          <w:tcPr>
            <w:tcW w:w="537" w:type="pct"/>
            <w:tcBorders>
              <w:top w:val="single" w:sz="4" w:space="0" w:color="5B9BD5" w:themeColor="accent1"/>
              <w:bottom w:val="single" w:sz="4" w:space="0" w:color="5B9BD5" w:themeColor="accent1"/>
              <w:right w:val="single" w:sz="4" w:space="0" w:color="4F81BD"/>
            </w:tcBorders>
          </w:tcPr>
          <w:p w14:paraId="14B7F3A3" w14:textId="77777777" w:rsidR="006F2410" w:rsidRPr="002B1DFC"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700A648A" w14:textId="77777777" w:rsidR="006F2410" w:rsidRDefault="006F2410" w:rsidP="006F2410">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themeColor="accent1"/>
              <w:bottom w:val="single" w:sz="4" w:space="0" w:color="5B9BD5" w:themeColor="accent1"/>
              <w:right w:val="single" w:sz="4" w:space="0" w:color="4F81BD"/>
            </w:tcBorders>
          </w:tcPr>
          <w:p w14:paraId="59C00867" w14:textId="77777777" w:rsidR="006F2410" w:rsidRDefault="006F2410" w:rsidP="006F2410">
            <w:pPr>
              <w:ind w:left="12"/>
              <w:jc w:val="center"/>
              <w:rPr>
                <w:rFonts w:cs="Times New Roman"/>
                <w:sz w:val="20"/>
                <w:szCs w:val="20"/>
              </w:rPr>
            </w:pPr>
            <w:r>
              <w:rPr>
                <w:rFonts w:cs="Times New Roman"/>
                <w:sz w:val="20"/>
                <w:szCs w:val="20"/>
              </w:rPr>
              <w:t>OSAs / CMU</w:t>
            </w:r>
          </w:p>
        </w:tc>
      </w:tr>
      <w:tr w:rsidR="006F2410" w:rsidRPr="002B1DFC" w14:paraId="285E9F3C" w14:textId="77777777" w:rsidTr="00356D5F">
        <w:tc>
          <w:tcPr>
            <w:tcW w:w="604" w:type="pct"/>
            <w:vMerge/>
            <w:tcBorders>
              <w:top w:val="single" w:sz="4" w:space="0" w:color="5B9BD5" w:themeColor="accent1"/>
              <w:bottom w:val="single" w:sz="4" w:space="0" w:color="5B9BD5" w:themeColor="accent1"/>
            </w:tcBorders>
          </w:tcPr>
          <w:p w14:paraId="5FC1618A" w14:textId="77777777" w:rsidR="006F2410" w:rsidRPr="005C6E03" w:rsidRDefault="006F2410" w:rsidP="006F2410">
            <w:pPr>
              <w:pStyle w:val="ListParagraph"/>
              <w:ind w:left="0"/>
              <w:jc w:val="left"/>
              <w:rPr>
                <w:sz w:val="20"/>
                <w:szCs w:val="20"/>
              </w:rPr>
            </w:pPr>
          </w:p>
        </w:tc>
        <w:tc>
          <w:tcPr>
            <w:tcW w:w="2783" w:type="pct"/>
            <w:tcBorders>
              <w:top w:val="single" w:sz="4" w:space="0" w:color="5B9BD5" w:themeColor="accent1"/>
              <w:bottom w:val="single" w:sz="4" w:space="0" w:color="5B9BD5" w:themeColor="accent1"/>
            </w:tcBorders>
          </w:tcPr>
          <w:p w14:paraId="18C7D7B5" w14:textId="77777777"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Establish consultation mechanism to ensure broad participation in defining environmental management functions, roles and responsibilities at regional and central levels.</w:t>
            </w:r>
          </w:p>
        </w:tc>
        <w:tc>
          <w:tcPr>
            <w:tcW w:w="537" w:type="pct"/>
            <w:tcBorders>
              <w:top w:val="single" w:sz="4" w:space="0" w:color="5B9BD5" w:themeColor="accent1"/>
              <w:bottom w:val="single" w:sz="4" w:space="0" w:color="5B9BD5" w:themeColor="accent1"/>
              <w:right w:val="single" w:sz="4" w:space="0" w:color="4F81BD"/>
            </w:tcBorders>
          </w:tcPr>
          <w:p w14:paraId="45AAF5CC" w14:textId="77777777" w:rsidR="006F2410"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4AA4720B" w14:textId="77777777" w:rsidR="006F2410" w:rsidRDefault="006F2410" w:rsidP="006F2410">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themeColor="accent1"/>
              <w:bottom w:val="single" w:sz="4" w:space="0" w:color="5B9BD5" w:themeColor="accent1"/>
              <w:right w:val="single" w:sz="4" w:space="0" w:color="4F81BD"/>
            </w:tcBorders>
          </w:tcPr>
          <w:p w14:paraId="21B7EF28" w14:textId="77777777" w:rsidR="006F2410" w:rsidRDefault="006F2410" w:rsidP="006F2410">
            <w:pPr>
              <w:ind w:left="12"/>
              <w:jc w:val="center"/>
              <w:rPr>
                <w:rFonts w:cs="Times New Roman"/>
                <w:sz w:val="20"/>
                <w:szCs w:val="20"/>
              </w:rPr>
            </w:pPr>
            <w:r>
              <w:rPr>
                <w:rFonts w:cs="Times New Roman"/>
                <w:sz w:val="20"/>
                <w:szCs w:val="20"/>
              </w:rPr>
              <w:t>CMU / MENR / OSA</w:t>
            </w:r>
          </w:p>
        </w:tc>
      </w:tr>
      <w:tr w:rsidR="006F2410" w:rsidRPr="002B1DFC" w14:paraId="61885B80" w14:textId="77777777" w:rsidTr="00356D5F">
        <w:tc>
          <w:tcPr>
            <w:tcW w:w="604" w:type="pct"/>
            <w:vMerge/>
            <w:tcBorders>
              <w:top w:val="single" w:sz="4" w:space="0" w:color="5B9BD5" w:themeColor="accent1"/>
              <w:bottom w:val="single" w:sz="4" w:space="0" w:color="5B9BD5" w:themeColor="accent1"/>
            </w:tcBorders>
          </w:tcPr>
          <w:p w14:paraId="510F8222"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5B003B2D" w14:textId="77777777"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Provide technical assistance to regional organs and municipalities in  implementation of their responsibilities in the area of environmental management</w:t>
            </w:r>
          </w:p>
        </w:tc>
        <w:tc>
          <w:tcPr>
            <w:tcW w:w="537" w:type="pct"/>
            <w:tcBorders>
              <w:top w:val="single" w:sz="4" w:space="0" w:color="5B9BD5" w:themeColor="accent1"/>
              <w:bottom w:val="single" w:sz="4" w:space="0" w:color="5B9BD5" w:themeColor="accent1"/>
              <w:right w:val="single" w:sz="4" w:space="0" w:color="4F81BD"/>
            </w:tcBorders>
          </w:tcPr>
          <w:p w14:paraId="32EB0B9C" w14:textId="77777777" w:rsidR="006F2410" w:rsidRPr="002B1DFC" w:rsidRDefault="006F2410" w:rsidP="006F2410">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7E29267A" w14:textId="77777777" w:rsidR="006F2410" w:rsidRPr="002B1DFC" w:rsidRDefault="006F2410" w:rsidP="006F2410">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themeColor="accent1"/>
              <w:bottom w:val="single" w:sz="4" w:space="0" w:color="5B9BD5" w:themeColor="accent1"/>
              <w:right w:val="single" w:sz="4" w:space="0" w:color="4F81BD"/>
            </w:tcBorders>
          </w:tcPr>
          <w:p w14:paraId="0BB6091D" w14:textId="77777777" w:rsidR="006F2410" w:rsidRPr="002B1DFC" w:rsidRDefault="006F2410" w:rsidP="006F2410">
            <w:pPr>
              <w:ind w:left="12"/>
              <w:jc w:val="center"/>
              <w:rPr>
                <w:rFonts w:cs="Times New Roman"/>
                <w:sz w:val="20"/>
                <w:szCs w:val="20"/>
              </w:rPr>
            </w:pPr>
            <w:r>
              <w:rPr>
                <w:rFonts w:cs="Times New Roman"/>
                <w:sz w:val="20"/>
                <w:szCs w:val="20"/>
              </w:rPr>
              <w:t>MENR / OSA</w:t>
            </w:r>
          </w:p>
        </w:tc>
      </w:tr>
      <w:tr w:rsidR="006F2410" w:rsidRPr="002B1DFC" w14:paraId="3DE05709" w14:textId="77777777" w:rsidTr="00356D5F">
        <w:tc>
          <w:tcPr>
            <w:tcW w:w="604" w:type="pct"/>
            <w:vMerge/>
            <w:tcBorders>
              <w:top w:val="single" w:sz="4" w:space="0" w:color="5B9BD5" w:themeColor="accent1"/>
              <w:bottom w:val="single" w:sz="4" w:space="0" w:color="5B9BD5" w:themeColor="accent1"/>
            </w:tcBorders>
          </w:tcPr>
          <w:p w14:paraId="472B1FA8" w14:textId="77777777" w:rsidR="006F2410" w:rsidRPr="005C6E03" w:rsidRDefault="006F2410" w:rsidP="006F2410">
            <w:pPr>
              <w:pStyle w:val="ListParagraph"/>
              <w:ind w:left="0"/>
              <w:jc w:val="left"/>
              <w:rPr>
                <w:sz w:val="20"/>
                <w:szCs w:val="20"/>
              </w:rPr>
            </w:pPr>
          </w:p>
        </w:tc>
        <w:tc>
          <w:tcPr>
            <w:tcW w:w="2783" w:type="pct"/>
            <w:tcBorders>
              <w:top w:val="single" w:sz="4" w:space="0" w:color="5B9BD5" w:themeColor="accent1"/>
              <w:bottom w:val="single" w:sz="4" w:space="0" w:color="5B9BD5" w:themeColor="accent1"/>
            </w:tcBorders>
          </w:tcPr>
          <w:p w14:paraId="5C6A47EC" w14:textId="45C6C47E"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Delineate responsibilities between the central and regional levels of environmental management</w:t>
            </w:r>
            <w:r w:rsidR="0098117C">
              <w:rPr>
                <w:rFonts w:cs="Times New Roman"/>
                <w:sz w:val="20"/>
                <w:szCs w:val="20"/>
              </w:rPr>
              <w:t xml:space="preserve"> based on functional and public environmental expenditure reviews.</w:t>
            </w:r>
          </w:p>
        </w:tc>
        <w:tc>
          <w:tcPr>
            <w:tcW w:w="537" w:type="pct"/>
            <w:tcBorders>
              <w:top w:val="single" w:sz="4" w:space="0" w:color="5B9BD5" w:themeColor="accent1"/>
              <w:bottom w:val="single" w:sz="4" w:space="0" w:color="5B9BD5" w:themeColor="accent1"/>
              <w:right w:val="single" w:sz="4" w:space="0" w:color="4F81BD"/>
            </w:tcBorders>
          </w:tcPr>
          <w:p w14:paraId="7456050B" w14:textId="77777777" w:rsidR="006F2410"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230C6ECF" w14:textId="77777777" w:rsidR="006F2410"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2F03BFC3" w14:textId="77777777" w:rsidR="006F2410" w:rsidRDefault="006F2410" w:rsidP="006F2410">
            <w:pPr>
              <w:ind w:left="12"/>
              <w:jc w:val="center"/>
              <w:rPr>
                <w:rFonts w:cs="Times New Roman"/>
                <w:sz w:val="20"/>
                <w:szCs w:val="20"/>
              </w:rPr>
            </w:pPr>
            <w:r>
              <w:rPr>
                <w:rFonts w:cs="Times New Roman"/>
                <w:sz w:val="20"/>
                <w:szCs w:val="20"/>
              </w:rPr>
              <w:t>CMU / MENR / OSA</w:t>
            </w:r>
          </w:p>
        </w:tc>
      </w:tr>
      <w:tr w:rsidR="006F2410" w:rsidRPr="002B1DFC" w14:paraId="3D9AE711" w14:textId="77777777" w:rsidTr="00356D5F">
        <w:tc>
          <w:tcPr>
            <w:tcW w:w="604" w:type="pct"/>
            <w:vMerge/>
            <w:tcBorders>
              <w:top w:val="single" w:sz="4" w:space="0" w:color="5B9BD5" w:themeColor="accent1"/>
              <w:bottom w:val="single" w:sz="4" w:space="0" w:color="5B9BD5" w:themeColor="accent1"/>
            </w:tcBorders>
          </w:tcPr>
          <w:p w14:paraId="6277BAC6" w14:textId="77777777" w:rsidR="006F2410" w:rsidRPr="005C6E03" w:rsidRDefault="006F2410" w:rsidP="006F2410">
            <w:pPr>
              <w:pStyle w:val="ListParagraph"/>
              <w:ind w:left="0"/>
              <w:jc w:val="left"/>
              <w:rPr>
                <w:sz w:val="20"/>
                <w:szCs w:val="20"/>
              </w:rPr>
            </w:pPr>
          </w:p>
        </w:tc>
        <w:tc>
          <w:tcPr>
            <w:tcW w:w="2783" w:type="pct"/>
            <w:tcBorders>
              <w:top w:val="single" w:sz="4" w:space="0" w:color="5B9BD5" w:themeColor="accent1"/>
              <w:bottom w:val="single" w:sz="4" w:space="0" w:color="5B9BD5" w:themeColor="accent1"/>
            </w:tcBorders>
          </w:tcPr>
          <w:p w14:paraId="26453B36" w14:textId="230B4C8A" w:rsidR="006F2410" w:rsidRPr="00F53FEA" w:rsidRDefault="006F2410">
            <w:pPr>
              <w:pStyle w:val="ListParagraph"/>
              <w:numPr>
                <w:ilvl w:val="0"/>
                <w:numId w:val="40"/>
              </w:numPr>
              <w:ind w:left="360"/>
              <w:jc w:val="left"/>
              <w:rPr>
                <w:rFonts w:cs="Times New Roman"/>
                <w:sz w:val="20"/>
                <w:szCs w:val="20"/>
              </w:rPr>
            </w:pPr>
            <w:r w:rsidRPr="00F53FEA">
              <w:rPr>
                <w:rFonts w:cs="Times New Roman"/>
                <w:sz w:val="20"/>
                <w:szCs w:val="20"/>
              </w:rPr>
              <w:t>Establish clear horizontal and vertical coordination mechanism</w:t>
            </w:r>
            <w:r w:rsidR="005F32F6">
              <w:rPr>
                <w:rFonts w:cs="Times New Roman"/>
                <w:sz w:val="20"/>
                <w:szCs w:val="20"/>
              </w:rPr>
              <w:t>.</w:t>
            </w:r>
          </w:p>
        </w:tc>
        <w:tc>
          <w:tcPr>
            <w:tcW w:w="537" w:type="pct"/>
            <w:tcBorders>
              <w:top w:val="single" w:sz="4" w:space="0" w:color="5B9BD5" w:themeColor="accent1"/>
              <w:bottom w:val="single" w:sz="4" w:space="0" w:color="5B9BD5" w:themeColor="accent1"/>
              <w:right w:val="single" w:sz="4" w:space="0" w:color="4F81BD"/>
            </w:tcBorders>
          </w:tcPr>
          <w:p w14:paraId="48FD5511" w14:textId="77777777" w:rsidR="006F2410"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39B54DD6" w14:textId="77777777" w:rsidR="006F2410"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7B77CA5A" w14:textId="77777777" w:rsidR="006F2410" w:rsidRDefault="006F2410" w:rsidP="006F2410">
            <w:pPr>
              <w:ind w:left="12"/>
              <w:jc w:val="center"/>
              <w:rPr>
                <w:rFonts w:cs="Times New Roman"/>
                <w:sz w:val="20"/>
                <w:szCs w:val="20"/>
              </w:rPr>
            </w:pPr>
            <w:r>
              <w:rPr>
                <w:rFonts w:cs="Times New Roman"/>
                <w:sz w:val="20"/>
                <w:szCs w:val="20"/>
              </w:rPr>
              <w:t>CMU / MENR / OSA</w:t>
            </w:r>
          </w:p>
        </w:tc>
      </w:tr>
      <w:tr w:rsidR="006F2410" w:rsidRPr="002B1DFC" w14:paraId="08FFDDC5" w14:textId="77777777" w:rsidTr="00356D5F">
        <w:tc>
          <w:tcPr>
            <w:tcW w:w="604" w:type="pct"/>
            <w:vMerge w:val="restart"/>
            <w:tcBorders>
              <w:top w:val="single" w:sz="4" w:space="0" w:color="5B9BD5" w:themeColor="accent1"/>
              <w:bottom w:val="single" w:sz="4" w:space="0" w:color="5B9BD5" w:themeColor="accent1"/>
            </w:tcBorders>
          </w:tcPr>
          <w:p w14:paraId="7A9F4120" w14:textId="7D53F0EC" w:rsidR="006F2410" w:rsidRPr="005C6E03" w:rsidRDefault="006F2410" w:rsidP="006F2410">
            <w:pPr>
              <w:pStyle w:val="ListParagraph"/>
              <w:ind w:left="0"/>
              <w:jc w:val="left"/>
              <w:rPr>
                <w:rFonts w:cs="Times New Roman"/>
                <w:sz w:val="20"/>
                <w:szCs w:val="20"/>
              </w:rPr>
            </w:pPr>
            <w:r w:rsidRPr="005C6E03">
              <w:rPr>
                <w:sz w:val="20"/>
                <w:szCs w:val="20"/>
              </w:rPr>
              <w:t>Expand and strengthen the implementation of the range of environmental policy instruments</w:t>
            </w:r>
            <w:r>
              <w:rPr>
                <w:sz w:val="20"/>
                <w:szCs w:val="20"/>
              </w:rPr>
              <w:t xml:space="preserve"> </w:t>
            </w:r>
            <w:r w:rsidRPr="00C26464">
              <w:rPr>
                <w:sz w:val="20"/>
                <w:szCs w:val="20"/>
              </w:rPr>
              <w:t>and mechanisms to foster good environmental practice in line with EU requirements</w:t>
            </w:r>
          </w:p>
        </w:tc>
        <w:tc>
          <w:tcPr>
            <w:tcW w:w="2783" w:type="pct"/>
            <w:tcBorders>
              <w:top w:val="single" w:sz="4" w:space="0" w:color="5B9BD5" w:themeColor="accent1"/>
              <w:bottom w:val="single" w:sz="4" w:space="0" w:color="5B9BD5" w:themeColor="accent1"/>
            </w:tcBorders>
          </w:tcPr>
          <w:p w14:paraId="4A92738B" w14:textId="77777777"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Carry out the inventory of current environmental permits taking into consideration administrative changes and establish appropriate mechanism for issuing permits at the national and local levels in line with international good practice and EU directives.</w:t>
            </w:r>
          </w:p>
        </w:tc>
        <w:tc>
          <w:tcPr>
            <w:tcW w:w="537" w:type="pct"/>
            <w:tcBorders>
              <w:top w:val="single" w:sz="4" w:space="0" w:color="5B9BD5" w:themeColor="accent1"/>
              <w:bottom w:val="single" w:sz="4" w:space="0" w:color="5B9BD5" w:themeColor="accent1"/>
              <w:right w:val="single" w:sz="4" w:space="0" w:color="4F81BD"/>
            </w:tcBorders>
          </w:tcPr>
          <w:p w14:paraId="6F676C57" w14:textId="77777777" w:rsidR="006F2410" w:rsidRPr="002B1DFC" w:rsidRDefault="006F2410" w:rsidP="006F2410">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6DB4456E" w14:textId="77777777" w:rsidR="006F2410" w:rsidRPr="002B1DFC"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37D888AB" w14:textId="77777777" w:rsidR="006F2410" w:rsidRPr="002B1DFC" w:rsidRDefault="006F2410" w:rsidP="006F2410">
            <w:pPr>
              <w:ind w:left="12"/>
              <w:jc w:val="center"/>
              <w:rPr>
                <w:rFonts w:cs="Times New Roman"/>
                <w:sz w:val="20"/>
                <w:szCs w:val="20"/>
              </w:rPr>
            </w:pPr>
            <w:r>
              <w:rPr>
                <w:rFonts w:cs="Times New Roman"/>
                <w:sz w:val="20"/>
                <w:szCs w:val="20"/>
              </w:rPr>
              <w:t>CMU / MENR</w:t>
            </w:r>
          </w:p>
        </w:tc>
      </w:tr>
      <w:tr w:rsidR="006F2410" w:rsidRPr="002B1DFC" w14:paraId="74AED07D" w14:textId="77777777" w:rsidTr="00356D5F">
        <w:tc>
          <w:tcPr>
            <w:tcW w:w="604" w:type="pct"/>
            <w:vMerge/>
            <w:tcBorders>
              <w:top w:val="single" w:sz="4" w:space="0" w:color="5B9BD5" w:themeColor="accent1"/>
              <w:bottom w:val="single" w:sz="4" w:space="0" w:color="5B9BD5" w:themeColor="accent1"/>
            </w:tcBorders>
          </w:tcPr>
          <w:p w14:paraId="5AEB7348" w14:textId="77777777" w:rsidR="006F2410" w:rsidRPr="005C6E03" w:rsidRDefault="006F2410" w:rsidP="006F2410">
            <w:pPr>
              <w:pStyle w:val="ListParagraph"/>
              <w:tabs>
                <w:tab w:val="left" w:pos="253"/>
              </w:tabs>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15B26B26" w14:textId="77777777"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 xml:space="preserve">Develop legislative framework and mechanisms to fully introduce “polluter pays” principle </w:t>
            </w:r>
          </w:p>
        </w:tc>
        <w:tc>
          <w:tcPr>
            <w:tcW w:w="537" w:type="pct"/>
            <w:tcBorders>
              <w:top w:val="single" w:sz="4" w:space="0" w:color="5B9BD5" w:themeColor="accent1"/>
              <w:bottom w:val="single" w:sz="4" w:space="0" w:color="5B9BD5" w:themeColor="accent1"/>
              <w:right w:val="single" w:sz="4" w:space="0" w:color="4F81BD"/>
            </w:tcBorders>
          </w:tcPr>
          <w:p w14:paraId="78C54A0C" w14:textId="6F8BCBC8" w:rsidR="006F2410" w:rsidRPr="002B1DFC"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43B6A5DF" w14:textId="77777777" w:rsidR="006F2410" w:rsidRPr="002B1DFC"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51062B0F" w14:textId="77777777" w:rsidR="006F2410" w:rsidRPr="002B1DFC" w:rsidRDefault="006F2410" w:rsidP="006F2410">
            <w:pPr>
              <w:ind w:left="12"/>
              <w:jc w:val="center"/>
              <w:rPr>
                <w:rFonts w:cs="Times New Roman"/>
                <w:sz w:val="20"/>
                <w:szCs w:val="20"/>
              </w:rPr>
            </w:pPr>
            <w:r>
              <w:rPr>
                <w:rFonts w:cs="Times New Roman"/>
                <w:sz w:val="20"/>
                <w:szCs w:val="20"/>
              </w:rPr>
              <w:t>CMU / MENR</w:t>
            </w:r>
          </w:p>
        </w:tc>
      </w:tr>
      <w:tr w:rsidR="006F2410" w:rsidRPr="002B1DFC" w14:paraId="122CC0F0" w14:textId="77777777" w:rsidTr="00356D5F">
        <w:tc>
          <w:tcPr>
            <w:tcW w:w="604" w:type="pct"/>
            <w:vMerge/>
            <w:tcBorders>
              <w:top w:val="single" w:sz="4" w:space="0" w:color="5B9BD5" w:themeColor="accent1"/>
              <w:bottom w:val="single" w:sz="4" w:space="0" w:color="5B9BD5" w:themeColor="accent1"/>
            </w:tcBorders>
          </w:tcPr>
          <w:p w14:paraId="718136C8" w14:textId="77777777" w:rsidR="006F2410" w:rsidRPr="005C6E03" w:rsidRDefault="006F2410" w:rsidP="006F2410">
            <w:pPr>
              <w:pStyle w:val="ListParagraph"/>
              <w:ind w:left="0"/>
              <w:jc w:val="left"/>
              <w:rPr>
                <w:sz w:val="20"/>
                <w:szCs w:val="20"/>
              </w:rPr>
            </w:pPr>
          </w:p>
        </w:tc>
        <w:tc>
          <w:tcPr>
            <w:tcW w:w="2783" w:type="pct"/>
            <w:tcBorders>
              <w:top w:val="single" w:sz="4" w:space="0" w:color="5B9BD5" w:themeColor="accent1"/>
              <w:bottom w:val="single" w:sz="4" w:space="0" w:color="5B9BD5" w:themeColor="accent1"/>
            </w:tcBorders>
          </w:tcPr>
          <w:p w14:paraId="051F7BBD" w14:textId="77777777"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Strengthen compliance enforcement capacity of relevant agencies at local and national levels.</w:t>
            </w:r>
          </w:p>
        </w:tc>
        <w:tc>
          <w:tcPr>
            <w:tcW w:w="537" w:type="pct"/>
            <w:tcBorders>
              <w:top w:val="single" w:sz="4" w:space="0" w:color="5B9BD5" w:themeColor="accent1"/>
              <w:bottom w:val="single" w:sz="4" w:space="0" w:color="5B9BD5" w:themeColor="accent1"/>
              <w:right w:val="single" w:sz="4" w:space="0" w:color="4F81BD"/>
            </w:tcBorders>
          </w:tcPr>
          <w:p w14:paraId="23DAB67D" w14:textId="77777777" w:rsidR="006F2410" w:rsidRPr="002B1DFC" w:rsidRDefault="006F2410" w:rsidP="006F2410">
            <w:pPr>
              <w:ind w:left="12"/>
              <w:jc w:val="center"/>
              <w:rPr>
                <w:rFonts w:cs="Times New Roman"/>
                <w:sz w:val="20"/>
                <w:szCs w:val="20"/>
              </w:rPr>
            </w:pPr>
            <w:r>
              <w:rPr>
                <w:rFonts w:cs="Times New Roman"/>
                <w:sz w:val="20"/>
                <w:szCs w:val="20"/>
              </w:rPr>
              <w:t xml:space="preserve">High </w:t>
            </w:r>
          </w:p>
        </w:tc>
        <w:tc>
          <w:tcPr>
            <w:tcW w:w="538" w:type="pct"/>
            <w:tcBorders>
              <w:top w:val="single" w:sz="4" w:space="0" w:color="5B9BD5" w:themeColor="accent1"/>
              <w:bottom w:val="single" w:sz="4" w:space="0" w:color="5B9BD5" w:themeColor="accent1"/>
              <w:right w:val="single" w:sz="4" w:space="0" w:color="4F81BD"/>
            </w:tcBorders>
          </w:tcPr>
          <w:p w14:paraId="18978F10" w14:textId="77777777" w:rsidR="006F2410" w:rsidRDefault="006F2410" w:rsidP="006F2410">
            <w:pPr>
              <w:ind w:left="12"/>
              <w:jc w:val="center"/>
              <w:rPr>
                <w:rFonts w:cs="Times New Roman"/>
                <w:sz w:val="20"/>
                <w:szCs w:val="20"/>
              </w:rPr>
            </w:pPr>
            <w:r>
              <w:rPr>
                <w:rFonts w:cs="Times New Roman"/>
                <w:sz w:val="20"/>
                <w:szCs w:val="20"/>
              </w:rPr>
              <w:t xml:space="preserve">Long </w:t>
            </w:r>
          </w:p>
        </w:tc>
        <w:tc>
          <w:tcPr>
            <w:tcW w:w="538" w:type="pct"/>
            <w:tcBorders>
              <w:top w:val="single" w:sz="4" w:space="0" w:color="5B9BD5" w:themeColor="accent1"/>
              <w:bottom w:val="single" w:sz="4" w:space="0" w:color="5B9BD5" w:themeColor="accent1"/>
              <w:right w:val="single" w:sz="4" w:space="0" w:color="4F81BD"/>
            </w:tcBorders>
          </w:tcPr>
          <w:p w14:paraId="09580E64" w14:textId="77777777" w:rsidR="006F2410" w:rsidRDefault="006F2410" w:rsidP="006F2410">
            <w:pPr>
              <w:ind w:left="12"/>
              <w:jc w:val="center"/>
              <w:rPr>
                <w:rFonts w:cs="Times New Roman"/>
                <w:sz w:val="20"/>
                <w:szCs w:val="20"/>
              </w:rPr>
            </w:pPr>
            <w:r>
              <w:rPr>
                <w:rFonts w:cs="Times New Roman"/>
                <w:sz w:val="20"/>
                <w:szCs w:val="20"/>
              </w:rPr>
              <w:t>CMU / MENR</w:t>
            </w:r>
          </w:p>
        </w:tc>
      </w:tr>
      <w:tr w:rsidR="006F2410" w:rsidRPr="002B1DFC" w14:paraId="7EAAEF52" w14:textId="77777777" w:rsidTr="00356D5F">
        <w:tc>
          <w:tcPr>
            <w:tcW w:w="604" w:type="pct"/>
            <w:vMerge/>
            <w:tcBorders>
              <w:top w:val="single" w:sz="4" w:space="0" w:color="5B9BD5" w:themeColor="accent1"/>
              <w:bottom w:val="single" w:sz="4" w:space="0" w:color="5B9BD5" w:themeColor="accent1"/>
            </w:tcBorders>
          </w:tcPr>
          <w:p w14:paraId="59F269EA" w14:textId="77777777" w:rsidR="006F2410" w:rsidRPr="005C6E03" w:rsidRDefault="006F2410" w:rsidP="006F2410">
            <w:pPr>
              <w:pStyle w:val="ListParagraph"/>
              <w:tabs>
                <w:tab w:val="left" w:pos="253"/>
              </w:tabs>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43D60EB9" w14:textId="77777777"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Adopt EIA and SEA laws in line with the EU directives and international good practice. Supplement the laws with appropriate regulatory acts.</w:t>
            </w:r>
          </w:p>
        </w:tc>
        <w:tc>
          <w:tcPr>
            <w:tcW w:w="537" w:type="pct"/>
            <w:tcBorders>
              <w:top w:val="single" w:sz="4" w:space="0" w:color="5B9BD5" w:themeColor="accent1"/>
              <w:bottom w:val="single" w:sz="4" w:space="0" w:color="5B9BD5" w:themeColor="accent1"/>
              <w:right w:val="single" w:sz="4" w:space="0" w:color="4F81BD"/>
            </w:tcBorders>
          </w:tcPr>
          <w:p w14:paraId="05FFAB73" w14:textId="77777777" w:rsidR="006F2410" w:rsidRPr="002B1DFC" w:rsidRDefault="006F2410" w:rsidP="006F2410">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3C60FEE5" w14:textId="77777777" w:rsidR="006F2410" w:rsidRPr="002B1DFC" w:rsidRDefault="006F2410" w:rsidP="006F2410">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themeColor="accent1"/>
              <w:bottom w:val="single" w:sz="4" w:space="0" w:color="5B9BD5" w:themeColor="accent1"/>
              <w:right w:val="single" w:sz="4" w:space="0" w:color="4F81BD"/>
            </w:tcBorders>
          </w:tcPr>
          <w:p w14:paraId="701F5FCB" w14:textId="77777777" w:rsidR="006F2410" w:rsidRPr="002B1DFC" w:rsidRDefault="006F2410" w:rsidP="006F2410">
            <w:pPr>
              <w:ind w:left="12"/>
              <w:jc w:val="center"/>
              <w:rPr>
                <w:rFonts w:cs="Times New Roman"/>
                <w:sz w:val="20"/>
                <w:szCs w:val="20"/>
              </w:rPr>
            </w:pPr>
            <w:r>
              <w:rPr>
                <w:rFonts w:cs="Times New Roman"/>
                <w:sz w:val="20"/>
                <w:szCs w:val="20"/>
              </w:rPr>
              <w:t>CMU / MENR</w:t>
            </w:r>
          </w:p>
        </w:tc>
      </w:tr>
      <w:tr w:rsidR="006F2410" w:rsidRPr="002B1DFC" w14:paraId="263DB666" w14:textId="77777777" w:rsidTr="00356D5F">
        <w:tc>
          <w:tcPr>
            <w:tcW w:w="604" w:type="pct"/>
            <w:vMerge/>
            <w:tcBorders>
              <w:top w:val="single" w:sz="4" w:space="0" w:color="5B9BD5" w:themeColor="accent1"/>
              <w:bottom w:val="single" w:sz="4" w:space="0" w:color="5B9BD5" w:themeColor="accent1"/>
            </w:tcBorders>
          </w:tcPr>
          <w:p w14:paraId="7EAC114D"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2A20A232" w14:textId="77777777"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Carry out a detailed review of the EIA procedures, roles and functions of various government agencies. In line with assessment recommendations, prepare standard procedures and technical guidelines based on the new law and agreed functions of various government and regional organs.</w:t>
            </w:r>
            <w:r w:rsidRPr="00F53FEA">
              <w:rPr>
                <w:rFonts w:cs="Times New Roman"/>
                <w:sz w:val="20"/>
                <w:szCs w:val="20"/>
              </w:rPr>
              <w:tab/>
            </w:r>
          </w:p>
        </w:tc>
        <w:tc>
          <w:tcPr>
            <w:tcW w:w="537" w:type="pct"/>
            <w:tcBorders>
              <w:top w:val="single" w:sz="4" w:space="0" w:color="5B9BD5" w:themeColor="accent1"/>
              <w:bottom w:val="single" w:sz="4" w:space="0" w:color="5B9BD5" w:themeColor="accent1"/>
              <w:right w:val="single" w:sz="4" w:space="0" w:color="4F81BD"/>
            </w:tcBorders>
          </w:tcPr>
          <w:p w14:paraId="40FB2F4E" w14:textId="77777777" w:rsidR="006F2410" w:rsidRPr="002B1DFC" w:rsidRDefault="006F2410" w:rsidP="006F2410">
            <w:pPr>
              <w:ind w:left="12"/>
              <w:jc w:val="center"/>
              <w:rPr>
                <w:rFonts w:cs="Times New Roman"/>
                <w:sz w:val="20"/>
                <w:szCs w:val="20"/>
              </w:rPr>
            </w:pPr>
            <w:r w:rsidRPr="002B1DFC">
              <w:rPr>
                <w:rFonts w:cs="Times New Roman"/>
                <w:sz w:val="20"/>
                <w:szCs w:val="20"/>
              </w:rPr>
              <w:t xml:space="preserve">High </w:t>
            </w:r>
          </w:p>
        </w:tc>
        <w:tc>
          <w:tcPr>
            <w:tcW w:w="538" w:type="pct"/>
            <w:tcBorders>
              <w:top w:val="single" w:sz="4" w:space="0" w:color="5B9BD5" w:themeColor="accent1"/>
              <w:bottom w:val="single" w:sz="4" w:space="0" w:color="5B9BD5" w:themeColor="accent1"/>
              <w:right w:val="single" w:sz="4" w:space="0" w:color="4F81BD"/>
            </w:tcBorders>
          </w:tcPr>
          <w:p w14:paraId="7F52A6B0" w14:textId="77777777" w:rsidR="006F2410" w:rsidRPr="002B1DFC" w:rsidRDefault="006F2410" w:rsidP="006F2410">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themeColor="accent1"/>
              <w:bottom w:val="single" w:sz="4" w:space="0" w:color="5B9BD5" w:themeColor="accent1"/>
              <w:right w:val="single" w:sz="4" w:space="0" w:color="4F81BD"/>
            </w:tcBorders>
          </w:tcPr>
          <w:p w14:paraId="20D1A899" w14:textId="77777777" w:rsidR="006F2410" w:rsidRPr="002B1DFC" w:rsidRDefault="006F2410" w:rsidP="006F2410">
            <w:pPr>
              <w:ind w:left="12"/>
              <w:jc w:val="center"/>
              <w:rPr>
                <w:rFonts w:cs="Times New Roman"/>
                <w:sz w:val="20"/>
                <w:szCs w:val="20"/>
              </w:rPr>
            </w:pPr>
            <w:r>
              <w:rPr>
                <w:rFonts w:cs="Times New Roman"/>
                <w:sz w:val="20"/>
                <w:szCs w:val="20"/>
              </w:rPr>
              <w:t>MENR / OSA</w:t>
            </w:r>
          </w:p>
        </w:tc>
      </w:tr>
      <w:tr w:rsidR="006F2410" w:rsidRPr="002B1DFC" w14:paraId="3AFA29FC" w14:textId="77777777" w:rsidTr="00356D5F">
        <w:tc>
          <w:tcPr>
            <w:tcW w:w="604" w:type="pct"/>
            <w:vMerge/>
            <w:tcBorders>
              <w:top w:val="single" w:sz="4" w:space="0" w:color="5B9BD5" w:themeColor="accent1"/>
              <w:bottom w:val="single" w:sz="4" w:space="0" w:color="5B9BD5" w:themeColor="accent1"/>
            </w:tcBorders>
          </w:tcPr>
          <w:p w14:paraId="288B1F1A" w14:textId="77777777" w:rsidR="006F2410" w:rsidRPr="005C6E03" w:rsidRDefault="006F2410" w:rsidP="006F2410">
            <w:pPr>
              <w:pStyle w:val="ListParagraph"/>
              <w:tabs>
                <w:tab w:val="left" w:pos="253"/>
              </w:tabs>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7C34FD30" w14:textId="77777777" w:rsidR="006F2410" w:rsidRPr="00F53FEA" w:rsidRDefault="006F2410" w:rsidP="006F2410">
            <w:pPr>
              <w:pStyle w:val="ListParagraph"/>
              <w:numPr>
                <w:ilvl w:val="0"/>
                <w:numId w:val="40"/>
              </w:numPr>
              <w:ind w:left="360"/>
              <w:jc w:val="left"/>
              <w:rPr>
                <w:rFonts w:cs="Times New Roman"/>
                <w:sz w:val="20"/>
                <w:szCs w:val="20"/>
              </w:rPr>
            </w:pPr>
            <w:r w:rsidRPr="00F53FEA">
              <w:rPr>
                <w:rFonts w:cs="Times New Roman"/>
                <w:sz w:val="20"/>
                <w:szCs w:val="20"/>
              </w:rPr>
              <w:t xml:space="preserve">Review monitoring parameters to harmonize them with the EU monitoring parameters.  </w:t>
            </w:r>
          </w:p>
        </w:tc>
        <w:tc>
          <w:tcPr>
            <w:tcW w:w="537" w:type="pct"/>
            <w:tcBorders>
              <w:top w:val="single" w:sz="4" w:space="0" w:color="5B9BD5" w:themeColor="accent1"/>
              <w:bottom w:val="single" w:sz="4" w:space="0" w:color="5B9BD5" w:themeColor="accent1"/>
              <w:right w:val="single" w:sz="4" w:space="0" w:color="4F81BD"/>
            </w:tcBorders>
          </w:tcPr>
          <w:p w14:paraId="17E204FD" w14:textId="77777777" w:rsidR="006F2410" w:rsidRPr="002B1DFC"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54E61CC6" w14:textId="77777777" w:rsidR="006F2410" w:rsidRPr="002B1DFC" w:rsidRDefault="006F2410" w:rsidP="006F2410">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themeColor="accent1"/>
              <w:bottom w:val="single" w:sz="4" w:space="0" w:color="5B9BD5" w:themeColor="accent1"/>
              <w:right w:val="single" w:sz="4" w:space="0" w:color="4F81BD"/>
            </w:tcBorders>
          </w:tcPr>
          <w:p w14:paraId="1AEAC0FB" w14:textId="77777777" w:rsidR="006F2410" w:rsidRPr="002B1DFC" w:rsidRDefault="006F2410" w:rsidP="006F2410">
            <w:pPr>
              <w:ind w:left="12"/>
              <w:jc w:val="center"/>
              <w:rPr>
                <w:rFonts w:cs="Times New Roman"/>
                <w:sz w:val="20"/>
                <w:szCs w:val="20"/>
              </w:rPr>
            </w:pPr>
            <w:r>
              <w:rPr>
                <w:rFonts w:cs="Times New Roman"/>
                <w:sz w:val="20"/>
                <w:szCs w:val="20"/>
              </w:rPr>
              <w:t>MENR</w:t>
            </w:r>
          </w:p>
        </w:tc>
      </w:tr>
      <w:tr w:rsidR="006F2410" w:rsidRPr="002B1DFC" w14:paraId="70FAACF4" w14:textId="77777777" w:rsidTr="00356D5F">
        <w:tc>
          <w:tcPr>
            <w:tcW w:w="604" w:type="pct"/>
            <w:vMerge w:val="restart"/>
            <w:tcBorders>
              <w:top w:val="single" w:sz="4" w:space="0" w:color="5B9BD5" w:themeColor="accent1"/>
              <w:bottom w:val="single" w:sz="4" w:space="0" w:color="5B9BD5" w:themeColor="accent1"/>
            </w:tcBorders>
          </w:tcPr>
          <w:p w14:paraId="2A29895B" w14:textId="184E8480" w:rsidR="006F2410" w:rsidRPr="005C6E03" w:rsidRDefault="006F2410" w:rsidP="006F2410">
            <w:pPr>
              <w:pStyle w:val="ListParagraph"/>
              <w:tabs>
                <w:tab w:val="left" w:pos="253"/>
              </w:tabs>
              <w:ind w:left="0"/>
              <w:jc w:val="left"/>
              <w:rPr>
                <w:rFonts w:cs="Times New Roman"/>
                <w:sz w:val="20"/>
                <w:szCs w:val="20"/>
              </w:rPr>
            </w:pPr>
            <w:r w:rsidRPr="005C6E03">
              <w:rPr>
                <w:sz w:val="20"/>
                <w:szCs w:val="20"/>
              </w:rPr>
              <w:t>Build demand for strengthened environmental management and governance with public participation</w:t>
            </w:r>
          </w:p>
        </w:tc>
        <w:tc>
          <w:tcPr>
            <w:tcW w:w="2783" w:type="pct"/>
            <w:tcBorders>
              <w:top w:val="single" w:sz="4" w:space="0" w:color="5B9BD5" w:themeColor="accent1"/>
              <w:bottom w:val="single" w:sz="4" w:space="0" w:color="5B9BD5" w:themeColor="accent1"/>
            </w:tcBorders>
          </w:tcPr>
          <w:p w14:paraId="1687359D" w14:textId="77777777" w:rsidR="006F2410" w:rsidRPr="00E85B1D" w:rsidRDefault="006F2410" w:rsidP="006F2410">
            <w:pPr>
              <w:pStyle w:val="ListParagraph"/>
              <w:numPr>
                <w:ilvl w:val="0"/>
                <w:numId w:val="40"/>
              </w:numPr>
              <w:ind w:left="360"/>
              <w:jc w:val="left"/>
              <w:rPr>
                <w:rFonts w:cs="Times New Roman"/>
                <w:sz w:val="20"/>
                <w:szCs w:val="20"/>
              </w:rPr>
            </w:pPr>
            <w:r w:rsidRPr="00E85B1D">
              <w:rPr>
                <w:rFonts w:cs="Times New Roman"/>
                <w:sz w:val="20"/>
                <w:szCs w:val="20"/>
              </w:rPr>
              <w:t>Develop a national EIA/SEA database that is accessible to all stakeholders.</w:t>
            </w:r>
          </w:p>
        </w:tc>
        <w:tc>
          <w:tcPr>
            <w:tcW w:w="537" w:type="pct"/>
            <w:tcBorders>
              <w:top w:val="single" w:sz="4" w:space="0" w:color="5B9BD5" w:themeColor="accent1"/>
              <w:bottom w:val="single" w:sz="4" w:space="0" w:color="5B9BD5" w:themeColor="accent1"/>
              <w:right w:val="single" w:sz="4" w:space="0" w:color="4F81BD"/>
            </w:tcBorders>
          </w:tcPr>
          <w:p w14:paraId="5C207B6F" w14:textId="77777777" w:rsidR="006F2410" w:rsidRPr="002B1DFC" w:rsidRDefault="006F2410" w:rsidP="006F2410">
            <w:pPr>
              <w:ind w:left="12"/>
              <w:jc w:val="center"/>
              <w:rPr>
                <w:rFonts w:cs="Times New Roman"/>
                <w:sz w:val="20"/>
                <w:szCs w:val="20"/>
              </w:rPr>
            </w:pPr>
            <w:r>
              <w:rPr>
                <w:rFonts w:cs="Times New Roman"/>
                <w:sz w:val="20"/>
                <w:szCs w:val="20"/>
              </w:rPr>
              <w:t>High</w:t>
            </w:r>
            <w:r w:rsidRPr="002B1DFC" w:rsidDel="00E058FB">
              <w:rPr>
                <w:rFonts w:cs="Times New Roman"/>
                <w:sz w:val="20"/>
                <w:szCs w:val="20"/>
              </w:rPr>
              <w:t xml:space="preserve"> </w:t>
            </w:r>
          </w:p>
        </w:tc>
        <w:tc>
          <w:tcPr>
            <w:tcW w:w="538" w:type="pct"/>
            <w:tcBorders>
              <w:top w:val="single" w:sz="4" w:space="0" w:color="5B9BD5" w:themeColor="accent1"/>
              <w:bottom w:val="single" w:sz="4" w:space="0" w:color="5B9BD5" w:themeColor="accent1"/>
              <w:right w:val="single" w:sz="4" w:space="0" w:color="4F81BD"/>
            </w:tcBorders>
          </w:tcPr>
          <w:p w14:paraId="652C4264" w14:textId="77777777" w:rsidR="006F2410" w:rsidRPr="002B1DFC" w:rsidRDefault="006F2410" w:rsidP="006F2410">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themeColor="accent1"/>
              <w:bottom w:val="single" w:sz="4" w:space="0" w:color="5B9BD5" w:themeColor="accent1"/>
              <w:right w:val="single" w:sz="4" w:space="0" w:color="4F81BD"/>
            </w:tcBorders>
          </w:tcPr>
          <w:p w14:paraId="6DFBD3D6" w14:textId="77777777" w:rsidR="006F2410" w:rsidRPr="002B1DFC" w:rsidRDefault="006F2410" w:rsidP="006F2410">
            <w:pPr>
              <w:ind w:left="12"/>
              <w:jc w:val="center"/>
              <w:rPr>
                <w:rFonts w:cs="Times New Roman"/>
                <w:sz w:val="20"/>
                <w:szCs w:val="20"/>
              </w:rPr>
            </w:pPr>
            <w:r>
              <w:rPr>
                <w:rFonts w:cs="Times New Roman"/>
                <w:sz w:val="20"/>
                <w:szCs w:val="20"/>
              </w:rPr>
              <w:t>MENR</w:t>
            </w:r>
          </w:p>
        </w:tc>
      </w:tr>
      <w:tr w:rsidR="00E656E1" w:rsidRPr="002B1DFC" w14:paraId="775A7F4B" w14:textId="77777777" w:rsidTr="00356D5F">
        <w:tc>
          <w:tcPr>
            <w:tcW w:w="604" w:type="pct"/>
            <w:vMerge/>
            <w:tcBorders>
              <w:top w:val="single" w:sz="4" w:space="0" w:color="5B9BD5" w:themeColor="accent1"/>
              <w:bottom w:val="single" w:sz="4" w:space="0" w:color="5B9BD5" w:themeColor="accent1"/>
            </w:tcBorders>
          </w:tcPr>
          <w:p w14:paraId="16924085" w14:textId="77777777" w:rsidR="00E656E1" w:rsidRPr="005C6E03" w:rsidRDefault="00E656E1" w:rsidP="006F2410">
            <w:pPr>
              <w:pStyle w:val="ListParagraph"/>
              <w:tabs>
                <w:tab w:val="left" w:pos="253"/>
              </w:tabs>
              <w:ind w:left="0"/>
              <w:jc w:val="left"/>
              <w:rPr>
                <w:sz w:val="20"/>
                <w:szCs w:val="20"/>
              </w:rPr>
            </w:pPr>
          </w:p>
        </w:tc>
        <w:tc>
          <w:tcPr>
            <w:tcW w:w="2783" w:type="pct"/>
            <w:tcBorders>
              <w:top w:val="single" w:sz="4" w:space="0" w:color="5B9BD5" w:themeColor="accent1"/>
              <w:bottom w:val="single" w:sz="4" w:space="0" w:color="5B9BD5" w:themeColor="accent1"/>
            </w:tcBorders>
          </w:tcPr>
          <w:p w14:paraId="03C1E505" w14:textId="6F2F5EFC" w:rsidR="00E656E1" w:rsidRPr="00B76BDA" w:rsidRDefault="00E656E1" w:rsidP="00B76BDA">
            <w:pPr>
              <w:pStyle w:val="ListParagraph"/>
              <w:numPr>
                <w:ilvl w:val="0"/>
                <w:numId w:val="40"/>
              </w:numPr>
              <w:ind w:left="360"/>
              <w:jc w:val="left"/>
              <w:rPr>
                <w:rFonts w:cs="Times New Roman"/>
                <w:sz w:val="20"/>
                <w:szCs w:val="20"/>
              </w:rPr>
            </w:pPr>
            <w:r w:rsidRPr="00E656E1">
              <w:rPr>
                <w:rFonts w:cs="Times New Roman"/>
                <w:sz w:val="20"/>
                <w:szCs w:val="20"/>
              </w:rPr>
              <w:t>Introduce changes to the legislation regarding environmental monitoring with clear allocation of responsibilities between all stakeholders regarding gathering and submission of environmental data and activity of Information Analytical Center, and provide appropriate financial resource for supporting this work and making monitoring information available to the public on the MENR’s Web site.</w:t>
            </w:r>
          </w:p>
        </w:tc>
        <w:tc>
          <w:tcPr>
            <w:tcW w:w="537" w:type="pct"/>
            <w:tcBorders>
              <w:top w:val="single" w:sz="4" w:space="0" w:color="5B9BD5" w:themeColor="accent1"/>
              <w:bottom w:val="single" w:sz="4" w:space="0" w:color="5B9BD5" w:themeColor="accent1"/>
              <w:right w:val="single" w:sz="4" w:space="0" w:color="4F81BD"/>
            </w:tcBorders>
          </w:tcPr>
          <w:p w14:paraId="407B94DB" w14:textId="5ED468FD" w:rsidR="00E656E1" w:rsidRDefault="00E656E1"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600A7D8F" w14:textId="15CCA12E" w:rsidR="00E656E1" w:rsidRDefault="00E656E1"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0D7FB54A" w14:textId="6650316F" w:rsidR="00E656E1" w:rsidRDefault="00E656E1" w:rsidP="006F2410">
            <w:pPr>
              <w:ind w:left="12"/>
              <w:jc w:val="center"/>
              <w:rPr>
                <w:rFonts w:cs="Times New Roman"/>
                <w:sz w:val="20"/>
                <w:szCs w:val="20"/>
              </w:rPr>
            </w:pPr>
            <w:r>
              <w:rPr>
                <w:rFonts w:cs="Times New Roman"/>
                <w:sz w:val="20"/>
                <w:szCs w:val="20"/>
              </w:rPr>
              <w:t>CMU/MENR</w:t>
            </w:r>
          </w:p>
        </w:tc>
      </w:tr>
      <w:tr w:rsidR="006F2410" w:rsidRPr="002B1DFC" w14:paraId="16E98D3A" w14:textId="77777777" w:rsidTr="00356D5F">
        <w:tc>
          <w:tcPr>
            <w:tcW w:w="604" w:type="pct"/>
            <w:vMerge/>
            <w:tcBorders>
              <w:top w:val="single" w:sz="4" w:space="0" w:color="5B9BD5" w:themeColor="accent1"/>
              <w:bottom w:val="single" w:sz="4" w:space="0" w:color="5B9BD5" w:themeColor="accent1"/>
            </w:tcBorders>
          </w:tcPr>
          <w:p w14:paraId="5BCA025A" w14:textId="77777777" w:rsidR="006F2410" w:rsidRPr="005C6E03" w:rsidRDefault="006F2410" w:rsidP="006F2410">
            <w:pPr>
              <w:pStyle w:val="ListParagraph"/>
              <w:tabs>
                <w:tab w:val="left" w:pos="253"/>
              </w:tabs>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6FC91E52" w14:textId="77777777" w:rsidR="006F2410" w:rsidRPr="00E85B1D" w:rsidRDefault="006F2410" w:rsidP="00B76BDA">
            <w:pPr>
              <w:pStyle w:val="ListParagraph"/>
              <w:numPr>
                <w:ilvl w:val="0"/>
                <w:numId w:val="40"/>
              </w:numPr>
              <w:ind w:left="360"/>
              <w:jc w:val="left"/>
              <w:rPr>
                <w:rFonts w:cs="Times New Roman"/>
                <w:sz w:val="20"/>
                <w:szCs w:val="20"/>
              </w:rPr>
            </w:pPr>
            <w:r w:rsidRPr="00E85B1D">
              <w:rPr>
                <w:rFonts w:cs="Times New Roman"/>
                <w:sz w:val="20"/>
                <w:szCs w:val="20"/>
              </w:rPr>
              <w:t>Enhance the implementation of a Law of Ukraine “On Access to Public Information”. Permanently update and publish information on the MENR’s Web site and Web sites of other ministries and regional organs in systematic way.</w:t>
            </w:r>
          </w:p>
        </w:tc>
        <w:tc>
          <w:tcPr>
            <w:tcW w:w="537" w:type="pct"/>
            <w:tcBorders>
              <w:top w:val="single" w:sz="4" w:space="0" w:color="5B9BD5" w:themeColor="accent1"/>
              <w:bottom w:val="single" w:sz="4" w:space="0" w:color="5B9BD5" w:themeColor="accent1"/>
              <w:right w:val="single" w:sz="4" w:space="0" w:color="4F81BD"/>
            </w:tcBorders>
          </w:tcPr>
          <w:p w14:paraId="119D11A6" w14:textId="77777777" w:rsidR="006F2410" w:rsidRPr="002B1DFC"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51BAC979" w14:textId="77777777" w:rsidR="006F2410" w:rsidRDefault="006F2410" w:rsidP="006F2410">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themeColor="accent1"/>
              <w:bottom w:val="single" w:sz="4" w:space="0" w:color="5B9BD5" w:themeColor="accent1"/>
              <w:right w:val="single" w:sz="4" w:space="0" w:color="4F81BD"/>
            </w:tcBorders>
          </w:tcPr>
          <w:p w14:paraId="05CFFB55" w14:textId="77777777" w:rsidR="006F2410" w:rsidRDefault="006F2410" w:rsidP="006F2410">
            <w:pPr>
              <w:ind w:left="12"/>
              <w:jc w:val="center"/>
              <w:rPr>
                <w:rFonts w:cs="Times New Roman"/>
                <w:sz w:val="20"/>
                <w:szCs w:val="20"/>
              </w:rPr>
            </w:pPr>
            <w:r>
              <w:rPr>
                <w:rFonts w:cs="Times New Roman"/>
                <w:sz w:val="20"/>
                <w:szCs w:val="20"/>
              </w:rPr>
              <w:t>CMU / MENR</w:t>
            </w:r>
          </w:p>
        </w:tc>
      </w:tr>
      <w:tr w:rsidR="006F2410" w:rsidRPr="002B1DFC" w14:paraId="2EC6E2C1" w14:textId="77777777" w:rsidTr="00356D5F">
        <w:tc>
          <w:tcPr>
            <w:tcW w:w="604" w:type="pct"/>
            <w:vMerge/>
            <w:tcBorders>
              <w:top w:val="single" w:sz="4" w:space="0" w:color="5B9BD5" w:themeColor="accent1"/>
              <w:bottom w:val="single" w:sz="4" w:space="0" w:color="5B9BD5" w:themeColor="accent1"/>
            </w:tcBorders>
          </w:tcPr>
          <w:p w14:paraId="18DB9708" w14:textId="77777777" w:rsidR="006F2410" w:rsidRPr="005C6E03" w:rsidRDefault="006F2410" w:rsidP="006F2410">
            <w:pPr>
              <w:pStyle w:val="ListParagraph"/>
              <w:tabs>
                <w:tab w:val="left" w:pos="253"/>
              </w:tabs>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3B3DC0C8" w14:textId="77777777" w:rsidR="006F2410" w:rsidRPr="00E85B1D" w:rsidDel="00880B03" w:rsidRDefault="006F2410" w:rsidP="00B76BDA">
            <w:pPr>
              <w:pStyle w:val="ListParagraph"/>
              <w:numPr>
                <w:ilvl w:val="0"/>
                <w:numId w:val="40"/>
              </w:numPr>
              <w:ind w:left="360"/>
              <w:jc w:val="left"/>
              <w:rPr>
                <w:rFonts w:cs="Times New Roman"/>
                <w:sz w:val="20"/>
                <w:szCs w:val="20"/>
              </w:rPr>
            </w:pPr>
            <w:r w:rsidRPr="00E85B1D">
              <w:rPr>
                <w:rFonts w:cs="Times New Roman"/>
                <w:sz w:val="20"/>
                <w:szCs w:val="20"/>
              </w:rPr>
              <w:t>Revise the Provision on State Environmental Monitoring System taking into account reforms of central government organs, administrative reforms and changes in functions between organizations at national and regional level.  Introduce changes to the legislation regarding environmental monitoring with clear allocation of responsibilities.</w:t>
            </w:r>
          </w:p>
        </w:tc>
        <w:tc>
          <w:tcPr>
            <w:tcW w:w="537" w:type="pct"/>
            <w:tcBorders>
              <w:top w:val="single" w:sz="4" w:space="0" w:color="5B9BD5" w:themeColor="accent1"/>
              <w:bottom w:val="single" w:sz="4" w:space="0" w:color="5B9BD5" w:themeColor="accent1"/>
              <w:right w:val="single" w:sz="4" w:space="0" w:color="4F81BD"/>
            </w:tcBorders>
          </w:tcPr>
          <w:p w14:paraId="4B199F4F" w14:textId="77777777" w:rsidR="006F2410" w:rsidRPr="002B1DFC"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31016DB2" w14:textId="77777777" w:rsidR="006F2410" w:rsidRPr="002B1DFC" w:rsidRDefault="006F2410" w:rsidP="006F2410">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themeColor="accent1"/>
              <w:bottom w:val="single" w:sz="4" w:space="0" w:color="5B9BD5" w:themeColor="accent1"/>
              <w:right w:val="single" w:sz="4" w:space="0" w:color="4F81BD"/>
            </w:tcBorders>
          </w:tcPr>
          <w:p w14:paraId="1EDA10E5" w14:textId="77777777" w:rsidR="006F2410" w:rsidRPr="002B1DFC" w:rsidRDefault="006F2410" w:rsidP="006F2410">
            <w:pPr>
              <w:ind w:left="12"/>
              <w:jc w:val="center"/>
              <w:rPr>
                <w:rFonts w:cs="Times New Roman"/>
                <w:sz w:val="20"/>
                <w:szCs w:val="20"/>
              </w:rPr>
            </w:pPr>
            <w:r>
              <w:rPr>
                <w:rFonts w:cs="Times New Roman"/>
                <w:sz w:val="20"/>
                <w:szCs w:val="20"/>
              </w:rPr>
              <w:t xml:space="preserve">MENR </w:t>
            </w:r>
          </w:p>
        </w:tc>
      </w:tr>
      <w:tr w:rsidR="006F2410" w:rsidRPr="002B1DFC" w14:paraId="6E1CD9FB" w14:textId="77777777" w:rsidTr="00356D5F">
        <w:tc>
          <w:tcPr>
            <w:tcW w:w="604" w:type="pct"/>
            <w:vMerge/>
            <w:tcBorders>
              <w:top w:val="single" w:sz="4" w:space="0" w:color="5B9BD5" w:themeColor="accent1"/>
              <w:bottom w:val="single" w:sz="4" w:space="0" w:color="5B9BD5" w:themeColor="accent1"/>
            </w:tcBorders>
          </w:tcPr>
          <w:p w14:paraId="1EF5DD7B"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593E8994" w14:textId="39B6EFF6" w:rsidR="006F2410" w:rsidRPr="00B76BDA" w:rsidRDefault="006428F7" w:rsidP="00B76BDA">
            <w:pPr>
              <w:pStyle w:val="ListParagraph"/>
              <w:numPr>
                <w:ilvl w:val="0"/>
                <w:numId w:val="40"/>
              </w:numPr>
              <w:ind w:left="360"/>
              <w:jc w:val="left"/>
              <w:rPr>
                <w:rFonts w:cs="Times New Roman"/>
                <w:sz w:val="20"/>
                <w:szCs w:val="20"/>
              </w:rPr>
            </w:pPr>
            <w:r w:rsidRPr="006428F7">
              <w:rPr>
                <w:rFonts w:cs="Times New Roman"/>
                <w:sz w:val="20"/>
                <w:szCs w:val="20"/>
              </w:rPr>
              <w:t xml:space="preserve">Build capacity of government and regional agencies to gather environmental information and disclose it, and prevent the loss of available documentation and archives during the admin-reform process. </w:t>
            </w:r>
          </w:p>
        </w:tc>
        <w:tc>
          <w:tcPr>
            <w:tcW w:w="537" w:type="pct"/>
            <w:tcBorders>
              <w:top w:val="single" w:sz="4" w:space="0" w:color="5B9BD5" w:themeColor="accent1"/>
              <w:bottom w:val="single" w:sz="4" w:space="0" w:color="5B9BD5" w:themeColor="accent1"/>
              <w:right w:val="single" w:sz="4" w:space="0" w:color="4F81BD"/>
            </w:tcBorders>
          </w:tcPr>
          <w:p w14:paraId="4F30E10F" w14:textId="77777777" w:rsidR="006F2410" w:rsidRPr="002B1DFC"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2136E4AD" w14:textId="77777777" w:rsidR="006F2410" w:rsidRPr="002B1DFC" w:rsidRDefault="006F2410" w:rsidP="006F2410">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themeColor="accent1"/>
              <w:bottom w:val="single" w:sz="4" w:space="0" w:color="5B9BD5" w:themeColor="accent1"/>
              <w:right w:val="single" w:sz="4" w:space="0" w:color="4F81BD"/>
            </w:tcBorders>
          </w:tcPr>
          <w:p w14:paraId="51EF8DB9" w14:textId="77777777" w:rsidR="006F2410" w:rsidRPr="002B1DFC" w:rsidRDefault="006F2410" w:rsidP="006F2410">
            <w:pPr>
              <w:ind w:left="12"/>
              <w:jc w:val="center"/>
              <w:rPr>
                <w:rFonts w:cs="Times New Roman"/>
                <w:sz w:val="20"/>
                <w:szCs w:val="20"/>
              </w:rPr>
            </w:pPr>
            <w:r>
              <w:rPr>
                <w:rFonts w:cs="Times New Roman"/>
                <w:sz w:val="20"/>
                <w:szCs w:val="20"/>
              </w:rPr>
              <w:t>MENR</w:t>
            </w:r>
          </w:p>
        </w:tc>
      </w:tr>
      <w:tr w:rsidR="006F2410" w:rsidRPr="002B1DFC" w14:paraId="51BC5225" w14:textId="77777777" w:rsidTr="00356D5F">
        <w:tc>
          <w:tcPr>
            <w:tcW w:w="604" w:type="pct"/>
            <w:vMerge/>
            <w:tcBorders>
              <w:top w:val="single" w:sz="4" w:space="0" w:color="5B9BD5" w:themeColor="accent1"/>
              <w:bottom w:val="single" w:sz="4" w:space="0" w:color="5B9BD5" w:themeColor="accent1"/>
            </w:tcBorders>
          </w:tcPr>
          <w:p w14:paraId="63E361FA" w14:textId="77777777" w:rsidR="006F2410" w:rsidRPr="005C6E03" w:rsidRDefault="006F2410" w:rsidP="006F2410">
            <w:pPr>
              <w:pStyle w:val="ListParagraph"/>
              <w:ind w:left="0"/>
              <w:jc w:val="left"/>
              <w:rPr>
                <w:rFonts w:cs="Times New Roman"/>
                <w:sz w:val="20"/>
                <w:szCs w:val="20"/>
              </w:rPr>
            </w:pPr>
          </w:p>
        </w:tc>
        <w:tc>
          <w:tcPr>
            <w:tcW w:w="2783" w:type="pct"/>
            <w:tcBorders>
              <w:top w:val="single" w:sz="4" w:space="0" w:color="5B9BD5" w:themeColor="accent1"/>
              <w:bottom w:val="single" w:sz="4" w:space="0" w:color="5B9BD5" w:themeColor="accent1"/>
            </w:tcBorders>
          </w:tcPr>
          <w:p w14:paraId="25328DF6" w14:textId="77777777" w:rsidR="006F2410" w:rsidRPr="00E85B1D" w:rsidRDefault="006F2410" w:rsidP="00B76BDA">
            <w:pPr>
              <w:pStyle w:val="ListParagraph"/>
              <w:numPr>
                <w:ilvl w:val="0"/>
                <w:numId w:val="40"/>
              </w:numPr>
              <w:ind w:left="360"/>
              <w:jc w:val="left"/>
              <w:rPr>
                <w:rFonts w:cs="Times New Roman"/>
                <w:sz w:val="20"/>
                <w:szCs w:val="20"/>
              </w:rPr>
            </w:pPr>
            <w:r w:rsidRPr="00E85B1D">
              <w:rPr>
                <w:rFonts w:cs="Times New Roman"/>
                <w:sz w:val="20"/>
                <w:szCs w:val="20"/>
              </w:rPr>
              <w:t>Develop and implement clear procedures of information disclosure and public participation in environmental decision making.</w:t>
            </w:r>
          </w:p>
        </w:tc>
        <w:tc>
          <w:tcPr>
            <w:tcW w:w="537" w:type="pct"/>
            <w:tcBorders>
              <w:top w:val="single" w:sz="4" w:space="0" w:color="5B9BD5" w:themeColor="accent1"/>
              <w:bottom w:val="single" w:sz="4" w:space="0" w:color="5B9BD5" w:themeColor="accent1"/>
              <w:right w:val="single" w:sz="4" w:space="0" w:color="4F81BD"/>
            </w:tcBorders>
          </w:tcPr>
          <w:p w14:paraId="1F7CDD8D" w14:textId="77777777" w:rsidR="006F2410" w:rsidRPr="002B1DFC"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5B9BD5" w:themeColor="accent1"/>
              <w:right w:val="single" w:sz="4" w:space="0" w:color="4F81BD"/>
            </w:tcBorders>
          </w:tcPr>
          <w:p w14:paraId="144C3322" w14:textId="77777777" w:rsidR="006F2410" w:rsidRDefault="006F2410" w:rsidP="006F2410">
            <w:pPr>
              <w:ind w:left="12"/>
              <w:jc w:val="center"/>
              <w:rPr>
                <w:rFonts w:cs="Times New Roman"/>
                <w:sz w:val="20"/>
                <w:szCs w:val="20"/>
              </w:rPr>
            </w:pPr>
            <w:r>
              <w:rPr>
                <w:rFonts w:cs="Times New Roman"/>
                <w:sz w:val="20"/>
                <w:szCs w:val="20"/>
              </w:rPr>
              <w:t>Medium</w:t>
            </w:r>
          </w:p>
        </w:tc>
        <w:tc>
          <w:tcPr>
            <w:tcW w:w="538" w:type="pct"/>
            <w:tcBorders>
              <w:top w:val="single" w:sz="4" w:space="0" w:color="5B9BD5" w:themeColor="accent1"/>
              <w:bottom w:val="single" w:sz="4" w:space="0" w:color="5B9BD5" w:themeColor="accent1"/>
              <w:right w:val="single" w:sz="4" w:space="0" w:color="4F81BD"/>
            </w:tcBorders>
          </w:tcPr>
          <w:p w14:paraId="4A5248B6" w14:textId="77777777" w:rsidR="006F2410" w:rsidRDefault="006F2410" w:rsidP="006F2410">
            <w:pPr>
              <w:ind w:left="12"/>
              <w:jc w:val="center"/>
              <w:rPr>
                <w:rFonts w:cs="Times New Roman"/>
                <w:sz w:val="20"/>
                <w:szCs w:val="20"/>
              </w:rPr>
            </w:pPr>
            <w:r>
              <w:rPr>
                <w:rFonts w:cs="Times New Roman"/>
                <w:sz w:val="20"/>
                <w:szCs w:val="20"/>
              </w:rPr>
              <w:t>MENR</w:t>
            </w:r>
          </w:p>
        </w:tc>
      </w:tr>
      <w:tr w:rsidR="006F2410" w:rsidRPr="002B1DFC" w14:paraId="6DA4FB64" w14:textId="77777777" w:rsidTr="00356D5F">
        <w:tc>
          <w:tcPr>
            <w:tcW w:w="604" w:type="pct"/>
            <w:vMerge/>
            <w:tcBorders>
              <w:top w:val="single" w:sz="4" w:space="0" w:color="5B9BD5" w:themeColor="accent1"/>
              <w:bottom w:val="single" w:sz="4" w:space="0" w:color="4F81BD"/>
            </w:tcBorders>
          </w:tcPr>
          <w:p w14:paraId="406A8D0C" w14:textId="77777777" w:rsidR="006F2410" w:rsidRPr="005C6E03" w:rsidRDefault="006F2410" w:rsidP="006F2410">
            <w:pPr>
              <w:pStyle w:val="ListParagraph"/>
              <w:tabs>
                <w:tab w:val="left" w:pos="253"/>
              </w:tabs>
              <w:ind w:left="0"/>
              <w:jc w:val="left"/>
              <w:rPr>
                <w:sz w:val="20"/>
                <w:szCs w:val="20"/>
              </w:rPr>
            </w:pPr>
          </w:p>
        </w:tc>
        <w:tc>
          <w:tcPr>
            <w:tcW w:w="2783" w:type="pct"/>
            <w:tcBorders>
              <w:top w:val="single" w:sz="4" w:space="0" w:color="5B9BD5" w:themeColor="accent1"/>
              <w:bottom w:val="single" w:sz="4" w:space="0" w:color="4F81BD"/>
            </w:tcBorders>
          </w:tcPr>
          <w:p w14:paraId="52B1D203" w14:textId="5BBD8559" w:rsidR="006F2410" w:rsidRPr="00E85B1D" w:rsidRDefault="006F2410" w:rsidP="00B76BDA">
            <w:pPr>
              <w:pStyle w:val="ListParagraph"/>
              <w:numPr>
                <w:ilvl w:val="0"/>
                <w:numId w:val="40"/>
              </w:numPr>
              <w:ind w:left="360"/>
              <w:jc w:val="left"/>
              <w:rPr>
                <w:rFonts w:cs="Times New Roman"/>
                <w:sz w:val="20"/>
                <w:szCs w:val="20"/>
              </w:rPr>
            </w:pPr>
            <w:r w:rsidRPr="00E85B1D">
              <w:rPr>
                <w:rFonts w:cs="Times New Roman"/>
                <w:sz w:val="20"/>
                <w:szCs w:val="20"/>
              </w:rPr>
              <w:t xml:space="preserve">Strengthen </w:t>
            </w:r>
            <w:r w:rsidR="00E656E1">
              <w:rPr>
                <w:rFonts w:cs="Times New Roman"/>
                <w:sz w:val="20"/>
                <w:szCs w:val="20"/>
              </w:rPr>
              <w:t xml:space="preserve">the capacity </w:t>
            </w:r>
            <w:r w:rsidRPr="00E85B1D">
              <w:rPr>
                <w:rFonts w:cs="Times New Roman"/>
                <w:sz w:val="20"/>
                <w:szCs w:val="20"/>
              </w:rPr>
              <w:t xml:space="preserve">of judiciary </w:t>
            </w:r>
            <w:r w:rsidR="00E656E1">
              <w:rPr>
                <w:rFonts w:cs="Times New Roman"/>
                <w:sz w:val="20"/>
                <w:szCs w:val="20"/>
              </w:rPr>
              <w:t xml:space="preserve">to address </w:t>
            </w:r>
            <w:r w:rsidRPr="00E85B1D">
              <w:rPr>
                <w:rFonts w:cs="Times New Roman"/>
                <w:sz w:val="20"/>
                <w:szCs w:val="20"/>
              </w:rPr>
              <w:t xml:space="preserve">environmental </w:t>
            </w:r>
            <w:r w:rsidR="00E656E1">
              <w:rPr>
                <w:rFonts w:cs="Times New Roman"/>
                <w:sz w:val="20"/>
                <w:szCs w:val="20"/>
              </w:rPr>
              <w:t>issues</w:t>
            </w:r>
            <w:r w:rsidRPr="00E85B1D">
              <w:rPr>
                <w:rFonts w:cs="Times New Roman"/>
                <w:sz w:val="20"/>
                <w:szCs w:val="20"/>
              </w:rPr>
              <w:t>.</w:t>
            </w:r>
          </w:p>
        </w:tc>
        <w:tc>
          <w:tcPr>
            <w:tcW w:w="537" w:type="pct"/>
            <w:tcBorders>
              <w:top w:val="single" w:sz="4" w:space="0" w:color="5B9BD5" w:themeColor="accent1"/>
              <w:bottom w:val="single" w:sz="4" w:space="0" w:color="4F81BD"/>
              <w:right w:val="single" w:sz="4" w:space="0" w:color="4F81BD"/>
            </w:tcBorders>
          </w:tcPr>
          <w:p w14:paraId="0AD28FF7" w14:textId="77777777" w:rsidR="006F2410" w:rsidRDefault="006F2410" w:rsidP="006F2410">
            <w:pPr>
              <w:ind w:left="12"/>
              <w:jc w:val="center"/>
              <w:rPr>
                <w:rFonts w:cs="Times New Roman"/>
                <w:sz w:val="20"/>
                <w:szCs w:val="20"/>
              </w:rPr>
            </w:pPr>
            <w:r>
              <w:rPr>
                <w:rFonts w:cs="Times New Roman"/>
                <w:sz w:val="20"/>
                <w:szCs w:val="20"/>
              </w:rPr>
              <w:t>High</w:t>
            </w:r>
          </w:p>
        </w:tc>
        <w:tc>
          <w:tcPr>
            <w:tcW w:w="538" w:type="pct"/>
            <w:tcBorders>
              <w:top w:val="single" w:sz="4" w:space="0" w:color="5B9BD5" w:themeColor="accent1"/>
              <w:bottom w:val="single" w:sz="4" w:space="0" w:color="4F81BD"/>
              <w:right w:val="single" w:sz="4" w:space="0" w:color="4F81BD"/>
            </w:tcBorders>
          </w:tcPr>
          <w:p w14:paraId="4AE9A629" w14:textId="77777777" w:rsidR="006F2410" w:rsidRDefault="006F2410" w:rsidP="006F2410">
            <w:pPr>
              <w:ind w:left="12"/>
              <w:jc w:val="center"/>
              <w:rPr>
                <w:rFonts w:cs="Times New Roman"/>
                <w:sz w:val="20"/>
                <w:szCs w:val="20"/>
              </w:rPr>
            </w:pPr>
            <w:r>
              <w:rPr>
                <w:rFonts w:cs="Times New Roman"/>
                <w:sz w:val="20"/>
                <w:szCs w:val="20"/>
              </w:rPr>
              <w:t>Long</w:t>
            </w:r>
          </w:p>
        </w:tc>
        <w:tc>
          <w:tcPr>
            <w:tcW w:w="538" w:type="pct"/>
            <w:tcBorders>
              <w:top w:val="single" w:sz="4" w:space="0" w:color="5B9BD5" w:themeColor="accent1"/>
              <w:bottom w:val="single" w:sz="4" w:space="0" w:color="4F81BD"/>
              <w:right w:val="single" w:sz="4" w:space="0" w:color="4F81BD"/>
            </w:tcBorders>
          </w:tcPr>
          <w:p w14:paraId="00984BEA" w14:textId="77777777" w:rsidR="006F2410" w:rsidRDefault="006F2410" w:rsidP="006F2410">
            <w:pPr>
              <w:ind w:left="12"/>
              <w:jc w:val="center"/>
              <w:rPr>
                <w:rFonts w:cs="Times New Roman"/>
                <w:sz w:val="20"/>
                <w:szCs w:val="20"/>
              </w:rPr>
            </w:pPr>
            <w:r>
              <w:rPr>
                <w:rFonts w:cs="Times New Roman"/>
                <w:sz w:val="20"/>
                <w:szCs w:val="20"/>
              </w:rPr>
              <w:t>Ministry of Justice / MENR</w:t>
            </w:r>
          </w:p>
        </w:tc>
      </w:tr>
    </w:tbl>
    <w:p w14:paraId="6D4D0BAF" w14:textId="77777777" w:rsidR="000B7923" w:rsidRPr="002B1DFC" w:rsidRDefault="005850DE" w:rsidP="00F33595">
      <w:pPr>
        <w:tabs>
          <w:tab w:val="left" w:pos="360"/>
        </w:tabs>
        <w:rPr>
          <w:rFonts w:cs="Times New Roman"/>
          <w:b/>
          <w:iCs/>
        </w:rPr>
      </w:pPr>
      <w:r w:rsidRPr="00663798">
        <w:rPr>
          <w:rFonts w:cs="Times New Roman"/>
          <w:i/>
          <w:iCs/>
          <w:sz w:val="20"/>
          <w:szCs w:val="20"/>
        </w:rPr>
        <w:t>* N</w:t>
      </w:r>
      <w:r w:rsidRPr="0061686D">
        <w:rPr>
          <w:rFonts w:cs="Times New Roman"/>
          <w:i/>
          <w:iCs/>
          <w:sz w:val="20"/>
          <w:szCs w:val="20"/>
        </w:rPr>
        <w:t>ote</w:t>
      </w:r>
      <w:r w:rsidRPr="00663798">
        <w:rPr>
          <w:rFonts w:cs="Times New Roman"/>
          <w:i/>
          <w:iCs/>
          <w:sz w:val="20"/>
          <w:szCs w:val="20"/>
        </w:rPr>
        <w:t>:</w:t>
      </w:r>
      <w:r w:rsidRPr="00663798">
        <w:rPr>
          <w:rFonts w:cs="Times New Roman"/>
          <w:iCs/>
          <w:sz w:val="20"/>
          <w:szCs w:val="20"/>
        </w:rPr>
        <w:t xml:space="preserve"> Short term</w:t>
      </w:r>
      <w:r w:rsidRPr="006020B3">
        <w:rPr>
          <w:rFonts w:cs="Times New Roman"/>
          <w:iCs/>
          <w:sz w:val="20"/>
          <w:szCs w:val="20"/>
        </w:rPr>
        <w:t xml:space="preserve"> = </w:t>
      </w:r>
      <w:r w:rsidRPr="00663798">
        <w:rPr>
          <w:rFonts w:cs="Times New Roman"/>
          <w:iCs/>
          <w:sz w:val="20"/>
          <w:szCs w:val="20"/>
        </w:rPr>
        <w:t xml:space="preserve">1 year or less; </w:t>
      </w:r>
      <w:r w:rsidRPr="006020B3">
        <w:rPr>
          <w:rFonts w:cs="Times New Roman"/>
          <w:iCs/>
          <w:sz w:val="20"/>
          <w:szCs w:val="20"/>
        </w:rPr>
        <w:t>m</w:t>
      </w:r>
      <w:r w:rsidRPr="00663798">
        <w:rPr>
          <w:rFonts w:cs="Times New Roman"/>
          <w:iCs/>
          <w:sz w:val="20"/>
          <w:szCs w:val="20"/>
        </w:rPr>
        <w:t>edium</w:t>
      </w:r>
      <w:r w:rsidRPr="006020B3">
        <w:rPr>
          <w:rFonts w:cs="Times New Roman"/>
          <w:iCs/>
          <w:sz w:val="20"/>
          <w:szCs w:val="20"/>
        </w:rPr>
        <w:t xml:space="preserve"> term =</w:t>
      </w:r>
      <w:r w:rsidRPr="00663798">
        <w:rPr>
          <w:rFonts w:cs="Times New Roman"/>
          <w:iCs/>
          <w:sz w:val="20"/>
          <w:szCs w:val="20"/>
        </w:rPr>
        <w:t xml:space="preserve"> within the next 2–3 years; and long term</w:t>
      </w:r>
      <w:r w:rsidRPr="006020B3">
        <w:rPr>
          <w:rFonts w:cs="Times New Roman"/>
          <w:iCs/>
          <w:sz w:val="20"/>
          <w:szCs w:val="20"/>
        </w:rPr>
        <w:t xml:space="preserve"> =</w:t>
      </w:r>
      <w:r w:rsidRPr="00663798">
        <w:rPr>
          <w:rFonts w:cs="Times New Roman"/>
          <w:iCs/>
          <w:sz w:val="20"/>
          <w:szCs w:val="20"/>
        </w:rPr>
        <w:t xml:space="preserve"> over 3 years.</w:t>
      </w:r>
    </w:p>
    <w:p w14:paraId="3FC63495" w14:textId="77777777" w:rsidR="000B7923" w:rsidRPr="002B1DFC" w:rsidRDefault="000B7923" w:rsidP="00F33595">
      <w:pPr>
        <w:tabs>
          <w:tab w:val="left" w:pos="360"/>
        </w:tabs>
        <w:rPr>
          <w:rFonts w:cs="Times New Roman"/>
          <w:b/>
          <w:iCs/>
        </w:rPr>
        <w:sectPr w:rsidR="000B7923" w:rsidRPr="002B1DFC" w:rsidSect="00FE1494">
          <w:pgSz w:w="15840" w:h="12240" w:orient="landscape"/>
          <w:pgMar w:top="1440" w:right="1440" w:bottom="1440" w:left="1440" w:header="720" w:footer="720" w:gutter="0"/>
          <w:pgNumType w:fmt="lowerRoman"/>
          <w:cols w:space="720"/>
          <w:docGrid w:linePitch="360"/>
        </w:sectPr>
      </w:pPr>
    </w:p>
    <w:p w14:paraId="31DC0348" w14:textId="77777777" w:rsidR="000B7923" w:rsidRPr="002B1DFC" w:rsidRDefault="000B7923" w:rsidP="00663798">
      <w:pPr>
        <w:pStyle w:val="Heading1"/>
        <w:tabs>
          <w:tab w:val="clear" w:pos="720"/>
          <w:tab w:val="left" w:pos="450"/>
        </w:tabs>
        <w:spacing w:before="480"/>
      </w:pPr>
      <w:bookmarkStart w:id="6" w:name="_Toc403738243"/>
      <w:bookmarkStart w:id="7" w:name="_Toc440273949"/>
      <w:r w:rsidRPr="002B1DFC">
        <w:lastRenderedPageBreak/>
        <w:t>Introduction</w:t>
      </w:r>
      <w:bookmarkEnd w:id="6"/>
      <w:bookmarkEnd w:id="7"/>
    </w:p>
    <w:p w14:paraId="6076C21D" w14:textId="77777777" w:rsidR="000B7923" w:rsidRPr="002B1DFC" w:rsidRDefault="000B7923" w:rsidP="00663798">
      <w:pPr>
        <w:pStyle w:val="Heading2"/>
        <w:tabs>
          <w:tab w:val="clear" w:pos="576"/>
        </w:tabs>
        <w:ind w:left="540" w:hanging="540"/>
      </w:pPr>
      <w:bookmarkStart w:id="8" w:name="_Toc440273950"/>
      <w:r w:rsidRPr="002B1DFC">
        <w:t>Overview</w:t>
      </w:r>
      <w:bookmarkEnd w:id="8"/>
    </w:p>
    <w:p w14:paraId="4701AE06" w14:textId="77777777" w:rsidR="000B7923" w:rsidRPr="002B1DFC" w:rsidRDefault="000B7923" w:rsidP="00663798">
      <w:pPr>
        <w:tabs>
          <w:tab w:val="left" w:pos="360"/>
        </w:tabs>
      </w:pPr>
    </w:p>
    <w:p w14:paraId="267DEDB4" w14:textId="66DDE215" w:rsidR="000B7923" w:rsidRPr="002B1DFC" w:rsidRDefault="000B7923" w:rsidP="00721C66">
      <w:pPr>
        <w:pStyle w:val="ListParagraph"/>
        <w:numPr>
          <w:ilvl w:val="0"/>
          <w:numId w:val="68"/>
        </w:numPr>
        <w:tabs>
          <w:tab w:val="left" w:pos="360"/>
        </w:tabs>
        <w:spacing w:line="23" w:lineRule="atLeast"/>
        <w:ind w:left="0" w:firstLine="0"/>
        <w:rPr>
          <w:rFonts w:cs="Times New Roman"/>
          <w:bCs/>
          <w:iCs/>
        </w:rPr>
      </w:pPr>
      <w:r w:rsidRPr="002B1DFC">
        <w:rPr>
          <w:rFonts w:cs="Times New Roman"/>
        </w:rPr>
        <w:t xml:space="preserve">Ukraine is </w:t>
      </w:r>
      <w:r w:rsidR="00FD2F9E">
        <w:rPr>
          <w:rFonts w:cs="Times New Roman"/>
        </w:rPr>
        <w:t xml:space="preserve">a </w:t>
      </w:r>
      <w:r w:rsidRPr="002B1DFC">
        <w:rPr>
          <w:rFonts w:cs="Times New Roman"/>
        </w:rPr>
        <w:t>sovereign, independent, democratic, social</w:t>
      </w:r>
      <w:r w:rsidR="00470855">
        <w:rPr>
          <w:rFonts w:cs="Times New Roman"/>
        </w:rPr>
        <w:t>,</w:t>
      </w:r>
      <w:r w:rsidRPr="002B1DFC">
        <w:rPr>
          <w:rFonts w:cs="Times New Roman"/>
        </w:rPr>
        <w:t xml:space="preserve"> and </w:t>
      </w:r>
      <w:proofErr w:type="spellStart"/>
      <w:r w:rsidRPr="002B1DFC">
        <w:rPr>
          <w:rFonts w:cs="Times New Roman"/>
        </w:rPr>
        <w:t>jural</w:t>
      </w:r>
      <w:proofErr w:type="spellEnd"/>
      <w:r w:rsidRPr="002B1DFC">
        <w:rPr>
          <w:rFonts w:cs="Times New Roman"/>
        </w:rPr>
        <w:t xml:space="preserve"> state. </w:t>
      </w:r>
      <w:r w:rsidRPr="002B1DFC">
        <w:rPr>
          <w:rFonts w:cs="Times New Roman"/>
          <w:bCs/>
          <w:iCs/>
        </w:rPr>
        <w:t>It is the second largest country in Europe</w:t>
      </w:r>
      <w:r w:rsidR="00DF7357">
        <w:rPr>
          <w:rFonts w:cs="Times New Roman"/>
          <w:bCs/>
          <w:iCs/>
        </w:rPr>
        <w:t>,</w:t>
      </w:r>
      <w:r w:rsidRPr="002B1DFC">
        <w:rPr>
          <w:rFonts w:cs="Times New Roman"/>
          <w:bCs/>
          <w:iCs/>
        </w:rPr>
        <w:t xml:space="preserve"> </w:t>
      </w:r>
      <w:r w:rsidRPr="00772403">
        <w:rPr>
          <w:rFonts w:eastAsia="Times New Roman" w:cs="Times New Roman"/>
          <w:color w:val="000000"/>
        </w:rPr>
        <w:t>with</w:t>
      </w:r>
      <w:r w:rsidRPr="002B1DFC">
        <w:rPr>
          <w:rFonts w:cs="Times New Roman"/>
          <w:bCs/>
          <w:iCs/>
        </w:rPr>
        <w:t xml:space="preserve"> a total area o</w:t>
      </w:r>
      <w:r w:rsidRPr="002B1DFC">
        <w:rPr>
          <w:noProof/>
        </w:rPr>
        <w:t>f</w:t>
      </w:r>
      <w:r w:rsidRPr="002B1DFC">
        <w:rPr>
          <w:rFonts w:cs="Times New Roman"/>
          <w:bCs/>
          <w:iCs/>
        </w:rPr>
        <w:t xml:space="preserve"> 603,550 km</w:t>
      </w:r>
      <w:r w:rsidRPr="002B1DFC">
        <w:rPr>
          <w:rFonts w:cs="Times New Roman"/>
          <w:bCs/>
          <w:iCs/>
          <w:vertAlign w:val="superscript"/>
        </w:rPr>
        <w:t>2</w:t>
      </w:r>
      <w:r w:rsidRPr="002B1DFC">
        <w:rPr>
          <w:rFonts w:cs="Times New Roman"/>
          <w:bCs/>
          <w:iCs/>
        </w:rPr>
        <w:t xml:space="preserve"> and a population of approximately 43 million (</w:t>
      </w:r>
      <w:r w:rsidR="00470855">
        <w:rPr>
          <w:rFonts w:cs="Times New Roman"/>
          <w:bCs/>
          <w:iCs/>
        </w:rPr>
        <w:t xml:space="preserve">as of </w:t>
      </w:r>
      <w:r w:rsidRPr="002B1DFC">
        <w:rPr>
          <w:rFonts w:cs="Times New Roman"/>
          <w:bCs/>
          <w:iCs/>
        </w:rPr>
        <w:t xml:space="preserve">January 1, 2015), 69% of whom live in urban areas. </w:t>
      </w:r>
      <w:r w:rsidRPr="002B1DFC">
        <w:rPr>
          <w:rFonts w:cs="Times New Roman"/>
        </w:rPr>
        <w:t xml:space="preserve">   </w:t>
      </w:r>
    </w:p>
    <w:p w14:paraId="4814DDD8" w14:textId="77777777" w:rsidR="000B7923" w:rsidRPr="002B1DFC" w:rsidRDefault="000B7923" w:rsidP="001D5B4D">
      <w:pPr>
        <w:rPr>
          <w:rFonts w:cs="Times New Roman"/>
          <w:bCs/>
          <w:iCs/>
        </w:rPr>
      </w:pPr>
    </w:p>
    <w:p w14:paraId="638F7DEF"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Ukraine is a lower </w:t>
      </w:r>
      <w:r w:rsidR="00DF7357" w:rsidRPr="002B1DFC">
        <w:rPr>
          <w:rFonts w:cs="Times New Roman"/>
        </w:rPr>
        <w:t>middle-income</w:t>
      </w:r>
      <w:r w:rsidRPr="002B1DFC">
        <w:rPr>
          <w:rFonts w:cs="Times New Roman"/>
        </w:rPr>
        <w:t xml:space="preserve"> country with a GDP </w:t>
      </w:r>
      <w:r w:rsidR="00470855">
        <w:rPr>
          <w:rFonts w:cs="Times New Roman"/>
        </w:rPr>
        <w:t xml:space="preserve">of </w:t>
      </w:r>
      <w:r w:rsidRPr="002B1DFC">
        <w:rPr>
          <w:rFonts w:cs="Times New Roman"/>
        </w:rPr>
        <w:t>$131.8 billion (2014). Agriculture contributes 12.1% of GDP, industry 29%</w:t>
      </w:r>
      <w:r w:rsidR="00470855">
        <w:rPr>
          <w:rFonts w:cs="Times New Roman"/>
        </w:rPr>
        <w:t>,</w:t>
      </w:r>
      <w:r w:rsidRPr="002B1DFC">
        <w:rPr>
          <w:rFonts w:cs="Times New Roman"/>
        </w:rPr>
        <w:t xml:space="preserve"> and services</w:t>
      </w:r>
      <w:r w:rsidR="00470855">
        <w:rPr>
          <w:rFonts w:cs="Times New Roman"/>
        </w:rPr>
        <w:t xml:space="preserve"> </w:t>
      </w:r>
      <w:r w:rsidRPr="002B1DFC">
        <w:rPr>
          <w:rFonts w:cs="Times New Roman"/>
        </w:rPr>
        <w:t>58.8%.  Ukraine’s key agricultural products include grains, sugar beets, sunflower seeds, vegetables</w:t>
      </w:r>
      <w:r w:rsidR="00470855">
        <w:rPr>
          <w:rFonts w:cs="Times New Roman"/>
        </w:rPr>
        <w:t>,</w:t>
      </w:r>
      <w:r w:rsidRPr="002B1DFC">
        <w:rPr>
          <w:rFonts w:cs="Times New Roman"/>
        </w:rPr>
        <w:t xml:space="preserve"> beef, and milk. Key industries in Ukraine are coal, electric power, ferrous and nonferrous metals, machinery and transport equipment, chemicals, and food processing.  </w:t>
      </w:r>
    </w:p>
    <w:p w14:paraId="12DF2B32" w14:textId="77777777" w:rsidR="000B7923" w:rsidRPr="002B1DFC" w:rsidRDefault="000B7923" w:rsidP="00F33595">
      <w:pPr>
        <w:rPr>
          <w:rFonts w:cs="Times New Roman"/>
          <w:bCs/>
          <w:iCs/>
        </w:rPr>
      </w:pPr>
    </w:p>
    <w:p w14:paraId="1688C9D3"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bCs/>
          <w:iCs/>
        </w:rPr>
      </w:pPr>
      <w:r w:rsidRPr="002B1DFC">
        <w:rPr>
          <w:rFonts w:cs="Times New Roman"/>
          <w:bCs/>
          <w:iCs/>
        </w:rPr>
        <w:t xml:space="preserve">According to </w:t>
      </w:r>
      <w:r w:rsidRPr="00772403">
        <w:rPr>
          <w:rFonts w:cs="Times New Roman"/>
        </w:rPr>
        <w:t>the</w:t>
      </w:r>
      <w:r w:rsidRPr="002B1DFC">
        <w:rPr>
          <w:rFonts w:cs="Times New Roman"/>
          <w:bCs/>
          <w:iCs/>
        </w:rPr>
        <w:t xml:space="preserve"> Human Development Index (2013), Ukraine ranked 78th out of 186 countries, which places it in the high human development category.  The Inequality-adjusted Human Development Index</w:t>
      </w:r>
      <w:r w:rsidR="00470855">
        <w:rPr>
          <w:rFonts w:cs="Times New Roman"/>
          <w:bCs/>
          <w:iCs/>
        </w:rPr>
        <w:t>—</w:t>
      </w:r>
      <w:r w:rsidRPr="002B1DFC">
        <w:rPr>
          <w:rFonts w:cs="Times New Roman"/>
          <w:bCs/>
          <w:iCs/>
        </w:rPr>
        <w:t xml:space="preserve">which takes into consideration how the achievements of a country </w:t>
      </w:r>
      <w:r w:rsidR="00470855">
        <w:rPr>
          <w:rFonts w:cs="Times New Roman"/>
          <w:bCs/>
          <w:iCs/>
        </w:rPr>
        <w:t>i</w:t>
      </w:r>
      <w:r w:rsidRPr="002B1DFC">
        <w:rPr>
          <w:rFonts w:cs="Times New Roman"/>
          <w:bCs/>
          <w:iCs/>
        </w:rPr>
        <w:t>n health, education</w:t>
      </w:r>
      <w:r w:rsidR="00470855">
        <w:rPr>
          <w:rFonts w:cs="Times New Roman"/>
          <w:bCs/>
          <w:iCs/>
        </w:rPr>
        <w:t>,</w:t>
      </w:r>
      <w:r w:rsidRPr="002B1DFC">
        <w:rPr>
          <w:rFonts w:cs="Times New Roman"/>
          <w:bCs/>
          <w:iCs/>
        </w:rPr>
        <w:t xml:space="preserve"> and income are distributed among its population by “discounting” each dimension’s average value according to its level of inequality (HDI Web</w:t>
      </w:r>
      <w:r w:rsidR="00470855">
        <w:rPr>
          <w:rFonts w:cs="Times New Roman"/>
          <w:bCs/>
          <w:iCs/>
        </w:rPr>
        <w:t xml:space="preserve"> </w:t>
      </w:r>
      <w:r w:rsidRPr="002B1DFC">
        <w:rPr>
          <w:rFonts w:cs="Times New Roman"/>
          <w:bCs/>
          <w:iCs/>
        </w:rPr>
        <w:t>site 2015)</w:t>
      </w:r>
      <w:r w:rsidR="00470855">
        <w:rPr>
          <w:rFonts w:cs="Times New Roman"/>
          <w:bCs/>
          <w:iCs/>
        </w:rPr>
        <w:t>—</w:t>
      </w:r>
      <w:r w:rsidRPr="002B1DFC">
        <w:rPr>
          <w:rFonts w:cs="Times New Roman"/>
          <w:bCs/>
          <w:iCs/>
        </w:rPr>
        <w:t xml:space="preserve">shows a loss of 9% points due to inequality. While absolute poverty has decreased over the past decade to approximately 1%, approximately 24.1% (2010 estimates) of Ukraine’s population live below the poverty line. Moreover, poverty levels in rural areas are almost twice as high as </w:t>
      </w:r>
      <w:r w:rsidR="00502F0B" w:rsidRPr="002B1DFC">
        <w:rPr>
          <w:rFonts w:cs="Times New Roman"/>
          <w:bCs/>
          <w:iCs/>
        </w:rPr>
        <w:t>th</w:t>
      </w:r>
      <w:r w:rsidR="00502F0B">
        <w:rPr>
          <w:rFonts w:cs="Times New Roman"/>
          <w:bCs/>
          <w:iCs/>
        </w:rPr>
        <w:t>ey are</w:t>
      </w:r>
      <w:r w:rsidR="00502F0B" w:rsidRPr="002B1DFC">
        <w:rPr>
          <w:rFonts w:cs="Times New Roman"/>
          <w:bCs/>
          <w:iCs/>
        </w:rPr>
        <w:t xml:space="preserve"> </w:t>
      </w:r>
      <w:r w:rsidRPr="002B1DFC">
        <w:rPr>
          <w:rFonts w:cs="Times New Roman"/>
          <w:bCs/>
          <w:iCs/>
        </w:rPr>
        <w:t xml:space="preserve">in urban areas.  </w:t>
      </w:r>
    </w:p>
    <w:p w14:paraId="18B36105" w14:textId="77777777" w:rsidR="000B7923" w:rsidRPr="002B1DFC" w:rsidRDefault="000B7923" w:rsidP="00D46935">
      <w:pPr>
        <w:rPr>
          <w:rFonts w:cs="Times New Roman"/>
          <w:bCs/>
          <w:iCs/>
        </w:rPr>
      </w:pPr>
    </w:p>
    <w:p w14:paraId="349DCD97"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bCs/>
          <w:iCs/>
        </w:rPr>
      </w:pPr>
      <w:r w:rsidRPr="002B1DFC">
        <w:rPr>
          <w:rFonts w:cs="Times New Roman"/>
          <w:bCs/>
          <w:iCs/>
        </w:rPr>
        <w:t>Ukraine faces governance challenges as it lags behind Europe and Central Asia countries in all indicators of the Worldwide Governance Indicators</w:t>
      </w:r>
      <w:r w:rsidR="00502F0B">
        <w:rPr>
          <w:rFonts w:cs="Times New Roman"/>
          <w:bCs/>
          <w:iCs/>
        </w:rPr>
        <w:t>—</w:t>
      </w:r>
      <w:r w:rsidRPr="002B1DFC">
        <w:rPr>
          <w:rFonts w:cs="Times New Roman"/>
          <w:bCs/>
          <w:iCs/>
        </w:rPr>
        <w:t>particularly on Political Stability, Rule of Law</w:t>
      </w:r>
      <w:r w:rsidR="00502F0B">
        <w:rPr>
          <w:rFonts w:cs="Times New Roman"/>
          <w:bCs/>
          <w:iCs/>
        </w:rPr>
        <w:t>,</w:t>
      </w:r>
      <w:r w:rsidRPr="002B1DFC">
        <w:rPr>
          <w:rFonts w:cs="Times New Roman"/>
          <w:bCs/>
          <w:iCs/>
        </w:rPr>
        <w:t xml:space="preserve"> and Control of Corruption Indicators. The Corruption Perception Index (CPI) 2014 by Transparency International ranks Ukraine 142 out of 175 countries</w:t>
      </w:r>
      <w:r w:rsidR="00502F0B">
        <w:rPr>
          <w:rFonts w:cs="Times New Roman"/>
          <w:bCs/>
          <w:iCs/>
        </w:rPr>
        <w:t>,</w:t>
      </w:r>
      <w:r w:rsidRPr="002B1DFC">
        <w:rPr>
          <w:rFonts w:cs="Times New Roman"/>
          <w:bCs/>
          <w:iCs/>
        </w:rPr>
        <w:t xml:space="preserve"> with a score of 26 of 100.</w:t>
      </w:r>
    </w:p>
    <w:p w14:paraId="24E4EC5A" w14:textId="77777777" w:rsidR="000B7923" w:rsidRPr="002B1DFC" w:rsidRDefault="000B7923" w:rsidP="00D46935">
      <w:pPr>
        <w:rPr>
          <w:rFonts w:cs="Times New Roman"/>
          <w:bCs/>
          <w:iCs/>
        </w:rPr>
      </w:pPr>
    </w:p>
    <w:p w14:paraId="7D4C1202" w14:textId="77777777" w:rsidR="0000132B" w:rsidRDefault="000B7923" w:rsidP="00772403">
      <w:pPr>
        <w:pStyle w:val="ListParagraph"/>
        <w:numPr>
          <w:ilvl w:val="0"/>
          <w:numId w:val="68"/>
        </w:numPr>
        <w:tabs>
          <w:tab w:val="left" w:pos="360"/>
        </w:tabs>
        <w:spacing w:line="23" w:lineRule="atLeast"/>
        <w:ind w:left="0" w:firstLine="0"/>
        <w:rPr>
          <w:rFonts w:cs="Times New Roman"/>
          <w:bCs/>
          <w:iCs/>
        </w:rPr>
      </w:pPr>
      <w:r w:rsidRPr="002B1DFC">
        <w:rPr>
          <w:rFonts w:cs="Times New Roman"/>
          <w:bCs/>
          <w:iCs/>
        </w:rPr>
        <w:t xml:space="preserve">In February 2014, following protests </w:t>
      </w:r>
      <w:r w:rsidR="00502F0B">
        <w:rPr>
          <w:rFonts w:cs="Times New Roman"/>
          <w:bCs/>
          <w:iCs/>
        </w:rPr>
        <w:t>that</w:t>
      </w:r>
      <w:r w:rsidR="00502F0B" w:rsidRPr="002B1DFC">
        <w:rPr>
          <w:rFonts w:cs="Times New Roman"/>
          <w:bCs/>
          <w:iCs/>
        </w:rPr>
        <w:t xml:space="preserve"> </w:t>
      </w:r>
      <w:r w:rsidRPr="002B1DFC">
        <w:rPr>
          <w:rFonts w:cs="Times New Roman"/>
          <w:bCs/>
          <w:iCs/>
        </w:rPr>
        <w:t xml:space="preserve">ousted the previous president, a national unity interim government was appointed that embarked on an ambitious reform agenda. The new government set </w:t>
      </w:r>
      <w:r w:rsidR="00502F0B">
        <w:rPr>
          <w:rFonts w:cs="Times New Roman"/>
          <w:bCs/>
          <w:iCs/>
        </w:rPr>
        <w:t xml:space="preserve">a </w:t>
      </w:r>
      <w:r w:rsidRPr="002B1DFC">
        <w:rPr>
          <w:rFonts w:cs="Times New Roman"/>
          <w:bCs/>
          <w:iCs/>
        </w:rPr>
        <w:t>course towards integration with the European Union</w:t>
      </w:r>
      <w:r w:rsidR="004B3F1A">
        <w:rPr>
          <w:rFonts w:cs="Times New Roman"/>
          <w:bCs/>
          <w:iCs/>
        </w:rPr>
        <w:t>,</w:t>
      </w:r>
      <w:r w:rsidRPr="002B1DFC">
        <w:rPr>
          <w:rFonts w:cs="Times New Roman"/>
          <w:bCs/>
          <w:iCs/>
        </w:rPr>
        <w:t xml:space="preserve"> and Ukraine signed the Ukraine – EU Association Agreement in 2014. </w:t>
      </w:r>
      <w:r w:rsidR="004B3F1A">
        <w:rPr>
          <w:rFonts w:cs="Times New Roman"/>
          <w:bCs/>
          <w:iCs/>
        </w:rPr>
        <w:t xml:space="preserve">The Agreement calls for the approximation of Ukraine’s standards and legislation to the EU directives in particular areas (including environmental legislation). </w:t>
      </w:r>
    </w:p>
    <w:p w14:paraId="6A5BC458" w14:textId="77777777" w:rsidR="0000132B" w:rsidRDefault="0000132B" w:rsidP="00E9091B">
      <w:pPr>
        <w:rPr>
          <w:rFonts w:cs="Times New Roman"/>
          <w:bCs/>
          <w:iCs/>
        </w:rPr>
      </w:pPr>
    </w:p>
    <w:p w14:paraId="5D885A47" w14:textId="77777777" w:rsidR="000B7923" w:rsidRPr="002B1DFC" w:rsidRDefault="004B3F1A" w:rsidP="00772403">
      <w:pPr>
        <w:pStyle w:val="ListParagraph"/>
        <w:numPr>
          <w:ilvl w:val="0"/>
          <w:numId w:val="68"/>
        </w:numPr>
        <w:tabs>
          <w:tab w:val="left" w:pos="360"/>
        </w:tabs>
        <w:spacing w:line="23" w:lineRule="atLeast"/>
        <w:ind w:left="0" w:firstLine="0"/>
        <w:rPr>
          <w:rFonts w:cs="Times New Roman"/>
          <w:bCs/>
          <w:iCs/>
        </w:rPr>
      </w:pPr>
      <w:r w:rsidRPr="002B1DFC">
        <w:rPr>
          <w:rFonts w:cs="Times New Roman"/>
          <w:bCs/>
          <w:iCs/>
        </w:rPr>
        <w:t xml:space="preserve">Ukraine’s ambitious reform agenda provides an opportunity to enhance Ukraine’s environmental management capacity to improve the well-being of Ukrainians, but also to ensure that </w:t>
      </w:r>
      <w:r w:rsidR="00502F0B">
        <w:rPr>
          <w:rFonts w:cs="Times New Roman"/>
          <w:bCs/>
          <w:iCs/>
        </w:rPr>
        <w:t xml:space="preserve">the </w:t>
      </w:r>
      <w:r w:rsidRPr="002B1DFC">
        <w:rPr>
          <w:rFonts w:cs="Times New Roman"/>
          <w:bCs/>
          <w:iCs/>
        </w:rPr>
        <w:t xml:space="preserve">environment is integrated into the broader sustainable development plans and ongoing reforms. </w:t>
      </w:r>
      <w:r w:rsidR="000B7923" w:rsidRPr="002B1DFC">
        <w:rPr>
          <w:rFonts w:cs="Times New Roman"/>
          <w:bCs/>
          <w:iCs/>
        </w:rPr>
        <w:t xml:space="preserve">The Government of Ukraine has requested </w:t>
      </w:r>
      <w:r w:rsidR="00502F0B">
        <w:rPr>
          <w:rFonts w:cs="Times New Roman"/>
          <w:bCs/>
          <w:iCs/>
        </w:rPr>
        <w:t xml:space="preserve">the </w:t>
      </w:r>
      <w:r w:rsidR="000B7923" w:rsidRPr="002B1DFC">
        <w:rPr>
          <w:rFonts w:cs="Times New Roman"/>
          <w:bCs/>
          <w:iCs/>
        </w:rPr>
        <w:t>World Bank Group</w:t>
      </w:r>
      <w:r w:rsidR="00502F0B">
        <w:rPr>
          <w:rFonts w:cs="Times New Roman"/>
          <w:bCs/>
          <w:iCs/>
        </w:rPr>
        <w:t>’s</w:t>
      </w:r>
      <w:r w:rsidR="000B7923" w:rsidRPr="002B1DFC">
        <w:rPr>
          <w:rFonts w:cs="Times New Roman"/>
          <w:bCs/>
          <w:iCs/>
        </w:rPr>
        <w:t xml:space="preserve"> support in implement</w:t>
      </w:r>
      <w:r w:rsidR="00502F0B">
        <w:rPr>
          <w:rFonts w:cs="Times New Roman"/>
          <w:bCs/>
          <w:iCs/>
        </w:rPr>
        <w:t>ing</w:t>
      </w:r>
      <w:r w:rsidR="000B7923" w:rsidRPr="002B1DFC">
        <w:rPr>
          <w:rFonts w:cs="Times New Roman"/>
          <w:bCs/>
          <w:iCs/>
        </w:rPr>
        <w:t xml:space="preserve"> its ambitious reform agenda, and the WBG announced that in addition to its ongoing portfolio of US$3.7 billion, it stands ready to provide US$3 billion of new financing to Ukraine and to assist the country in formulating and implementing urgently needed reforms (World Bank 2014).  </w:t>
      </w:r>
    </w:p>
    <w:p w14:paraId="52FC4EBA" w14:textId="77777777" w:rsidR="000B7923" w:rsidRPr="002B1DFC" w:rsidRDefault="000B7923" w:rsidP="007C18FE">
      <w:pPr>
        <w:rPr>
          <w:rFonts w:cs="Times New Roman"/>
          <w:bCs/>
          <w:iCs/>
        </w:rPr>
      </w:pPr>
    </w:p>
    <w:p w14:paraId="346515DB"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bCs/>
          <w:iCs/>
        </w:rPr>
      </w:pPr>
      <w:r w:rsidRPr="002B1DFC">
        <w:rPr>
          <w:rFonts w:cs="Times New Roman"/>
          <w:bCs/>
          <w:iCs/>
        </w:rPr>
        <w:t xml:space="preserve">Since gaining independence in 1991, Ukraine made significant progress in its environmental management. The country developed a wide regulatory and legal base for environmental legislation; became signatory to major international and regional environmental agreements; established the </w:t>
      </w:r>
      <w:r w:rsidR="00502F0B">
        <w:rPr>
          <w:rFonts w:cs="Times New Roman"/>
          <w:bCs/>
          <w:iCs/>
        </w:rPr>
        <w:t>M</w:t>
      </w:r>
      <w:r w:rsidRPr="002B1DFC">
        <w:rPr>
          <w:rFonts w:cs="Times New Roman"/>
          <w:bCs/>
          <w:iCs/>
        </w:rPr>
        <w:t xml:space="preserve">inistry of </w:t>
      </w:r>
      <w:r w:rsidR="00502F0B">
        <w:rPr>
          <w:rFonts w:cs="Times New Roman"/>
          <w:bCs/>
          <w:iCs/>
        </w:rPr>
        <w:t>E</w:t>
      </w:r>
      <w:r w:rsidRPr="002B1DFC">
        <w:rPr>
          <w:rFonts w:cs="Times New Roman"/>
          <w:bCs/>
          <w:iCs/>
        </w:rPr>
        <w:t xml:space="preserve">cology and </w:t>
      </w:r>
      <w:r w:rsidR="00502F0B">
        <w:rPr>
          <w:rFonts w:cs="Times New Roman"/>
          <w:bCs/>
          <w:iCs/>
        </w:rPr>
        <w:t>N</w:t>
      </w:r>
      <w:r w:rsidRPr="002B1DFC">
        <w:rPr>
          <w:rFonts w:cs="Times New Roman"/>
          <w:bCs/>
          <w:iCs/>
        </w:rPr>
        <w:t xml:space="preserve">atural </w:t>
      </w:r>
      <w:r w:rsidR="00502F0B">
        <w:rPr>
          <w:rFonts w:cs="Times New Roman"/>
          <w:bCs/>
          <w:iCs/>
        </w:rPr>
        <w:t>R</w:t>
      </w:r>
      <w:r w:rsidRPr="002B1DFC">
        <w:rPr>
          <w:rFonts w:cs="Times New Roman"/>
          <w:bCs/>
          <w:iCs/>
        </w:rPr>
        <w:t xml:space="preserve">esources tasked with setting the country’s environment policy; </w:t>
      </w:r>
      <w:r w:rsidR="00502F0B">
        <w:rPr>
          <w:rFonts w:cs="Times New Roman"/>
          <w:bCs/>
          <w:iCs/>
        </w:rPr>
        <w:t xml:space="preserve">and </w:t>
      </w:r>
      <w:r w:rsidRPr="002B1DFC">
        <w:rPr>
          <w:rFonts w:cs="Times New Roman"/>
          <w:bCs/>
          <w:iCs/>
        </w:rPr>
        <w:t xml:space="preserve">established the Environment Protection Fund and the Nature Protection Fund, among others. </w:t>
      </w:r>
      <w:r w:rsidR="00502F0B">
        <w:rPr>
          <w:rFonts w:cs="Times New Roman"/>
          <w:bCs/>
          <w:iCs/>
        </w:rPr>
        <w:t>In addition</w:t>
      </w:r>
      <w:r w:rsidRPr="002B1DFC">
        <w:rPr>
          <w:rFonts w:cs="Times New Roman"/>
          <w:bCs/>
          <w:iCs/>
        </w:rPr>
        <w:t>, over the years of independence, a vibrant civil society and active non</w:t>
      </w:r>
      <w:r w:rsidR="00DF7357">
        <w:rPr>
          <w:rFonts w:cs="Times New Roman"/>
          <w:bCs/>
          <w:iCs/>
        </w:rPr>
        <w:t>-</w:t>
      </w:r>
      <w:r w:rsidRPr="002B1DFC">
        <w:rPr>
          <w:rFonts w:cs="Times New Roman"/>
          <w:bCs/>
          <w:iCs/>
        </w:rPr>
        <w:t>governmental organizations working on environmental issues have emerged. Despite these achievements, Ukraine’s environmental institutions face key challenges</w:t>
      </w:r>
      <w:r w:rsidR="00502F0B">
        <w:rPr>
          <w:rFonts w:cs="Times New Roman"/>
          <w:bCs/>
          <w:iCs/>
        </w:rPr>
        <w:t>,</w:t>
      </w:r>
      <w:r w:rsidRPr="002B1DFC">
        <w:rPr>
          <w:rFonts w:cs="Times New Roman"/>
          <w:bCs/>
          <w:iCs/>
        </w:rPr>
        <w:t xml:space="preserve"> some of which stem from the broader governance challenges. </w:t>
      </w:r>
    </w:p>
    <w:p w14:paraId="250435B2" w14:textId="77777777" w:rsidR="000B7923" w:rsidRPr="002B1DFC" w:rsidRDefault="000B7923" w:rsidP="00B77E92">
      <w:pPr>
        <w:rPr>
          <w:rFonts w:cs="Times New Roman"/>
          <w:bCs/>
          <w:iCs/>
        </w:rPr>
      </w:pPr>
    </w:p>
    <w:p w14:paraId="2D8CBDEA" w14:textId="0329121B" w:rsidR="000B7923" w:rsidRPr="002B1DFC" w:rsidRDefault="000B7923" w:rsidP="00341202">
      <w:pPr>
        <w:pStyle w:val="ListParagraph"/>
        <w:numPr>
          <w:ilvl w:val="0"/>
          <w:numId w:val="68"/>
        </w:numPr>
        <w:tabs>
          <w:tab w:val="left" w:pos="360"/>
        </w:tabs>
        <w:spacing w:line="23" w:lineRule="atLeast"/>
        <w:ind w:left="0" w:firstLine="0"/>
        <w:rPr>
          <w:rFonts w:cs="Times New Roman"/>
          <w:bCs/>
          <w:iCs/>
        </w:rPr>
      </w:pPr>
      <w:r w:rsidRPr="002B1DFC">
        <w:rPr>
          <w:rFonts w:cs="Times New Roman"/>
          <w:bCs/>
          <w:iCs/>
        </w:rPr>
        <w:t>A number of analys</w:t>
      </w:r>
      <w:r w:rsidR="00502F0B">
        <w:rPr>
          <w:rFonts w:cs="Times New Roman"/>
          <w:bCs/>
          <w:iCs/>
        </w:rPr>
        <w:t>e</w:t>
      </w:r>
      <w:r w:rsidRPr="002B1DFC">
        <w:rPr>
          <w:rFonts w:cs="Times New Roman"/>
          <w:bCs/>
          <w:iCs/>
        </w:rPr>
        <w:t>s was carried out on Ukraine’s environmental management over the past decade. However, there is no recent assessment of Ukraine’s environmental institutions after the decentralization of environmental management that started in 2010</w:t>
      </w:r>
      <w:r w:rsidR="0041197D">
        <w:rPr>
          <w:rFonts w:cs="Times New Roman"/>
          <w:bCs/>
          <w:iCs/>
        </w:rPr>
        <w:t>–</w:t>
      </w:r>
      <w:r w:rsidRPr="002B1DFC">
        <w:rPr>
          <w:rFonts w:cs="Times New Roman"/>
          <w:bCs/>
          <w:iCs/>
        </w:rPr>
        <w:t xml:space="preserve">2012, and that resulted in </w:t>
      </w:r>
      <w:r w:rsidR="00502F0B">
        <w:rPr>
          <w:rFonts w:cs="Times New Roman"/>
          <w:bCs/>
          <w:iCs/>
        </w:rPr>
        <w:t>abolishing</w:t>
      </w:r>
      <w:r w:rsidRPr="002B1DFC">
        <w:rPr>
          <w:rFonts w:cs="Times New Roman"/>
          <w:bCs/>
          <w:iCs/>
        </w:rPr>
        <w:t xml:space="preserve"> the Ministry of Ecology and Natural Resources regional departments and transfer of responsibilities to </w:t>
      </w:r>
      <w:r w:rsidR="00F31676">
        <w:rPr>
          <w:rFonts w:cs="Times New Roman"/>
          <w:bCs/>
          <w:iCs/>
        </w:rPr>
        <w:t>local government</w:t>
      </w:r>
      <w:r w:rsidR="00F31676" w:rsidRPr="002B1DFC">
        <w:rPr>
          <w:rFonts w:cs="Times New Roman"/>
          <w:bCs/>
          <w:iCs/>
        </w:rPr>
        <w:t xml:space="preserve"> </w:t>
      </w:r>
      <w:r w:rsidRPr="002B1DFC">
        <w:rPr>
          <w:rFonts w:cs="Times New Roman"/>
          <w:bCs/>
          <w:iCs/>
        </w:rPr>
        <w:t xml:space="preserve">authorities. </w:t>
      </w:r>
    </w:p>
    <w:p w14:paraId="0B5E8218" w14:textId="77777777" w:rsidR="000B7923" w:rsidRPr="002B1DFC" w:rsidRDefault="000B7923" w:rsidP="00AD1DF4">
      <w:pPr>
        <w:rPr>
          <w:rFonts w:cs="Times New Roman"/>
          <w:bCs/>
          <w:iCs/>
        </w:rPr>
      </w:pPr>
    </w:p>
    <w:p w14:paraId="43B17C27" w14:textId="77777777" w:rsidR="00893A04" w:rsidRDefault="000B7923" w:rsidP="00772403">
      <w:pPr>
        <w:pStyle w:val="ListParagraph"/>
        <w:numPr>
          <w:ilvl w:val="0"/>
          <w:numId w:val="68"/>
        </w:numPr>
        <w:tabs>
          <w:tab w:val="left" w:pos="360"/>
        </w:tabs>
        <w:spacing w:line="23" w:lineRule="atLeast"/>
        <w:ind w:left="0" w:firstLine="0"/>
        <w:rPr>
          <w:rFonts w:cs="Times New Roman"/>
          <w:bCs/>
          <w:iCs/>
        </w:rPr>
      </w:pPr>
      <w:r w:rsidRPr="002B1DFC">
        <w:rPr>
          <w:rFonts w:cs="Times New Roman"/>
          <w:bCs/>
          <w:iCs/>
        </w:rPr>
        <w:t xml:space="preserve">The Country Environmental Analysis (CEA) is an upstream analytic tool that aims to integrate environmental considerations into the development process and sustainable development assistance, including Development Policy Lending operations (DPLs). Institutional </w:t>
      </w:r>
      <w:r w:rsidR="00502F0B">
        <w:rPr>
          <w:rFonts w:cs="Times New Roman"/>
          <w:bCs/>
          <w:iCs/>
        </w:rPr>
        <w:t>a</w:t>
      </w:r>
      <w:r w:rsidRPr="002B1DFC">
        <w:rPr>
          <w:rFonts w:cs="Times New Roman"/>
          <w:bCs/>
          <w:iCs/>
        </w:rPr>
        <w:t xml:space="preserve">nalysis is a key building block of Country Environmental Analysis (CEA) and is the key focus of this CEA.  </w:t>
      </w:r>
      <w:r w:rsidR="00893A04">
        <w:rPr>
          <w:rFonts w:cs="Times New Roman"/>
          <w:bCs/>
          <w:iCs/>
        </w:rPr>
        <w:t xml:space="preserve">Strengthened environmental institutions are essential for ensuring </w:t>
      </w:r>
      <w:r w:rsidR="004025AA">
        <w:rPr>
          <w:rFonts w:cs="Times New Roman"/>
          <w:bCs/>
          <w:iCs/>
        </w:rPr>
        <w:t xml:space="preserve">the </w:t>
      </w:r>
      <w:r w:rsidR="00893A04">
        <w:rPr>
          <w:rFonts w:cs="Times New Roman"/>
          <w:bCs/>
          <w:iCs/>
        </w:rPr>
        <w:t xml:space="preserve">implementation of </w:t>
      </w:r>
      <w:r w:rsidR="00502F0B">
        <w:rPr>
          <w:rFonts w:cs="Times New Roman"/>
          <w:bCs/>
          <w:iCs/>
        </w:rPr>
        <w:t xml:space="preserve">the </w:t>
      </w:r>
      <w:r w:rsidR="008357CD">
        <w:rPr>
          <w:rFonts w:cs="Times New Roman"/>
          <w:bCs/>
          <w:iCs/>
        </w:rPr>
        <w:t>EU–</w:t>
      </w:r>
      <w:r w:rsidR="00893A04">
        <w:rPr>
          <w:rFonts w:cs="Times New Roman"/>
          <w:bCs/>
          <w:iCs/>
        </w:rPr>
        <w:t>Ukraine Association Agreement</w:t>
      </w:r>
      <w:r w:rsidR="004025AA">
        <w:rPr>
          <w:rFonts w:cs="Times New Roman"/>
          <w:bCs/>
          <w:iCs/>
        </w:rPr>
        <w:t xml:space="preserve"> and compliance with its terms and requirements</w:t>
      </w:r>
      <w:r w:rsidR="00893A04">
        <w:rPr>
          <w:rFonts w:cs="Times New Roman"/>
          <w:bCs/>
          <w:iCs/>
        </w:rPr>
        <w:t xml:space="preserve">. </w:t>
      </w:r>
      <w:r w:rsidR="004025AA">
        <w:rPr>
          <w:rFonts w:cs="Times New Roman"/>
          <w:bCs/>
          <w:iCs/>
        </w:rPr>
        <w:t xml:space="preserve">Strengthened environmental institutions </w:t>
      </w:r>
      <w:r w:rsidR="00893A04">
        <w:rPr>
          <w:rFonts w:cs="Times New Roman"/>
          <w:bCs/>
          <w:iCs/>
        </w:rPr>
        <w:t xml:space="preserve">would also </w:t>
      </w:r>
      <w:r w:rsidR="004025AA">
        <w:rPr>
          <w:rFonts w:cs="Times New Roman"/>
          <w:bCs/>
          <w:iCs/>
        </w:rPr>
        <w:t xml:space="preserve">facilitate </w:t>
      </w:r>
      <w:r w:rsidR="00893A04">
        <w:rPr>
          <w:rFonts w:cs="Times New Roman"/>
          <w:bCs/>
          <w:iCs/>
        </w:rPr>
        <w:t>Ukraine</w:t>
      </w:r>
      <w:r w:rsidR="004025AA">
        <w:rPr>
          <w:rFonts w:cs="Times New Roman"/>
          <w:bCs/>
          <w:iCs/>
        </w:rPr>
        <w:t>’s ability</w:t>
      </w:r>
      <w:r w:rsidR="00893A04">
        <w:rPr>
          <w:rFonts w:cs="Times New Roman"/>
          <w:bCs/>
          <w:iCs/>
        </w:rPr>
        <w:t xml:space="preserve"> to be in line with international financing institutions’ requirements for environmental and social safeguards and risks</w:t>
      </w:r>
      <w:r w:rsidR="00502F0B">
        <w:rPr>
          <w:rFonts w:cs="Times New Roman"/>
          <w:bCs/>
          <w:iCs/>
        </w:rPr>
        <w:t>—</w:t>
      </w:r>
      <w:r w:rsidR="00893A04">
        <w:rPr>
          <w:rFonts w:cs="Times New Roman"/>
          <w:bCs/>
          <w:iCs/>
        </w:rPr>
        <w:t xml:space="preserve">many of which call for a strong system. </w:t>
      </w:r>
    </w:p>
    <w:p w14:paraId="0AF4CF2B" w14:textId="77777777" w:rsidR="00057879" w:rsidRDefault="00057879" w:rsidP="00AD1DF4">
      <w:pPr>
        <w:rPr>
          <w:rFonts w:cs="Times New Roman"/>
          <w:bCs/>
          <w:iCs/>
        </w:rPr>
      </w:pPr>
    </w:p>
    <w:p w14:paraId="6CBC66C8" w14:textId="77777777" w:rsidR="000B7923" w:rsidRPr="002B1DFC" w:rsidRDefault="000B7923" w:rsidP="00A2019A">
      <w:pPr>
        <w:pStyle w:val="Heading2"/>
      </w:pPr>
      <w:bookmarkStart w:id="9" w:name="_Toc436658324"/>
      <w:bookmarkStart w:id="10" w:name="_Toc436749509"/>
      <w:bookmarkStart w:id="11" w:name="_Toc436832011"/>
      <w:bookmarkStart w:id="12" w:name="_Toc436658325"/>
      <w:bookmarkStart w:id="13" w:name="_Toc436749510"/>
      <w:bookmarkStart w:id="14" w:name="_Toc436832012"/>
      <w:bookmarkStart w:id="15" w:name="_Toc440273951"/>
      <w:bookmarkStart w:id="16" w:name="_Toc403738247"/>
      <w:bookmarkEnd w:id="9"/>
      <w:bookmarkEnd w:id="10"/>
      <w:bookmarkEnd w:id="11"/>
      <w:bookmarkEnd w:id="12"/>
      <w:bookmarkEnd w:id="13"/>
      <w:bookmarkEnd w:id="14"/>
      <w:r w:rsidRPr="002B1DFC">
        <w:t>Objective</w:t>
      </w:r>
      <w:bookmarkEnd w:id="15"/>
      <w:r w:rsidRPr="002B1DFC">
        <w:t xml:space="preserve"> </w:t>
      </w:r>
    </w:p>
    <w:bookmarkEnd w:id="16"/>
    <w:p w14:paraId="12BFEF69" w14:textId="77777777" w:rsidR="000B7923" w:rsidRPr="002B1DFC" w:rsidRDefault="000B7923" w:rsidP="00F33595">
      <w:pPr>
        <w:rPr>
          <w:rFonts w:cs="Times New Roman"/>
        </w:rPr>
      </w:pPr>
    </w:p>
    <w:p w14:paraId="69BCA392" w14:textId="02C53BF3" w:rsidR="00057879" w:rsidRPr="00772403" w:rsidRDefault="00700808" w:rsidP="00772403">
      <w:pPr>
        <w:pStyle w:val="ListParagraph"/>
        <w:numPr>
          <w:ilvl w:val="0"/>
          <w:numId w:val="68"/>
        </w:numPr>
        <w:tabs>
          <w:tab w:val="left" w:pos="360"/>
        </w:tabs>
        <w:spacing w:line="23" w:lineRule="atLeast"/>
        <w:ind w:left="0" w:firstLine="0"/>
        <w:rPr>
          <w:rFonts w:cs="Times New Roman"/>
        </w:rPr>
      </w:pPr>
      <w:r w:rsidRPr="00772403">
        <w:rPr>
          <w:rFonts w:cs="Times New Roman"/>
        </w:rPr>
        <w:t>The objective of the Country Environmental Analysis (CEA) is to assess the adequacy and performance of the policy, legal, and institutional framework for environmental management in Ukraine, in light of the decentralization process of environmental governance and wider reform objectives, and to provide recommendations to government to address the key gaps identified.</w:t>
      </w:r>
    </w:p>
    <w:p w14:paraId="04DC0237" w14:textId="77777777" w:rsidR="000B7923" w:rsidRPr="002B1DFC" w:rsidRDefault="000B7923" w:rsidP="00A2019A">
      <w:pPr>
        <w:pStyle w:val="Heading2"/>
      </w:pPr>
      <w:bookmarkStart w:id="17" w:name="_Toc436658327"/>
      <w:bookmarkStart w:id="18" w:name="_Toc436749512"/>
      <w:bookmarkStart w:id="19" w:name="_Toc436832014"/>
      <w:bookmarkStart w:id="20" w:name="_Toc440273952"/>
      <w:bookmarkEnd w:id="17"/>
      <w:bookmarkEnd w:id="18"/>
      <w:bookmarkEnd w:id="19"/>
      <w:r w:rsidRPr="002B1DFC">
        <w:t>Approach and Limitations</w:t>
      </w:r>
      <w:bookmarkEnd w:id="20"/>
    </w:p>
    <w:p w14:paraId="074DBA39" w14:textId="77777777" w:rsidR="000B7923" w:rsidRPr="002B1DFC" w:rsidRDefault="000B7923" w:rsidP="00F33595">
      <w:pPr>
        <w:rPr>
          <w:rFonts w:cs="Times New Roman"/>
        </w:rPr>
      </w:pPr>
    </w:p>
    <w:p w14:paraId="4BEDBFB3"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The </w:t>
      </w:r>
      <w:r w:rsidRPr="00772403">
        <w:rPr>
          <w:rFonts w:cs="Times New Roman"/>
        </w:rPr>
        <w:t>following</w:t>
      </w:r>
      <w:r w:rsidRPr="002B1DFC">
        <w:rPr>
          <w:rFonts w:cs="Times New Roman"/>
        </w:rPr>
        <w:t xml:space="preserve"> factors influenced the preparation of the CEA and to an extent determined its focus:</w:t>
      </w:r>
    </w:p>
    <w:p w14:paraId="7AE00932" w14:textId="77777777" w:rsidR="000B7923" w:rsidRPr="002B1DFC" w:rsidRDefault="000B7923" w:rsidP="00B672F2">
      <w:pPr>
        <w:rPr>
          <w:rFonts w:cs="Times New Roman"/>
        </w:rPr>
      </w:pPr>
    </w:p>
    <w:p w14:paraId="7FCDB4D4" w14:textId="77777777" w:rsidR="000B7923" w:rsidRPr="002B1DFC" w:rsidRDefault="000B7923" w:rsidP="00B83095">
      <w:pPr>
        <w:pStyle w:val="ListParagraph"/>
        <w:numPr>
          <w:ilvl w:val="0"/>
          <w:numId w:val="27"/>
        </w:numPr>
        <w:rPr>
          <w:rFonts w:cs="Times New Roman"/>
        </w:rPr>
      </w:pPr>
      <w:r w:rsidRPr="002B1DFC">
        <w:rPr>
          <w:rFonts w:cs="Times New Roman"/>
        </w:rPr>
        <w:t xml:space="preserve">The </w:t>
      </w:r>
      <w:r w:rsidRPr="002B1DFC">
        <w:rPr>
          <w:rFonts w:cs="Times New Roman"/>
          <w:b/>
          <w:bCs/>
        </w:rPr>
        <w:t>environmental decentralization reform</w:t>
      </w:r>
      <w:r w:rsidRPr="002B1DFC">
        <w:rPr>
          <w:rFonts w:cs="Times New Roman"/>
        </w:rPr>
        <w:t xml:space="preserve"> that started in 2010</w:t>
      </w:r>
      <w:r w:rsidR="0041197D">
        <w:rPr>
          <w:rFonts w:cs="Times New Roman"/>
        </w:rPr>
        <w:t>–</w:t>
      </w:r>
      <w:r w:rsidRPr="002B1DFC">
        <w:rPr>
          <w:rFonts w:cs="Times New Roman"/>
        </w:rPr>
        <w:t xml:space="preserve">2012 and which resulted in the abolishment of the regional department of the MENR – as a result of this reform, there was lack of information and assessment on how the reform was implemented, what were the results, and what is the environmental management set up on the ground. </w:t>
      </w:r>
    </w:p>
    <w:p w14:paraId="119F17FD" w14:textId="77777777" w:rsidR="000B7923" w:rsidRPr="002B1DFC" w:rsidRDefault="000B7923" w:rsidP="00B672F2">
      <w:pPr>
        <w:pStyle w:val="ListParagraph"/>
        <w:ind w:left="360"/>
        <w:rPr>
          <w:rFonts w:cs="Times New Roman"/>
        </w:rPr>
      </w:pPr>
    </w:p>
    <w:p w14:paraId="1F67F8D6" w14:textId="77777777" w:rsidR="000B7923" w:rsidRPr="002B1DFC" w:rsidRDefault="000B7923" w:rsidP="00B83095">
      <w:pPr>
        <w:pStyle w:val="ListParagraph"/>
        <w:numPr>
          <w:ilvl w:val="0"/>
          <w:numId w:val="27"/>
        </w:numPr>
        <w:rPr>
          <w:rFonts w:cs="Times New Roman"/>
        </w:rPr>
      </w:pPr>
      <w:r w:rsidRPr="002B1DFC">
        <w:rPr>
          <w:rFonts w:cs="Times New Roman"/>
          <w:b/>
          <w:bCs/>
        </w:rPr>
        <w:t>Bottom up pressure for overall systemic reforms</w:t>
      </w:r>
      <w:r w:rsidRPr="002B1DFC">
        <w:rPr>
          <w:rFonts w:cs="Times New Roman"/>
        </w:rPr>
        <w:t xml:space="preserve">: The Revolution of Dignity clearly signaled the bottom up need for critical systemic reforms in Ukraine – many of which touch on the environmental institutions. The new Government has embarked on an ambitious reform agenda, and this report, while not directly addressing this wider reform, is written within its context and general ambition. </w:t>
      </w:r>
    </w:p>
    <w:p w14:paraId="72C1FEDC" w14:textId="77777777" w:rsidR="000B7923" w:rsidRPr="002B1DFC" w:rsidRDefault="000B7923" w:rsidP="00B672F2">
      <w:pPr>
        <w:pStyle w:val="ListParagraph"/>
        <w:ind w:left="360"/>
        <w:rPr>
          <w:rFonts w:cs="Times New Roman"/>
        </w:rPr>
      </w:pPr>
    </w:p>
    <w:p w14:paraId="175B24F3" w14:textId="77777777" w:rsidR="000B7923" w:rsidRPr="002B1DFC" w:rsidRDefault="000B7923" w:rsidP="00B83095">
      <w:pPr>
        <w:pStyle w:val="ListParagraph"/>
        <w:numPr>
          <w:ilvl w:val="0"/>
          <w:numId w:val="27"/>
        </w:numPr>
        <w:rPr>
          <w:rFonts w:cs="Times New Roman"/>
        </w:rPr>
      </w:pPr>
      <w:r w:rsidRPr="002B1DFC">
        <w:rPr>
          <w:rFonts w:cs="Times New Roman"/>
          <w:b/>
          <w:bCs/>
        </w:rPr>
        <w:t xml:space="preserve">Signature of the Ukraine </w:t>
      </w:r>
      <w:r w:rsidR="0041197D">
        <w:rPr>
          <w:rFonts w:cs="Times New Roman"/>
          <w:b/>
          <w:bCs/>
        </w:rPr>
        <w:t>–</w:t>
      </w:r>
      <w:r w:rsidRPr="002B1DFC">
        <w:rPr>
          <w:rFonts w:cs="Times New Roman"/>
          <w:b/>
          <w:bCs/>
        </w:rPr>
        <w:t xml:space="preserve"> EU Association Agreement</w:t>
      </w:r>
      <w:r w:rsidRPr="002B1DFC">
        <w:rPr>
          <w:rFonts w:cs="Times New Roman"/>
        </w:rPr>
        <w:t xml:space="preserve">: the formal signing and the ratification process of the Ukraine – EU Association Agreement provides formal focus for the harmonization of the Ukrainian legislation with the EU environmental directives. </w:t>
      </w:r>
    </w:p>
    <w:p w14:paraId="1EA54ED4" w14:textId="77777777" w:rsidR="000B7923" w:rsidRPr="002B1DFC" w:rsidRDefault="000B7923" w:rsidP="00B672F2">
      <w:pPr>
        <w:pStyle w:val="ListParagraph"/>
        <w:ind w:left="360"/>
        <w:rPr>
          <w:rFonts w:cs="Times New Roman"/>
        </w:rPr>
      </w:pPr>
    </w:p>
    <w:p w14:paraId="46CDD89B" w14:textId="6F99E305" w:rsidR="000B7923" w:rsidRDefault="00B77ECC">
      <w:pPr>
        <w:pStyle w:val="ListParagraph"/>
        <w:numPr>
          <w:ilvl w:val="0"/>
          <w:numId w:val="27"/>
        </w:numPr>
        <w:rPr>
          <w:rFonts w:cs="Times New Roman"/>
        </w:rPr>
      </w:pPr>
      <w:r>
        <w:rPr>
          <w:rFonts w:cs="Times New Roman"/>
          <w:b/>
          <w:bCs/>
        </w:rPr>
        <w:t>Conflict in the eastern part of Ukraine limits the focus of report</w:t>
      </w:r>
      <w:r w:rsidR="000B7923" w:rsidRPr="002B1DFC">
        <w:rPr>
          <w:rFonts w:cs="Times New Roman"/>
        </w:rPr>
        <w:t xml:space="preserve">: </w:t>
      </w:r>
      <w:r w:rsidR="008F608B">
        <w:rPr>
          <w:rFonts w:cs="Times New Roman"/>
        </w:rPr>
        <w:t>T</w:t>
      </w:r>
      <w:r w:rsidR="000B7923" w:rsidRPr="002B1DFC">
        <w:rPr>
          <w:rFonts w:cs="Times New Roman"/>
        </w:rPr>
        <w:t xml:space="preserve">his report is being prepared at a time of continuing </w:t>
      </w:r>
      <w:r w:rsidR="003A778E">
        <w:rPr>
          <w:rFonts w:cs="Times New Roman"/>
        </w:rPr>
        <w:t>conflict</w:t>
      </w:r>
      <w:r w:rsidR="003A778E" w:rsidRPr="002B1DFC">
        <w:rPr>
          <w:rFonts w:cs="Times New Roman"/>
        </w:rPr>
        <w:t xml:space="preserve"> </w:t>
      </w:r>
      <w:r w:rsidR="003A778E">
        <w:rPr>
          <w:rFonts w:cs="Times New Roman"/>
        </w:rPr>
        <w:t>in</w:t>
      </w:r>
      <w:r w:rsidR="000B7923" w:rsidRPr="002B1DFC">
        <w:rPr>
          <w:rFonts w:cs="Times New Roman"/>
        </w:rPr>
        <w:t xml:space="preserve"> the eastern part of the country</w:t>
      </w:r>
      <w:r w:rsidR="003A778E">
        <w:rPr>
          <w:rFonts w:cs="Times New Roman"/>
        </w:rPr>
        <w:t xml:space="preserve"> </w:t>
      </w:r>
      <w:r w:rsidR="00F87654">
        <w:rPr>
          <w:rFonts w:cs="Times New Roman"/>
        </w:rPr>
        <w:t xml:space="preserve">and following the </w:t>
      </w:r>
      <w:r w:rsidR="003A778E">
        <w:rPr>
          <w:rFonts w:cs="Times New Roman"/>
        </w:rPr>
        <w:t xml:space="preserve">Autonomous Republic of Crimea and City of Sevastopol </w:t>
      </w:r>
      <w:r w:rsidR="00B2430F">
        <w:rPr>
          <w:rFonts w:cs="Times New Roman"/>
        </w:rPr>
        <w:t xml:space="preserve">March 2014 </w:t>
      </w:r>
      <w:r w:rsidR="003A778E">
        <w:rPr>
          <w:rFonts w:cs="Times New Roman"/>
        </w:rPr>
        <w:t>referenda</w:t>
      </w:r>
      <w:r w:rsidR="00F31676" w:rsidRPr="00F31676">
        <w:rPr>
          <w:rFonts w:cs="Times New Roman"/>
        </w:rPr>
        <w:t xml:space="preserve"> </w:t>
      </w:r>
      <w:r w:rsidR="00F31676">
        <w:rPr>
          <w:rFonts w:cs="Times New Roman"/>
        </w:rPr>
        <w:t>to join the Russian Federation</w:t>
      </w:r>
      <w:r w:rsidR="00F87654">
        <w:rPr>
          <w:rFonts w:cs="Times New Roman"/>
        </w:rPr>
        <w:t xml:space="preserve">, </w:t>
      </w:r>
      <w:r w:rsidR="003A778E">
        <w:rPr>
          <w:rFonts w:cs="Times New Roman"/>
        </w:rPr>
        <w:t>which were widely criticized and declared as “having no validity” in the UN General Assembly resolution 68/262.</w:t>
      </w:r>
      <w:r w:rsidR="000B7923" w:rsidRPr="002B1DFC">
        <w:rPr>
          <w:rFonts w:cs="Times New Roman"/>
        </w:rPr>
        <w:t xml:space="preserve"> This has directly </w:t>
      </w:r>
      <w:r w:rsidR="00DF7357" w:rsidRPr="002B1DFC">
        <w:rPr>
          <w:rFonts w:cs="Times New Roman"/>
        </w:rPr>
        <w:t>affected</w:t>
      </w:r>
      <w:r w:rsidR="000B7923" w:rsidRPr="002B1DFC">
        <w:rPr>
          <w:rFonts w:cs="Times New Roman"/>
        </w:rPr>
        <w:t xml:space="preserve"> the environmental institutions and function of environmental agencies in the affected areas (World Bank 2014). As such, this report did not assess the environmental management in the regions that are affected directly by the conflict or those immediately adjacent to them </w:t>
      </w:r>
      <w:r>
        <w:rPr>
          <w:rFonts w:cs="Times New Roman"/>
        </w:rPr>
        <w:t>since</w:t>
      </w:r>
      <w:r w:rsidRPr="002B1DFC">
        <w:rPr>
          <w:rFonts w:cs="Times New Roman"/>
        </w:rPr>
        <w:t xml:space="preserve"> </w:t>
      </w:r>
      <w:r w:rsidR="000B7923" w:rsidRPr="002B1DFC">
        <w:rPr>
          <w:rFonts w:cs="Times New Roman"/>
        </w:rPr>
        <w:t xml:space="preserve">priorities </w:t>
      </w:r>
      <w:r>
        <w:rPr>
          <w:rFonts w:cs="Times New Roman"/>
        </w:rPr>
        <w:t xml:space="preserve">in these areas are </w:t>
      </w:r>
      <w:r w:rsidR="000B7923" w:rsidRPr="002B1DFC">
        <w:rPr>
          <w:rFonts w:cs="Times New Roman"/>
        </w:rPr>
        <w:t xml:space="preserve">shifted to internally displaced persons and defensive activities (for example, Donetsk, Luhansk, Odessa, Dnipropetrovsk, and </w:t>
      </w:r>
      <w:proofErr w:type="spellStart"/>
      <w:r w:rsidR="000B7923" w:rsidRPr="002B1DFC">
        <w:rPr>
          <w:rFonts w:cs="Times New Roman"/>
        </w:rPr>
        <w:t>Zaporizhzhya</w:t>
      </w:r>
      <w:proofErr w:type="spellEnd"/>
      <w:r w:rsidR="000B7923" w:rsidRPr="002B1DFC">
        <w:rPr>
          <w:rFonts w:cs="Times New Roman"/>
        </w:rPr>
        <w:t>).</w:t>
      </w:r>
    </w:p>
    <w:p w14:paraId="58DD420C" w14:textId="77777777" w:rsidR="00F87654" w:rsidRPr="002B1DFC" w:rsidRDefault="00F87654" w:rsidP="00437F45">
      <w:pPr>
        <w:rPr>
          <w:rFonts w:cs="Times New Roman"/>
        </w:rPr>
      </w:pPr>
    </w:p>
    <w:p w14:paraId="0C028B0C"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The </w:t>
      </w:r>
      <w:r w:rsidRPr="00772403">
        <w:rPr>
          <w:rFonts w:cs="Times New Roman"/>
        </w:rPr>
        <w:t>preparation</w:t>
      </w:r>
      <w:r w:rsidRPr="002B1DFC">
        <w:rPr>
          <w:rFonts w:cs="Times New Roman"/>
        </w:rPr>
        <w:t xml:space="preserve"> of the CEA followed the following approach:</w:t>
      </w:r>
    </w:p>
    <w:p w14:paraId="589CFF6F" w14:textId="77777777" w:rsidR="000B7923" w:rsidRPr="002B1DFC" w:rsidRDefault="000B7923" w:rsidP="0026085A">
      <w:pPr>
        <w:rPr>
          <w:rFonts w:cs="Times New Roman"/>
        </w:rPr>
      </w:pPr>
    </w:p>
    <w:p w14:paraId="1A002862" w14:textId="77777777" w:rsidR="000B7923" w:rsidRPr="002B1DFC" w:rsidRDefault="000B7923" w:rsidP="00B83095">
      <w:pPr>
        <w:pStyle w:val="ListParagraph"/>
        <w:numPr>
          <w:ilvl w:val="0"/>
          <w:numId w:val="7"/>
        </w:numPr>
        <w:rPr>
          <w:rFonts w:cs="Times New Roman"/>
        </w:rPr>
      </w:pPr>
      <w:r w:rsidRPr="002B1DFC">
        <w:rPr>
          <w:rFonts w:cs="Times New Roman"/>
        </w:rPr>
        <w:t>Review of available analytical work</w:t>
      </w:r>
      <w:r w:rsidR="00EF0A33">
        <w:rPr>
          <w:rFonts w:cs="Times New Roman"/>
        </w:rPr>
        <w:t>.</w:t>
      </w:r>
      <w:r w:rsidRPr="002B1DFC">
        <w:rPr>
          <w:rFonts w:cs="Times New Roman"/>
        </w:rPr>
        <w:t xml:space="preserve"> </w:t>
      </w:r>
      <w:r w:rsidR="00DF7357">
        <w:rPr>
          <w:rFonts w:cs="Times New Roman"/>
        </w:rPr>
        <w:t>A</w:t>
      </w:r>
      <w:r w:rsidRPr="002B1DFC">
        <w:rPr>
          <w:rFonts w:cs="Times New Roman"/>
        </w:rPr>
        <w:t xml:space="preserve"> number of key analytical work</w:t>
      </w:r>
      <w:r w:rsidR="00DF7357">
        <w:rPr>
          <w:rFonts w:cs="Times New Roman"/>
        </w:rPr>
        <w:t>s</w:t>
      </w:r>
      <w:r w:rsidRPr="002B1DFC">
        <w:rPr>
          <w:rFonts w:cs="Times New Roman"/>
        </w:rPr>
        <w:t xml:space="preserve"> ha</w:t>
      </w:r>
      <w:r w:rsidR="00DF7357">
        <w:rPr>
          <w:rFonts w:cs="Times New Roman"/>
        </w:rPr>
        <w:t>ve</w:t>
      </w:r>
      <w:r w:rsidRPr="002B1DFC">
        <w:rPr>
          <w:rFonts w:cs="Times New Roman"/>
        </w:rPr>
        <w:t xml:space="preserve"> already been carried out focusing on environmental management in Ukraine, including but not limited to the public environmental expenditure review (World Bank 2003)</w:t>
      </w:r>
      <w:r w:rsidR="00DF7357">
        <w:rPr>
          <w:rFonts w:cs="Times New Roman"/>
        </w:rPr>
        <w:t>;</w:t>
      </w:r>
      <w:r w:rsidRPr="002B1DFC">
        <w:rPr>
          <w:rFonts w:cs="Times New Roman"/>
        </w:rPr>
        <w:t xml:space="preserve"> the two environmental performance reviews (UNECE 1999</w:t>
      </w:r>
      <w:r w:rsidR="00DF7357">
        <w:rPr>
          <w:rFonts w:cs="Times New Roman"/>
        </w:rPr>
        <w:t>,</w:t>
      </w:r>
      <w:r w:rsidRPr="002B1DFC">
        <w:rPr>
          <w:rFonts w:cs="Times New Roman"/>
        </w:rPr>
        <w:t xml:space="preserve"> 2007)</w:t>
      </w:r>
      <w:r w:rsidR="00DF7357">
        <w:rPr>
          <w:rFonts w:cs="Times New Roman"/>
        </w:rPr>
        <w:t>;</w:t>
      </w:r>
      <w:r w:rsidRPr="002B1DFC">
        <w:rPr>
          <w:rFonts w:cs="Times New Roman"/>
        </w:rPr>
        <w:t xml:space="preserve"> Performance Review of the State Environmental Protection Fund of Ukraine (OECD 2006)</w:t>
      </w:r>
      <w:r w:rsidR="00DF7357">
        <w:rPr>
          <w:rFonts w:cs="Times New Roman"/>
        </w:rPr>
        <w:t xml:space="preserve">; and </w:t>
      </w:r>
      <w:r w:rsidRPr="002B1DFC">
        <w:rPr>
          <w:rFonts w:cs="Times New Roman"/>
        </w:rPr>
        <w:t xml:space="preserve">annual reports and assessments prepared by government authorities and civil society. </w:t>
      </w:r>
    </w:p>
    <w:p w14:paraId="1319F007" w14:textId="77777777" w:rsidR="000B7923" w:rsidRPr="002B1DFC" w:rsidRDefault="000B7923" w:rsidP="0026085A">
      <w:pPr>
        <w:rPr>
          <w:rFonts w:cs="Times New Roman"/>
        </w:rPr>
      </w:pPr>
    </w:p>
    <w:p w14:paraId="6519E766" w14:textId="77777777" w:rsidR="000B7923" w:rsidRPr="002B1DFC" w:rsidRDefault="000B7923" w:rsidP="00B83095">
      <w:pPr>
        <w:pStyle w:val="ListParagraph"/>
        <w:numPr>
          <w:ilvl w:val="0"/>
          <w:numId w:val="7"/>
        </w:numPr>
        <w:rPr>
          <w:rFonts w:cs="Times New Roman"/>
        </w:rPr>
      </w:pPr>
      <w:r w:rsidRPr="002B1DFC">
        <w:rPr>
          <w:rFonts w:cs="Times New Roman"/>
        </w:rPr>
        <w:t>Review of the policy, legal, regulatory</w:t>
      </w:r>
      <w:r w:rsidR="00DF7357">
        <w:rPr>
          <w:rFonts w:cs="Times New Roman"/>
        </w:rPr>
        <w:t>,</w:t>
      </w:r>
      <w:r w:rsidRPr="002B1DFC">
        <w:rPr>
          <w:rFonts w:cs="Times New Roman"/>
        </w:rPr>
        <w:t xml:space="preserve"> and institutional framework of environmental management at the national level in Ukraine.</w:t>
      </w:r>
    </w:p>
    <w:p w14:paraId="2DCF305D" w14:textId="77777777" w:rsidR="000B7923" w:rsidRPr="002B1DFC" w:rsidRDefault="000B7923" w:rsidP="0026085A">
      <w:pPr>
        <w:pStyle w:val="ListParagraph"/>
        <w:rPr>
          <w:rFonts w:cs="Times New Roman"/>
        </w:rPr>
      </w:pPr>
    </w:p>
    <w:p w14:paraId="007F2061" w14:textId="77777777" w:rsidR="000B7923" w:rsidRPr="002B1DFC" w:rsidRDefault="000B7923" w:rsidP="00B83095">
      <w:pPr>
        <w:pStyle w:val="ListParagraph"/>
        <w:numPr>
          <w:ilvl w:val="0"/>
          <w:numId w:val="7"/>
        </w:numPr>
        <w:rPr>
          <w:rFonts w:cs="Times New Roman"/>
        </w:rPr>
      </w:pPr>
      <w:r w:rsidRPr="002B1DFC">
        <w:rPr>
          <w:rFonts w:cs="Times New Roman"/>
        </w:rPr>
        <w:t xml:space="preserve">Review of the institutional framework for environmental management at the regional and local levels – to highlight the key changes that took place since the decentralization of environmental management took place in 2012 and onwards. The review focused on three regions (oblasts) in Ukraine: Poltava, </w:t>
      </w:r>
      <w:proofErr w:type="spellStart"/>
      <w:r w:rsidRPr="002B1DFC">
        <w:rPr>
          <w:rFonts w:cs="Times New Roman"/>
        </w:rPr>
        <w:t>Vinnytsya</w:t>
      </w:r>
      <w:proofErr w:type="spellEnd"/>
      <w:r w:rsidRPr="002B1DFC">
        <w:rPr>
          <w:rFonts w:cs="Times New Roman"/>
        </w:rPr>
        <w:t xml:space="preserve">, and Ivano-Frankivsk. The three oblasts differ in their location, geography, </w:t>
      </w:r>
      <w:r w:rsidR="00DF7357">
        <w:rPr>
          <w:rFonts w:cs="Times New Roman"/>
        </w:rPr>
        <w:t xml:space="preserve">and </w:t>
      </w:r>
      <w:r w:rsidRPr="002B1DFC">
        <w:rPr>
          <w:rFonts w:cs="Times New Roman"/>
        </w:rPr>
        <w:t>key industries</w:t>
      </w:r>
      <w:r w:rsidR="00DF7357">
        <w:rPr>
          <w:rFonts w:cs="Times New Roman"/>
        </w:rPr>
        <w:t>,</w:t>
      </w:r>
      <w:r w:rsidRPr="002B1DFC">
        <w:rPr>
          <w:rFonts w:cs="Times New Roman"/>
        </w:rPr>
        <w:t xml:space="preserve"> and </w:t>
      </w:r>
      <w:r w:rsidR="00DF7357">
        <w:rPr>
          <w:rFonts w:cs="Times New Roman"/>
        </w:rPr>
        <w:t xml:space="preserve">they </w:t>
      </w:r>
      <w:r w:rsidRPr="002B1DFC">
        <w:rPr>
          <w:rFonts w:cs="Times New Roman"/>
        </w:rPr>
        <w:t>provide a glimpse of some of the common environmental management challenges faced at the sub-national level.</w:t>
      </w:r>
    </w:p>
    <w:p w14:paraId="2809CC62" w14:textId="77777777" w:rsidR="000B7923" w:rsidRPr="002B1DFC" w:rsidRDefault="000B7923" w:rsidP="00437F45">
      <w:pPr>
        <w:pStyle w:val="ListParagraph"/>
        <w:rPr>
          <w:rFonts w:cs="Times New Roman"/>
        </w:rPr>
      </w:pPr>
    </w:p>
    <w:p w14:paraId="1AF28659" w14:textId="77777777" w:rsidR="000B7923" w:rsidRDefault="000B7923" w:rsidP="00B83095">
      <w:pPr>
        <w:pStyle w:val="ListParagraph"/>
        <w:numPr>
          <w:ilvl w:val="0"/>
          <w:numId w:val="7"/>
        </w:numPr>
        <w:rPr>
          <w:rFonts w:cs="Times New Roman"/>
        </w:rPr>
      </w:pPr>
      <w:r w:rsidRPr="002B1DFC">
        <w:rPr>
          <w:rFonts w:cs="Times New Roman"/>
        </w:rPr>
        <w:t>Interviews and meetings with stakeholders and focus groups in Kyiv and in the three pilot regions.</w:t>
      </w:r>
      <w:r w:rsidR="00DF7357">
        <w:rPr>
          <w:rFonts w:cs="Times New Roman"/>
        </w:rPr>
        <w:t xml:space="preserve"> </w:t>
      </w:r>
      <w:r w:rsidRPr="002B1DFC">
        <w:rPr>
          <w:rFonts w:cs="Times New Roman"/>
        </w:rPr>
        <w:t xml:space="preserve"> </w:t>
      </w:r>
    </w:p>
    <w:p w14:paraId="6518D2E4" w14:textId="77777777" w:rsidR="003E149A" w:rsidRDefault="003E149A" w:rsidP="001557B4">
      <w:pPr>
        <w:pStyle w:val="ListParagraph"/>
        <w:rPr>
          <w:rFonts w:cs="Times New Roman"/>
        </w:rPr>
      </w:pPr>
    </w:p>
    <w:p w14:paraId="045F7320" w14:textId="77777777" w:rsidR="003E149A" w:rsidRPr="00772403" w:rsidRDefault="004C3604" w:rsidP="00772403">
      <w:pPr>
        <w:pStyle w:val="ListParagraph"/>
        <w:numPr>
          <w:ilvl w:val="0"/>
          <w:numId w:val="68"/>
        </w:numPr>
        <w:tabs>
          <w:tab w:val="left" w:pos="360"/>
        </w:tabs>
        <w:spacing w:line="23" w:lineRule="atLeast"/>
        <w:ind w:left="0" w:firstLine="0"/>
        <w:rPr>
          <w:rFonts w:cs="Times New Roman"/>
        </w:rPr>
      </w:pPr>
      <w:r w:rsidRPr="00772403">
        <w:rPr>
          <w:rFonts w:cs="Times New Roman"/>
        </w:rPr>
        <w:t>The current review does not provide a systematic analysis of the state of environment in Ukraine. Moreover, w</w:t>
      </w:r>
      <w:r w:rsidR="004025AA" w:rsidRPr="00772403">
        <w:rPr>
          <w:rFonts w:cs="Times New Roman"/>
        </w:rPr>
        <w:t xml:space="preserve">hile strengthened environmental management is expected to provide positive economic return in terms of reduced cost of environmental degradation, increased cost effectiveness of environmental regulations, and improved competitiveness, the current report did not include economic analysis to quantify the current costs of environmental degradation and estimate the costs and benefits of </w:t>
      </w:r>
      <w:r w:rsidR="005A27B5" w:rsidRPr="00772403">
        <w:rPr>
          <w:rFonts w:cs="Times New Roman"/>
        </w:rPr>
        <w:t xml:space="preserve">policy options and mitigation measures. </w:t>
      </w:r>
      <w:r w:rsidR="00EF0A33" w:rsidRPr="00772403">
        <w:rPr>
          <w:rFonts w:cs="Times New Roman"/>
        </w:rPr>
        <w:t>It is recommended that s</w:t>
      </w:r>
      <w:r w:rsidR="00832684" w:rsidRPr="00772403">
        <w:rPr>
          <w:rFonts w:cs="Times New Roman"/>
        </w:rPr>
        <w:t xml:space="preserve">uch analysis be carried out </w:t>
      </w:r>
      <w:r w:rsidR="008353EE" w:rsidRPr="00772403">
        <w:rPr>
          <w:rFonts w:cs="Times New Roman"/>
        </w:rPr>
        <w:t>to link environmental management with poverty reduction and growth and development objectives</w:t>
      </w:r>
      <w:r w:rsidR="00832684" w:rsidRPr="00772403">
        <w:rPr>
          <w:rFonts w:cs="Times New Roman"/>
        </w:rPr>
        <w:t xml:space="preserve">, focusing </w:t>
      </w:r>
      <w:r w:rsidR="006E58DC" w:rsidRPr="00772403">
        <w:rPr>
          <w:rFonts w:cs="Times New Roman"/>
        </w:rPr>
        <w:t>on the</w:t>
      </w:r>
      <w:r w:rsidR="00832684" w:rsidRPr="00772403">
        <w:rPr>
          <w:rFonts w:cs="Times New Roman"/>
        </w:rPr>
        <w:t xml:space="preserve"> consequences of environmental degradation on the poorest and most vulnerable groups of the population, as well as on the opportunities for green inclusive growth. </w:t>
      </w:r>
    </w:p>
    <w:p w14:paraId="5CD038D6" w14:textId="77777777" w:rsidR="00C613E8" w:rsidRDefault="00C613E8" w:rsidP="001557B4">
      <w:pPr>
        <w:pStyle w:val="ListParagraph"/>
        <w:rPr>
          <w:rFonts w:cs="Times New Roman"/>
        </w:rPr>
      </w:pPr>
    </w:p>
    <w:p w14:paraId="3B215C02" w14:textId="77777777" w:rsidR="000B7923" w:rsidRPr="002B1DFC" w:rsidRDefault="000B7923" w:rsidP="002578F7">
      <w:pPr>
        <w:rPr>
          <w:rFonts w:cs="Times New Roman"/>
          <w:bCs/>
          <w:iCs/>
        </w:rPr>
      </w:pPr>
      <w:bookmarkStart w:id="21" w:name="_Toc403738249"/>
    </w:p>
    <w:p w14:paraId="09D392A5" w14:textId="77777777" w:rsidR="000B7923" w:rsidRPr="002B1DFC" w:rsidRDefault="000B7923" w:rsidP="00663798">
      <w:pPr>
        <w:spacing w:line="276" w:lineRule="auto"/>
        <w:jc w:val="left"/>
        <w:rPr>
          <w:rFonts w:eastAsia="Times New Roman" w:cs="Times New Roman"/>
          <w:b/>
          <w:bCs/>
          <w:smallCaps/>
          <w:color w:val="365F91"/>
          <w:sz w:val="28"/>
          <w:szCs w:val="28"/>
        </w:rPr>
      </w:pPr>
      <w:r w:rsidRPr="002B1DFC">
        <w:br w:type="page"/>
      </w:r>
    </w:p>
    <w:p w14:paraId="2FD693A2" w14:textId="3915B363" w:rsidR="001D3BC4" w:rsidRDefault="001D3BC4">
      <w:pPr>
        <w:jc w:val="left"/>
        <w:rPr>
          <w:rFonts w:cs="Times New Roman"/>
          <w:b/>
          <w:bCs/>
          <w:smallCaps/>
          <w:color w:val="365F91"/>
          <w:sz w:val="28"/>
          <w:szCs w:val="28"/>
        </w:rPr>
      </w:pPr>
    </w:p>
    <w:p w14:paraId="7BE4D10E" w14:textId="77777777" w:rsidR="00991FA8" w:rsidRDefault="00991FA8">
      <w:pPr>
        <w:jc w:val="left"/>
        <w:rPr>
          <w:rFonts w:cs="Times New Roman"/>
          <w:b/>
          <w:bCs/>
          <w:smallCaps/>
          <w:color w:val="365F91"/>
          <w:sz w:val="28"/>
          <w:szCs w:val="28"/>
        </w:rPr>
      </w:pPr>
      <w:r>
        <w:br w:type="page"/>
      </w:r>
    </w:p>
    <w:p w14:paraId="14AD7639" w14:textId="2873C1F6" w:rsidR="000B7923" w:rsidRPr="002B1DFC" w:rsidRDefault="000B7923" w:rsidP="00663798">
      <w:pPr>
        <w:pStyle w:val="Heading1"/>
        <w:tabs>
          <w:tab w:val="clear" w:pos="720"/>
          <w:tab w:val="left" w:pos="450"/>
        </w:tabs>
        <w:spacing w:before="0"/>
      </w:pPr>
      <w:bookmarkStart w:id="22" w:name="_Toc440273953"/>
      <w:r w:rsidRPr="002B1DFC">
        <w:lastRenderedPageBreak/>
        <w:t>Ukraine’s Key Environmental Priorities</w:t>
      </w:r>
      <w:bookmarkEnd w:id="22"/>
      <w:r w:rsidRPr="002B1DFC">
        <w:t xml:space="preserve"> </w:t>
      </w:r>
    </w:p>
    <w:p w14:paraId="5D9D179C" w14:textId="77777777" w:rsidR="000B7923" w:rsidRPr="002B1DFC" w:rsidRDefault="000B7923" w:rsidP="006229C9">
      <w:pPr>
        <w:pStyle w:val="ListParagraph"/>
        <w:ind w:left="0"/>
        <w:rPr>
          <w:rFonts w:cs="Times New Roman"/>
          <w:iCs/>
        </w:rPr>
      </w:pPr>
    </w:p>
    <w:p w14:paraId="6E9FB0A2"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bCs/>
          <w:iCs/>
        </w:rPr>
      </w:pPr>
      <w:r w:rsidRPr="002B1DFC">
        <w:rPr>
          <w:rFonts w:cs="Times New Roman"/>
          <w:bCs/>
          <w:iCs/>
        </w:rPr>
        <w:t xml:space="preserve">Ukraine is characterized by a temperate continental climate, with precipitation that is disproportionately distributed and decreasing in the </w:t>
      </w:r>
      <w:r w:rsidR="00DA61A9">
        <w:rPr>
          <w:rFonts w:cs="Times New Roman"/>
          <w:bCs/>
          <w:iCs/>
        </w:rPr>
        <w:t xml:space="preserve">country’s </w:t>
      </w:r>
      <w:r w:rsidRPr="002B1DFC">
        <w:rPr>
          <w:rFonts w:cs="Times New Roman"/>
          <w:bCs/>
          <w:iCs/>
        </w:rPr>
        <w:t xml:space="preserve">south and east. Its terrain is mostly rolling upland plain, and the </w:t>
      </w:r>
      <w:r w:rsidRPr="00772403">
        <w:rPr>
          <w:rFonts w:cs="Times New Roman"/>
        </w:rPr>
        <w:t>mountains</w:t>
      </w:r>
      <w:r w:rsidRPr="002B1DFC">
        <w:rPr>
          <w:rFonts w:cs="Times New Roman"/>
          <w:bCs/>
          <w:iCs/>
        </w:rPr>
        <w:t xml:space="preserve"> cover approximately 5% of the country’s area. Three main ecological zones may be recognized: mixed forests (</w:t>
      </w:r>
      <w:proofErr w:type="spellStart"/>
      <w:r w:rsidRPr="002B1DFC">
        <w:rPr>
          <w:rFonts w:cs="Times New Roman"/>
          <w:bCs/>
          <w:iCs/>
        </w:rPr>
        <w:t>Polissia</w:t>
      </w:r>
      <w:proofErr w:type="spellEnd"/>
      <w:r w:rsidRPr="002B1DFC">
        <w:rPr>
          <w:rFonts w:cs="Times New Roman"/>
          <w:bCs/>
          <w:iCs/>
        </w:rPr>
        <w:t>), forest steppe, and steppe in the south (40 percent) in addition to the highlands. The country has vast natural resources</w:t>
      </w:r>
      <w:r w:rsidR="00DA61A9">
        <w:rPr>
          <w:rFonts w:cs="Times New Roman"/>
          <w:bCs/>
          <w:iCs/>
        </w:rPr>
        <w:t>,</w:t>
      </w:r>
      <w:r w:rsidRPr="002B1DFC">
        <w:rPr>
          <w:rFonts w:cs="Times New Roman"/>
          <w:bCs/>
          <w:iCs/>
        </w:rPr>
        <w:t xml:space="preserve"> including rich agricultural soil, timber, metals and minerals, and rich biodiversity resources.</w:t>
      </w:r>
    </w:p>
    <w:p w14:paraId="7F482571" w14:textId="77777777" w:rsidR="000B7923" w:rsidRPr="002B1DFC" w:rsidRDefault="000B7923" w:rsidP="006229C9">
      <w:pPr>
        <w:pStyle w:val="ListParagraph"/>
        <w:ind w:left="0"/>
        <w:rPr>
          <w:rFonts w:cs="Times New Roman"/>
          <w:bCs/>
          <w:iCs/>
        </w:rPr>
      </w:pPr>
    </w:p>
    <w:p w14:paraId="0DD16427" w14:textId="77777777" w:rsidR="000B7923"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bCs/>
          <w:iCs/>
        </w:rPr>
        <w:t xml:space="preserve">Ukraine </w:t>
      </w:r>
      <w:r w:rsidRPr="00772403">
        <w:rPr>
          <w:rFonts w:cs="Times New Roman"/>
        </w:rPr>
        <w:t>faces</w:t>
      </w:r>
      <w:r w:rsidRPr="002B1DFC">
        <w:rPr>
          <w:rFonts w:cs="Times New Roman"/>
          <w:bCs/>
          <w:iCs/>
        </w:rPr>
        <w:t xml:space="preserve"> a number of environmental and sustainability challenges. </w:t>
      </w:r>
      <w:r w:rsidRPr="002B1DFC">
        <w:rPr>
          <w:rFonts w:cs="Times New Roman"/>
        </w:rPr>
        <w:t xml:space="preserve">Ukraine’s </w:t>
      </w:r>
      <w:r w:rsidRPr="002B1DFC">
        <w:rPr>
          <w:rFonts w:cs="Times New Roman"/>
          <w:b/>
          <w:bCs/>
        </w:rPr>
        <w:t>adjusted net savings</w:t>
      </w:r>
      <w:r w:rsidRPr="002B1DFC">
        <w:rPr>
          <w:rFonts w:cs="Times New Roman"/>
        </w:rPr>
        <w:t xml:space="preserve"> shows a decline following a peak in 2004. In 2013, Ukraine’s adjusted net savings reached -5.4% of gross national income (GNI), with mineral and energy depletions accounting for some of the depletion as well as lower gross savings in comparison to comparator countries. </w:t>
      </w:r>
      <w:r w:rsidR="000D5F54">
        <w:rPr>
          <w:rFonts w:cs="Times New Roman"/>
        </w:rPr>
        <w:t>(</w:t>
      </w:r>
      <w:r w:rsidRPr="002B1DFC">
        <w:rPr>
          <w:rFonts w:cs="Times New Roman"/>
        </w:rPr>
        <w:t xml:space="preserve">See </w:t>
      </w:r>
      <w:r w:rsidR="000D5F54">
        <w:rPr>
          <w:rFonts w:cs="Times New Roman"/>
        </w:rPr>
        <w:t>f</w:t>
      </w:r>
      <w:r w:rsidRPr="002B1DFC">
        <w:rPr>
          <w:rFonts w:cs="Times New Roman"/>
        </w:rPr>
        <w:t xml:space="preserve">igure </w:t>
      </w:r>
      <w:r w:rsidR="000D5F54">
        <w:rPr>
          <w:rFonts w:cs="Times New Roman"/>
        </w:rPr>
        <w:t>1</w:t>
      </w:r>
      <w:r w:rsidRPr="002B1DFC">
        <w:rPr>
          <w:rFonts w:cs="Times New Roman"/>
        </w:rPr>
        <w:t>.</w:t>
      </w:r>
      <w:r w:rsidR="000D5F54">
        <w:rPr>
          <w:rFonts w:cs="Times New Roman"/>
        </w:rPr>
        <w:t>)</w:t>
      </w:r>
    </w:p>
    <w:p w14:paraId="34FBE8A3" w14:textId="77777777" w:rsidR="000D5F54" w:rsidRPr="002B1DFC" w:rsidRDefault="000D5F54" w:rsidP="00F56347">
      <w:pPr>
        <w:pStyle w:val="ListParagraph"/>
        <w:ind w:left="0"/>
        <w:rPr>
          <w:rFonts w:cs="Times New Roman"/>
        </w:rPr>
      </w:pPr>
    </w:p>
    <w:p w14:paraId="3F187F18" w14:textId="77777777" w:rsidR="000B7923" w:rsidRPr="002B1DFC" w:rsidRDefault="000B7923" w:rsidP="008B0EE4">
      <w:pPr>
        <w:pStyle w:val="Caption"/>
        <w:rPr>
          <w:noProof w:val="0"/>
          <w:szCs w:val="22"/>
          <w:lang w:val="en-US"/>
        </w:rPr>
      </w:pPr>
      <w:bookmarkStart w:id="23" w:name="_Toc440274011"/>
      <w:r w:rsidRPr="002B1DFC">
        <w:rPr>
          <w:noProof w:val="0"/>
          <w:szCs w:val="22"/>
          <w:lang w:val="en-US"/>
        </w:rPr>
        <w:t xml:space="preserve">Figure </w:t>
      </w:r>
      <w:r w:rsidRPr="002B1DFC">
        <w:rPr>
          <w:noProof w:val="0"/>
          <w:szCs w:val="22"/>
          <w:lang w:val="en-US"/>
        </w:rPr>
        <w:fldChar w:fldCharType="begin"/>
      </w:r>
      <w:r w:rsidRPr="002B1DFC">
        <w:rPr>
          <w:noProof w:val="0"/>
          <w:szCs w:val="22"/>
          <w:lang w:val="en-US"/>
        </w:rPr>
        <w:instrText xml:space="preserve"> SEQ Figure \* ARABIC </w:instrText>
      </w:r>
      <w:r w:rsidRPr="002B1DFC">
        <w:rPr>
          <w:noProof w:val="0"/>
          <w:szCs w:val="22"/>
          <w:lang w:val="en-US"/>
        </w:rPr>
        <w:fldChar w:fldCharType="separate"/>
      </w:r>
      <w:r w:rsidR="00356D5F">
        <w:rPr>
          <w:szCs w:val="22"/>
          <w:lang w:val="en-US"/>
        </w:rPr>
        <w:t>1</w:t>
      </w:r>
      <w:r w:rsidRPr="002B1DFC">
        <w:rPr>
          <w:noProof w:val="0"/>
          <w:szCs w:val="22"/>
          <w:lang w:val="en-US"/>
        </w:rPr>
        <w:fldChar w:fldCharType="end"/>
      </w:r>
      <w:r w:rsidRPr="002B1DFC">
        <w:rPr>
          <w:noProof w:val="0"/>
          <w:szCs w:val="22"/>
          <w:lang w:val="en-US"/>
        </w:rPr>
        <w:t>. Adjusted Net Savings in Ukraine between 2000</w:t>
      </w:r>
      <w:r w:rsidR="00DA61A9">
        <w:rPr>
          <w:noProof w:val="0"/>
          <w:szCs w:val="22"/>
          <w:lang w:val="en-US"/>
        </w:rPr>
        <w:t xml:space="preserve"> and </w:t>
      </w:r>
      <w:r w:rsidRPr="002B1DFC">
        <w:rPr>
          <w:noProof w:val="0"/>
          <w:szCs w:val="22"/>
          <w:lang w:val="en-US"/>
        </w:rPr>
        <w:t>2014</w:t>
      </w:r>
      <w:bookmarkEnd w:id="23"/>
      <w:r w:rsidRPr="002B1DFC">
        <w:rPr>
          <w:noProof w:val="0"/>
          <w:szCs w:val="22"/>
          <w:lang w:val="en-US"/>
        </w:rPr>
        <w:t xml:space="preserve"> </w:t>
      </w:r>
    </w:p>
    <w:p w14:paraId="29D0994E" w14:textId="77777777" w:rsidR="000B7923" w:rsidRPr="002B1DFC" w:rsidRDefault="00BE4288" w:rsidP="008B0EE4">
      <w:pPr>
        <w:rPr>
          <w:rFonts w:cs="Times New Roman"/>
        </w:rPr>
      </w:pPr>
      <w:r w:rsidRPr="002B1DFC">
        <w:rPr>
          <w:rFonts w:cs="Times New Roman"/>
          <w:noProof/>
        </w:rPr>
        <w:drawing>
          <wp:inline distT="0" distB="0" distL="0" distR="0" wp14:anchorId="21066D32" wp14:editId="0E97E6AB">
            <wp:extent cx="5905500" cy="4305300"/>
            <wp:effectExtent l="0" t="0" r="0" b="0"/>
            <wp:docPr id="1" name="Picture 9" descr="C:\Users\wb316871\AppData\Local\Microsoft\Windows\Temporary Internet Files\Content.IE5\959GBS1M\My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b316871\AppData\Local\Microsoft\Windows\Temporary Internet Files\Content.IE5\959GBS1M\MyChart.jpg"/>
                    <pic:cNvPicPr>
                      <a:picLocks noChangeAspect="1" noChangeArrowheads="1"/>
                    </pic:cNvPicPr>
                  </pic:nvPicPr>
                  <pic:blipFill>
                    <a:blip r:embed="rId13">
                      <a:extLst>
                        <a:ext uri="{28A0092B-C50C-407E-A947-70E740481C1C}">
                          <a14:useLocalDpi xmlns:a14="http://schemas.microsoft.com/office/drawing/2010/main" val="0"/>
                        </a:ext>
                      </a:extLst>
                    </a:blip>
                    <a:srcRect t="4510" b="4510"/>
                    <a:stretch>
                      <a:fillRect/>
                    </a:stretch>
                  </pic:blipFill>
                  <pic:spPr bwMode="auto">
                    <a:xfrm>
                      <a:off x="0" y="0"/>
                      <a:ext cx="5905500" cy="4305300"/>
                    </a:xfrm>
                    <a:prstGeom prst="rect">
                      <a:avLst/>
                    </a:prstGeom>
                    <a:noFill/>
                    <a:ln>
                      <a:noFill/>
                    </a:ln>
                  </pic:spPr>
                </pic:pic>
              </a:graphicData>
            </a:graphic>
          </wp:inline>
        </w:drawing>
      </w:r>
    </w:p>
    <w:p w14:paraId="42961A28" w14:textId="77777777" w:rsidR="000B7923" w:rsidRPr="002B1DFC" w:rsidRDefault="000B7923" w:rsidP="008B0EE4">
      <w:pPr>
        <w:pStyle w:val="ListParagraph"/>
        <w:rPr>
          <w:rFonts w:cs="Times New Roman"/>
        </w:rPr>
      </w:pPr>
    </w:p>
    <w:p w14:paraId="13763BB0"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b/>
          <w:bCs/>
        </w:rPr>
        <w:t>Environmental Performance Index</w:t>
      </w:r>
      <w:r w:rsidRPr="002B1DFC">
        <w:rPr>
          <w:rFonts w:cs="Times New Roman"/>
        </w:rPr>
        <w:t xml:space="preserve">: </w:t>
      </w:r>
      <w:r w:rsidR="003C6E32">
        <w:rPr>
          <w:rFonts w:cs="Times New Roman"/>
        </w:rPr>
        <w:t xml:space="preserve">The </w:t>
      </w:r>
      <w:r w:rsidRPr="002B1DFC">
        <w:rPr>
          <w:rFonts w:cs="Times New Roman"/>
        </w:rPr>
        <w:t>Yale Center for Environmental Law &amp; Policy and the Center for International Earth Science Information Network at Columbia University developed the Environmental Performance Index (EPI)</w:t>
      </w:r>
      <w:r w:rsidR="00DA61A9">
        <w:rPr>
          <w:rFonts w:cs="Times New Roman"/>
        </w:rPr>
        <w:t>. This index</w:t>
      </w:r>
      <w:r w:rsidRPr="002B1DFC">
        <w:rPr>
          <w:rFonts w:cs="Times New Roman"/>
        </w:rPr>
        <w:t xml:space="preserve"> ranks how well countries perform on high-priority environmental issues, and in 2014 Ukraine was ranked on 95</w:t>
      </w:r>
      <w:r w:rsidR="00DA61A9" w:rsidRPr="00663798">
        <w:rPr>
          <w:rFonts w:cs="Times New Roman"/>
          <w:vertAlign w:val="superscript"/>
        </w:rPr>
        <w:t>th</w:t>
      </w:r>
      <w:r w:rsidR="00DA61A9">
        <w:rPr>
          <w:rFonts w:cs="Times New Roman"/>
        </w:rPr>
        <w:t xml:space="preserve"> among </w:t>
      </w:r>
      <w:r w:rsidRPr="002B1DFC">
        <w:rPr>
          <w:rFonts w:cs="Times New Roman"/>
        </w:rPr>
        <w:t>178 countries, that is improvement of overall score by 5.44% over the past decade. The strongest achievements were made in air quality issues (by 21.33% in ten years change) and conducting policy in this area</w:t>
      </w:r>
      <w:r w:rsidR="003948AB">
        <w:rPr>
          <w:rFonts w:cs="Times New Roman"/>
        </w:rPr>
        <w:t xml:space="preserve"> (Yale Center for Environmental Law and Policy 2015)</w:t>
      </w:r>
      <w:r w:rsidRPr="002B1DFC">
        <w:rPr>
          <w:rFonts w:cs="Times New Roman"/>
        </w:rPr>
        <w:t xml:space="preserve">. </w:t>
      </w:r>
    </w:p>
    <w:p w14:paraId="39DC8988" w14:textId="77777777" w:rsidR="000B7923" w:rsidRPr="002B1DFC" w:rsidRDefault="000B7923" w:rsidP="008B0EE4">
      <w:pPr>
        <w:rPr>
          <w:rFonts w:cs="Times New Roman"/>
        </w:rPr>
      </w:pPr>
    </w:p>
    <w:p w14:paraId="5C9501E4"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b/>
          <w:bCs/>
        </w:rPr>
        <w:t>Millennium Development Goals (MDG)</w:t>
      </w:r>
      <w:r w:rsidRPr="002B1DFC">
        <w:rPr>
          <w:rFonts w:cs="Times New Roman"/>
        </w:rPr>
        <w:t xml:space="preserve">. Ukraine is on track towards achievement of the millennium development targets for goal 7: ensure environmental sustainability (see </w:t>
      </w:r>
      <w:r w:rsidR="001B3CAE">
        <w:rPr>
          <w:rFonts w:cs="Times New Roman"/>
        </w:rPr>
        <w:t>t</w:t>
      </w:r>
      <w:r w:rsidRPr="002B1DFC">
        <w:rPr>
          <w:rFonts w:cs="Times New Roman"/>
        </w:rPr>
        <w:t xml:space="preserve">able </w:t>
      </w:r>
      <w:r w:rsidR="005060F5">
        <w:rPr>
          <w:rFonts w:cs="Times New Roman"/>
        </w:rPr>
        <w:t>2</w:t>
      </w:r>
      <w:r w:rsidRPr="002B1DFC">
        <w:rPr>
          <w:rFonts w:cs="Times New Roman"/>
        </w:rPr>
        <w:t xml:space="preserve">), even though it still faces challenges in terms of differences between urban and rural populations. </w:t>
      </w:r>
    </w:p>
    <w:p w14:paraId="5B767FB6" w14:textId="77777777" w:rsidR="000B7923" w:rsidRPr="002B1DFC" w:rsidRDefault="000B7923" w:rsidP="008B0EE4">
      <w:pPr>
        <w:rPr>
          <w:rFonts w:cs="Times New Roman"/>
        </w:rPr>
      </w:pPr>
    </w:p>
    <w:p w14:paraId="6C0E5AEE" w14:textId="77777777" w:rsidR="000B7923" w:rsidRPr="002B1DFC" w:rsidRDefault="000B7923" w:rsidP="008B0EE4">
      <w:pPr>
        <w:pStyle w:val="Caption"/>
      </w:pPr>
      <w:bookmarkStart w:id="24" w:name="_Toc440273994"/>
      <w:r w:rsidRPr="002B1DFC">
        <w:t xml:space="preserve">Table </w:t>
      </w:r>
      <w:r w:rsidRPr="002B1DFC">
        <w:fldChar w:fldCharType="begin"/>
      </w:r>
      <w:r w:rsidRPr="002B1DFC">
        <w:instrText xml:space="preserve"> SEQ Table \* ARABIC </w:instrText>
      </w:r>
      <w:r w:rsidRPr="002B1DFC">
        <w:fldChar w:fldCharType="separate"/>
      </w:r>
      <w:r w:rsidR="00356D5F">
        <w:t>2</w:t>
      </w:r>
      <w:r w:rsidRPr="002B1DFC">
        <w:fldChar w:fldCharType="end"/>
      </w:r>
      <w:r w:rsidRPr="002B1DFC">
        <w:t xml:space="preserve">. Progress Towards MDG Goal 7 </w:t>
      </w:r>
      <w:r w:rsidR="0041197D">
        <w:t>–</w:t>
      </w:r>
      <w:r w:rsidRPr="002B1DFC">
        <w:t xml:space="preserve"> Ensure Environmental Sustainability</w:t>
      </w:r>
      <w:bookmarkEnd w:id="24"/>
    </w:p>
    <w:tbl>
      <w:tblPr>
        <w:tblW w:w="5040" w:type="pct"/>
        <w:tblInd w:w="108" w:type="dxa"/>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4365"/>
        <w:gridCol w:w="549"/>
        <w:gridCol w:w="903"/>
        <w:gridCol w:w="903"/>
        <w:gridCol w:w="901"/>
        <w:gridCol w:w="903"/>
        <w:gridCol w:w="901"/>
      </w:tblGrid>
      <w:tr w:rsidR="000B7923" w:rsidRPr="002B1DFC" w14:paraId="105D9B08" w14:textId="77777777">
        <w:tc>
          <w:tcPr>
            <w:tcW w:w="2315" w:type="pct"/>
            <w:tcBorders>
              <w:top w:val="single" w:sz="4" w:space="0" w:color="4F81BD"/>
              <w:left w:val="single" w:sz="4" w:space="0" w:color="4F81BD"/>
              <w:bottom w:val="nil"/>
              <w:right w:val="nil"/>
            </w:tcBorders>
            <w:shd w:val="clear" w:color="auto" w:fill="4F81BD"/>
          </w:tcPr>
          <w:p w14:paraId="7DC3594A" w14:textId="77777777" w:rsidR="000B7923" w:rsidRPr="002B1DFC" w:rsidRDefault="000B7923" w:rsidP="00F441C6">
            <w:pPr>
              <w:spacing w:line="203" w:lineRule="atLeast"/>
              <w:jc w:val="left"/>
              <w:rPr>
                <w:rFonts w:cs="Times New Roman"/>
                <w:b/>
                <w:bCs/>
                <w:color w:val="FFFFFF"/>
                <w:sz w:val="16"/>
                <w:szCs w:val="16"/>
              </w:rPr>
            </w:pPr>
          </w:p>
        </w:tc>
        <w:tc>
          <w:tcPr>
            <w:tcW w:w="291" w:type="pct"/>
            <w:tcBorders>
              <w:top w:val="single" w:sz="4" w:space="0" w:color="4F81BD"/>
            </w:tcBorders>
            <w:shd w:val="clear" w:color="auto" w:fill="4F81BD"/>
          </w:tcPr>
          <w:p w14:paraId="4A455D66" w14:textId="77777777" w:rsidR="000B7923" w:rsidRPr="002B1DFC" w:rsidRDefault="000B7923" w:rsidP="00F441C6">
            <w:pPr>
              <w:spacing w:line="203" w:lineRule="atLeast"/>
              <w:jc w:val="right"/>
              <w:textAlignment w:val="baseline"/>
              <w:rPr>
                <w:rFonts w:cs="Times New Roman"/>
                <w:b/>
                <w:bCs/>
                <w:color w:val="FFFFFF"/>
                <w:sz w:val="16"/>
                <w:szCs w:val="16"/>
              </w:rPr>
            </w:pPr>
            <w:r w:rsidRPr="002B1DFC">
              <w:rPr>
                <w:rFonts w:cs="Times New Roman"/>
                <w:b/>
                <w:bCs/>
                <w:color w:val="FFFFFF"/>
                <w:sz w:val="16"/>
                <w:szCs w:val="16"/>
              </w:rPr>
              <w:t>1990</w:t>
            </w:r>
          </w:p>
        </w:tc>
        <w:tc>
          <w:tcPr>
            <w:tcW w:w="479" w:type="pct"/>
            <w:tcBorders>
              <w:top w:val="single" w:sz="4" w:space="0" w:color="4F81BD"/>
            </w:tcBorders>
            <w:shd w:val="clear" w:color="auto" w:fill="4F81BD"/>
          </w:tcPr>
          <w:p w14:paraId="621CF316" w14:textId="77777777" w:rsidR="000B7923" w:rsidRPr="002B1DFC" w:rsidRDefault="000B7923" w:rsidP="00F441C6">
            <w:pPr>
              <w:spacing w:line="203" w:lineRule="atLeast"/>
              <w:jc w:val="right"/>
              <w:textAlignment w:val="baseline"/>
              <w:rPr>
                <w:rFonts w:cs="Times New Roman"/>
                <w:b/>
                <w:bCs/>
                <w:color w:val="FFFFFF"/>
                <w:sz w:val="16"/>
                <w:szCs w:val="16"/>
              </w:rPr>
            </w:pPr>
            <w:r w:rsidRPr="002B1DFC">
              <w:rPr>
                <w:rFonts w:cs="Times New Roman"/>
                <w:b/>
                <w:bCs/>
                <w:color w:val="FFFFFF"/>
                <w:sz w:val="16"/>
                <w:szCs w:val="16"/>
              </w:rPr>
              <w:t>1995</w:t>
            </w:r>
          </w:p>
        </w:tc>
        <w:tc>
          <w:tcPr>
            <w:tcW w:w="479" w:type="pct"/>
            <w:tcBorders>
              <w:top w:val="single" w:sz="4" w:space="0" w:color="4F81BD"/>
            </w:tcBorders>
            <w:shd w:val="clear" w:color="auto" w:fill="4F81BD"/>
          </w:tcPr>
          <w:p w14:paraId="0BA67574" w14:textId="77777777" w:rsidR="000B7923" w:rsidRPr="002B1DFC" w:rsidRDefault="000B7923" w:rsidP="00F441C6">
            <w:pPr>
              <w:spacing w:line="203" w:lineRule="atLeast"/>
              <w:jc w:val="right"/>
              <w:textAlignment w:val="baseline"/>
              <w:rPr>
                <w:rFonts w:cs="Times New Roman"/>
                <w:b/>
                <w:bCs/>
                <w:color w:val="FFFFFF"/>
                <w:sz w:val="16"/>
                <w:szCs w:val="16"/>
              </w:rPr>
            </w:pPr>
            <w:r w:rsidRPr="002B1DFC">
              <w:rPr>
                <w:rFonts w:cs="Times New Roman"/>
                <w:b/>
                <w:bCs/>
                <w:color w:val="FFFFFF"/>
                <w:sz w:val="16"/>
                <w:szCs w:val="16"/>
              </w:rPr>
              <w:t>2000</w:t>
            </w:r>
          </w:p>
        </w:tc>
        <w:tc>
          <w:tcPr>
            <w:tcW w:w="478" w:type="pct"/>
            <w:tcBorders>
              <w:top w:val="single" w:sz="4" w:space="0" w:color="4F81BD"/>
            </w:tcBorders>
            <w:shd w:val="clear" w:color="auto" w:fill="4F81BD"/>
          </w:tcPr>
          <w:p w14:paraId="0BF48A2F" w14:textId="77777777" w:rsidR="000B7923" w:rsidRPr="002B1DFC" w:rsidRDefault="000B7923" w:rsidP="00F441C6">
            <w:pPr>
              <w:spacing w:line="203" w:lineRule="atLeast"/>
              <w:jc w:val="right"/>
              <w:textAlignment w:val="baseline"/>
              <w:rPr>
                <w:rFonts w:cs="Times New Roman"/>
                <w:b/>
                <w:bCs/>
                <w:color w:val="FFFFFF"/>
                <w:sz w:val="16"/>
                <w:szCs w:val="16"/>
              </w:rPr>
            </w:pPr>
            <w:r w:rsidRPr="002B1DFC">
              <w:rPr>
                <w:rFonts w:cs="Times New Roman"/>
                <w:b/>
                <w:bCs/>
                <w:color w:val="FFFFFF"/>
                <w:sz w:val="16"/>
                <w:szCs w:val="16"/>
              </w:rPr>
              <w:t>2005</w:t>
            </w:r>
          </w:p>
        </w:tc>
        <w:tc>
          <w:tcPr>
            <w:tcW w:w="479" w:type="pct"/>
            <w:tcBorders>
              <w:top w:val="single" w:sz="4" w:space="0" w:color="4F81BD"/>
            </w:tcBorders>
            <w:shd w:val="clear" w:color="auto" w:fill="4F81BD"/>
          </w:tcPr>
          <w:p w14:paraId="3F65D28A" w14:textId="77777777" w:rsidR="000B7923" w:rsidRPr="002B1DFC" w:rsidRDefault="000B7923" w:rsidP="00F441C6">
            <w:pPr>
              <w:spacing w:line="203" w:lineRule="atLeast"/>
              <w:jc w:val="right"/>
              <w:textAlignment w:val="baseline"/>
              <w:rPr>
                <w:rFonts w:cs="Times New Roman"/>
                <w:b/>
                <w:bCs/>
                <w:color w:val="FFFFFF"/>
                <w:sz w:val="16"/>
                <w:szCs w:val="16"/>
              </w:rPr>
            </w:pPr>
            <w:r w:rsidRPr="002B1DFC">
              <w:rPr>
                <w:rFonts w:cs="Times New Roman"/>
                <w:b/>
                <w:bCs/>
                <w:color w:val="FFFFFF"/>
                <w:sz w:val="16"/>
                <w:szCs w:val="16"/>
              </w:rPr>
              <w:t>2010</w:t>
            </w:r>
          </w:p>
        </w:tc>
        <w:tc>
          <w:tcPr>
            <w:tcW w:w="478" w:type="pct"/>
            <w:tcBorders>
              <w:top w:val="single" w:sz="4" w:space="0" w:color="4F81BD"/>
              <w:right w:val="single" w:sz="4" w:space="0" w:color="4F81BD"/>
            </w:tcBorders>
            <w:shd w:val="clear" w:color="auto" w:fill="4F81BD"/>
          </w:tcPr>
          <w:p w14:paraId="404ACB14" w14:textId="77777777" w:rsidR="000B7923" w:rsidRPr="002B1DFC" w:rsidRDefault="000B7923" w:rsidP="00F441C6">
            <w:pPr>
              <w:spacing w:line="203" w:lineRule="atLeast"/>
              <w:jc w:val="right"/>
              <w:textAlignment w:val="baseline"/>
              <w:rPr>
                <w:rFonts w:cs="Times New Roman"/>
                <w:b/>
                <w:bCs/>
                <w:color w:val="FFFFFF"/>
                <w:sz w:val="16"/>
                <w:szCs w:val="16"/>
              </w:rPr>
            </w:pPr>
            <w:r w:rsidRPr="002B1DFC">
              <w:rPr>
                <w:rFonts w:cs="Times New Roman"/>
                <w:b/>
                <w:bCs/>
                <w:color w:val="FFFFFF"/>
                <w:sz w:val="16"/>
                <w:szCs w:val="16"/>
              </w:rPr>
              <w:t>2014</w:t>
            </w:r>
          </w:p>
        </w:tc>
      </w:tr>
      <w:tr w:rsidR="000B7923" w:rsidRPr="002B1DFC" w14:paraId="0DC83786" w14:textId="77777777">
        <w:tc>
          <w:tcPr>
            <w:tcW w:w="2315" w:type="pct"/>
            <w:tcBorders>
              <w:top w:val="single" w:sz="4" w:space="0" w:color="4F81BD"/>
              <w:left w:val="single" w:sz="4" w:space="0" w:color="4F81BD"/>
              <w:bottom w:val="single" w:sz="4" w:space="0" w:color="4F81BD"/>
              <w:right w:val="nil"/>
            </w:tcBorders>
            <w:shd w:val="clear" w:color="auto" w:fill="FFFFFF"/>
          </w:tcPr>
          <w:p w14:paraId="7211306F" w14:textId="77777777" w:rsidR="000B7923" w:rsidRPr="002B1DFC" w:rsidRDefault="000B7923" w:rsidP="00F441C6">
            <w:pPr>
              <w:spacing w:line="203" w:lineRule="atLeast"/>
              <w:jc w:val="left"/>
              <w:rPr>
                <w:rFonts w:cs="Times New Roman"/>
                <w:b/>
                <w:bCs/>
                <w:sz w:val="16"/>
                <w:szCs w:val="16"/>
              </w:rPr>
            </w:pPr>
            <w:r w:rsidRPr="002B1DFC">
              <w:rPr>
                <w:rFonts w:cs="Times New Roman"/>
                <w:b/>
                <w:bCs/>
                <w:sz w:val="16"/>
                <w:szCs w:val="16"/>
              </w:rPr>
              <w:t>CO2 emissions (kg per PPP $ of GDP)</w:t>
            </w:r>
            <w:r w:rsidR="00BE4288" w:rsidRPr="002B1DFC">
              <w:rPr>
                <w:rFonts w:cs="Times New Roman"/>
                <w:b/>
                <w:noProof/>
                <w:sz w:val="16"/>
                <w:szCs w:val="16"/>
                <w:bdr w:val="none" w:sz="0" w:space="0" w:color="auto" w:frame="1"/>
              </w:rPr>
              <w:drawing>
                <wp:inline distT="0" distB="0" distL="0" distR="0" wp14:anchorId="7478D6E1" wp14:editId="5AD86EBF">
                  <wp:extent cx="85725" cy="95250"/>
                  <wp:effectExtent l="0" t="0" r="0" b="0"/>
                  <wp:docPr id="2" name="Picture 178" descr="http://databank.worldbank.org/data/vi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databank.worldbank.org/data/views/images/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291" w:type="pct"/>
            <w:tcBorders>
              <w:top w:val="single" w:sz="4" w:space="0" w:color="4F81BD"/>
              <w:bottom w:val="single" w:sz="4" w:space="0" w:color="4F81BD"/>
            </w:tcBorders>
          </w:tcPr>
          <w:p w14:paraId="187C0AD0"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w:t>
            </w:r>
          </w:p>
        </w:tc>
        <w:tc>
          <w:tcPr>
            <w:tcW w:w="479" w:type="pct"/>
            <w:tcBorders>
              <w:top w:val="single" w:sz="4" w:space="0" w:color="4F81BD"/>
              <w:bottom w:val="single" w:sz="4" w:space="0" w:color="4F81BD"/>
            </w:tcBorders>
          </w:tcPr>
          <w:p w14:paraId="69B78408"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2</w:t>
            </w:r>
          </w:p>
        </w:tc>
        <w:tc>
          <w:tcPr>
            <w:tcW w:w="479" w:type="pct"/>
            <w:tcBorders>
              <w:top w:val="single" w:sz="4" w:space="0" w:color="4F81BD"/>
              <w:bottom w:val="single" w:sz="4" w:space="0" w:color="4F81BD"/>
            </w:tcBorders>
          </w:tcPr>
          <w:p w14:paraId="40512922"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2</w:t>
            </w:r>
          </w:p>
        </w:tc>
        <w:tc>
          <w:tcPr>
            <w:tcW w:w="478" w:type="pct"/>
            <w:tcBorders>
              <w:top w:val="single" w:sz="4" w:space="0" w:color="4F81BD"/>
              <w:bottom w:val="single" w:sz="4" w:space="0" w:color="4F81BD"/>
            </w:tcBorders>
          </w:tcPr>
          <w:p w14:paraId="04A3CB5B"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1</w:t>
            </w:r>
          </w:p>
        </w:tc>
        <w:tc>
          <w:tcPr>
            <w:tcW w:w="479" w:type="pct"/>
            <w:tcBorders>
              <w:top w:val="single" w:sz="4" w:space="0" w:color="4F81BD"/>
              <w:bottom w:val="single" w:sz="4" w:space="0" w:color="4F81BD"/>
            </w:tcBorders>
          </w:tcPr>
          <w:p w14:paraId="1ABD18E9"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1</w:t>
            </w:r>
          </w:p>
        </w:tc>
        <w:tc>
          <w:tcPr>
            <w:tcW w:w="478" w:type="pct"/>
            <w:tcBorders>
              <w:top w:val="single" w:sz="4" w:space="0" w:color="4F81BD"/>
              <w:bottom w:val="single" w:sz="4" w:space="0" w:color="4F81BD"/>
              <w:right w:val="single" w:sz="4" w:space="0" w:color="4F81BD"/>
            </w:tcBorders>
          </w:tcPr>
          <w:p w14:paraId="6371549F"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w:t>
            </w:r>
          </w:p>
        </w:tc>
      </w:tr>
      <w:tr w:rsidR="000B7923" w:rsidRPr="002B1DFC" w14:paraId="653CF73C" w14:textId="77777777">
        <w:tc>
          <w:tcPr>
            <w:tcW w:w="2315" w:type="pct"/>
            <w:tcBorders>
              <w:left w:val="single" w:sz="4" w:space="0" w:color="4F81BD"/>
              <w:right w:val="nil"/>
            </w:tcBorders>
            <w:shd w:val="clear" w:color="auto" w:fill="FFFFFF"/>
          </w:tcPr>
          <w:p w14:paraId="5506C866" w14:textId="77777777" w:rsidR="000B7923" w:rsidRPr="002B1DFC" w:rsidRDefault="000B7923" w:rsidP="00F441C6">
            <w:pPr>
              <w:spacing w:line="203" w:lineRule="atLeast"/>
              <w:jc w:val="left"/>
              <w:rPr>
                <w:rFonts w:cs="Times New Roman"/>
                <w:b/>
                <w:bCs/>
                <w:sz w:val="16"/>
                <w:szCs w:val="16"/>
              </w:rPr>
            </w:pPr>
            <w:r w:rsidRPr="002B1DFC">
              <w:rPr>
                <w:rFonts w:cs="Times New Roman"/>
                <w:b/>
                <w:bCs/>
                <w:sz w:val="16"/>
                <w:szCs w:val="16"/>
              </w:rPr>
              <w:t>CO2 emissions (metric tons per capita)</w:t>
            </w:r>
            <w:r w:rsidR="00BE4288" w:rsidRPr="002B1DFC">
              <w:rPr>
                <w:rFonts w:cs="Times New Roman"/>
                <w:b/>
                <w:noProof/>
                <w:sz w:val="16"/>
                <w:szCs w:val="16"/>
                <w:bdr w:val="none" w:sz="0" w:space="0" w:color="auto" w:frame="1"/>
              </w:rPr>
              <w:drawing>
                <wp:inline distT="0" distB="0" distL="0" distR="0" wp14:anchorId="3C1D7CB7" wp14:editId="52463E76">
                  <wp:extent cx="85725" cy="95250"/>
                  <wp:effectExtent l="0" t="0" r="0" b="0"/>
                  <wp:docPr id="3" name="Picture 177" descr="http://databank.worldbank.org/data/vi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databank.worldbank.org/data/views/images/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291" w:type="pct"/>
          </w:tcPr>
          <w:p w14:paraId="0042DE28"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w:t>
            </w:r>
          </w:p>
        </w:tc>
        <w:tc>
          <w:tcPr>
            <w:tcW w:w="479" w:type="pct"/>
          </w:tcPr>
          <w:p w14:paraId="205143A1"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w:t>
            </w:r>
          </w:p>
        </w:tc>
        <w:tc>
          <w:tcPr>
            <w:tcW w:w="479" w:type="pct"/>
          </w:tcPr>
          <w:p w14:paraId="689C3993"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7</w:t>
            </w:r>
          </w:p>
        </w:tc>
        <w:tc>
          <w:tcPr>
            <w:tcW w:w="478" w:type="pct"/>
          </w:tcPr>
          <w:p w14:paraId="4C59AC92"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7</w:t>
            </w:r>
          </w:p>
        </w:tc>
        <w:tc>
          <w:tcPr>
            <w:tcW w:w="479" w:type="pct"/>
          </w:tcPr>
          <w:p w14:paraId="273E33A8"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7</w:t>
            </w:r>
          </w:p>
        </w:tc>
        <w:tc>
          <w:tcPr>
            <w:tcW w:w="478" w:type="pct"/>
            <w:tcBorders>
              <w:right w:val="single" w:sz="4" w:space="0" w:color="4F81BD"/>
            </w:tcBorders>
          </w:tcPr>
          <w:p w14:paraId="18508CF9"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w:t>
            </w:r>
          </w:p>
        </w:tc>
      </w:tr>
      <w:tr w:rsidR="000B7923" w:rsidRPr="002B1DFC" w14:paraId="60D8443A" w14:textId="77777777">
        <w:tc>
          <w:tcPr>
            <w:tcW w:w="2315" w:type="pct"/>
            <w:tcBorders>
              <w:top w:val="single" w:sz="4" w:space="0" w:color="4F81BD"/>
              <w:left w:val="single" w:sz="4" w:space="0" w:color="4F81BD"/>
              <w:bottom w:val="single" w:sz="4" w:space="0" w:color="4F81BD"/>
              <w:right w:val="nil"/>
            </w:tcBorders>
            <w:shd w:val="clear" w:color="auto" w:fill="FFFFFF"/>
          </w:tcPr>
          <w:p w14:paraId="6EE59D46" w14:textId="77777777" w:rsidR="000B7923" w:rsidRPr="002B1DFC" w:rsidRDefault="000B7923" w:rsidP="00F441C6">
            <w:pPr>
              <w:spacing w:line="203" w:lineRule="atLeast"/>
              <w:jc w:val="left"/>
              <w:rPr>
                <w:rFonts w:cs="Times New Roman"/>
                <w:b/>
                <w:bCs/>
                <w:sz w:val="16"/>
                <w:szCs w:val="16"/>
              </w:rPr>
            </w:pPr>
            <w:r w:rsidRPr="002B1DFC">
              <w:rPr>
                <w:rFonts w:cs="Times New Roman"/>
                <w:b/>
                <w:bCs/>
                <w:sz w:val="16"/>
                <w:szCs w:val="16"/>
              </w:rPr>
              <w:t>Forest area (% of land area)</w:t>
            </w:r>
            <w:r w:rsidR="00BE4288" w:rsidRPr="002B1DFC">
              <w:rPr>
                <w:rFonts w:cs="Times New Roman"/>
                <w:b/>
                <w:noProof/>
                <w:sz w:val="16"/>
                <w:szCs w:val="16"/>
                <w:bdr w:val="none" w:sz="0" w:space="0" w:color="auto" w:frame="1"/>
              </w:rPr>
              <w:drawing>
                <wp:inline distT="0" distB="0" distL="0" distR="0" wp14:anchorId="6BD727BB" wp14:editId="381C1C3B">
                  <wp:extent cx="85725" cy="95250"/>
                  <wp:effectExtent l="0" t="0" r="0" b="0"/>
                  <wp:docPr id="4" name="Picture 176" descr="http://databank.worldbank.org/data/vi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databank.worldbank.org/data/views/images/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291" w:type="pct"/>
            <w:tcBorders>
              <w:top w:val="single" w:sz="4" w:space="0" w:color="4F81BD"/>
              <w:bottom w:val="single" w:sz="4" w:space="0" w:color="4F81BD"/>
            </w:tcBorders>
          </w:tcPr>
          <w:p w14:paraId="79CF7685"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16.0</w:t>
            </w:r>
          </w:p>
        </w:tc>
        <w:tc>
          <w:tcPr>
            <w:tcW w:w="479" w:type="pct"/>
            <w:tcBorders>
              <w:top w:val="single" w:sz="4" w:space="0" w:color="4F81BD"/>
              <w:bottom w:val="single" w:sz="4" w:space="0" w:color="4F81BD"/>
            </w:tcBorders>
          </w:tcPr>
          <w:p w14:paraId="2702C255"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16.2</w:t>
            </w:r>
          </w:p>
        </w:tc>
        <w:tc>
          <w:tcPr>
            <w:tcW w:w="479" w:type="pct"/>
            <w:tcBorders>
              <w:top w:val="single" w:sz="4" w:space="0" w:color="4F81BD"/>
              <w:bottom w:val="single" w:sz="4" w:space="0" w:color="4F81BD"/>
            </w:tcBorders>
          </w:tcPr>
          <w:p w14:paraId="2FE5EDA7"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16.4</w:t>
            </w:r>
          </w:p>
        </w:tc>
        <w:tc>
          <w:tcPr>
            <w:tcW w:w="478" w:type="pct"/>
            <w:tcBorders>
              <w:top w:val="single" w:sz="4" w:space="0" w:color="4F81BD"/>
              <w:bottom w:val="single" w:sz="4" w:space="0" w:color="4F81BD"/>
            </w:tcBorders>
          </w:tcPr>
          <w:p w14:paraId="22DAF10B"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16.5</w:t>
            </w:r>
          </w:p>
        </w:tc>
        <w:tc>
          <w:tcPr>
            <w:tcW w:w="479" w:type="pct"/>
            <w:tcBorders>
              <w:top w:val="single" w:sz="4" w:space="0" w:color="4F81BD"/>
              <w:bottom w:val="single" w:sz="4" w:space="0" w:color="4F81BD"/>
            </w:tcBorders>
          </w:tcPr>
          <w:p w14:paraId="445DF083"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16.5</w:t>
            </w:r>
          </w:p>
        </w:tc>
        <w:tc>
          <w:tcPr>
            <w:tcW w:w="478" w:type="pct"/>
            <w:tcBorders>
              <w:top w:val="single" w:sz="4" w:space="0" w:color="4F81BD"/>
              <w:bottom w:val="single" w:sz="4" w:space="0" w:color="4F81BD"/>
              <w:right w:val="single" w:sz="4" w:space="0" w:color="4F81BD"/>
            </w:tcBorders>
          </w:tcPr>
          <w:p w14:paraId="62E0B04C"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16.6</w:t>
            </w:r>
          </w:p>
        </w:tc>
      </w:tr>
      <w:tr w:rsidR="000B7923" w:rsidRPr="002B1DFC" w14:paraId="64A44449" w14:textId="77777777">
        <w:tc>
          <w:tcPr>
            <w:tcW w:w="2315" w:type="pct"/>
            <w:tcBorders>
              <w:left w:val="single" w:sz="4" w:space="0" w:color="4F81BD"/>
              <w:right w:val="nil"/>
            </w:tcBorders>
            <w:shd w:val="clear" w:color="auto" w:fill="FFFFFF"/>
          </w:tcPr>
          <w:p w14:paraId="63BE3F22" w14:textId="77777777" w:rsidR="000B7923" w:rsidRPr="002B1DFC" w:rsidRDefault="000B7923" w:rsidP="00F441C6">
            <w:pPr>
              <w:spacing w:line="203" w:lineRule="atLeast"/>
              <w:jc w:val="left"/>
              <w:rPr>
                <w:rFonts w:cs="Times New Roman"/>
                <w:b/>
                <w:bCs/>
                <w:sz w:val="16"/>
                <w:szCs w:val="16"/>
              </w:rPr>
            </w:pPr>
            <w:r w:rsidRPr="002B1DFC">
              <w:rPr>
                <w:rFonts w:cs="Times New Roman"/>
                <w:b/>
                <w:bCs/>
                <w:sz w:val="16"/>
                <w:szCs w:val="16"/>
              </w:rPr>
              <w:t>Improved sanitation facilities (% of population with access)</w:t>
            </w:r>
            <w:r w:rsidR="00BE4288" w:rsidRPr="002B1DFC">
              <w:rPr>
                <w:rFonts w:cs="Times New Roman"/>
                <w:b/>
                <w:noProof/>
                <w:sz w:val="16"/>
                <w:szCs w:val="16"/>
                <w:bdr w:val="none" w:sz="0" w:space="0" w:color="auto" w:frame="1"/>
              </w:rPr>
              <w:drawing>
                <wp:inline distT="0" distB="0" distL="0" distR="0" wp14:anchorId="2973E178" wp14:editId="5D9D90DC">
                  <wp:extent cx="85725" cy="95250"/>
                  <wp:effectExtent l="0" t="0" r="0" b="0"/>
                  <wp:docPr id="5" name="Picture 175" descr="http://databank.worldbank.org/data/vi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databank.worldbank.org/data/views/images/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291" w:type="pct"/>
          </w:tcPr>
          <w:p w14:paraId="1488E1EE"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w:t>
            </w:r>
          </w:p>
        </w:tc>
        <w:tc>
          <w:tcPr>
            <w:tcW w:w="479" w:type="pct"/>
          </w:tcPr>
          <w:p w14:paraId="6250347C"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95</w:t>
            </w:r>
          </w:p>
        </w:tc>
        <w:tc>
          <w:tcPr>
            <w:tcW w:w="479" w:type="pct"/>
          </w:tcPr>
          <w:p w14:paraId="39FA6EC3"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95</w:t>
            </w:r>
          </w:p>
        </w:tc>
        <w:tc>
          <w:tcPr>
            <w:tcW w:w="478" w:type="pct"/>
          </w:tcPr>
          <w:p w14:paraId="5777F007"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95</w:t>
            </w:r>
          </w:p>
        </w:tc>
        <w:tc>
          <w:tcPr>
            <w:tcW w:w="479" w:type="pct"/>
          </w:tcPr>
          <w:p w14:paraId="2F40176F"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96</w:t>
            </w:r>
          </w:p>
        </w:tc>
        <w:tc>
          <w:tcPr>
            <w:tcW w:w="478" w:type="pct"/>
            <w:tcBorders>
              <w:right w:val="single" w:sz="4" w:space="0" w:color="4F81BD"/>
            </w:tcBorders>
          </w:tcPr>
          <w:p w14:paraId="48CFBD76"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96</w:t>
            </w:r>
          </w:p>
        </w:tc>
      </w:tr>
      <w:tr w:rsidR="000B7923" w:rsidRPr="002B1DFC" w14:paraId="102D3CFE" w14:textId="77777777">
        <w:tc>
          <w:tcPr>
            <w:tcW w:w="2315" w:type="pct"/>
            <w:tcBorders>
              <w:top w:val="single" w:sz="4" w:space="0" w:color="4F81BD"/>
              <w:left w:val="single" w:sz="4" w:space="0" w:color="4F81BD"/>
              <w:bottom w:val="single" w:sz="4" w:space="0" w:color="4F81BD"/>
              <w:right w:val="nil"/>
            </w:tcBorders>
            <w:shd w:val="clear" w:color="auto" w:fill="FFFFFF"/>
          </w:tcPr>
          <w:p w14:paraId="0CDC9E5B" w14:textId="77777777" w:rsidR="000B7923" w:rsidRPr="002B1DFC" w:rsidRDefault="000B7923" w:rsidP="00F441C6">
            <w:pPr>
              <w:spacing w:line="203" w:lineRule="atLeast"/>
              <w:jc w:val="left"/>
              <w:rPr>
                <w:rFonts w:cs="Times New Roman"/>
                <w:b/>
                <w:bCs/>
                <w:sz w:val="16"/>
                <w:szCs w:val="16"/>
              </w:rPr>
            </w:pPr>
            <w:r w:rsidRPr="002B1DFC">
              <w:rPr>
                <w:rFonts w:cs="Times New Roman"/>
                <w:b/>
                <w:bCs/>
                <w:sz w:val="16"/>
                <w:szCs w:val="16"/>
              </w:rPr>
              <w:t>Improved water source (% of population with access)</w:t>
            </w:r>
            <w:r w:rsidR="00BE4288" w:rsidRPr="002B1DFC">
              <w:rPr>
                <w:rFonts w:cs="Times New Roman"/>
                <w:b/>
                <w:noProof/>
                <w:sz w:val="16"/>
                <w:szCs w:val="16"/>
                <w:bdr w:val="none" w:sz="0" w:space="0" w:color="auto" w:frame="1"/>
              </w:rPr>
              <w:drawing>
                <wp:inline distT="0" distB="0" distL="0" distR="0" wp14:anchorId="00CB20B7" wp14:editId="0BB2C953">
                  <wp:extent cx="85725" cy="95250"/>
                  <wp:effectExtent l="0" t="0" r="0" b="0"/>
                  <wp:docPr id="6" name="Picture 174" descr="http://databank.worldbank.org/data/vi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databank.worldbank.org/data/views/images/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291" w:type="pct"/>
            <w:tcBorders>
              <w:top w:val="single" w:sz="4" w:space="0" w:color="4F81BD"/>
              <w:bottom w:val="single" w:sz="4" w:space="0" w:color="4F81BD"/>
            </w:tcBorders>
          </w:tcPr>
          <w:p w14:paraId="06B3C9E0"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w:t>
            </w:r>
          </w:p>
        </w:tc>
        <w:tc>
          <w:tcPr>
            <w:tcW w:w="479" w:type="pct"/>
            <w:tcBorders>
              <w:top w:val="single" w:sz="4" w:space="0" w:color="4F81BD"/>
              <w:bottom w:val="single" w:sz="4" w:space="0" w:color="4F81BD"/>
            </w:tcBorders>
          </w:tcPr>
          <w:p w14:paraId="3A544E6C"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98</w:t>
            </w:r>
          </w:p>
        </w:tc>
        <w:tc>
          <w:tcPr>
            <w:tcW w:w="479" w:type="pct"/>
            <w:tcBorders>
              <w:top w:val="single" w:sz="4" w:space="0" w:color="4F81BD"/>
              <w:bottom w:val="single" w:sz="4" w:space="0" w:color="4F81BD"/>
            </w:tcBorders>
          </w:tcPr>
          <w:p w14:paraId="4F5159FA"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98</w:t>
            </w:r>
          </w:p>
        </w:tc>
        <w:tc>
          <w:tcPr>
            <w:tcW w:w="478" w:type="pct"/>
            <w:tcBorders>
              <w:top w:val="single" w:sz="4" w:space="0" w:color="4F81BD"/>
              <w:bottom w:val="single" w:sz="4" w:space="0" w:color="4F81BD"/>
            </w:tcBorders>
          </w:tcPr>
          <w:p w14:paraId="7EF5B65D"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97</w:t>
            </w:r>
          </w:p>
        </w:tc>
        <w:tc>
          <w:tcPr>
            <w:tcW w:w="479" w:type="pct"/>
            <w:tcBorders>
              <w:top w:val="single" w:sz="4" w:space="0" w:color="4F81BD"/>
              <w:bottom w:val="single" w:sz="4" w:space="0" w:color="4F81BD"/>
            </w:tcBorders>
          </w:tcPr>
          <w:p w14:paraId="3362193A"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97</w:t>
            </w:r>
          </w:p>
        </w:tc>
        <w:tc>
          <w:tcPr>
            <w:tcW w:w="478" w:type="pct"/>
            <w:tcBorders>
              <w:top w:val="single" w:sz="4" w:space="0" w:color="4F81BD"/>
              <w:bottom w:val="single" w:sz="4" w:space="0" w:color="4F81BD"/>
              <w:right w:val="single" w:sz="4" w:space="0" w:color="4F81BD"/>
            </w:tcBorders>
          </w:tcPr>
          <w:p w14:paraId="556EA142"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96</w:t>
            </w:r>
          </w:p>
        </w:tc>
      </w:tr>
      <w:tr w:rsidR="000B7923" w:rsidRPr="002B1DFC" w14:paraId="484C2201" w14:textId="77777777">
        <w:tc>
          <w:tcPr>
            <w:tcW w:w="2315" w:type="pct"/>
            <w:tcBorders>
              <w:left w:val="single" w:sz="4" w:space="0" w:color="4F81BD"/>
              <w:bottom w:val="single" w:sz="4" w:space="0" w:color="4F81BD"/>
              <w:right w:val="nil"/>
            </w:tcBorders>
            <w:shd w:val="clear" w:color="auto" w:fill="FFFFFF"/>
          </w:tcPr>
          <w:p w14:paraId="328991D9" w14:textId="77777777" w:rsidR="000B7923" w:rsidRPr="002B1DFC" w:rsidRDefault="000B7923" w:rsidP="00F441C6">
            <w:pPr>
              <w:spacing w:line="203" w:lineRule="atLeast"/>
              <w:jc w:val="left"/>
              <w:rPr>
                <w:rFonts w:cs="Times New Roman"/>
                <w:b/>
                <w:bCs/>
                <w:sz w:val="16"/>
                <w:szCs w:val="16"/>
              </w:rPr>
            </w:pPr>
            <w:r w:rsidRPr="002B1DFC">
              <w:rPr>
                <w:rFonts w:cs="Times New Roman"/>
                <w:b/>
                <w:bCs/>
                <w:sz w:val="16"/>
                <w:szCs w:val="16"/>
              </w:rPr>
              <w:t>Marine protected areas (% of territorial waters)</w:t>
            </w:r>
            <w:r w:rsidR="00BE4288" w:rsidRPr="002B1DFC">
              <w:rPr>
                <w:rFonts w:cs="Times New Roman"/>
                <w:b/>
                <w:noProof/>
                <w:sz w:val="16"/>
                <w:szCs w:val="16"/>
                <w:bdr w:val="none" w:sz="0" w:space="0" w:color="auto" w:frame="1"/>
              </w:rPr>
              <w:drawing>
                <wp:inline distT="0" distB="0" distL="0" distR="0" wp14:anchorId="64E23B82" wp14:editId="5611E512">
                  <wp:extent cx="85725" cy="95250"/>
                  <wp:effectExtent l="0" t="0" r="0" b="0"/>
                  <wp:docPr id="7" name="Picture 173" descr="http://databank.worldbank.org/data/vi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databank.worldbank.org/data/views/images/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291" w:type="pct"/>
            <w:tcBorders>
              <w:bottom w:val="single" w:sz="4" w:space="0" w:color="4F81BD"/>
            </w:tcBorders>
          </w:tcPr>
          <w:p w14:paraId="62AD06CD"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4</w:t>
            </w:r>
          </w:p>
        </w:tc>
        <w:tc>
          <w:tcPr>
            <w:tcW w:w="479" w:type="pct"/>
            <w:tcBorders>
              <w:bottom w:val="single" w:sz="4" w:space="0" w:color="4F81BD"/>
            </w:tcBorders>
          </w:tcPr>
          <w:p w14:paraId="22EABF91"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5</w:t>
            </w:r>
          </w:p>
        </w:tc>
        <w:tc>
          <w:tcPr>
            <w:tcW w:w="479" w:type="pct"/>
            <w:tcBorders>
              <w:bottom w:val="single" w:sz="4" w:space="0" w:color="4F81BD"/>
            </w:tcBorders>
          </w:tcPr>
          <w:p w14:paraId="22C3D008"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11</w:t>
            </w:r>
          </w:p>
        </w:tc>
        <w:tc>
          <w:tcPr>
            <w:tcW w:w="478" w:type="pct"/>
            <w:tcBorders>
              <w:bottom w:val="single" w:sz="4" w:space="0" w:color="4F81BD"/>
            </w:tcBorders>
          </w:tcPr>
          <w:p w14:paraId="4D1078C7"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5</w:t>
            </w:r>
          </w:p>
        </w:tc>
        <w:tc>
          <w:tcPr>
            <w:tcW w:w="479" w:type="pct"/>
            <w:tcBorders>
              <w:bottom w:val="single" w:sz="4" w:space="0" w:color="4F81BD"/>
            </w:tcBorders>
          </w:tcPr>
          <w:p w14:paraId="0BF65B23"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11</w:t>
            </w:r>
          </w:p>
        </w:tc>
        <w:tc>
          <w:tcPr>
            <w:tcW w:w="478" w:type="pct"/>
            <w:tcBorders>
              <w:bottom w:val="single" w:sz="4" w:space="0" w:color="4F81BD"/>
              <w:right w:val="single" w:sz="4" w:space="0" w:color="4F81BD"/>
            </w:tcBorders>
          </w:tcPr>
          <w:p w14:paraId="05131653" w14:textId="77777777" w:rsidR="000B7923" w:rsidRPr="002B1DFC" w:rsidRDefault="000B7923" w:rsidP="00F441C6">
            <w:pPr>
              <w:spacing w:line="203" w:lineRule="atLeast"/>
              <w:jc w:val="right"/>
              <w:textAlignment w:val="baseline"/>
              <w:rPr>
                <w:rFonts w:cs="Times New Roman"/>
                <w:sz w:val="16"/>
                <w:szCs w:val="16"/>
              </w:rPr>
            </w:pPr>
            <w:r w:rsidRPr="002B1DFC">
              <w:rPr>
                <w:rFonts w:cs="Times New Roman"/>
                <w:sz w:val="16"/>
                <w:szCs w:val="16"/>
              </w:rPr>
              <w:t>..</w:t>
            </w:r>
          </w:p>
        </w:tc>
      </w:tr>
    </w:tbl>
    <w:p w14:paraId="2BC14E84" w14:textId="77777777" w:rsidR="000B7923" w:rsidRPr="00663798" w:rsidRDefault="000B7923" w:rsidP="008B0EE4">
      <w:pPr>
        <w:rPr>
          <w:rFonts w:cs="Times New Roman"/>
          <w:sz w:val="20"/>
          <w:szCs w:val="20"/>
        </w:rPr>
      </w:pPr>
      <w:r w:rsidRPr="00663798">
        <w:rPr>
          <w:rFonts w:cs="Times New Roman"/>
          <w:i/>
          <w:sz w:val="20"/>
          <w:szCs w:val="20"/>
        </w:rPr>
        <w:t>Source:</w:t>
      </w:r>
      <w:r w:rsidRPr="00663798">
        <w:rPr>
          <w:rFonts w:cs="Times New Roman"/>
          <w:sz w:val="20"/>
          <w:szCs w:val="20"/>
        </w:rPr>
        <w:t xml:space="preserve"> World Bank Data 2015</w:t>
      </w:r>
      <w:r w:rsidR="00870988" w:rsidRPr="00663798">
        <w:rPr>
          <w:rFonts w:cs="Times New Roman"/>
          <w:sz w:val="20"/>
          <w:szCs w:val="20"/>
        </w:rPr>
        <w:t>.</w:t>
      </w:r>
    </w:p>
    <w:p w14:paraId="31EDE2BD" w14:textId="77777777" w:rsidR="000B7923" w:rsidRPr="002B1DFC" w:rsidRDefault="000B7923" w:rsidP="006229C9">
      <w:pPr>
        <w:pStyle w:val="ListParagraph"/>
        <w:ind w:left="0"/>
        <w:rPr>
          <w:rFonts w:cs="Times New Roman"/>
          <w:bCs/>
          <w:iCs/>
        </w:rPr>
      </w:pPr>
    </w:p>
    <w:p w14:paraId="0E203CC3"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bCs/>
          <w:iCs/>
        </w:rPr>
        <w:t xml:space="preserve">Ukraine’s </w:t>
      </w:r>
      <w:r w:rsidRPr="002B1DFC">
        <w:rPr>
          <w:rFonts w:cs="Times New Roman"/>
          <w:b/>
          <w:iCs/>
        </w:rPr>
        <w:t xml:space="preserve">National Environmental Strategy </w:t>
      </w:r>
      <w:r w:rsidR="0041197D">
        <w:rPr>
          <w:rFonts w:cs="Times New Roman"/>
          <w:b/>
          <w:iCs/>
        </w:rPr>
        <w:t>–</w:t>
      </w:r>
      <w:r w:rsidRPr="002B1DFC">
        <w:rPr>
          <w:rFonts w:cs="Times New Roman"/>
          <w:b/>
          <w:iCs/>
        </w:rPr>
        <w:t xml:space="preserve"> 2020 </w:t>
      </w:r>
      <w:r w:rsidRPr="002B1DFC">
        <w:rPr>
          <w:rFonts w:cs="Times New Roman"/>
          <w:bCs/>
          <w:iCs/>
        </w:rPr>
        <w:t xml:space="preserve">identifies the following key </w:t>
      </w:r>
      <w:r w:rsidRPr="002B1DFC">
        <w:rPr>
          <w:rFonts w:cs="Times New Roman"/>
        </w:rPr>
        <w:t>environmental challenges: air pollution; quality of water resources and land degradation; solid waste management; biodiversity loss and human health problems. Additionally, during the last decades, a number and frequency of extreme climatic events have increased and affected the key economic sectors, infrastructure, settlements, water resources</w:t>
      </w:r>
      <w:r w:rsidR="008F608B">
        <w:rPr>
          <w:rFonts w:cs="Times New Roman"/>
        </w:rPr>
        <w:t>, and</w:t>
      </w:r>
      <w:r w:rsidRPr="002B1DFC">
        <w:rPr>
          <w:rFonts w:cs="Times New Roman"/>
        </w:rPr>
        <w:t xml:space="preserve"> natural ecosystems (S</w:t>
      </w:r>
      <w:r w:rsidR="003948AB">
        <w:rPr>
          <w:rFonts w:cs="Times New Roman"/>
        </w:rPr>
        <w:t xml:space="preserve">tate Statistics Service of Ukraine </w:t>
      </w:r>
      <w:r w:rsidRPr="002B1DFC">
        <w:rPr>
          <w:rFonts w:cs="Times New Roman"/>
        </w:rPr>
        <w:t xml:space="preserve">2014). </w:t>
      </w:r>
    </w:p>
    <w:p w14:paraId="05C7BEFD" w14:textId="77777777" w:rsidR="000B7923" w:rsidRPr="002B1DFC" w:rsidRDefault="000B7923" w:rsidP="00275839">
      <w:pPr>
        <w:pStyle w:val="ListParagraph"/>
        <w:ind w:left="0"/>
        <w:rPr>
          <w:rFonts w:cs="Times New Roman"/>
          <w:bCs/>
          <w:iCs/>
        </w:rPr>
      </w:pPr>
    </w:p>
    <w:p w14:paraId="5AF6A196" w14:textId="77777777" w:rsidR="000B7923" w:rsidRPr="002B1DFC" w:rsidRDefault="000B7923" w:rsidP="00275839">
      <w:pPr>
        <w:rPr>
          <w:rFonts w:cs="Times New Roman"/>
          <w:iCs/>
        </w:rPr>
      </w:pPr>
      <w:r w:rsidRPr="002B1DFC">
        <w:rPr>
          <w:rFonts w:cs="Times New Roman"/>
          <w:iCs/>
          <w:u w:val="single"/>
        </w:rPr>
        <w:t>Air Quality</w:t>
      </w:r>
      <w:r w:rsidRPr="002B1DFC">
        <w:rPr>
          <w:rFonts w:cs="Times New Roman"/>
          <w:iCs/>
        </w:rPr>
        <w:t xml:space="preserve"> </w:t>
      </w:r>
    </w:p>
    <w:p w14:paraId="42A1E1BE" w14:textId="77777777" w:rsidR="000B7923" w:rsidRPr="002B1DFC" w:rsidRDefault="000B7923" w:rsidP="00275839">
      <w:pPr>
        <w:rPr>
          <w:rFonts w:cs="Times New Roman"/>
          <w:iCs/>
        </w:rPr>
      </w:pPr>
    </w:p>
    <w:p w14:paraId="575DFF3A"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iCs/>
        </w:rPr>
      </w:pPr>
      <w:r w:rsidRPr="002B1DFC">
        <w:rPr>
          <w:rFonts w:cs="Times New Roman"/>
          <w:iCs/>
        </w:rPr>
        <w:t>The National Environmental Strategy 2020 identifies nitrogen oxides (NOx), carbon oxide (CO), sulfur dioxide (S</w:t>
      </w:r>
      <w:r w:rsidR="008F608B">
        <w:rPr>
          <w:rFonts w:cs="Times New Roman"/>
          <w:iCs/>
        </w:rPr>
        <w:t>O</w:t>
      </w:r>
      <w:r w:rsidR="008F608B">
        <w:rPr>
          <w:rFonts w:cs="Times New Roman"/>
          <w:iCs/>
          <w:vertAlign w:val="subscript"/>
        </w:rPr>
        <w:t>2</w:t>
      </w:r>
      <w:r w:rsidRPr="002B1DFC">
        <w:rPr>
          <w:rFonts w:cs="Times New Roman"/>
          <w:iCs/>
        </w:rPr>
        <w:t>), and particulate matter as key air pollutants. Stationary sources account for approximately 60% of the emissions (vast majority of emissions are produced from extractive and processing industries</w:t>
      </w:r>
      <w:r w:rsidR="008F608B">
        <w:rPr>
          <w:rFonts w:cs="Times New Roman"/>
          <w:iCs/>
        </w:rPr>
        <w:t>,</w:t>
      </w:r>
      <w:r w:rsidRPr="002B1DFC">
        <w:rPr>
          <w:rFonts w:cs="Times New Roman"/>
          <w:iCs/>
        </w:rPr>
        <w:t xml:space="preserve"> and </w:t>
      </w:r>
      <w:r w:rsidR="008F608B">
        <w:rPr>
          <w:rFonts w:cs="Times New Roman"/>
          <w:iCs/>
        </w:rPr>
        <w:t xml:space="preserve">from </w:t>
      </w:r>
      <w:r w:rsidRPr="002B1DFC">
        <w:rPr>
          <w:rFonts w:cs="Times New Roman"/>
          <w:iCs/>
        </w:rPr>
        <w:t xml:space="preserve">electricity generation) while transport sector accounts for 40% of total pollution load (NES 2020). For example, in 2013, 42% of the estimated air pollution load occurred in Donetsk and Dnipropetrovsk oblasts. In 2002, ambient air pollution exceeded national air quality standards in the most populated and industrialized Ukrainian cities. Even though Ukraine’s ambient air quality standards are even stricter than the standards recommended by the WHO Air Quality Guidelines for Europe, </w:t>
      </w:r>
      <w:r w:rsidR="003C6E32">
        <w:rPr>
          <w:rFonts w:cs="Times New Roman"/>
          <w:iCs/>
        </w:rPr>
        <w:t xml:space="preserve">almost all large Ukrainian cities exceed </w:t>
      </w:r>
      <w:r w:rsidRPr="002B1DFC">
        <w:rPr>
          <w:rFonts w:cs="Times New Roman"/>
          <w:iCs/>
        </w:rPr>
        <w:t xml:space="preserve">the WHO standards for specific pollutants. </w:t>
      </w:r>
      <w:proofErr w:type="spellStart"/>
      <w:r w:rsidRPr="002B1DFC">
        <w:rPr>
          <w:rFonts w:cs="Times New Roman"/>
          <w:iCs/>
        </w:rPr>
        <w:t>Strukova</w:t>
      </w:r>
      <w:proofErr w:type="spellEnd"/>
      <w:r w:rsidRPr="002B1DFC">
        <w:rPr>
          <w:rFonts w:cs="Times New Roman"/>
          <w:iCs/>
        </w:rPr>
        <w:t xml:space="preserve"> et al. (2006) estimated the health losses from urban air pollution (PM</w:t>
      </w:r>
      <w:r w:rsidRPr="002B1DFC">
        <w:rPr>
          <w:rFonts w:cs="Times New Roman"/>
          <w:iCs/>
          <w:vertAlign w:val="subscript"/>
        </w:rPr>
        <w:t>2.5</w:t>
      </w:r>
      <w:r w:rsidRPr="002B1DFC">
        <w:rPr>
          <w:rFonts w:cs="Times New Roman"/>
          <w:iCs/>
        </w:rPr>
        <w:t>) in Ukraine at 27,000 excess deaths and 280,000 DALYs lost annually, which was estimated at around 13 billion UAH (US $2.6 billion), or 4 percent of GDP in 2006.</w:t>
      </w:r>
    </w:p>
    <w:p w14:paraId="4C153FAB" w14:textId="77777777" w:rsidR="000B7923" w:rsidRPr="002B1DFC" w:rsidRDefault="000B7923" w:rsidP="00275839">
      <w:pPr>
        <w:rPr>
          <w:rFonts w:cs="Times New Roman"/>
          <w:iCs/>
        </w:rPr>
      </w:pPr>
    </w:p>
    <w:p w14:paraId="663856AA" w14:textId="77777777" w:rsidR="000B7923" w:rsidRDefault="000B7923" w:rsidP="00772403">
      <w:pPr>
        <w:pStyle w:val="ListParagraph"/>
        <w:numPr>
          <w:ilvl w:val="0"/>
          <w:numId w:val="68"/>
        </w:numPr>
        <w:tabs>
          <w:tab w:val="left" w:pos="360"/>
        </w:tabs>
        <w:spacing w:line="23" w:lineRule="atLeast"/>
        <w:ind w:left="0" w:firstLine="0"/>
        <w:rPr>
          <w:rFonts w:cs="Times New Roman"/>
          <w:iCs/>
        </w:rPr>
      </w:pPr>
      <w:r w:rsidRPr="002B1DFC">
        <w:rPr>
          <w:rFonts w:cs="Times New Roman"/>
          <w:iCs/>
        </w:rPr>
        <w:t>According to the Central Geophysical Observatory review (2015), out of 47 cities in Ukraine where regular monitoring was carried out in 2014, 22 cities were characterized by very high and high combined air pollution levels. These cities included those with large industrial facilities (metallurgy, chemicals and petrochemicals,</w:t>
      </w:r>
      <w:r w:rsidR="001B3CAE">
        <w:rPr>
          <w:rFonts w:cs="Times New Roman"/>
          <w:iCs/>
        </w:rPr>
        <w:t xml:space="preserve"> and</w:t>
      </w:r>
      <w:r w:rsidRPr="002B1DFC">
        <w:rPr>
          <w:rFonts w:cs="Times New Roman"/>
          <w:iCs/>
        </w:rPr>
        <w:t xml:space="preserve"> fuel and energy complexes), as well as those with significant transportation hubs. Key pollutants </w:t>
      </w:r>
      <w:r w:rsidR="003C6E32" w:rsidRPr="002B1DFC">
        <w:rPr>
          <w:rFonts w:cs="Times New Roman"/>
          <w:iCs/>
        </w:rPr>
        <w:t>included</w:t>
      </w:r>
      <w:r w:rsidRPr="002B1DFC">
        <w:rPr>
          <w:rFonts w:cs="Times New Roman"/>
          <w:iCs/>
        </w:rPr>
        <w:t xml:space="preserve"> formaldehyde, nitrogen dioxide, phenol, hydrogen fluoride, carbon monoxide, and suspended solids.</w:t>
      </w:r>
      <w:r w:rsidR="001B3CAE">
        <w:rPr>
          <w:rFonts w:cs="Times New Roman"/>
          <w:iCs/>
        </w:rPr>
        <w:t xml:space="preserve"> (See table </w:t>
      </w:r>
      <w:r w:rsidR="005060F5">
        <w:rPr>
          <w:rFonts w:cs="Times New Roman"/>
          <w:iCs/>
        </w:rPr>
        <w:t>3</w:t>
      </w:r>
      <w:r w:rsidR="001B3CAE">
        <w:rPr>
          <w:rFonts w:cs="Times New Roman"/>
          <w:iCs/>
        </w:rPr>
        <w:t>.)</w:t>
      </w:r>
      <w:r w:rsidRPr="002B1DFC">
        <w:rPr>
          <w:rFonts w:cs="Times New Roman"/>
          <w:iCs/>
        </w:rPr>
        <w:t xml:space="preserve">  </w:t>
      </w:r>
    </w:p>
    <w:p w14:paraId="1A61A5E8" w14:textId="77777777" w:rsidR="000D5F54" w:rsidRPr="002B1DFC" w:rsidRDefault="000D5F54" w:rsidP="00275839">
      <w:pPr>
        <w:rPr>
          <w:rFonts w:cs="Times New Roman"/>
          <w:iCs/>
        </w:rPr>
      </w:pPr>
    </w:p>
    <w:p w14:paraId="2F266935" w14:textId="77777777" w:rsidR="000B7923" w:rsidRPr="002B1DFC" w:rsidRDefault="003948AB" w:rsidP="003948AB">
      <w:pPr>
        <w:pStyle w:val="Caption"/>
        <w:rPr>
          <w:iCs/>
        </w:rPr>
      </w:pPr>
      <w:r>
        <w:br w:type="page"/>
      </w:r>
      <w:bookmarkStart w:id="25" w:name="_Toc440273995"/>
      <w:r w:rsidR="000B7923" w:rsidRPr="002B1DFC">
        <w:lastRenderedPageBreak/>
        <w:t xml:space="preserve">Table </w:t>
      </w:r>
      <w:r w:rsidR="000B7923" w:rsidRPr="002B1DFC">
        <w:fldChar w:fldCharType="begin"/>
      </w:r>
      <w:r w:rsidR="000B7923" w:rsidRPr="002B1DFC">
        <w:instrText xml:space="preserve"> SEQ Table \* ARABIC </w:instrText>
      </w:r>
      <w:r w:rsidR="000B7923" w:rsidRPr="002B1DFC">
        <w:fldChar w:fldCharType="separate"/>
      </w:r>
      <w:r w:rsidR="00356D5F">
        <w:t>3</w:t>
      </w:r>
      <w:r w:rsidR="000B7923" w:rsidRPr="002B1DFC">
        <w:fldChar w:fldCharType="end"/>
      </w:r>
      <w:r w:rsidR="000B7923" w:rsidRPr="002B1DFC">
        <w:t xml:space="preserve">. </w:t>
      </w:r>
      <w:r w:rsidR="000B7923" w:rsidRPr="002B1DFC">
        <w:rPr>
          <w:iCs/>
        </w:rPr>
        <w:t>Estimated Air Emissions Pollution Load (Thousand Tons)</w:t>
      </w:r>
      <w:bookmarkEnd w:id="25"/>
    </w:p>
    <w:tbl>
      <w:tblPr>
        <w:tblW w:w="5000" w:type="pct"/>
        <w:tblInd w:w="108" w:type="dxa"/>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2448"/>
        <w:gridCol w:w="1139"/>
        <w:gridCol w:w="1038"/>
        <w:gridCol w:w="1038"/>
        <w:gridCol w:w="1230"/>
        <w:gridCol w:w="1230"/>
        <w:gridCol w:w="1227"/>
      </w:tblGrid>
      <w:tr w:rsidR="000B7923" w:rsidRPr="002B1DFC" w14:paraId="419BFC20" w14:textId="77777777">
        <w:tc>
          <w:tcPr>
            <w:tcW w:w="1309" w:type="pct"/>
            <w:tcBorders>
              <w:top w:val="single" w:sz="4" w:space="0" w:color="4F81BD"/>
              <w:left w:val="single" w:sz="4" w:space="0" w:color="4F81BD"/>
              <w:bottom w:val="single" w:sz="4" w:space="0" w:color="4F81BD"/>
            </w:tcBorders>
            <w:shd w:val="clear" w:color="auto" w:fill="4F81BD"/>
            <w:noWrap/>
          </w:tcPr>
          <w:p w14:paraId="6F9EEB5F" w14:textId="77777777" w:rsidR="000B7923" w:rsidRPr="002B1DFC" w:rsidRDefault="000B7923" w:rsidP="00F441C6">
            <w:pPr>
              <w:jc w:val="left"/>
              <w:rPr>
                <w:rFonts w:cs="Times New Roman"/>
                <w:b/>
                <w:bCs/>
                <w:color w:val="FFFFFF"/>
                <w:sz w:val="20"/>
                <w:szCs w:val="20"/>
              </w:rPr>
            </w:pPr>
            <w:r w:rsidRPr="002B1DFC">
              <w:rPr>
                <w:rFonts w:cs="Times New Roman"/>
                <w:b/>
                <w:bCs/>
                <w:color w:val="FFFFFF"/>
                <w:sz w:val="20"/>
                <w:szCs w:val="20"/>
              </w:rPr>
              <w:t> </w:t>
            </w:r>
          </w:p>
        </w:tc>
        <w:tc>
          <w:tcPr>
            <w:tcW w:w="609" w:type="pct"/>
            <w:tcBorders>
              <w:top w:val="single" w:sz="4" w:space="0" w:color="4F81BD"/>
              <w:bottom w:val="single" w:sz="4" w:space="0" w:color="4F81BD"/>
            </w:tcBorders>
            <w:shd w:val="clear" w:color="auto" w:fill="4F81BD"/>
          </w:tcPr>
          <w:p w14:paraId="3EB8828A" w14:textId="77777777" w:rsidR="000B7923" w:rsidRPr="002B1DFC" w:rsidRDefault="000B7923" w:rsidP="00F441C6">
            <w:pPr>
              <w:jc w:val="center"/>
              <w:rPr>
                <w:rFonts w:cs="Times New Roman"/>
                <w:b/>
                <w:bCs/>
                <w:color w:val="FFFFFF"/>
                <w:sz w:val="20"/>
                <w:szCs w:val="20"/>
              </w:rPr>
            </w:pPr>
            <w:r w:rsidRPr="002B1DFC">
              <w:rPr>
                <w:rFonts w:cs="Times New Roman"/>
                <w:b/>
                <w:bCs/>
                <w:color w:val="FFFFFF"/>
                <w:sz w:val="20"/>
                <w:szCs w:val="20"/>
              </w:rPr>
              <w:t>1990</w:t>
            </w:r>
          </w:p>
        </w:tc>
        <w:tc>
          <w:tcPr>
            <w:tcW w:w="555" w:type="pct"/>
            <w:tcBorders>
              <w:top w:val="single" w:sz="4" w:space="0" w:color="4F81BD"/>
              <w:bottom w:val="single" w:sz="4" w:space="0" w:color="4F81BD"/>
            </w:tcBorders>
            <w:shd w:val="clear" w:color="auto" w:fill="4F81BD"/>
          </w:tcPr>
          <w:p w14:paraId="4774B8AE" w14:textId="77777777" w:rsidR="000B7923" w:rsidRPr="002B1DFC" w:rsidRDefault="000B7923" w:rsidP="00F441C6">
            <w:pPr>
              <w:jc w:val="center"/>
              <w:rPr>
                <w:rFonts w:cs="Times New Roman"/>
                <w:b/>
                <w:bCs/>
                <w:color w:val="FFFFFF"/>
                <w:sz w:val="20"/>
                <w:szCs w:val="20"/>
              </w:rPr>
            </w:pPr>
            <w:r w:rsidRPr="002B1DFC">
              <w:rPr>
                <w:rFonts w:cs="Times New Roman"/>
                <w:b/>
                <w:bCs/>
                <w:color w:val="FFFFFF"/>
                <w:sz w:val="20"/>
                <w:szCs w:val="20"/>
              </w:rPr>
              <w:t>1995</w:t>
            </w:r>
          </w:p>
        </w:tc>
        <w:tc>
          <w:tcPr>
            <w:tcW w:w="555" w:type="pct"/>
            <w:tcBorders>
              <w:top w:val="single" w:sz="4" w:space="0" w:color="4F81BD"/>
              <w:bottom w:val="single" w:sz="4" w:space="0" w:color="4F81BD"/>
            </w:tcBorders>
            <w:shd w:val="clear" w:color="auto" w:fill="4F81BD"/>
          </w:tcPr>
          <w:p w14:paraId="63DDCF2A" w14:textId="77777777" w:rsidR="000B7923" w:rsidRPr="002B1DFC" w:rsidRDefault="000B7923" w:rsidP="00F441C6">
            <w:pPr>
              <w:jc w:val="center"/>
              <w:rPr>
                <w:rFonts w:cs="Times New Roman"/>
                <w:b/>
                <w:bCs/>
                <w:color w:val="FFFFFF"/>
                <w:sz w:val="20"/>
                <w:szCs w:val="20"/>
              </w:rPr>
            </w:pPr>
            <w:r w:rsidRPr="002B1DFC">
              <w:rPr>
                <w:rFonts w:cs="Times New Roman"/>
                <w:b/>
                <w:bCs/>
                <w:color w:val="FFFFFF"/>
                <w:sz w:val="20"/>
                <w:szCs w:val="20"/>
              </w:rPr>
              <w:t>2000</w:t>
            </w:r>
          </w:p>
        </w:tc>
        <w:tc>
          <w:tcPr>
            <w:tcW w:w="658" w:type="pct"/>
            <w:tcBorders>
              <w:top w:val="single" w:sz="4" w:space="0" w:color="4F81BD"/>
              <w:bottom w:val="single" w:sz="4" w:space="0" w:color="4F81BD"/>
            </w:tcBorders>
            <w:shd w:val="clear" w:color="auto" w:fill="4F81BD"/>
          </w:tcPr>
          <w:p w14:paraId="4F6163EF" w14:textId="77777777" w:rsidR="000B7923" w:rsidRPr="002B1DFC" w:rsidRDefault="000B7923" w:rsidP="00F441C6">
            <w:pPr>
              <w:jc w:val="center"/>
              <w:rPr>
                <w:rFonts w:cs="Times New Roman"/>
                <w:b/>
                <w:bCs/>
                <w:color w:val="FFFFFF"/>
                <w:sz w:val="20"/>
                <w:szCs w:val="20"/>
              </w:rPr>
            </w:pPr>
            <w:r w:rsidRPr="002B1DFC">
              <w:rPr>
                <w:rFonts w:cs="Times New Roman"/>
                <w:b/>
                <w:bCs/>
                <w:color w:val="FFFFFF"/>
                <w:sz w:val="20"/>
                <w:szCs w:val="20"/>
              </w:rPr>
              <w:t>2005</w:t>
            </w:r>
          </w:p>
        </w:tc>
        <w:tc>
          <w:tcPr>
            <w:tcW w:w="658" w:type="pct"/>
            <w:tcBorders>
              <w:top w:val="single" w:sz="4" w:space="0" w:color="4F81BD"/>
              <w:bottom w:val="single" w:sz="4" w:space="0" w:color="4F81BD"/>
            </w:tcBorders>
            <w:shd w:val="clear" w:color="auto" w:fill="4F81BD"/>
          </w:tcPr>
          <w:p w14:paraId="6643B452" w14:textId="77777777" w:rsidR="000B7923" w:rsidRPr="002B1DFC" w:rsidRDefault="000B7923" w:rsidP="00F441C6">
            <w:pPr>
              <w:jc w:val="center"/>
              <w:rPr>
                <w:rFonts w:cs="Times New Roman"/>
                <w:b/>
                <w:bCs/>
                <w:color w:val="FFFFFF"/>
                <w:sz w:val="20"/>
                <w:szCs w:val="20"/>
              </w:rPr>
            </w:pPr>
            <w:r w:rsidRPr="002B1DFC">
              <w:rPr>
                <w:rFonts w:cs="Times New Roman"/>
                <w:b/>
                <w:bCs/>
                <w:color w:val="FFFFFF"/>
                <w:sz w:val="20"/>
                <w:szCs w:val="20"/>
              </w:rPr>
              <w:t>2010</w:t>
            </w:r>
          </w:p>
        </w:tc>
        <w:tc>
          <w:tcPr>
            <w:tcW w:w="656" w:type="pct"/>
            <w:tcBorders>
              <w:top w:val="single" w:sz="4" w:space="0" w:color="4F81BD"/>
              <w:bottom w:val="single" w:sz="4" w:space="0" w:color="4F81BD"/>
              <w:right w:val="single" w:sz="4" w:space="0" w:color="4F81BD"/>
            </w:tcBorders>
            <w:shd w:val="clear" w:color="auto" w:fill="4F81BD"/>
          </w:tcPr>
          <w:p w14:paraId="4E69883A" w14:textId="77777777" w:rsidR="000B7923" w:rsidRPr="002B1DFC" w:rsidRDefault="000B7923" w:rsidP="00F441C6">
            <w:pPr>
              <w:jc w:val="center"/>
              <w:rPr>
                <w:rFonts w:cs="Times New Roman"/>
                <w:b/>
                <w:bCs/>
                <w:color w:val="FFFFFF"/>
                <w:sz w:val="20"/>
                <w:szCs w:val="20"/>
              </w:rPr>
            </w:pPr>
            <w:r w:rsidRPr="002B1DFC">
              <w:rPr>
                <w:rFonts w:cs="Times New Roman"/>
                <w:b/>
                <w:bCs/>
                <w:color w:val="FFFFFF"/>
                <w:sz w:val="20"/>
                <w:szCs w:val="20"/>
              </w:rPr>
              <w:t>2013</w:t>
            </w:r>
          </w:p>
        </w:tc>
      </w:tr>
      <w:tr w:rsidR="000B7923" w:rsidRPr="002B1DFC" w14:paraId="24B68A18" w14:textId="77777777">
        <w:tc>
          <w:tcPr>
            <w:tcW w:w="1309" w:type="pct"/>
            <w:tcBorders>
              <w:top w:val="single" w:sz="4" w:space="0" w:color="95B3D7"/>
              <w:left w:val="single" w:sz="4" w:space="0" w:color="95B3D7"/>
              <w:bottom w:val="single" w:sz="4" w:space="0" w:color="95B3D7"/>
            </w:tcBorders>
            <w:shd w:val="clear" w:color="auto" w:fill="DBE5F1"/>
            <w:noWrap/>
          </w:tcPr>
          <w:p w14:paraId="18243669" w14:textId="77777777" w:rsidR="000B7923" w:rsidRPr="002B1DFC" w:rsidRDefault="000B7923" w:rsidP="00C66939">
            <w:pPr>
              <w:jc w:val="left"/>
              <w:rPr>
                <w:rFonts w:cs="Times New Roman"/>
                <w:b/>
                <w:bCs/>
                <w:sz w:val="20"/>
                <w:szCs w:val="20"/>
              </w:rPr>
            </w:pPr>
            <w:r w:rsidRPr="002B1DFC">
              <w:rPr>
                <w:rFonts w:cs="Times New Roman"/>
                <w:b/>
                <w:bCs/>
                <w:sz w:val="20"/>
                <w:szCs w:val="20"/>
              </w:rPr>
              <w:t xml:space="preserve">Total Pollution Load </w:t>
            </w:r>
          </w:p>
        </w:tc>
        <w:tc>
          <w:tcPr>
            <w:tcW w:w="609" w:type="pct"/>
            <w:tcBorders>
              <w:top w:val="single" w:sz="4" w:space="0" w:color="95B3D7"/>
              <w:bottom w:val="single" w:sz="4" w:space="0" w:color="95B3D7"/>
            </w:tcBorders>
            <w:shd w:val="clear" w:color="auto" w:fill="DBE5F1"/>
            <w:noWrap/>
          </w:tcPr>
          <w:p w14:paraId="40482B5E" w14:textId="77777777" w:rsidR="000B7923" w:rsidRPr="002B1DFC" w:rsidRDefault="000B7923" w:rsidP="00C66939">
            <w:pPr>
              <w:jc w:val="center"/>
              <w:rPr>
                <w:rFonts w:eastAsia="Times New Roman"/>
                <w:b/>
                <w:bCs/>
                <w:sz w:val="20"/>
                <w:szCs w:val="20"/>
              </w:rPr>
            </w:pPr>
            <w:r w:rsidRPr="002B1DFC">
              <w:rPr>
                <w:rFonts w:eastAsia="Times New Roman"/>
                <w:b/>
                <w:bCs/>
                <w:sz w:val="20"/>
                <w:szCs w:val="20"/>
              </w:rPr>
              <w:t>15,549</w:t>
            </w:r>
          </w:p>
        </w:tc>
        <w:tc>
          <w:tcPr>
            <w:tcW w:w="555" w:type="pct"/>
            <w:tcBorders>
              <w:top w:val="single" w:sz="4" w:space="0" w:color="95B3D7"/>
              <w:bottom w:val="single" w:sz="4" w:space="0" w:color="95B3D7"/>
            </w:tcBorders>
            <w:shd w:val="clear" w:color="auto" w:fill="DBE5F1"/>
            <w:noWrap/>
          </w:tcPr>
          <w:p w14:paraId="2BB48B18"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7,484</w:t>
            </w:r>
          </w:p>
        </w:tc>
        <w:tc>
          <w:tcPr>
            <w:tcW w:w="555" w:type="pct"/>
            <w:tcBorders>
              <w:top w:val="single" w:sz="4" w:space="0" w:color="95B3D7"/>
              <w:bottom w:val="single" w:sz="4" w:space="0" w:color="95B3D7"/>
            </w:tcBorders>
            <w:shd w:val="clear" w:color="auto" w:fill="DBE5F1"/>
            <w:noWrap/>
          </w:tcPr>
          <w:p w14:paraId="4848D84F"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5,909</w:t>
            </w:r>
          </w:p>
        </w:tc>
        <w:tc>
          <w:tcPr>
            <w:tcW w:w="658" w:type="pct"/>
            <w:tcBorders>
              <w:top w:val="single" w:sz="4" w:space="0" w:color="95B3D7"/>
              <w:bottom w:val="single" w:sz="4" w:space="0" w:color="95B3D7"/>
            </w:tcBorders>
            <w:shd w:val="clear" w:color="auto" w:fill="DBE5F1"/>
            <w:noWrap/>
          </w:tcPr>
          <w:p w14:paraId="2D9F1835"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6,616</w:t>
            </w:r>
          </w:p>
        </w:tc>
        <w:tc>
          <w:tcPr>
            <w:tcW w:w="658" w:type="pct"/>
            <w:tcBorders>
              <w:top w:val="single" w:sz="4" w:space="0" w:color="95B3D7"/>
              <w:bottom w:val="single" w:sz="4" w:space="0" w:color="95B3D7"/>
            </w:tcBorders>
            <w:shd w:val="clear" w:color="auto" w:fill="DBE5F1"/>
            <w:noWrap/>
          </w:tcPr>
          <w:p w14:paraId="4B7063FF"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6,678</w:t>
            </w:r>
          </w:p>
        </w:tc>
        <w:tc>
          <w:tcPr>
            <w:tcW w:w="656" w:type="pct"/>
            <w:tcBorders>
              <w:top w:val="single" w:sz="4" w:space="0" w:color="95B3D7"/>
              <w:bottom w:val="single" w:sz="4" w:space="0" w:color="95B3D7"/>
              <w:right w:val="single" w:sz="4" w:space="0" w:color="95B3D7"/>
            </w:tcBorders>
            <w:shd w:val="clear" w:color="auto" w:fill="DBE5F1"/>
            <w:noWrap/>
          </w:tcPr>
          <w:p w14:paraId="31B91710"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6,720</w:t>
            </w:r>
          </w:p>
        </w:tc>
      </w:tr>
      <w:tr w:rsidR="000B7923" w:rsidRPr="002B1DFC" w14:paraId="12DF4560" w14:textId="77777777">
        <w:tc>
          <w:tcPr>
            <w:tcW w:w="1309" w:type="pct"/>
            <w:tcBorders>
              <w:top w:val="single" w:sz="4" w:space="0" w:color="95B3D7"/>
              <w:left w:val="single" w:sz="4" w:space="0" w:color="95B3D7"/>
              <w:bottom w:val="single" w:sz="4" w:space="0" w:color="95B3D7"/>
            </w:tcBorders>
          </w:tcPr>
          <w:p w14:paraId="09DC86ED" w14:textId="77777777" w:rsidR="000B7923" w:rsidRPr="002B1DFC" w:rsidRDefault="000B7923" w:rsidP="00C66939">
            <w:pPr>
              <w:jc w:val="left"/>
              <w:rPr>
                <w:rFonts w:cs="Times New Roman"/>
                <w:b/>
                <w:bCs/>
                <w:sz w:val="20"/>
                <w:szCs w:val="20"/>
              </w:rPr>
            </w:pPr>
            <w:r w:rsidRPr="002B1DFC">
              <w:rPr>
                <w:rFonts w:cs="Times New Roman"/>
                <w:b/>
                <w:bCs/>
                <w:sz w:val="20"/>
                <w:szCs w:val="20"/>
              </w:rPr>
              <w:t>Stationary Sources</w:t>
            </w:r>
          </w:p>
        </w:tc>
        <w:tc>
          <w:tcPr>
            <w:tcW w:w="609" w:type="pct"/>
            <w:tcBorders>
              <w:top w:val="single" w:sz="4" w:space="0" w:color="95B3D7"/>
              <w:bottom w:val="single" w:sz="4" w:space="0" w:color="95B3D7"/>
            </w:tcBorders>
            <w:noWrap/>
          </w:tcPr>
          <w:p w14:paraId="6C30DB28" w14:textId="77777777" w:rsidR="000B7923" w:rsidRPr="002B1DFC" w:rsidRDefault="000B7923" w:rsidP="00C66939">
            <w:pPr>
              <w:jc w:val="center"/>
              <w:rPr>
                <w:rFonts w:eastAsia="Times New Roman"/>
                <w:b/>
                <w:bCs/>
                <w:sz w:val="20"/>
                <w:szCs w:val="20"/>
              </w:rPr>
            </w:pPr>
            <w:r w:rsidRPr="002B1DFC">
              <w:rPr>
                <w:rFonts w:eastAsia="Times New Roman"/>
                <w:b/>
                <w:bCs/>
                <w:sz w:val="20"/>
                <w:szCs w:val="20"/>
              </w:rPr>
              <w:t>9,439</w:t>
            </w:r>
          </w:p>
        </w:tc>
        <w:tc>
          <w:tcPr>
            <w:tcW w:w="555" w:type="pct"/>
            <w:tcBorders>
              <w:top w:val="single" w:sz="4" w:space="0" w:color="95B3D7"/>
              <w:bottom w:val="single" w:sz="4" w:space="0" w:color="95B3D7"/>
            </w:tcBorders>
            <w:noWrap/>
          </w:tcPr>
          <w:p w14:paraId="29547C0D"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5,687</w:t>
            </w:r>
          </w:p>
        </w:tc>
        <w:tc>
          <w:tcPr>
            <w:tcW w:w="555" w:type="pct"/>
            <w:tcBorders>
              <w:top w:val="single" w:sz="4" w:space="0" w:color="95B3D7"/>
              <w:bottom w:val="single" w:sz="4" w:space="0" w:color="95B3D7"/>
            </w:tcBorders>
            <w:noWrap/>
          </w:tcPr>
          <w:p w14:paraId="2927D591"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3,959</w:t>
            </w:r>
          </w:p>
        </w:tc>
        <w:tc>
          <w:tcPr>
            <w:tcW w:w="658" w:type="pct"/>
            <w:tcBorders>
              <w:top w:val="single" w:sz="4" w:space="0" w:color="95B3D7"/>
              <w:bottom w:val="single" w:sz="4" w:space="0" w:color="95B3D7"/>
            </w:tcBorders>
            <w:noWrap/>
          </w:tcPr>
          <w:p w14:paraId="7838E327"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4,464</w:t>
            </w:r>
          </w:p>
        </w:tc>
        <w:tc>
          <w:tcPr>
            <w:tcW w:w="658" w:type="pct"/>
            <w:tcBorders>
              <w:top w:val="single" w:sz="4" w:space="0" w:color="95B3D7"/>
              <w:bottom w:val="single" w:sz="4" w:space="0" w:color="95B3D7"/>
            </w:tcBorders>
            <w:noWrap/>
          </w:tcPr>
          <w:p w14:paraId="396F5A4F"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4,132</w:t>
            </w:r>
          </w:p>
        </w:tc>
        <w:tc>
          <w:tcPr>
            <w:tcW w:w="656" w:type="pct"/>
            <w:tcBorders>
              <w:top w:val="single" w:sz="4" w:space="0" w:color="95B3D7"/>
              <w:bottom w:val="single" w:sz="4" w:space="0" w:color="95B3D7"/>
              <w:right w:val="single" w:sz="4" w:space="0" w:color="95B3D7"/>
            </w:tcBorders>
            <w:noWrap/>
          </w:tcPr>
          <w:p w14:paraId="7FE86E60"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4,295</w:t>
            </w:r>
          </w:p>
        </w:tc>
      </w:tr>
      <w:tr w:rsidR="000B7923" w:rsidRPr="002B1DFC" w14:paraId="1C2E952D" w14:textId="77777777">
        <w:tc>
          <w:tcPr>
            <w:tcW w:w="1309" w:type="pct"/>
            <w:tcBorders>
              <w:top w:val="single" w:sz="4" w:space="0" w:color="95B3D7"/>
              <w:left w:val="single" w:sz="4" w:space="0" w:color="95B3D7"/>
              <w:bottom w:val="single" w:sz="4" w:space="0" w:color="95B3D7"/>
            </w:tcBorders>
            <w:shd w:val="clear" w:color="auto" w:fill="DBE5F1"/>
            <w:noWrap/>
          </w:tcPr>
          <w:p w14:paraId="1A7527F4"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Sulfur dioxide</w:t>
            </w:r>
          </w:p>
        </w:tc>
        <w:tc>
          <w:tcPr>
            <w:tcW w:w="609" w:type="pct"/>
            <w:tcBorders>
              <w:top w:val="single" w:sz="4" w:space="0" w:color="95B3D7"/>
              <w:bottom w:val="single" w:sz="4" w:space="0" w:color="95B3D7"/>
            </w:tcBorders>
            <w:shd w:val="clear" w:color="auto" w:fill="DBE5F1"/>
            <w:noWrap/>
          </w:tcPr>
          <w:p w14:paraId="1B8A7856" w14:textId="77777777" w:rsidR="000B7923" w:rsidRPr="002B1DFC" w:rsidRDefault="000B7923" w:rsidP="00C66939">
            <w:pPr>
              <w:jc w:val="center"/>
              <w:rPr>
                <w:rFonts w:eastAsia="Times New Roman"/>
                <w:sz w:val="20"/>
                <w:szCs w:val="20"/>
              </w:rPr>
            </w:pPr>
            <w:r w:rsidRPr="002B1DFC">
              <w:rPr>
                <w:rFonts w:eastAsia="Times New Roman"/>
                <w:sz w:val="20"/>
                <w:szCs w:val="20"/>
              </w:rPr>
              <w:t>2,782</w:t>
            </w:r>
          </w:p>
        </w:tc>
        <w:tc>
          <w:tcPr>
            <w:tcW w:w="555" w:type="pct"/>
            <w:tcBorders>
              <w:top w:val="single" w:sz="4" w:space="0" w:color="95B3D7"/>
              <w:bottom w:val="single" w:sz="4" w:space="0" w:color="95B3D7"/>
            </w:tcBorders>
            <w:shd w:val="clear" w:color="auto" w:fill="DBE5F1"/>
            <w:noWrap/>
          </w:tcPr>
          <w:p w14:paraId="2A3733AA" w14:textId="77777777" w:rsidR="000B7923" w:rsidRPr="002B1DFC" w:rsidRDefault="000B7923" w:rsidP="00F441C6">
            <w:pPr>
              <w:jc w:val="center"/>
              <w:rPr>
                <w:rFonts w:eastAsia="Times New Roman"/>
                <w:sz w:val="20"/>
                <w:szCs w:val="20"/>
              </w:rPr>
            </w:pPr>
            <w:r w:rsidRPr="002B1DFC">
              <w:rPr>
                <w:rFonts w:eastAsia="Times New Roman"/>
                <w:sz w:val="20"/>
                <w:szCs w:val="20"/>
              </w:rPr>
              <w:t>1,639</w:t>
            </w:r>
          </w:p>
        </w:tc>
        <w:tc>
          <w:tcPr>
            <w:tcW w:w="555" w:type="pct"/>
            <w:tcBorders>
              <w:top w:val="single" w:sz="4" w:space="0" w:color="95B3D7"/>
              <w:bottom w:val="single" w:sz="4" w:space="0" w:color="95B3D7"/>
            </w:tcBorders>
            <w:shd w:val="clear" w:color="auto" w:fill="DBE5F1"/>
            <w:noWrap/>
          </w:tcPr>
          <w:p w14:paraId="22C5D1FB" w14:textId="77777777" w:rsidR="000B7923" w:rsidRPr="002B1DFC" w:rsidRDefault="000B7923" w:rsidP="00F441C6">
            <w:pPr>
              <w:jc w:val="center"/>
              <w:rPr>
                <w:rFonts w:eastAsia="Times New Roman"/>
                <w:sz w:val="20"/>
                <w:szCs w:val="20"/>
              </w:rPr>
            </w:pPr>
            <w:r w:rsidRPr="002B1DFC">
              <w:rPr>
                <w:rFonts w:eastAsia="Times New Roman"/>
                <w:sz w:val="20"/>
                <w:szCs w:val="20"/>
              </w:rPr>
              <w:t>977</w:t>
            </w:r>
          </w:p>
        </w:tc>
        <w:tc>
          <w:tcPr>
            <w:tcW w:w="658" w:type="pct"/>
            <w:tcBorders>
              <w:top w:val="single" w:sz="4" w:space="0" w:color="95B3D7"/>
              <w:bottom w:val="single" w:sz="4" w:space="0" w:color="95B3D7"/>
            </w:tcBorders>
            <w:shd w:val="clear" w:color="auto" w:fill="DBE5F1"/>
            <w:noWrap/>
          </w:tcPr>
          <w:p w14:paraId="1A156021" w14:textId="77777777" w:rsidR="000B7923" w:rsidRPr="002B1DFC" w:rsidRDefault="000B7923" w:rsidP="00F441C6">
            <w:pPr>
              <w:jc w:val="center"/>
              <w:rPr>
                <w:rFonts w:eastAsia="Times New Roman"/>
                <w:sz w:val="20"/>
                <w:szCs w:val="20"/>
              </w:rPr>
            </w:pPr>
            <w:r w:rsidRPr="002B1DFC">
              <w:rPr>
                <w:rFonts w:eastAsia="Times New Roman"/>
                <w:sz w:val="20"/>
                <w:szCs w:val="20"/>
              </w:rPr>
              <w:t>1,120</w:t>
            </w:r>
          </w:p>
        </w:tc>
        <w:tc>
          <w:tcPr>
            <w:tcW w:w="658" w:type="pct"/>
            <w:tcBorders>
              <w:top w:val="single" w:sz="4" w:space="0" w:color="95B3D7"/>
              <w:bottom w:val="single" w:sz="4" w:space="0" w:color="95B3D7"/>
            </w:tcBorders>
            <w:shd w:val="clear" w:color="auto" w:fill="DBE5F1"/>
            <w:noWrap/>
          </w:tcPr>
          <w:p w14:paraId="41159294" w14:textId="77777777" w:rsidR="000B7923" w:rsidRPr="002B1DFC" w:rsidRDefault="000B7923" w:rsidP="00F441C6">
            <w:pPr>
              <w:jc w:val="center"/>
              <w:rPr>
                <w:rFonts w:eastAsia="Times New Roman"/>
                <w:sz w:val="20"/>
                <w:szCs w:val="20"/>
              </w:rPr>
            </w:pPr>
            <w:r w:rsidRPr="002B1DFC">
              <w:rPr>
                <w:rFonts w:eastAsia="Times New Roman"/>
                <w:sz w:val="20"/>
                <w:szCs w:val="20"/>
              </w:rPr>
              <w:t>1,206</w:t>
            </w:r>
          </w:p>
        </w:tc>
        <w:tc>
          <w:tcPr>
            <w:tcW w:w="656" w:type="pct"/>
            <w:tcBorders>
              <w:top w:val="single" w:sz="4" w:space="0" w:color="95B3D7"/>
              <w:bottom w:val="single" w:sz="4" w:space="0" w:color="95B3D7"/>
              <w:right w:val="single" w:sz="4" w:space="0" w:color="95B3D7"/>
            </w:tcBorders>
            <w:shd w:val="clear" w:color="auto" w:fill="DBE5F1"/>
            <w:noWrap/>
          </w:tcPr>
          <w:p w14:paraId="73A50144" w14:textId="77777777" w:rsidR="000B7923" w:rsidRPr="002B1DFC" w:rsidRDefault="000B7923" w:rsidP="00F441C6">
            <w:pPr>
              <w:jc w:val="center"/>
              <w:rPr>
                <w:rFonts w:eastAsia="Times New Roman"/>
                <w:sz w:val="20"/>
                <w:szCs w:val="20"/>
              </w:rPr>
            </w:pPr>
            <w:r w:rsidRPr="002B1DFC">
              <w:rPr>
                <w:rFonts w:eastAsia="Times New Roman"/>
                <w:sz w:val="20"/>
                <w:szCs w:val="20"/>
              </w:rPr>
              <w:t>1,382</w:t>
            </w:r>
          </w:p>
        </w:tc>
      </w:tr>
      <w:tr w:rsidR="000B7923" w:rsidRPr="002B1DFC" w14:paraId="17EE958A" w14:textId="77777777">
        <w:tc>
          <w:tcPr>
            <w:tcW w:w="1309" w:type="pct"/>
            <w:tcBorders>
              <w:top w:val="single" w:sz="4" w:space="0" w:color="95B3D7"/>
              <w:left w:val="single" w:sz="4" w:space="0" w:color="95B3D7"/>
              <w:bottom w:val="single" w:sz="4" w:space="0" w:color="95B3D7"/>
            </w:tcBorders>
            <w:noWrap/>
          </w:tcPr>
          <w:p w14:paraId="421DA269"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Nitrogen dioxide</w:t>
            </w:r>
          </w:p>
        </w:tc>
        <w:tc>
          <w:tcPr>
            <w:tcW w:w="609" w:type="pct"/>
            <w:tcBorders>
              <w:top w:val="single" w:sz="4" w:space="0" w:color="95B3D7"/>
              <w:bottom w:val="single" w:sz="4" w:space="0" w:color="95B3D7"/>
            </w:tcBorders>
            <w:noWrap/>
          </w:tcPr>
          <w:p w14:paraId="05EC5F6E" w14:textId="77777777" w:rsidR="000B7923" w:rsidRPr="002B1DFC" w:rsidRDefault="000B7923" w:rsidP="00C66939">
            <w:pPr>
              <w:jc w:val="center"/>
              <w:rPr>
                <w:rFonts w:eastAsia="Times New Roman"/>
                <w:sz w:val="20"/>
                <w:szCs w:val="20"/>
              </w:rPr>
            </w:pPr>
            <w:r w:rsidRPr="002B1DFC">
              <w:rPr>
                <w:rFonts w:eastAsia="Times New Roman"/>
                <w:sz w:val="20"/>
                <w:szCs w:val="20"/>
              </w:rPr>
              <w:t>761</w:t>
            </w:r>
          </w:p>
        </w:tc>
        <w:tc>
          <w:tcPr>
            <w:tcW w:w="555" w:type="pct"/>
            <w:tcBorders>
              <w:top w:val="single" w:sz="4" w:space="0" w:color="95B3D7"/>
              <w:bottom w:val="single" w:sz="4" w:space="0" w:color="95B3D7"/>
            </w:tcBorders>
            <w:noWrap/>
          </w:tcPr>
          <w:p w14:paraId="5815A4CC" w14:textId="77777777" w:rsidR="000B7923" w:rsidRPr="002B1DFC" w:rsidRDefault="000B7923" w:rsidP="00F441C6">
            <w:pPr>
              <w:jc w:val="center"/>
              <w:rPr>
                <w:rFonts w:eastAsia="Times New Roman"/>
                <w:sz w:val="20"/>
                <w:szCs w:val="20"/>
              </w:rPr>
            </w:pPr>
            <w:r w:rsidRPr="002B1DFC">
              <w:rPr>
                <w:rFonts w:eastAsia="Times New Roman"/>
                <w:sz w:val="20"/>
                <w:szCs w:val="20"/>
              </w:rPr>
              <w:t>424</w:t>
            </w:r>
          </w:p>
        </w:tc>
        <w:tc>
          <w:tcPr>
            <w:tcW w:w="555" w:type="pct"/>
            <w:tcBorders>
              <w:top w:val="single" w:sz="4" w:space="0" w:color="95B3D7"/>
              <w:bottom w:val="single" w:sz="4" w:space="0" w:color="95B3D7"/>
            </w:tcBorders>
            <w:noWrap/>
          </w:tcPr>
          <w:p w14:paraId="51601BE5" w14:textId="77777777" w:rsidR="000B7923" w:rsidRPr="002B1DFC" w:rsidRDefault="000B7923" w:rsidP="00F441C6">
            <w:pPr>
              <w:jc w:val="center"/>
              <w:rPr>
                <w:rFonts w:eastAsia="Times New Roman"/>
                <w:sz w:val="20"/>
                <w:szCs w:val="20"/>
              </w:rPr>
            </w:pPr>
            <w:r w:rsidRPr="002B1DFC">
              <w:rPr>
                <w:rFonts w:eastAsia="Times New Roman"/>
                <w:sz w:val="20"/>
                <w:szCs w:val="20"/>
              </w:rPr>
              <w:t>320</w:t>
            </w:r>
          </w:p>
        </w:tc>
        <w:tc>
          <w:tcPr>
            <w:tcW w:w="658" w:type="pct"/>
            <w:tcBorders>
              <w:top w:val="single" w:sz="4" w:space="0" w:color="95B3D7"/>
              <w:bottom w:val="single" w:sz="4" w:space="0" w:color="95B3D7"/>
            </w:tcBorders>
            <w:noWrap/>
          </w:tcPr>
          <w:p w14:paraId="6F1B0EB5" w14:textId="77777777" w:rsidR="000B7923" w:rsidRPr="002B1DFC" w:rsidRDefault="000B7923" w:rsidP="00F441C6">
            <w:pPr>
              <w:jc w:val="center"/>
              <w:rPr>
                <w:rFonts w:eastAsia="Times New Roman"/>
                <w:sz w:val="20"/>
                <w:szCs w:val="20"/>
              </w:rPr>
            </w:pPr>
            <w:r w:rsidRPr="002B1DFC">
              <w:rPr>
                <w:rFonts w:eastAsia="Times New Roman"/>
                <w:sz w:val="20"/>
                <w:szCs w:val="20"/>
              </w:rPr>
              <w:t>344</w:t>
            </w:r>
          </w:p>
        </w:tc>
        <w:tc>
          <w:tcPr>
            <w:tcW w:w="658" w:type="pct"/>
            <w:tcBorders>
              <w:top w:val="single" w:sz="4" w:space="0" w:color="95B3D7"/>
              <w:bottom w:val="single" w:sz="4" w:space="0" w:color="95B3D7"/>
            </w:tcBorders>
            <w:noWrap/>
          </w:tcPr>
          <w:p w14:paraId="7C1032E1" w14:textId="77777777" w:rsidR="000B7923" w:rsidRPr="002B1DFC" w:rsidRDefault="000B7923" w:rsidP="00F441C6">
            <w:pPr>
              <w:jc w:val="center"/>
              <w:rPr>
                <w:rFonts w:eastAsia="Times New Roman"/>
                <w:sz w:val="20"/>
                <w:szCs w:val="20"/>
              </w:rPr>
            </w:pPr>
            <w:r w:rsidRPr="002B1DFC">
              <w:rPr>
                <w:rFonts w:eastAsia="Times New Roman"/>
                <w:sz w:val="20"/>
                <w:szCs w:val="20"/>
              </w:rPr>
              <w:t>311</w:t>
            </w:r>
          </w:p>
        </w:tc>
        <w:tc>
          <w:tcPr>
            <w:tcW w:w="656" w:type="pct"/>
            <w:tcBorders>
              <w:top w:val="single" w:sz="4" w:space="0" w:color="95B3D7"/>
              <w:bottom w:val="single" w:sz="4" w:space="0" w:color="95B3D7"/>
              <w:right w:val="single" w:sz="4" w:space="0" w:color="95B3D7"/>
            </w:tcBorders>
            <w:noWrap/>
          </w:tcPr>
          <w:p w14:paraId="147CEF22" w14:textId="77777777" w:rsidR="000B7923" w:rsidRPr="002B1DFC" w:rsidRDefault="000B7923" w:rsidP="00F441C6">
            <w:pPr>
              <w:jc w:val="center"/>
              <w:rPr>
                <w:rFonts w:eastAsia="Times New Roman"/>
                <w:sz w:val="20"/>
                <w:szCs w:val="20"/>
              </w:rPr>
            </w:pPr>
            <w:r w:rsidRPr="002B1DFC">
              <w:rPr>
                <w:rFonts w:eastAsia="Times New Roman"/>
                <w:sz w:val="20"/>
                <w:szCs w:val="20"/>
              </w:rPr>
              <w:t>333</w:t>
            </w:r>
          </w:p>
        </w:tc>
      </w:tr>
      <w:tr w:rsidR="000B7923" w:rsidRPr="002B1DFC" w14:paraId="6B2648C3" w14:textId="77777777">
        <w:tc>
          <w:tcPr>
            <w:tcW w:w="1309" w:type="pct"/>
            <w:tcBorders>
              <w:top w:val="single" w:sz="4" w:space="0" w:color="95B3D7"/>
              <w:left w:val="single" w:sz="4" w:space="0" w:color="95B3D7"/>
              <w:bottom w:val="single" w:sz="4" w:space="0" w:color="95B3D7"/>
            </w:tcBorders>
            <w:shd w:val="clear" w:color="auto" w:fill="DBE5F1"/>
            <w:noWrap/>
          </w:tcPr>
          <w:p w14:paraId="36EB8CBA"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Nitric oxide</w:t>
            </w:r>
          </w:p>
        </w:tc>
        <w:tc>
          <w:tcPr>
            <w:tcW w:w="609" w:type="pct"/>
            <w:tcBorders>
              <w:top w:val="single" w:sz="4" w:space="0" w:color="95B3D7"/>
              <w:bottom w:val="single" w:sz="4" w:space="0" w:color="95B3D7"/>
            </w:tcBorders>
            <w:shd w:val="clear" w:color="auto" w:fill="DBE5F1"/>
            <w:noWrap/>
          </w:tcPr>
          <w:p w14:paraId="05827AE3"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79B11C98"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1AA2F406"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shd w:val="clear" w:color="auto" w:fill="DBE5F1"/>
            <w:noWrap/>
          </w:tcPr>
          <w:p w14:paraId="787846F2" w14:textId="77777777" w:rsidR="000B7923" w:rsidRPr="002B1DFC" w:rsidRDefault="000B7923" w:rsidP="00F441C6">
            <w:pPr>
              <w:jc w:val="center"/>
              <w:rPr>
                <w:rFonts w:eastAsia="Times New Roman"/>
                <w:sz w:val="20"/>
                <w:szCs w:val="20"/>
              </w:rPr>
            </w:pPr>
            <w:r w:rsidRPr="002B1DFC">
              <w:rPr>
                <w:rFonts w:eastAsia="Times New Roman"/>
                <w:sz w:val="20"/>
                <w:szCs w:val="20"/>
              </w:rPr>
              <w:t>7</w:t>
            </w:r>
          </w:p>
        </w:tc>
        <w:tc>
          <w:tcPr>
            <w:tcW w:w="658" w:type="pct"/>
            <w:tcBorders>
              <w:top w:val="single" w:sz="4" w:space="0" w:color="95B3D7"/>
              <w:bottom w:val="single" w:sz="4" w:space="0" w:color="95B3D7"/>
            </w:tcBorders>
            <w:shd w:val="clear" w:color="auto" w:fill="DBE5F1"/>
            <w:noWrap/>
          </w:tcPr>
          <w:p w14:paraId="394697AB" w14:textId="77777777" w:rsidR="000B7923" w:rsidRPr="002B1DFC" w:rsidRDefault="000B7923" w:rsidP="00F441C6">
            <w:pPr>
              <w:jc w:val="center"/>
              <w:rPr>
                <w:rFonts w:eastAsia="Times New Roman"/>
                <w:sz w:val="20"/>
                <w:szCs w:val="20"/>
              </w:rPr>
            </w:pPr>
            <w:r w:rsidRPr="002B1DFC">
              <w:rPr>
                <w:rFonts w:eastAsia="Times New Roman"/>
                <w:sz w:val="20"/>
                <w:szCs w:val="20"/>
              </w:rPr>
              <w:t>7</w:t>
            </w:r>
          </w:p>
        </w:tc>
        <w:tc>
          <w:tcPr>
            <w:tcW w:w="656" w:type="pct"/>
            <w:tcBorders>
              <w:top w:val="single" w:sz="4" w:space="0" w:color="95B3D7"/>
              <w:bottom w:val="single" w:sz="4" w:space="0" w:color="95B3D7"/>
              <w:right w:val="single" w:sz="4" w:space="0" w:color="95B3D7"/>
            </w:tcBorders>
            <w:shd w:val="clear" w:color="auto" w:fill="DBE5F1"/>
            <w:noWrap/>
          </w:tcPr>
          <w:p w14:paraId="6435485F" w14:textId="77777777" w:rsidR="000B7923" w:rsidRPr="002B1DFC" w:rsidRDefault="000B7923" w:rsidP="00F441C6">
            <w:pPr>
              <w:jc w:val="center"/>
              <w:rPr>
                <w:rFonts w:eastAsia="Times New Roman"/>
                <w:sz w:val="20"/>
                <w:szCs w:val="20"/>
              </w:rPr>
            </w:pPr>
            <w:r w:rsidRPr="002B1DFC">
              <w:rPr>
                <w:rFonts w:eastAsia="Times New Roman"/>
                <w:sz w:val="20"/>
                <w:szCs w:val="20"/>
              </w:rPr>
              <w:t>13</w:t>
            </w:r>
          </w:p>
        </w:tc>
      </w:tr>
      <w:tr w:rsidR="000B7923" w:rsidRPr="002B1DFC" w14:paraId="3B1044DC" w14:textId="77777777">
        <w:tc>
          <w:tcPr>
            <w:tcW w:w="1309" w:type="pct"/>
            <w:tcBorders>
              <w:top w:val="single" w:sz="4" w:space="0" w:color="95B3D7"/>
              <w:left w:val="single" w:sz="4" w:space="0" w:color="95B3D7"/>
              <w:bottom w:val="single" w:sz="4" w:space="0" w:color="95B3D7"/>
            </w:tcBorders>
            <w:noWrap/>
          </w:tcPr>
          <w:p w14:paraId="36C26264"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Carbon monoxide</w:t>
            </w:r>
          </w:p>
        </w:tc>
        <w:tc>
          <w:tcPr>
            <w:tcW w:w="609" w:type="pct"/>
            <w:tcBorders>
              <w:top w:val="single" w:sz="4" w:space="0" w:color="95B3D7"/>
              <w:bottom w:val="single" w:sz="4" w:space="0" w:color="95B3D7"/>
            </w:tcBorders>
            <w:noWrap/>
          </w:tcPr>
          <w:p w14:paraId="5A45726A" w14:textId="77777777" w:rsidR="000B7923" w:rsidRPr="002B1DFC" w:rsidRDefault="000B7923" w:rsidP="00C66939">
            <w:pPr>
              <w:jc w:val="center"/>
              <w:rPr>
                <w:rFonts w:eastAsia="Times New Roman"/>
                <w:sz w:val="20"/>
                <w:szCs w:val="20"/>
              </w:rPr>
            </w:pPr>
            <w:r w:rsidRPr="002B1DFC">
              <w:rPr>
                <w:rFonts w:eastAsia="Times New Roman"/>
                <w:sz w:val="20"/>
                <w:szCs w:val="20"/>
              </w:rPr>
              <w:t>3,274</w:t>
            </w:r>
          </w:p>
        </w:tc>
        <w:tc>
          <w:tcPr>
            <w:tcW w:w="555" w:type="pct"/>
            <w:tcBorders>
              <w:top w:val="single" w:sz="4" w:space="0" w:color="95B3D7"/>
              <w:bottom w:val="single" w:sz="4" w:space="0" w:color="95B3D7"/>
            </w:tcBorders>
            <w:noWrap/>
          </w:tcPr>
          <w:p w14:paraId="35432F6A" w14:textId="77777777" w:rsidR="000B7923" w:rsidRPr="002B1DFC" w:rsidRDefault="000B7923" w:rsidP="00F441C6">
            <w:pPr>
              <w:jc w:val="center"/>
              <w:rPr>
                <w:rFonts w:eastAsia="Times New Roman"/>
                <w:sz w:val="20"/>
                <w:szCs w:val="20"/>
              </w:rPr>
            </w:pPr>
            <w:r w:rsidRPr="002B1DFC">
              <w:rPr>
                <w:rFonts w:eastAsia="Times New Roman"/>
                <w:sz w:val="20"/>
                <w:szCs w:val="20"/>
              </w:rPr>
              <w:t>1,479</w:t>
            </w:r>
          </w:p>
        </w:tc>
        <w:tc>
          <w:tcPr>
            <w:tcW w:w="555" w:type="pct"/>
            <w:tcBorders>
              <w:top w:val="single" w:sz="4" w:space="0" w:color="95B3D7"/>
              <w:bottom w:val="single" w:sz="4" w:space="0" w:color="95B3D7"/>
            </w:tcBorders>
            <w:noWrap/>
          </w:tcPr>
          <w:p w14:paraId="6D7EC65A" w14:textId="77777777" w:rsidR="000B7923" w:rsidRPr="002B1DFC" w:rsidRDefault="000B7923" w:rsidP="00F441C6">
            <w:pPr>
              <w:jc w:val="center"/>
              <w:rPr>
                <w:rFonts w:eastAsia="Times New Roman"/>
                <w:sz w:val="20"/>
                <w:szCs w:val="20"/>
              </w:rPr>
            </w:pPr>
            <w:r w:rsidRPr="002B1DFC">
              <w:rPr>
                <w:rFonts w:eastAsia="Times New Roman"/>
                <w:sz w:val="20"/>
                <w:szCs w:val="20"/>
              </w:rPr>
              <w:t>1,231</w:t>
            </w:r>
          </w:p>
        </w:tc>
        <w:tc>
          <w:tcPr>
            <w:tcW w:w="658" w:type="pct"/>
            <w:tcBorders>
              <w:top w:val="single" w:sz="4" w:space="0" w:color="95B3D7"/>
              <w:bottom w:val="single" w:sz="4" w:space="0" w:color="95B3D7"/>
            </w:tcBorders>
            <w:noWrap/>
          </w:tcPr>
          <w:p w14:paraId="338C6A86" w14:textId="77777777" w:rsidR="000B7923" w:rsidRPr="002B1DFC" w:rsidRDefault="000B7923" w:rsidP="00F441C6">
            <w:pPr>
              <w:jc w:val="center"/>
              <w:rPr>
                <w:rFonts w:eastAsia="Times New Roman"/>
                <w:sz w:val="20"/>
                <w:szCs w:val="20"/>
              </w:rPr>
            </w:pPr>
            <w:r w:rsidRPr="002B1DFC">
              <w:rPr>
                <w:rFonts w:eastAsia="Times New Roman"/>
                <w:sz w:val="20"/>
                <w:szCs w:val="20"/>
              </w:rPr>
              <w:t>1,321</w:t>
            </w:r>
          </w:p>
        </w:tc>
        <w:tc>
          <w:tcPr>
            <w:tcW w:w="658" w:type="pct"/>
            <w:tcBorders>
              <w:top w:val="single" w:sz="4" w:space="0" w:color="95B3D7"/>
              <w:bottom w:val="single" w:sz="4" w:space="0" w:color="95B3D7"/>
            </w:tcBorders>
            <w:noWrap/>
          </w:tcPr>
          <w:p w14:paraId="2CDF6C06" w14:textId="77777777" w:rsidR="000B7923" w:rsidRPr="002B1DFC" w:rsidRDefault="000B7923" w:rsidP="00F441C6">
            <w:pPr>
              <w:jc w:val="center"/>
              <w:rPr>
                <w:rFonts w:eastAsia="Times New Roman"/>
                <w:sz w:val="20"/>
                <w:szCs w:val="20"/>
              </w:rPr>
            </w:pPr>
            <w:r w:rsidRPr="002B1DFC">
              <w:rPr>
                <w:rFonts w:eastAsia="Times New Roman"/>
                <w:sz w:val="20"/>
                <w:szCs w:val="20"/>
              </w:rPr>
              <w:t>1,064</w:t>
            </w:r>
          </w:p>
        </w:tc>
        <w:tc>
          <w:tcPr>
            <w:tcW w:w="656" w:type="pct"/>
            <w:tcBorders>
              <w:top w:val="single" w:sz="4" w:space="0" w:color="95B3D7"/>
              <w:bottom w:val="single" w:sz="4" w:space="0" w:color="95B3D7"/>
              <w:right w:val="single" w:sz="4" w:space="0" w:color="95B3D7"/>
            </w:tcBorders>
            <w:noWrap/>
          </w:tcPr>
          <w:p w14:paraId="123FF7C0" w14:textId="77777777" w:rsidR="000B7923" w:rsidRPr="002B1DFC" w:rsidRDefault="000B7923" w:rsidP="00F441C6">
            <w:pPr>
              <w:jc w:val="center"/>
              <w:rPr>
                <w:rFonts w:eastAsia="Times New Roman"/>
                <w:sz w:val="20"/>
                <w:szCs w:val="20"/>
              </w:rPr>
            </w:pPr>
            <w:r w:rsidRPr="002B1DFC">
              <w:rPr>
                <w:rFonts w:eastAsia="Times New Roman"/>
                <w:sz w:val="20"/>
                <w:szCs w:val="20"/>
              </w:rPr>
              <w:t>1,007</w:t>
            </w:r>
          </w:p>
        </w:tc>
      </w:tr>
      <w:tr w:rsidR="000B7923" w:rsidRPr="002B1DFC" w14:paraId="566C16ED" w14:textId="77777777">
        <w:tc>
          <w:tcPr>
            <w:tcW w:w="1309" w:type="pct"/>
            <w:tcBorders>
              <w:top w:val="single" w:sz="4" w:space="0" w:color="95B3D7"/>
              <w:left w:val="single" w:sz="4" w:space="0" w:color="95B3D7"/>
              <w:bottom w:val="single" w:sz="4" w:space="0" w:color="95B3D7"/>
            </w:tcBorders>
            <w:shd w:val="clear" w:color="auto" w:fill="DBE5F1"/>
            <w:noWrap/>
          </w:tcPr>
          <w:p w14:paraId="7A2E8A07"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Methane</w:t>
            </w:r>
          </w:p>
        </w:tc>
        <w:tc>
          <w:tcPr>
            <w:tcW w:w="609" w:type="pct"/>
            <w:tcBorders>
              <w:top w:val="single" w:sz="4" w:space="0" w:color="95B3D7"/>
              <w:bottom w:val="single" w:sz="4" w:space="0" w:color="95B3D7"/>
            </w:tcBorders>
            <w:shd w:val="clear" w:color="auto" w:fill="DBE5F1"/>
            <w:noWrap/>
          </w:tcPr>
          <w:p w14:paraId="66723423"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46471DD2"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314FEBD7"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shd w:val="clear" w:color="auto" w:fill="DBE5F1"/>
            <w:noWrap/>
          </w:tcPr>
          <w:p w14:paraId="621755D2" w14:textId="77777777" w:rsidR="000B7923" w:rsidRPr="002B1DFC" w:rsidRDefault="000B7923" w:rsidP="00F441C6">
            <w:pPr>
              <w:jc w:val="center"/>
              <w:rPr>
                <w:rFonts w:eastAsia="Times New Roman"/>
                <w:sz w:val="20"/>
                <w:szCs w:val="20"/>
              </w:rPr>
            </w:pPr>
            <w:r w:rsidRPr="002B1DFC">
              <w:rPr>
                <w:rFonts w:eastAsia="Times New Roman"/>
                <w:sz w:val="20"/>
                <w:szCs w:val="20"/>
              </w:rPr>
              <w:t>811</w:t>
            </w:r>
          </w:p>
        </w:tc>
        <w:tc>
          <w:tcPr>
            <w:tcW w:w="658" w:type="pct"/>
            <w:tcBorders>
              <w:top w:val="single" w:sz="4" w:space="0" w:color="95B3D7"/>
              <w:bottom w:val="single" w:sz="4" w:space="0" w:color="95B3D7"/>
            </w:tcBorders>
            <w:shd w:val="clear" w:color="auto" w:fill="DBE5F1"/>
            <w:noWrap/>
          </w:tcPr>
          <w:p w14:paraId="34443467" w14:textId="77777777" w:rsidR="000B7923" w:rsidRPr="002B1DFC" w:rsidRDefault="000B7923" w:rsidP="00F441C6">
            <w:pPr>
              <w:jc w:val="center"/>
              <w:rPr>
                <w:rFonts w:eastAsia="Times New Roman"/>
                <w:sz w:val="20"/>
                <w:szCs w:val="20"/>
              </w:rPr>
            </w:pPr>
            <w:r w:rsidRPr="002B1DFC">
              <w:rPr>
                <w:rFonts w:eastAsia="Times New Roman"/>
                <w:sz w:val="20"/>
                <w:szCs w:val="20"/>
              </w:rPr>
              <w:t>845</w:t>
            </w:r>
          </w:p>
        </w:tc>
        <w:tc>
          <w:tcPr>
            <w:tcW w:w="656" w:type="pct"/>
            <w:tcBorders>
              <w:top w:val="single" w:sz="4" w:space="0" w:color="95B3D7"/>
              <w:bottom w:val="single" w:sz="4" w:space="0" w:color="95B3D7"/>
              <w:right w:val="single" w:sz="4" w:space="0" w:color="95B3D7"/>
            </w:tcBorders>
            <w:shd w:val="clear" w:color="auto" w:fill="DBE5F1"/>
            <w:noWrap/>
          </w:tcPr>
          <w:p w14:paraId="379B2876" w14:textId="77777777" w:rsidR="000B7923" w:rsidRPr="002B1DFC" w:rsidRDefault="000B7923" w:rsidP="00F441C6">
            <w:pPr>
              <w:jc w:val="center"/>
              <w:rPr>
                <w:rFonts w:eastAsia="Times New Roman"/>
                <w:sz w:val="20"/>
                <w:szCs w:val="20"/>
              </w:rPr>
            </w:pPr>
            <w:r w:rsidRPr="002B1DFC">
              <w:rPr>
                <w:rFonts w:eastAsia="Times New Roman"/>
                <w:sz w:val="20"/>
                <w:szCs w:val="20"/>
              </w:rPr>
              <w:t>921</w:t>
            </w:r>
          </w:p>
        </w:tc>
      </w:tr>
      <w:tr w:rsidR="000B7923" w:rsidRPr="002B1DFC" w14:paraId="16257F7B" w14:textId="77777777">
        <w:tc>
          <w:tcPr>
            <w:tcW w:w="1309" w:type="pct"/>
            <w:tcBorders>
              <w:top w:val="single" w:sz="4" w:space="0" w:color="95B3D7"/>
              <w:left w:val="single" w:sz="4" w:space="0" w:color="95B3D7"/>
              <w:bottom w:val="single" w:sz="4" w:space="0" w:color="95B3D7"/>
            </w:tcBorders>
          </w:tcPr>
          <w:p w14:paraId="0BB856B2"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Non-methane volatile organic compounds</w:t>
            </w:r>
          </w:p>
        </w:tc>
        <w:tc>
          <w:tcPr>
            <w:tcW w:w="609" w:type="pct"/>
            <w:tcBorders>
              <w:top w:val="single" w:sz="4" w:space="0" w:color="95B3D7"/>
              <w:bottom w:val="single" w:sz="4" w:space="0" w:color="95B3D7"/>
            </w:tcBorders>
            <w:noWrap/>
          </w:tcPr>
          <w:p w14:paraId="39E2A0EA"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noWrap/>
          </w:tcPr>
          <w:p w14:paraId="4643F7F7"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noWrap/>
          </w:tcPr>
          <w:p w14:paraId="388C9918"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noWrap/>
          </w:tcPr>
          <w:p w14:paraId="04DA09CF" w14:textId="77777777" w:rsidR="000B7923" w:rsidRPr="002B1DFC" w:rsidRDefault="000B7923" w:rsidP="00F441C6">
            <w:pPr>
              <w:jc w:val="center"/>
              <w:rPr>
                <w:rFonts w:eastAsia="Times New Roman"/>
                <w:sz w:val="20"/>
                <w:szCs w:val="20"/>
              </w:rPr>
            </w:pPr>
            <w:r w:rsidRPr="002B1DFC">
              <w:rPr>
                <w:rFonts w:eastAsia="Times New Roman"/>
                <w:sz w:val="20"/>
                <w:szCs w:val="20"/>
              </w:rPr>
              <w:t>91</w:t>
            </w:r>
          </w:p>
        </w:tc>
        <w:tc>
          <w:tcPr>
            <w:tcW w:w="658" w:type="pct"/>
            <w:tcBorders>
              <w:top w:val="single" w:sz="4" w:space="0" w:color="95B3D7"/>
              <w:bottom w:val="single" w:sz="4" w:space="0" w:color="95B3D7"/>
            </w:tcBorders>
            <w:noWrap/>
          </w:tcPr>
          <w:p w14:paraId="3BB706BE" w14:textId="77777777" w:rsidR="000B7923" w:rsidRPr="002B1DFC" w:rsidRDefault="000B7923" w:rsidP="00F441C6">
            <w:pPr>
              <w:jc w:val="center"/>
              <w:rPr>
                <w:rFonts w:eastAsia="Times New Roman"/>
                <w:sz w:val="20"/>
                <w:szCs w:val="20"/>
              </w:rPr>
            </w:pPr>
            <w:r w:rsidRPr="002B1DFC">
              <w:rPr>
                <w:rFonts w:eastAsia="Times New Roman"/>
                <w:sz w:val="20"/>
                <w:szCs w:val="20"/>
              </w:rPr>
              <w:t>66</w:t>
            </w:r>
          </w:p>
        </w:tc>
        <w:tc>
          <w:tcPr>
            <w:tcW w:w="656" w:type="pct"/>
            <w:tcBorders>
              <w:top w:val="single" w:sz="4" w:space="0" w:color="95B3D7"/>
              <w:bottom w:val="single" w:sz="4" w:space="0" w:color="95B3D7"/>
              <w:right w:val="single" w:sz="4" w:space="0" w:color="95B3D7"/>
            </w:tcBorders>
            <w:noWrap/>
          </w:tcPr>
          <w:p w14:paraId="778A77DE" w14:textId="77777777" w:rsidR="000B7923" w:rsidRPr="002B1DFC" w:rsidRDefault="000B7923" w:rsidP="00F441C6">
            <w:pPr>
              <w:jc w:val="center"/>
              <w:rPr>
                <w:rFonts w:eastAsia="Times New Roman"/>
                <w:sz w:val="20"/>
                <w:szCs w:val="20"/>
              </w:rPr>
            </w:pPr>
            <w:r w:rsidRPr="002B1DFC">
              <w:rPr>
                <w:rFonts w:eastAsia="Times New Roman"/>
                <w:sz w:val="20"/>
                <w:szCs w:val="20"/>
              </w:rPr>
              <w:t>55</w:t>
            </w:r>
          </w:p>
        </w:tc>
      </w:tr>
      <w:tr w:rsidR="000B7923" w:rsidRPr="002B1DFC" w14:paraId="7498F961" w14:textId="77777777">
        <w:tc>
          <w:tcPr>
            <w:tcW w:w="1309" w:type="pct"/>
            <w:tcBorders>
              <w:top w:val="single" w:sz="4" w:space="0" w:color="95B3D7"/>
              <w:left w:val="single" w:sz="4" w:space="0" w:color="95B3D7"/>
              <w:bottom w:val="single" w:sz="4" w:space="0" w:color="95B3D7"/>
            </w:tcBorders>
            <w:shd w:val="clear" w:color="auto" w:fill="DBE5F1"/>
            <w:noWrap/>
          </w:tcPr>
          <w:p w14:paraId="379840AA"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Soot</w:t>
            </w:r>
          </w:p>
        </w:tc>
        <w:tc>
          <w:tcPr>
            <w:tcW w:w="609" w:type="pct"/>
            <w:tcBorders>
              <w:top w:val="single" w:sz="4" w:space="0" w:color="95B3D7"/>
              <w:bottom w:val="single" w:sz="4" w:space="0" w:color="95B3D7"/>
            </w:tcBorders>
            <w:shd w:val="clear" w:color="auto" w:fill="DBE5F1"/>
            <w:noWrap/>
          </w:tcPr>
          <w:p w14:paraId="66F58F53" w14:textId="77777777" w:rsidR="000B7923" w:rsidRPr="002B1DFC" w:rsidRDefault="000B7923" w:rsidP="00C66939">
            <w:pPr>
              <w:jc w:val="center"/>
              <w:rPr>
                <w:rFonts w:eastAsia="Times New Roman"/>
                <w:sz w:val="20"/>
                <w:szCs w:val="20"/>
              </w:rPr>
            </w:pPr>
            <w:r w:rsidRPr="002B1DFC">
              <w:rPr>
                <w:rFonts w:eastAsia="Times New Roman"/>
                <w:sz w:val="20"/>
                <w:szCs w:val="20"/>
              </w:rPr>
              <w:t>35</w:t>
            </w:r>
          </w:p>
        </w:tc>
        <w:tc>
          <w:tcPr>
            <w:tcW w:w="555" w:type="pct"/>
            <w:tcBorders>
              <w:top w:val="single" w:sz="4" w:space="0" w:color="95B3D7"/>
              <w:bottom w:val="single" w:sz="4" w:space="0" w:color="95B3D7"/>
            </w:tcBorders>
            <w:shd w:val="clear" w:color="auto" w:fill="DBE5F1"/>
            <w:noWrap/>
          </w:tcPr>
          <w:p w14:paraId="75884D9F" w14:textId="77777777" w:rsidR="000B7923" w:rsidRPr="002B1DFC" w:rsidRDefault="000B7923" w:rsidP="00F441C6">
            <w:pPr>
              <w:jc w:val="center"/>
              <w:rPr>
                <w:rFonts w:eastAsia="Times New Roman"/>
                <w:sz w:val="20"/>
                <w:szCs w:val="20"/>
              </w:rPr>
            </w:pPr>
            <w:r w:rsidRPr="002B1DFC">
              <w:rPr>
                <w:rFonts w:eastAsia="Times New Roman"/>
                <w:sz w:val="20"/>
                <w:szCs w:val="20"/>
              </w:rPr>
              <w:t>40</w:t>
            </w:r>
          </w:p>
        </w:tc>
        <w:tc>
          <w:tcPr>
            <w:tcW w:w="555" w:type="pct"/>
            <w:tcBorders>
              <w:top w:val="single" w:sz="4" w:space="0" w:color="95B3D7"/>
              <w:bottom w:val="single" w:sz="4" w:space="0" w:color="95B3D7"/>
            </w:tcBorders>
            <w:shd w:val="clear" w:color="auto" w:fill="DBE5F1"/>
            <w:noWrap/>
          </w:tcPr>
          <w:p w14:paraId="0916D13D" w14:textId="77777777" w:rsidR="000B7923" w:rsidRPr="002B1DFC" w:rsidRDefault="000B7923" w:rsidP="00F441C6">
            <w:pPr>
              <w:jc w:val="center"/>
              <w:rPr>
                <w:rFonts w:eastAsia="Times New Roman"/>
                <w:sz w:val="20"/>
                <w:szCs w:val="20"/>
              </w:rPr>
            </w:pPr>
            <w:r w:rsidRPr="002B1DFC">
              <w:rPr>
                <w:rFonts w:eastAsia="Times New Roman"/>
                <w:sz w:val="20"/>
                <w:szCs w:val="20"/>
              </w:rPr>
              <w:t>11</w:t>
            </w:r>
          </w:p>
        </w:tc>
        <w:tc>
          <w:tcPr>
            <w:tcW w:w="658" w:type="pct"/>
            <w:tcBorders>
              <w:top w:val="single" w:sz="4" w:space="0" w:color="95B3D7"/>
              <w:bottom w:val="single" w:sz="4" w:space="0" w:color="95B3D7"/>
            </w:tcBorders>
            <w:shd w:val="clear" w:color="auto" w:fill="DBE5F1"/>
            <w:noWrap/>
          </w:tcPr>
          <w:p w14:paraId="4B65CA08" w14:textId="77777777" w:rsidR="000B7923" w:rsidRPr="002B1DFC" w:rsidRDefault="000B7923" w:rsidP="00F441C6">
            <w:pPr>
              <w:jc w:val="center"/>
              <w:rPr>
                <w:rFonts w:eastAsia="Times New Roman"/>
                <w:sz w:val="20"/>
                <w:szCs w:val="20"/>
              </w:rPr>
            </w:pPr>
            <w:r w:rsidRPr="002B1DFC">
              <w:rPr>
                <w:rFonts w:eastAsia="Times New Roman"/>
                <w:sz w:val="20"/>
                <w:szCs w:val="20"/>
              </w:rPr>
              <w:t>11</w:t>
            </w:r>
          </w:p>
        </w:tc>
        <w:tc>
          <w:tcPr>
            <w:tcW w:w="658" w:type="pct"/>
            <w:tcBorders>
              <w:top w:val="single" w:sz="4" w:space="0" w:color="95B3D7"/>
              <w:bottom w:val="single" w:sz="4" w:space="0" w:color="95B3D7"/>
            </w:tcBorders>
            <w:shd w:val="clear" w:color="auto" w:fill="DBE5F1"/>
            <w:noWrap/>
          </w:tcPr>
          <w:p w14:paraId="1B046994" w14:textId="77777777" w:rsidR="000B7923" w:rsidRPr="002B1DFC" w:rsidRDefault="000B7923" w:rsidP="00F441C6">
            <w:pPr>
              <w:jc w:val="center"/>
              <w:rPr>
                <w:rFonts w:eastAsia="Times New Roman"/>
                <w:sz w:val="20"/>
                <w:szCs w:val="20"/>
              </w:rPr>
            </w:pPr>
            <w:r w:rsidRPr="002B1DFC">
              <w:rPr>
                <w:rFonts w:eastAsia="Times New Roman"/>
                <w:sz w:val="20"/>
                <w:szCs w:val="20"/>
              </w:rPr>
              <w:t>7</w:t>
            </w:r>
          </w:p>
        </w:tc>
        <w:tc>
          <w:tcPr>
            <w:tcW w:w="656" w:type="pct"/>
            <w:tcBorders>
              <w:top w:val="single" w:sz="4" w:space="0" w:color="95B3D7"/>
              <w:bottom w:val="single" w:sz="4" w:space="0" w:color="95B3D7"/>
              <w:right w:val="single" w:sz="4" w:space="0" w:color="95B3D7"/>
            </w:tcBorders>
            <w:shd w:val="clear" w:color="auto" w:fill="DBE5F1"/>
            <w:noWrap/>
          </w:tcPr>
          <w:p w14:paraId="13530FFC" w14:textId="77777777" w:rsidR="000B7923" w:rsidRPr="002B1DFC" w:rsidRDefault="000B7923" w:rsidP="00F441C6">
            <w:pPr>
              <w:jc w:val="center"/>
              <w:rPr>
                <w:rFonts w:eastAsia="Times New Roman"/>
                <w:sz w:val="20"/>
                <w:szCs w:val="20"/>
              </w:rPr>
            </w:pPr>
            <w:r w:rsidRPr="002B1DFC">
              <w:rPr>
                <w:rFonts w:eastAsia="Times New Roman"/>
                <w:sz w:val="20"/>
                <w:szCs w:val="20"/>
              </w:rPr>
              <w:t>4</w:t>
            </w:r>
          </w:p>
        </w:tc>
      </w:tr>
      <w:tr w:rsidR="000B7923" w:rsidRPr="002B1DFC" w14:paraId="5B39C6E8" w14:textId="77777777">
        <w:tc>
          <w:tcPr>
            <w:tcW w:w="1309" w:type="pct"/>
            <w:tcBorders>
              <w:top w:val="single" w:sz="4" w:space="0" w:color="95B3D7"/>
              <w:left w:val="single" w:sz="4" w:space="0" w:color="95B3D7"/>
              <w:bottom w:val="single" w:sz="4" w:space="0" w:color="95B3D7"/>
            </w:tcBorders>
          </w:tcPr>
          <w:p w14:paraId="2BA3FF57" w14:textId="77777777" w:rsidR="000B7923" w:rsidRPr="002B1DFC" w:rsidRDefault="000B7923" w:rsidP="00663798">
            <w:pPr>
              <w:jc w:val="left"/>
              <w:rPr>
                <w:rFonts w:eastAsia="Times New Roman" w:cs="Times New Roman"/>
                <w:b/>
                <w:bCs/>
                <w:sz w:val="20"/>
                <w:szCs w:val="20"/>
              </w:rPr>
            </w:pPr>
            <w:r w:rsidRPr="002B1DFC">
              <w:rPr>
                <w:rFonts w:eastAsia="Times New Roman" w:cs="Times New Roman"/>
                <w:b/>
                <w:bCs/>
                <w:sz w:val="20"/>
                <w:szCs w:val="20"/>
              </w:rPr>
              <w:t>Mobile sources</w:t>
            </w:r>
          </w:p>
        </w:tc>
        <w:tc>
          <w:tcPr>
            <w:tcW w:w="609" w:type="pct"/>
            <w:tcBorders>
              <w:top w:val="single" w:sz="4" w:space="0" w:color="95B3D7"/>
              <w:bottom w:val="single" w:sz="4" w:space="0" w:color="95B3D7"/>
            </w:tcBorders>
            <w:noWrap/>
          </w:tcPr>
          <w:p w14:paraId="4D87853F" w14:textId="77777777" w:rsidR="000B7923" w:rsidRPr="002B1DFC" w:rsidRDefault="000B7923" w:rsidP="00C66939">
            <w:pPr>
              <w:jc w:val="center"/>
              <w:rPr>
                <w:rFonts w:eastAsia="Times New Roman"/>
                <w:b/>
                <w:bCs/>
                <w:sz w:val="20"/>
                <w:szCs w:val="20"/>
              </w:rPr>
            </w:pPr>
            <w:r w:rsidRPr="002B1DFC">
              <w:rPr>
                <w:rFonts w:eastAsia="Times New Roman"/>
                <w:b/>
                <w:bCs/>
                <w:sz w:val="20"/>
                <w:szCs w:val="20"/>
              </w:rPr>
              <w:t>6,110</w:t>
            </w:r>
          </w:p>
        </w:tc>
        <w:tc>
          <w:tcPr>
            <w:tcW w:w="555" w:type="pct"/>
            <w:tcBorders>
              <w:top w:val="single" w:sz="4" w:space="0" w:color="95B3D7"/>
              <w:bottom w:val="single" w:sz="4" w:space="0" w:color="95B3D7"/>
            </w:tcBorders>
            <w:noWrap/>
          </w:tcPr>
          <w:p w14:paraId="630F9727"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1,797</w:t>
            </w:r>
          </w:p>
        </w:tc>
        <w:tc>
          <w:tcPr>
            <w:tcW w:w="555" w:type="pct"/>
            <w:tcBorders>
              <w:top w:val="single" w:sz="4" w:space="0" w:color="95B3D7"/>
              <w:bottom w:val="single" w:sz="4" w:space="0" w:color="95B3D7"/>
            </w:tcBorders>
            <w:noWrap/>
          </w:tcPr>
          <w:p w14:paraId="6826A821"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1,949</w:t>
            </w:r>
          </w:p>
        </w:tc>
        <w:tc>
          <w:tcPr>
            <w:tcW w:w="658" w:type="pct"/>
            <w:tcBorders>
              <w:top w:val="single" w:sz="4" w:space="0" w:color="95B3D7"/>
              <w:bottom w:val="single" w:sz="4" w:space="0" w:color="95B3D7"/>
            </w:tcBorders>
            <w:noWrap/>
          </w:tcPr>
          <w:p w14:paraId="2E0CE895"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2,152</w:t>
            </w:r>
          </w:p>
        </w:tc>
        <w:tc>
          <w:tcPr>
            <w:tcW w:w="658" w:type="pct"/>
            <w:tcBorders>
              <w:top w:val="single" w:sz="4" w:space="0" w:color="95B3D7"/>
              <w:bottom w:val="single" w:sz="4" w:space="0" w:color="95B3D7"/>
            </w:tcBorders>
            <w:noWrap/>
          </w:tcPr>
          <w:p w14:paraId="404379DD"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2,546</w:t>
            </w:r>
          </w:p>
        </w:tc>
        <w:tc>
          <w:tcPr>
            <w:tcW w:w="656" w:type="pct"/>
            <w:tcBorders>
              <w:top w:val="single" w:sz="4" w:space="0" w:color="95B3D7"/>
              <w:bottom w:val="single" w:sz="4" w:space="0" w:color="95B3D7"/>
              <w:right w:val="single" w:sz="4" w:space="0" w:color="95B3D7"/>
            </w:tcBorders>
            <w:noWrap/>
          </w:tcPr>
          <w:p w14:paraId="77A6F60A" w14:textId="77777777" w:rsidR="000B7923" w:rsidRPr="002B1DFC" w:rsidRDefault="000B7923" w:rsidP="00F441C6">
            <w:pPr>
              <w:jc w:val="center"/>
              <w:rPr>
                <w:rFonts w:eastAsia="Times New Roman"/>
                <w:b/>
                <w:bCs/>
                <w:sz w:val="20"/>
                <w:szCs w:val="20"/>
              </w:rPr>
            </w:pPr>
            <w:r w:rsidRPr="002B1DFC">
              <w:rPr>
                <w:rFonts w:eastAsia="Times New Roman"/>
                <w:b/>
                <w:bCs/>
                <w:sz w:val="20"/>
                <w:szCs w:val="20"/>
              </w:rPr>
              <w:t>2,425</w:t>
            </w:r>
          </w:p>
        </w:tc>
      </w:tr>
      <w:tr w:rsidR="000B7923" w:rsidRPr="002B1DFC" w14:paraId="5606D6CC" w14:textId="77777777">
        <w:tc>
          <w:tcPr>
            <w:tcW w:w="1309" w:type="pct"/>
            <w:tcBorders>
              <w:top w:val="single" w:sz="4" w:space="0" w:color="95B3D7"/>
              <w:left w:val="single" w:sz="4" w:space="0" w:color="95B3D7"/>
              <w:bottom w:val="single" w:sz="4" w:space="0" w:color="95B3D7"/>
            </w:tcBorders>
            <w:shd w:val="clear" w:color="auto" w:fill="DBE5F1"/>
            <w:noWrap/>
          </w:tcPr>
          <w:p w14:paraId="52909410"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Sulfur dioxide</w:t>
            </w:r>
          </w:p>
        </w:tc>
        <w:tc>
          <w:tcPr>
            <w:tcW w:w="609" w:type="pct"/>
            <w:tcBorders>
              <w:top w:val="single" w:sz="4" w:space="0" w:color="95B3D7"/>
              <w:bottom w:val="single" w:sz="4" w:space="0" w:color="95B3D7"/>
            </w:tcBorders>
            <w:shd w:val="clear" w:color="auto" w:fill="DBE5F1"/>
            <w:noWrap/>
          </w:tcPr>
          <w:p w14:paraId="0F8D053A"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300E4CA0"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2F9E65B3" w14:textId="77777777" w:rsidR="000B7923" w:rsidRPr="002B1DFC" w:rsidRDefault="000B7923" w:rsidP="00F441C6">
            <w:pPr>
              <w:jc w:val="center"/>
              <w:rPr>
                <w:rFonts w:eastAsia="Times New Roman"/>
                <w:sz w:val="20"/>
                <w:szCs w:val="20"/>
              </w:rPr>
            </w:pPr>
            <w:r w:rsidRPr="002B1DFC">
              <w:rPr>
                <w:rFonts w:eastAsia="Times New Roman"/>
                <w:sz w:val="20"/>
                <w:szCs w:val="20"/>
              </w:rPr>
              <w:t>8</w:t>
            </w:r>
          </w:p>
        </w:tc>
        <w:tc>
          <w:tcPr>
            <w:tcW w:w="658" w:type="pct"/>
            <w:tcBorders>
              <w:top w:val="single" w:sz="4" w:space="0" w:color="95B3D7"/>
              <w:bottom w:val="single" w:sz="4" w:space="0" w:color="95B3D7"/>
            </w:tcBorders>
            <w:shd w:val="clear" w:color="auto" w:fill="DBE5F1"/>
            <w:noWrap/>
          </w:tcPr>
          <w:p w14:paraId="6AB05A1E" w14:textId="77777777" w:rsidR="000B7923" w:rsidRPr="002B1DFC" w:rsidRDefault="000B7923" w:rsidP="00F441C6">
            <w:pPr>
              <w:jc w:val="center"/>
              <w:rPr>
                <w:rFonts w:eastAsia="Times New Roman"/>
                <w:sz w:val="20"/>
                <w:szCs w:val="20"/>
              </w:rPr>
            </w:pPr>
            <w:r w:rsidRPr="002B1DFC">
              <w:rPr>
                <w:rFonts w:eastAsia="Times New Roman"/>
                <w:sz w:val="20"/>
                <w:szCs w:val="20"/>
              </w:rPr>
              <w:t>13</w:t>
            </w:r>
          </w:p>
        </w:tc>
        <w:tc>
          <w:tcPr>
            <w:tcW w:w="658" w:type="pct"/>
            <w:tcBorders>
              <w:top w:val="single" w:sz="4" w:space="0" w:color="95B3D7"/>
              <w:bottom w:val="single" w:sz="4" w:space="0" w:color="95B3D7"/>
            </w:tcBorders>
            <w:shd w:val="clear" w:color="auto" w:fill="DBE5F1"/>
            <w:noWrap/>
          </w:tcPr>
          <w:p w14:paraId="0A7E25CA" w14:textId="77777777" w:rsidR="000B7923" w:rsidRPr="002B1DFC" w:rsidRDefault="000B7923" w:rsidP="00F441C6">
            <w:pPr>
              <w:jc w:val="center"/>
              <w:rPr>
                <w:rFonts w:eastAsia="Times New Roman"/>
                <w:sz w:val="20"/>
                <w:szCs w:val="20"/>
              </w:rPr>
            </w:pPr>
            <w:r w:rsidRPr="002B1DFC">
              <w:rPr>
                <w:rFonts w:eastAsia="Times New Roman"/>
                <w:sz w:val="20"/>
                <w:szCs w:val="20"/>
              </w:rPr>
              <w:t>29</w:t>
            </w:r>
          </w:p>
        </w:tc>
        <w:tc>
          <w:tcPr>
            <w:tcW w:w="656" w:type="pct"/>
            <w:tcBorders>
              <w:top w:val="single" w:sz="4" w:space="0" w:color="95B3D7"/>
              <w:bottom w:val="single" w:sz="4" w:space="0" w:color="95B3D7"/>
              <w:right w:val="single" w:sz="4" w:space="0" w:color="95B3D7"/>
            </w:tcBorders>
            <w:shd w:val="clear" w:color="auto" w:fill="DBE5F1"/>
            <w:noWrap/>
          </w:tcPr>
          <w:p w14:paraId="247C77A6" w14:textId="77777777" w:rsidR="000B7923" w:rsidRPr="002B1DFC" w:rsidRDefault="000B7923" w:rsidP="00F441C6">
            <w:pPr>
              <w:jc w:val="center"/>
              <w:rPr>
                <w:rFonts w:eastAsia="Times New Roman"/>
                <w:sz w:val="20"/>
                <w:szCs w:val="20"/>
              </w:rPr>
            </w:pPr>
            <w:r w:rsidRPr="002B1DFC">
              <w:rPr>
                <w:rFonts w:eastAsia="Times New Roman"/>
                <w:sz w:val="20"/>
                <w:szCs w:val="20"/>
              </w:rPr>
              <w:t>32</w:t>
            </w:r>
          </w:p>
        </w:tc>
      </w:tr>
      <w:tr w:rsidR="000B7923" w:rsidRPr="002B1DFC" w14:paraId="11279C94" w14:textId="77777777">
        <w:tc>
          <w:tcPr>
            <w:tcW w:w="1309" w:type="pct"/>
            <w:tcBorders>
              <w:top w:val="single" w:sz="4" w:space="0" w:color="95B3D7"/>
              <w:left w:val="single" w:sz="4" w:space="0" w:color="95B3D7"/>
              <w:bottom w:val="single" w:sz="4" w:space="0" w:color="95B3D7"/>
            </w:tcBorders>
            <w:noWrap/>
          </w:tcPr>
          <w:p w14:paraId="5F6B327D"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Nitrogen dioxide</w:t>
            </w:r>
          </w:p>
        </w:tc>
        <w:tc>
          <w:tcPr>
            <w:tcW w:w="609" w:type="pct"/>
            <w:tcBorders>
              <w:top w:val="single" w:sz="4" w:space="0" w:color="95B3D7"/>
              <w:bottom w:val="single" w:sz="4" w:space="0" w:color="95B3D7"/>
            </w:tcBorders>
            <w:noWrap/>
          </w:tcPr>
          <w:p w14:paraId="2E7CD235"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noWrap/>
          </w:tcPr>
          <w:p w14:paraId="05990B35" w14:textId="77777777" w:rsidR="000B7923" w:rsidRPr="002B1DFC" w:rsidRDefault="000B7923" w:rsidP="00F441C6">
            <w:pPr>
              <w:jc w:val="center"/>
              <w:rPr>
                <w:rFonts w:eastAsia="Times New Roman"/>
                <w:sz w:val="20"/>
                <w:szCs w:val="20"/>
              </w:rPr>
            </w:pPr>
            <w:r w:rsidRPr="002B1DFC">
              <w:rPr>
                <w:rFonts w:eastAsia="Times New Roman"/>
                <w:sz w:val="20"/>
                <w:szCs w:val="20"/>
              </w:rPr>
              <w:t>107</w:t>
            </w:r>
          </w:p>
        </w:tc>
        <w:tc>
          <w:tcPr>
            <w:tcW w:w="555" w:type="pct"/>
            <w:tcBorders>
              <w:top w:val="single" w:sz="4" w:space="0" w:color="95B3D7"/>
              <w:bottom w:val="single" w:sz="4" w:space="0" w:color="95B3D7"/>
            </w:tcBorders>
            <w:noWrap/>
          </w:tcPr>
          <w:p w14:paraId="5B4F9C76" w14:textId="77777777" w:rsidR="000B7923" w:rsidRPr="002B1DFC" w:rsidRDefault="000B7923" w:rsidP="00F441C6">
            <w:pPr>
              <w:jc w:val="center"/>
              <w:rPr>
                <w:rFonts w:eastAsia="Times New Roman"/>
                <w:sz w:val="20"/>
                <w:szCs w:val="20"/>
              </w:rPr>
            </w:pPr>
            <w:r w:rsidRPr="002B1DFC">
              <w:rPr>
                <w:rFonts w:eastAsia="Times New Roman"/>
                <w:sz w:val="20"/>
                <w:szCs w:val="20"/>
              </w:rPr>
              <w:t>121</w:t>
            </w:r>
          </w:p>
        </w:tc>
        <w:tc>
          <w:tcPr>
            <w:tcW w:w="658" w:type="pct"/>
            <w:tcBorders>
              <w:top w:val="single" w:sz="4" w:space="0" w:color="95B3D7"/>
              <w:bottom w:val="single" w:sz="4" w:space="0" w:color="95B3D7"/>
            </w:tcBorders>
            <w:noWrap/>
          </w:tcPr>
          <w:p w14:paraId="18323B27" w14:textId="77777777" w:rsidR="000B7923" w:rsidRPr="002B1DFC" w:rsidRDefault="000B7923" w:rsidP="00F441C6">
            <w:pPr>
              <w:jc w:val="center"/>
              <w:rPr>
                <w:rFonts w:eastAsia="Times New Roman"/>
                <w:sz w:val="20"/>
                <w:szCs w:val="20"/>
              </w:rPr>
            </w:pPr>
            <w:r w:rsidRPr="002B1DFC">
              <w:rPr>
                <w:rFonts w:eastAsia="Times New Roman"/>
                <w:sz w:val="20"/>
                <w:szCs w:val="20"/>
              </w:rPr>
              <w:t>180</w:t>
            </w:r>
          </w:p>
        </w:tc>
        <w:tc>
          <w:tcPr>
            <w:tcW w:w="658" w:type="pct"/>
            <w:tcBorders>
              <w:top w:val="single" w:sz="4" w:space="0" w:color="95B3D7"/>
              <w:bottom w:val="single" w:sz="4" w:space="0" w:color="95B3D7"/>
            </w:tcBorders>
            <w:noWrap/>
          </w:tcPr>
          <w:p w14:paraId="5A140A4D" w14:textId="77777777" w:rsidR="000B7923" w:rsidRPr="002B1DFC" w:rsidRDefault="000B7923" w:rsidP="00F441C6">
            <w:pPr>
              <w:jc w:val="center"/>
              <w:rPr>
                <w:rFonts w:eastAsia="Times New Roman"/>
                <w:sz w:val="20"/>
                <w:szCs w:val="20"/>
              </w:rPr>
            </w:pPr>
            <w:r w:rsidRPr="002B1DFC">
              <w:rPr>
                <w:rFonts w:eastAsia="Times New Roman"/>
                <w:sz w:val="20"/>
                <w:szCs w:val="20"/>
              </w:rPr>
              <w:t>293</w:t>
            </w:r>
          </w:p>
        </w:tc>
        <w:tc>
          <w:tcPr>
            <w:tcW w:w="656" w:type="pct"/>
            <w:tcBorders>
              <w:top w:val="single" w:sz="4" w:space="0" w:color="95B3D7"/>
              <w:bottom w:val="single" w:sz="4" w:space="0" w:color="95B3D7"/>
              <w:right w:val="single" w:sz="4" w:space="0" w:color="95B3D7"/>
            </w:tcBorders>
            <w:noWrap/>
          </w:tcPr>
          <w:p w14:paraId="4DDC2295" w14:textId="77777777" w:rsidR="000B7923" w:rsidRPr="002B1DFC" w:rsidRDefault="000B7923" w:rsidP="00F441C6">
            <w:pPr>
              <w:jc w:val="center"/>
              <w:rPr>
                <w:rFonts w:eastAsia="Times New Roman"/>
                <w:sz w:val="20"/>
                <w:szCs w:val="20"/>
              </w:rPr>
            </w:pPr>
            <w:r w:rsidRPr="002B1DFC">
              <w:rPr>
                <w:rFonts w:eastAsia="Times New Roman"/>
                <w:sz w:val="20"/>
                <w:szCs w:val="20"/>
              </w:rPr>
              <w:t>300</w:t>
            </w:r>
          </w:p>
        </w:tc>
      </w:tr>
      <w:tr w:rsidR="000B7923" w:rsidRPr="002B1DFC" w14:paraId="0BA361E0" w14:textId="77777777">
        <w:tc>
          <w:tcPr>
            <w:tcW w:w="1309" w:type="pct"/>
            <w:tcBorders>
              <w:top w:val="single" w:sz="4" w:space="0" w:color="95B3D7"/>
              <w:left w:val="single" w:sz="4" w:space="0" w:color="95B3D7"/>
              <w:bottom w:val="single" w:sz="4" w:space="0" w:color="95B3D7"/>
            </w:tcBorders>
            <w:shd w:val="clear" w:color="auto" w:fill="DBE5F1"/>
            <w:noWrap/>
          </w:tcPr>
          <w:p w14:paraId="37AE8334"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Nitric oxide</w:t>
            </w:r>
          </w:p>
        </w:tc>
        <w:tc>
          <w:tcPr>
            <w:tcW w:w="609" w:type="pct"/>
            <w:tcBorders>
              <w:top w:val="single" w:sz="4" w:space="0" w:color="95B3D7"/>
              <w:bottom w:val="single" w:sz="4" w:space="0" w:color="95B3D7"/>
            </w:tcBorders>
            <w:shd w:val="clear" w:color="auto" w:fill="DBE5F1"/>
            <w:noWrap/>
          </w:tcPr>
          <w:p w14:paraId="3CEC2687"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4A8ECB34"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631672A3"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shd w:val="clear" w:color="auto" w:fill="DBE5F1"/>
            <w:noWrap/>
          </w:tcPr>
          <w:p w14:paraId="6F38D4DE"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shd w:val="clear" w:color="auto" w:fill="DBE5F1"/>
            <w:noWrap/>
          </w:tcPr>
          <w:p w14:paraId="724B39F0" w14:textId="77777777" w:rsidR="000B7923" w:rsidRPr="002B1DFC" w:rsidRDefault="000B7923" w:rsidP="00F441C6">
            <w:pPr>
              <w:jc w:val="center"/>
              <w:rPr>
                <w:rFonts w:eastAsia="Times New Roman"/>
                <w:sz w:val="20"/>
                <w:szCs w:val="20"/>
              </w:rPr>
            </w:pPr>
            <w:r w:rsidRPr="002B1DFC">
              <w:rPr>
                <w:rFonts w:eastAsia="Times New Roman"/>
                <w:sz w:val="20"/>
                <w:szCs w:val="20"/>
              </w:rPr>
              <w:t>2</w:t>
            </w:r>
          </w:p>
        </w:tc>
        <w:tc>
          <w:tcPr>
            <w:tcW w:w="656" w:type="pct"/>
            <w:tcBorders>
              <w:top w:val="single" w:sz="4" w:space="0" w:color="95B3D7"/>
              <w:bottom w:val="single" w:sz="4" w:space="0" w:color="95B3D7"/>
              <w:right w:val="single" w:sz="4" w:space="0" w:color="95B3D7"/>
            </w:tcBorders>
            <w:shd w:val="clear" w:color="auto" w:fill="DBE5F1"/>
            <w:noWrap/>
          </w:tcPr>
          <w:p w14:paraId="4AFA9E9A" w14:textId="77777777" w:rsidR="000B7923" w:rsidRPr="002B1DFC" w:rsidRDefault="000B7923" w:rsidP="00F441C6">
            <w:pPr>
              <w:jc w:val="center"/>
              <w:rPr>
                <w:rFonts w:eastAsia="Times New Roman"/>
                <w:sz w:val="20"/>
                <w:szCs w:val="20"/>
              </w:rPr>
            </w:pPr>
            <w:r w:rsidRPr="002B1DFC">
              <w:rPr>
                <w:rFonts w:eastAsia="Times New Roman"/>
                <w:sz w:val="20"/>
                <w:szCs w:val="20"/>
              </w:rPr>
              <w:t>2</w:t>
            </w:r>
          </w:p>
        </w:tc>
      </w:tr>
      <w:tr w:rsidR="000B7923" w:rsidRPr="002B1DFC" w14:paraId="471AA39C" w14:textId="77777777">
        <w:tc>
          <w:tcPr>
            <w:tcW w:w="1309" w:type="pct"/>
            <w:tcBorders>
              <w:top w:val="single" w:sz="4" w:space="0" w:color="95B3D7"/>
              <w:left w:val="single" w:sz="4" w:space="0" w:color="95B3D7"/>
              <w:bottom w:val="single" w:sz="4" w:space="0" w:color="95B3D7"/>
            </w:tcBorders>
            <w:noWrap/>
          </w:tcPr>
          <w:p w14:paraId="15EE7F62"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Carbon monoxide</w:t>
            </w:r>
          </w:p>
        </w:tc>
        <w:tc>
          <w:tcPr>
            <w:tcW w:w="609" w:type="pct"/>
            <w:tcBorders>
              <w:top w:val="single" w:sz="4" w:space="0" w:color="95B3D7"/>
              <w:bottom w:val="single" w:sz="4" w:space="0" w:color="95B3D7"/>
            </w:tcBorders>
            <w:noWrap/>
          </w:tcPr>
          <w:p w14:paraId="79997E22"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noWrap/>
          </w:tcPr>
          <w:p w14:paraId="1088CCA6" w14:textId="77777777" w:rsidR="000B7923" w:rsidRPr="002B1DFC" w:rsidRDefault="000B7923" w:rsidP="00F441C6">
            <w:pPr>
              <w:jc w:val="center"/>
              <w:rPr>
                <w:rFonts w:eastAsia="Times New Roman"/>
                <w:sz w:val="20"/>
                <w:szCs w:val="20"/>
              </w:rPr>
            </w:pPr>
            <w:r w:rsidRPr="002B1DFC">
              <w:rPr>
                <w:rFonts w:eastAsia="Times New Roman"/>
                <w:sz w:val="20"/>
                <w:szCs w:val="20"/>
              </w:rPr>
              <w:t>1,427</w:t>
            </w:r>
          </w:p>
        </w:tc>
        <w:tc>
          <w:tcPr>
            <w:tcW w:w="555" w:type="pct"/>
            <w:tcBorders>
              <w:top w:val="single" w:sz="4" w:space="0" w:color="95B3D7"/>
              <w:bottom w:val="single" w:sz="4" w:space="0" w:color="95B3D7"/>
            </w:tcBorders>
            <w:noWrap/>
          </w:tcPr>
          <w:p w14:paraId="6B1FBE2A" w14:textId="77777777" w:rsidR="000B7923" w:rsidRPr="002B1DFC" w:rsidRDefault="000B7923" w:rsidP="00F441C6">
            <w:pPr>
              <w:jc w:val="center"/>
              <w:rPr>
                <w:rFonts w:eastAsia="Times New Roman"/>
                <w:sz w:val="20"/>
                <w:szCs w:val="20"/>
              </w:rPr>
            </w:pPr>
            <w:r w:rsidRPr="002B1DFC">
              <w:rPr>
                <w:rFonts w:eastAsia="Times New Roman"/>
                <w:sz w:val="20"/>
                <w:szCs w:val="20"/>
              </w:rPr>
              <w:t>1,546</w:t>
            </w:r>
          </w:p>
        </w:tc>
        <w:tc>
          <w:tcPr>
            <w:tcW w:w="658" w:type="pct"/>
            <w:tcBorders>
              <w:top w:val="single" w:sz="4" w:space="0" w:color="95B3D7"/>
              <w:bottom w:val="single" w:sz="4" w:space="0" w:color="95B3D7"/>
            </w:tcBorders>
            <w:noWrap/>
          </w:tcPr>
          <w:p w14:paraId="3BCF4480" w14:textId="77777777" w:rsidR="000B7923" w:rsidRPr="002B1DFC" w:rsidRDefault="000B7923" w:rsidP="00F441C6">
            <w:pPr>
              <w:jc w:val="center"/>
              <w:rPr>
                <w:rFonts w:eastAsia="Times New Roman"/>
                <w:sz w:val="20"/>
                <w:szCs w:val="20"/>
              </w:rPr>
            </w:pPr>
            <w:r w:rsidRPr="002B1DFC">
              <w:rPr>
                <w:rFonts w:eastAsia="Times New Roman"/>
                <w:sz w:val="20"/>
                <w:szCs w:val="20"/>
              </w:rPr>
              <w:t>1,655</w:t>
            </w:r>
          </w:p>
        </w:tc>
        <w:tc>
          <w:tcPr>
            <w:tcW w:w="658" w:type="pct"/>
            <w:tcBorders>
              <w:top w:val="single" w:sz="4" w:space="0" w:color="95B3D7"/>
              <w:bottom w:val="single" w:sz="4" w:space="0" w:color="95B3D7"/>
            </w:tcBorders>
            <w:noWrap/>
          </w:tcPr>
          <w:p w14:paraId="1983A411" w14:textId="77777777" w:rsidR="000B7923" w:rsidRPr="002B1DFC" w:rsidRDefault="000B7923" w:rsidP="00F441C6">
            <w:pPr>
              <w:jc w:val="center"/>
              <w:rPr>
                <w:rFonts w:eastAsia="Times New Roman"/>
                <w:sz w:val="20"/>
                <w:szCs w:val="20"/>
              </w:rPr>
            </w:pPr>
            <w:r w:rsidRPr="002B1DFC">
              <w:rPr>
                <w:rFonts w:eastAsia="Times New Roman"/>
                <w:sz w:val="20"/>
                <w:szCs w:val="20"/>
              </w:rPr>
              <w:t>1,888</w:t>
            </w:r>
          </w:p>
        </w:tc>
        <w:tc>
          <w:tcPr>
            <w:tcW w:w="656" w:type="pct"/>
            <w:tcBorders>
              <w:top w:val="single" w:sz="4" w:space="0" w:color="95B3D7"/>
              <w:bottom w:val="single" w:sz="4" w:space="0" w:color="95B3D7"/>
              <w:right w:val="single" w:sz="4" w:space="0" w:color="95B3D7"/>
            </w:tcBorders>
            <w:noWrap/>
          </w:tcPr>
          <w:p w14:paraId="6A39D12D" w14:textId="77777777" w:rsidR="000B7923" w:rsidRPr="002B1DFC" w:rsidRDefault="000B7923" w:rsidP="00F441C6">
            <w:pPr>
              <w:jc w:val="center"/>
              <w:rPr>
                <w:rFonts w:eastAsia="Times New Roman"/>
                <w:sz w:val="20"/>
                <w:szCs w:val="20"/>
              </w:rPr>
            </w:pPr>
            <w:r w:rsidRPr="002B1DFC">
              <w:rPr>
                <w:rFonts w:eastAsia="Times New Roman"/>
                <w:sz w:val="20"/>
                <w:szCs w:val="20"/>
              </w:rPr>
              <w:t>1,775</w:t>
            </w:r>
          </w:p>
        </w:tc>
      </w:tr>
      <w:tr w:rsidR="000B7923" w:rsidRPr="002B1DFC" w14:paraId="545F2844" w14:textId="77777777">
        <w:tc>
          <w:tcPr>
            <w:tcW w:w="1309" w:type="pct"/>
            <w:tcBorders>
              <w:top w:val="single" w:sz="4" w:space="0" w:color="95B3D7"/>
              <w:left w:val="single" w:sz="4" w:space="0" w:color="95B3D7"/>
              <w:bottom w:val="single" w:sz="4" w:space="0" w:color="95B3D7"/>
            </w:tcBorders>
            <w:shd w:val="clear" w:color="auto" w:fill="DBE5F1"/>
            <w:noWrap/>
          </w:tcPr>
          <w:p w14:paraId="64035F9A"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Methane</w:t>
            </w:r>
          </w:p>
        </w:tc>
        <w:tc>
          <w:tcPr>
            <w:tcW w:w="609" w:type="pct"/>
            <w:tcBorders>
              <w:top w:val="single" w:sz="4" w:space="0" w:color="95B3D7"/>
              <w:bottom w:val="single" w:sz="4" w:space="0" w:color="95B3D7"/>
            </w:tcBorders>
            <w:shd w:val="clear" w:color="auto" w:fill="DBE5F1"/>
            <w:noWrap/>
          </w:tcPr>
          <w:p w14:paraId="70777F2B"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335687DD"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19A6EADA"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shd w:val="clear" w:color="auto" w:fill="DBE5F1"/>
            <w:noWrap/>
          </w:tcPr>
          <w:p w14:paraId="338C5E33"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shd w:val="clear" w:color="auto" w:fill="DBE5F1"/>
            <w:noWrap/>
          </w:tcPr>
          <w:p w14:paraId="2B069C6D" w14:textId="77777777" w:rsidR="000B7923" w:rsidRPr="002B1DFC" w:rsidRDefault="000B7923" w:rsidP="00F441C6">
            <w:pPr>
              <w:jc w:val="center"/>
              <w:rPr>
                <w:rFonts w:eastAsia="Times New Roman"/>
                <w:sz w:val="20"/>
                <w:szCs w:val="20"/>
              </w:rPr>
            </w:pPr>
            <w:r w:rsidRPr="002B1DFC">
              <w:rPr>
                <w:rFonts w:eastAsia="Times New Roman"/>
                <w:sz w:val="20"/>
                <w:szCs w:val="20"/>
              </w:rPr>
              <w:t>8</w:t>
            </w:r>
          </w:p>
        </w:tc>
        <w:tc>
          <w:tcPr>
            <w:tcW w:w="656" w:type="pct"/>
            <w:tcBorders>
              <w:top w:val="single" w:sz="4" w:space="0" w:color="95B3D7"/>
              <w:bottom w:val="single" w:sz="4" w:space="0" w:color="95B3D7"/>
              <w:right w:val="single" w:sz="4" w:space="0" w:color="95B3D7"/>
            </w:tcBorders>
            <w:shd w:val="clear" w:color="auto" w:fill="DBE5F1"/>
            <w:noWrap/>
          </w:tcPr>
          <w:p w14:paraId="37ABC988" w14:textId="77777777" w:rsidR="000B7923" w:rsidRPr="002B1DFC" w:rsidRDefault="000B7923" w:rsidP="00F441C6">
            <w:pPr>
              <w:jc w:val="center"/>
              <w:rPr>
                <w:rFonts w:eastAsia="Times New Roman"/>
                <w:sz w:val="20"/>
                <w:szCs w:val="20"/>
              </w:rPr>
            </w:pPr>
            <w:r w:rsidRPr="002B1DFC">
              <w:rPr>
                <w:rFonts w:eastAsia="Times New Roman"/>
                <w:sz w:val="20"/>
                <w:szCs w:val="20"/>
              </w:rPr>
              <w:t>8</w:t>
            </w:r>
          </w:p>
        </w:tc>
      </w:tr>
      <w:tr w:rsidR="000B7923" w:rsidRPr="002B1DFC" w14:paraId="5EEF14BD" w14:textId="77777777">
        <w:tc>
          <w:tcPr>
            <w:tcW w:w="1309" w:type="pct"/>
            <w:tcBorders>
              <w:top w:val="single" w:sz="4" w:space="0" w:color="95B3D7"/>
              <w:left w:val="single" w:sz="4" w:space="0" w:color="95B3D7"/>
              <w:bottom w:val="single" w:sz="4" w:space="0" w:color="95B3D7"/>
            </w:tcBorders>
          </w:tcPr>
          <w:p w14:paraId="6198ABF1"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Non-methane volatile organic compounds</w:t>
            </w:r>
          </w:p>
        </w:tc>
        <w:tc>
          <w:tcPr>
            <w:tcW w:w="609" w:type="pct"/>
            <w:tcBorders>
              <w:top w:val="single" w:sz="4" w:space="0" w:color="95B3D7"/>
              <w:bottom w:val="single" w:sz="4" w:space="0" w:color="95B3D7"/>
            </w:tcBorders>
            <w:noWrap/>
          </w:tcPr>
          <w:p w14:paraId="39092454"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noWrap/>
          </w:tcPr>
          <w:p w14:paraId="2EC373F2"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noWrap/>
          </w:tcPr>
          <w:p w14:paraId="1B43E50E"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noWrap/>
          </w:tcPr>
          <w:p w14:paraId="16B71145"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noWrap/>
          </w:tcPr>
          <w:p w14:paraId="081E4CFA" w14:textId="77777777" w:rsidR="000B7923" w:rsidRPr="002B1DFC" w:rsidRDefault="000B7923" w:rsidP="00F441C6">
            <w:pPr>
              <w:jc w:val="center"/>
              <w:rPr>
                <w:rFonts w:eastAsia="Times New Roman"/>
                <w:sz w:val="20"/>
                <w:szCs w:val="20"/>
              </w:rPr>
            </w:pPr>
            <w:r w:rsidRPr="002B1DFC">
              <w:rPr>
                <w:rFonts w:eastAsia="Times New Roman"/>
                <w:sz w:val="20"/>
                <w:szCs w:val="20"/>
              </w:rPr>
              <w:t>293</w:t>
            </w:r>
          </w:p>
        </w:tc>
        <w:tc>
          <w:tcPr>
            <w:tcW w:w="656" w:type="pct"/>
            <w:tcBorders>
              <w:top w:val="single" w:sz="4" w:space="0" w:color="95B3D7"/>
              <w:bottom w:val="single" w:sz="4" w:space="0" w:color="95B3D7"/>
              <w:right w:val="single" w:sz="4" w:space="0" w:color="95B3D7"/>
            </w:tcBorders>
            <w:noWrap/>
          </w:tcPr>
          <w:p w14:paraId="0D7BBC2F" w14:textId="77777777" w:rsidR="000B7923" w:rsidRPr="002B1DFC" w:rsidRDefault="000B7923" w:rsidP="00F441C6">
            <w:pPr>
              <w:jc w:val="center"/>
              <w:rPr>
                <w:rFonts w:eastAsia="Times New Roman"/>
                <w:sz w:val="20"/>
                <w:szCs w:val="20"/>
              </w:rPr>
            </w:pPr>
            <w:r w:rsidRPr="002B1DFC">
              <w:rPr>
                <w:rFonts w:eastAsia="Times New Roman"/>
                <w:sz w:val="20"/>
                <w:szCs w:val="20"/>
              </w:rPr>
              <w:t>271</w:t>
            </w:r>
          </w:p>
        </w:tc>
      </w:tr>
      <w:tr w:rsidR="000B7923" w:rsidRPr="002B1DFC" w14:paraId="05F2C3D0" w14:textId="77777777">
        <w:tc>
          <w:tcPr>
            <w:tcW w:w="1309" w:type="pct"/>
            <w:tcBorders>
              <w:top w:val="single" w:sz="4" w:space="0" w:color="95B3D7"/>
              <w:left w:val="single" w:sz="4" w:space="0" w:color="95B3D7"/>
              <w:bottom w:val="single" w:sz="4" w:space="0" w:color="95B3D7"/>
            </w:tcBorders>
            <w:shd w:val="clear" w:color="auto" w:fill="DBE5F1"/>
            <w:noWrap/>
          </w:tcPr>
          <w:p w14:paraId="14FB834F"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Soot</w:t>
            </w:r>
          </w:p>
        </w:tc>
        <w:tc>
          <w:tcPr>
            <w:tcW w:w="609" w:type="pct"/>
            <w:tcBorders>
              <w:top w:val="single" w:sz="4" w:space="0" w:color="95B3D7"/>
              <w:bottom w:val="single" w:sz="4" w:space="0" w:color="95B3D7"/>
            </w:tcBorders>
            <w:shd w:val="clear" w:color="auto" w:fill="DBE5F1"/>
            <w:noWrap/>
          </w:tcPr>
          <w:p w14:paraId="0FE92FB7"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7FD833ED"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244D10FF" w14:textId="77777777" w:rsidR="000B7923" w:rsidRPr="002B1DFC" w:rsidRDefault="000B7923" w:rsidP="00F441C6">
            <w:pPr>
              <w:jc w:val="center"/>
              <w:rPr>
                <w:rFonts w:eastAsia="Times New Roman"/>
                <w:sz w:val="20"/>
                <w:szCs w:val="20"/>
              </w:rPr>
            </w:pPr>
            <w:r w:rsidRPr="002B1DFC">
              <w:rPr>
                <w:rFonts w:eastAsia="Times New Roman"/>
                <w:sz w:val="20"/>
                <w:szCs w:val="20"/>
              </w:rPr>
              <w:t>7</w:t>
            </w:r>
          </w:p>
        </w:tc>
        <w:tc>
          <w:tcPr>
            <w:tcW w:w="658" w:type="pct"/>
            <w:tcBorders>
              <w:top w:val="single" w:sz="4" w:space="0" w:color="95B3D7"/>
              <w:bottom w:val="single" w:sz="4" w:space="0" w:color="95B3D7"/>
            </w:tcBorders>
            <w:shd w:val="clear" w:color="auto" w:fill="DBE5F1"/>
            <w:noWrap/>
          </w:tcPr>
          <w:p w14:paraId="3B91D0E4" w14:textId="77777777" w:rsidR="000B7923" w:rsidRPr="002B1DFC" w:rsidRDefault="000B7923" w:rsidP="00F441C6">
            <w:pPr>
              <w:jc w:val="center"/>
              <w:rPr>
                <w:rFonts w:eastAsia="Times New Roman"/>
                <w:sz w:val="20"/>
                <w:szCs w:val="20"/>
              </w:rPr>
            </w:pPr>
            <w:r w:rsidRPr="002B1DFC">
              <w:rPr>
                <w:rFonts w:eastAsia="Times New Roman"/>
                <w:sz w:val="20"/>
                <w:szCs w:val="20"/>
              </w:rPr>
              <w:t>13</w:t>
            </w:r>
          </w:p>
        </w:tc>
        <w:tc>
          <w:tcPr>
            <w:tcW w:w="658" w:type="pct"/>
            <w:tcBorders>
              <w:top w:val="single" w:sz="4" w:space="0" w:color="95B3D7"/>
              <w:bottom w:val="single" w:sz="4" w:space="0" w:color="95B3D7"/>
            </w:tcBorders>
            <w:shd w:val="clear" w:color="auto" w:fill="DBE5F1"/>
            <w:noWrap/>
          </w:tcPr>
          <w:p w14:paraId="640794E4" w14:textId="77777777" w:rsidR="000B7923" w:rsidRPr="002B1DFC" w:rsidRDefault="000B7923" w:rsidP="00F441C6">
            <w:pPr>
              <w:jc w:val="center"/>
              <w:rPr>
                <w:rFonts w:eastAsia="Times New Roman"/>
                <w:sz w:val="20"/>
                <w:szCs w:val="20"/>
              </w:rPr>
            </w:pPr>
            <w:r w:rsidRPr="002B1DFC">
              <w:rPr>
                <w:rFonts w:eastAsia="Times New Roman"/>
                <w:sz w:val="20"/>
                <w:szCs w:val="20"/>
              </w:rPr>
              <w:t>32</w:t>
            </w:r>
          </w:p>
        </w:tc>
        <w:tc>
          <w:tcPr>
            <w:tcW w:w="656" w:type="pct"/>
            <w:tcBorders>
              <w:top w:val="single" w:sz="4" w:space="0" w:color="95B3D7"/>
              <w:bottom w:val="single" w:sz="4" w:space="0" w:color="95B3D7"/>
              <w:right w:val="single" w:sz="4" w:space="0" w:color="95B3D7"/>
            </w:tcBorders>
            <w:shd w:val="clear" w:color="auto" w:fill="DBE5F1"/>
            <w:noWrap/>
          </w:tcPr>
          <w:p w14:paraId="11E7D568" w14:textId="77777777" w:rsidR="000B7923" w:rsidRPr="002B1DFC" w:rsidRDefault="000B7923" w:rsidP="00F441C6">
            <w:pPr>
              <w:jc w:val="center"/>
              <w:rPr>
                <w:rFonts w:eastAsia="Times New Roman"/>
                <w:sz w:val="20"/>
                <w:szCs w:val="20"/>
              </w:rPr>
            </w:pPr>
            <w:r w:rsidRPr="002B1DFC">
              <w:rPr>
                <w:rFonts w:eastAsia="Times New Roman"/>
                <w:sz w:val="20"/>
                <w:szCs w:val="20"/>
              </w:rPr>
              <w:t>37</w:t>
            </w:r>
          </w:p>
        </w:tc>
      </w:tr>
      <w:tr w:rsidR="000B7923" w:rsidRPr="002B1DFC" w14:paraId="0E0560BD" w14:textId="77777777">
        <w:tc>
          <w:tcPr>
            <w:tcW w:w="1309" w:type="pct"/>
            <w:tcBorders>
              <w:top w:val="single" w:sz="4" w:space="0" w:color="95B3D7"/>
              <w:left w:val="single" w:sz="4" w:space="0" w:color="95B3D7"/>
              <w:bottom w:val="single" w:sz="4" w:space="0" w:color="95B3D7"/>
            </w:tcBorders>
          </w:tcPr>
          <w:p w14:paraId="4D4EAB8C" w14:textId="77777777" w:rsidR="000B7923" w:rsidRPr="002B1DFC" w:rsidRDefault="000B7923" w:rsidP="00663798">
            <w:pPr>
              <w:jc w:val="left"/>
              <w:rPr>
                <w:rFonts w:eastAsia="Times New Roman" w:cs="Times New Roman"/>
                <w:b/>
                <w:bCs/>
                <w:sz w:val="20"/>
                <w:szCs w:val="20"/>
              </w:rPr>
            </w:pPr>
            <w:r w:rsidRPr="002B1DFC">
              <w:rPr>
                <w:rFonts w:eastAsia="Times New Roman" w:cs="Times New Roman"/>
                <w:b/>
                <w:bCs/>
                <w:sz w:val="20"/>
                <w:szCs w:val="20"/>
              </w:rPr>
              <w:t xml:space="preserve">Carbon Dioxide </w:t>
            </w:r>
          </w:p>
        </w:tc>
        <w:tc>
          <w:tcPr>
            <w:tcW w:w="609" w:type="pct"/>
            <w:tcBorders>
              <w:top w:val="single" w:sz="4" w:space="0" w:color="95B3D7"/>
              <w:bottom w:val="single" w:sz="4" w:space="0" w:color="95B3D7"/>
            </w:tcBorders>
            <w:noWrap/>
          </w:tcPr>
          <w:p w14:paraId="5E180169"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noWrap/>
          </w:tcPr>
          <w:p w14:paraId="59FAF408"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noWrap/>
          </w:tcPr>
          <w:p w14:paraId="0B70BD69"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noWrap/>
          </w:tcPr>
          <w:p w14:paraId="7F1F2B33" w14:textId="77777777" w:rsidR="000B7923" w:rsidRPr="002B1DFC" w:rsidRDefault="000B7923" w:rsidP="00F441C6">
            <w:pPr>
              <w:jc w:val="center"/>
              <w:rPr>
                <w:rFonts w:eastAsia="Times New Roman"/>
                <w:sz w:val="20"/>
                <w:szCs w:val="20"/>
              </w:rPr>
            </w:pPr>
            <w:r w:rsidRPr="002B1DFC">
              <w:rPr>
                <w:rFonts w:eastAsia="Times New Roman"/>
                <w:sz w:val="20"/>
                <w:szCs w:val="20"/>
              </w:rPr>
              <w:t>152,008</w:t>
            </w:r>
          </w:p>
        </w:tc>
        <w:tc>
          <w:tcPr>
            <w:tcW w:w="658" w:type="pct"/>
            <w:tcBorders>
              <w:top w:val="single" w:sz="4" w:space="0" w:color="95B3D7"/>
              <w:bottom w:val="single" w:sz="4" w:space="0" w:color="95B3D7"/>
            </w:tcBorders>
            <w:noWrap/>
          </w:tcPr>
          <w:p w14:paraId="69C93D5C" w14:textId="77777777" w:rsidR="000B7923" w:rsidRPr="002B1DFC" w:rsidRDefault="000B7923" w:rsidP="00F441C6">
            <w:pPr>
              <w:jc w:val="center"/>
              <w:rPr>
                <w:rFonts w:eastAsia="Times New Roman"/>
                <w:sz w:val="20"/>
                <w:szCs w:val="20"/>
              </w:rPr>
            </w:pPr>
            <w:r w:rsidRPr="002B1DFC">
              <w:rPr>
                <w:rFonts w:eastAsia="Times New Roman"/>
                <w:sz w:val="20"/>
                <w:szCs w:val="20"/>
              </w:rPr>
              <w:t>198,231</w:t>
            </w:r>
          </w:p>
        </w:tc>
        <w:tc>
          <w:tcPr>
            <w:tcW w:w="656" w:type="pct"/>
            <w:tcBorders>
              <w:top w:val="single" w:sz="4" w:space="0" w:color="95B3D7"/>
              <w:bottom w:val="single" w:sz="4" w:space="0" w:color="95B3D7"/>
              <w:right w:val="single" w:sz="4" w:space="0" w:color="95B3D7"/>
            </w:tcBorders>
            <w:noWrap/>
          </w:tcPr>
          <w:p w14:paraId="6843D9BF" w14:textId="77777777" w:rsidR="000B7923" w:rsidRPr="002B1DFC" w:rsidRDefault="000B7923" w:rsidP="00F441C6">
            <w:pPr>
              <w:jc w:val="center"/>
              <w:rPr>
                <w:rFonts w:eastAsia="Times New Roman"/>
                <w:sz w:val="20"/>
                <w:szCs w:val="20"/>
              </w:rPr>
            </w:pPr>
            <w:r w:rsidRPr="002B1DFC">
              <w:rPr>
                <w:rFonts w:eastAsia="Times New Roman"/>
                <w:sz w:val="20"/>
                <w:szCs w:val="20"/>
              </w:rPr>
              <w:t>230,706</w:t>
            </w:r>
          </w:p>
        </w:tc>
      </w:tr>
      <w:tr w:rsidR="000B7923" w:rsidRPr="002B1DFC" w14:paraId="6176E8CD" w14:textId="77777777" w:rsidTr="0061686D">
        <w:trPr>
          <w:trHeight w:val="91"/>
        </w:trPr>
        <w:tc>
          <w:tcPr>
            <w:tcW w:w="1309" w:type="pct"/>
            <w:tcBorders>
              <w:top w:val="single" w:sz="4" w:space="0" w:color="95B3D7"/>
              <w:left w:val="single" w:sz="4" w:space="0" w:color="95B3D7"/>
              <w:bottom w:val="single" w:sz="4" w:space="0" w:color="95B3D7"/>
            </w:tcBorders>
            <w:shd w:val="clear" w:color="auto" w:fill="DBE5F1"/>
          </w:tcPr>
          <w:p w14:paraId="7F5CD8CC"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 xml:space="preserve">Stationary sources </w:t>
            </w:r>
          </w:p>
        </w:tc>
        <w:tc>
          <w:tcPr>
            <w:tcW w:w="609" w:type="pct"/>
            <w:tcBorders>
              <w:top w:val="single" w:sz="4" w:space="0" w:color="95B3D7"/>
              <w:bottom w:val="single" w:sz="4" w:space="0" w:color="95B3D7"/>
            </w:tcBorders>
            <w:shd w:val="clear" w:color="auto" w:fill="DBE5F1"/>
            <w:noWrap/>
          </w:tcPr>
          <w:p w14:paraId="27F5F569"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21D474D2"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shd w:val="clear" w:color="auto" w:fill="DBE5F1"/>
            <w:noWrap/>
          </w:tcPr>
          <w:p w14:paraId="6E924E30"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shd w:val="clear" w:color="auto" w:fill="DBE5F1"/>
            <w:noWrap/>
          </w:tcPr>
          <w:p w14:paraId="7DCE8696" w14:textId="77777777" w:rsidR="000B7923" w:rsidRPr="002B1DFC" w:rsidRDefault="000B7923" w:rsidP="00F441C6">
            <w:pPr>
              <w:jc w:val="center"/>
              <w:rPr>
                <w:rFonts w:eastAsia="Times New Roman"/>
                <w:sz w:val="20"/>
                <w:szCs w:val="20"/>
              </w:rPr>
            </w:pPr>
            <w:r w:rsidRPr="002B1DFC">
              <w:rPr>
                <w:rFonts w:eastAsia="Times New Roman"/>
                <w:sz w:val="20"/>
                <w:szCs w:val="20"/>
              </w:rPr>
              <w:t>152,008</w:t>
            </w:r>
          </w:p>
        </w:tc>
        <w:tc>
          <w:tcPr>
            <w:tcW w:w="658" w:type="pct"/>
            <w:tcBorders>
              <w:top w:val="single" w:sz="4" w:space="0" w:color="95B3D7"/>
              <w:bottom w:val="single" w:sz="4" w:space="0" w:color="95B3D7"/>
            </w:tcBorders>
            <w:shd w:val="clear" w:color="auto" w:fill="DBE5F1"/>
            <w:noWrap/>
          </w:tcPr>
          <w:p w14:paraId="770E3222" w14:textId="77777777" w:rsidR="000B7923" w:rsidRPr="002B1DFC" w:rsidRDefault="000B7923" w:rsidP="00F441C6">
            <w:pPr>
              <w:jc w:val="center"/>
              <w:rPr>
                <w:rFonts w:eastAsia="Times New Roman"/>
                <w:sz w:val="20"/>
                <w:szCs w:val="20"/>
              </w:rPr>
            </w:pPr>
            <w:r w:rsidRPr="002B1DFC">
              <w:rPr>
                <w:rFonts w:eastAsia="Times New Roman"/>
                <w:sz w:val="20"/>
                <w:szCs w:val="20"/>
              </w:rPr>
              <w:t>165,042</w:t>
            </w:r>
          </w:p>
        </w:tc>
        <w:tc>
          <w:tcPr>
            <w:tcW w:w="656" w:type="pct"/>
            <w:tcBorders>
              <w:top w:val="single" w:sz="4" w:space="0" w:color="95B3D7"/>
              <w:bottom w:val="single" w:sz="4" w:space="0" w:color="95B3D7"/>
              <w:right w:val="single" w:sz="4" w:space="0" w:color="95B3D7"/>
            </w:tcBorders>
            <w:shd w:val="clear" w:color="auto" w:fill="DBE5F1"/>
            <w:noWrap/>
          </w:tcPr>
          <w:p w14:paraId="76A6361D" w14:textId="77777777" w:rsidR="000B7923" w:rsidRPr="002B1DFC" w:rsidRDefault="000B7923" w:rsidP="00F441C6">
            <w:pPr>
              <w:jc w:val="center"/>
              <w:rPr>
                <w:rFonts w:eastAsia="Times New Roman"/>
                <w:sz w:val="20"/>
                <w:szCs w:val="20"/>
              </w:rPr>
            </w:pPr>
            <w:r w:rsidRPr="002B1DFC">
              <w:rPr>
                <w:rFonts w:eastAsia="Times New Roman"/>
                <w:sz w:val="20"/>
                <w:szCs w:val="20"/>
              </w:rPr>
              <w:t>197,618</w:t>
            </w:r>
          </w:p>
        </w:tc>
      </w:tr>
      <w:tr w:rsidR="000B7923" w:rsidRPr="002B1DFC" w14:paraId="62E9C038" w14:textId="77777777">
        <w:tc>
          <w:tcPr>
            <w:tcW w:w="1309" w:type="pct"/>
            <w:tcBorders>
              <w:top w:val="single" w:sz="4" w:space="0" w:color="95B3D7"/>
              <w:left w:val="single" w:sz="4" w:space="0" w:color="95B3D7"/>
              <w:bottom w:val="single" w:sz="4" w:space="0" w:color="95B3D7"/>
            </w:tcBorders>
          </w:tcPr>
          <w:p w14:paraId="29CDDA77" w14:textId="77777777" w:rsidR="000B7923" w:rsidRPr="002B1DFC" w:rsidRDefault="000B7923" w:rsidP="00663798">
            <w:pPr>
              <w:ind w:left="180"/>
              <w:jc w:val="left"/>
              <w:rPr>
                <w:rFonts w:eastAsia="Times New Roman" w:cs="Times New Roman"/>
                <w:b/>
                <w:bCs/>
                <w:sz w:val="20"/>
                <w:szCs w:val="20"/>
              </w:rPr>
            </w:pPr>
            <w:r w:rsidRPr="002B1DFC">
              <w:rPr>
                <w:rFonts w:eastAsia="Times New Roman" w:cs="Times New Roman"/>
                <w:sz w:val="20"/>
                <w:szCs w:val="20"/>
              </w:rPr>
              <w:t>Mobile sources</w:t>
            </w:r>
          </w:p>
        </w:tc>
        <w:tc>
          <w:tcPr>
            <w:tcW w:w="609" w:type="pct"/>
            <w:tcBorders>
              <w:top w:val="single" w:sz="4" w:space="0" w:color="95B3D7"/>
              <w:bottom w:val="single" w:sz="4" w:space="0" w:color="95B3D7"/>
            </w:tcBorders>
            <w:noWrap/>
          </w:tcPr>
          <w:p w14:paraId="5942C079" w14:textId="77777777" w:rsidR="000B7923" w:rsidRPr="002B1DFC" w:rsidRDefault="000B7923" w:rsidP="00C66939">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noWrap/>
          </w:tcPr>
          <w:p w14:paraId="70DED977"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555" w:type="pct"/>
            <w:tcBorders>
              <w:top w:val="single" w:sz="4" w:space="0" w:color="95B3D7"/>
              <w:bottom w:val="single" w:sz="4" w:space="0" w:color="95B3D7"/>
            </w:tcBorders>
            <w:noWrap/>
          </w:tcPr>
          <w:p w14:paraId="30499F92"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noWrap/>
          </w:tcPr>
          <w:p w14:paraId="137B68E7" w14:textId="77777777" w:rsidR="000B7923" w:rsidRPr="002B1DFC" w:rsidRDefault="000B7923" w:rsidP="00F441C6">
            <w:pPr>
              <w:jc w:val="center"/>
              <w:rPr>
                <w:rFonts w:eastAsia="Times New Roman"/>
                <w:sz w:val="20"/>
                <w:szCs w:val="20"/>
              </w:rPr>
            </w:pPr>
            <w:r w:rsidRPr="002B1DFC">
              <w:rPr>
                <w:rFonts w:eastAsia="Times New Roman"/>
                <w:sz w:val="20"/>
                <w:szCs w:val="20"/>
              </w:rPr>
              <w:t>...</w:t>
            </w:r>
          </w:p>
        </w:tc>
        <w:tc>
          <w:tcPr>
            <w:tcW w:w="658" w:type="pct"/>
            <w:tcBorders>
              <w:top w:val="single" w:sz="4" w:space="0" w:color="95B3D7"/>
              <w:bottom w:val="single" w:sz="4" w:space="0" w:color="95B3D7"/>
            </w:tcBorders>
            <w:noWrap/>
          </w:tcPr>
          <w:p w14:paraId="007416A0" w14:textId="77777777" w:rsidR="000B7923" w:rsidRPr="002B1DFC" w:rsidRDefault="000B7923" w:rsidP="00F441C6">
            <w:pPr>
              <w:jc w:val="center"/>
              <w:rPr>
                <w:rFonts w:eastAsia="Times New Roman"/>
                <w:sz w:val="20"/>
                <w:szCs w:val="20"/>
              </w:rPr>
            </w:pPr>
            <w:r w:rsidRPr="002B1DFC">
              <w:rPr>
                <w:rFonts w:eastAsia="Times New Roman"/>
                <w:sz w:val="20"/>
                <w:szCs w:val="20"/>
              </w:rPr>
              <w:t>33,189</w:t>
            </w:r>
          </w:p>
        </w:tc>
        <w:tc>
          <w:tcPr>
            <w:tcW w:w="656" w:type="pct"/>
            <w:tcBorders>
              <w:top w:val="single" w:sz="4" w:space="0" w:color="95B3D7"/>
              <w:bottom w:val="single" w:sz="4" w:space="0" w:color="95B3D7"/>
              <w:right w:val="single" w:sz="4" w:space="0" w:color="95B3D7"/>
            </w:tcBorders>
            <w:noWrap/>
          </w:tcPr>
          <w:p w14:paraId="0094AE27" w14:textId="77777777" w:rsidR="000B7923" w:rsidRPr="002B1DFC" w:rsidRDefault="000B7923" w:rsidP="00F441C6">
            <w:pPr>
              <w:jc w:val="center"/>
              <w:rPr>
                <w:rFonts w:eastAsia="Times New Roman"/>
                <w:sz w:val="20"/>
                <w:szCs w:val="20"/>
              </w:rPr>
            </w:pPr>
            <w:r w:rsidRPr="002B1DFC">
              <w:rPr>
                <w:rFonts w:eastAsia="Times New Roman"/>
                <w:sz w:val="20"/>
                <w:szCs w:val="20"/>
              </w:rPr>
              <w:t>33,088</w:t>
            </w:r>
          </w:p>
        </w:tc>
      </w:tr>
    </w:tbl>
    <w:p w14:paraId="3C801692" w14:textId="77777777" w:rsidR="003948AB" w:rsidRPr="003948AB" w:rsidRDefault="003948AB" w:rsidP="003948AB">
      <w:pPr>
        <w:pStyle w:val="ListParagraph"/>
        <w:ind w:left="0"/>
        <w:rPr>
          <w:rFonts w:cs="Times New Roman"/>
          <w:iCs/>
          <w:sz w:val="20"/>
          <w:szCs w:val="20"/>
        </w:rPr>
      </w:pPr>
      <w:r w:rsidRPr="003948AB">
        <w:rPr>
          <w:rFonts w:cs="Times New Roman"/>
          <w:i/>
          <w:sz w:val="20"/>
          <w:szCs w:val="20"/>
        </w:rPr>
        <w:t>Source:</w:t>
      </w:r>
      <w:r w:rsidRPr="003948AB">
        <w:rPr>
          <w:rFonts w:cs="Times New Roman"/>
          <w:iCs/>
          <w:sz w:val="20"/>
          <w:szCs w:val="20"/>
        </w:rPr>
        <w:t xml:space="preserve"> </w:t>
      </w:r>
      <w:r w:rsidRPr="003948AB">
        <w:rPr>
          <w:sz w:val="20"/>
          <w:szCs w:val="20"/>
        </w:rPr>
        <w:t xml:space="preserve">State Statistics Service of Ukraine. 2014. </w:t>
      </w:r>
      <w:r w:rsidRPr="003948AB">
        <w:rPr>
          <w:i/>
          <w:sz w:val="20"/>
          <w:szCs w:val="20"/>
        </w:rPr>
        <w:t xml:space="preserve">Statistical Yearbook: Ukraine in Figures – 2013. </w:t>
      </w:r>
      <w:r w:rsidRPr="003948AB">
        <w:rPr>
          <w:sz w:val="20"/>
          <w:szCs w:val="20"/>
        </w:rPr>
        <w:t xml:space="preserve">Kyiv: State Statistics Service of Ukraine. </w:t>
      </w:r>
    </w:p>
    <w:p w14:paraId="18EEB1B0" w14:textId="77777777" w:rsidR="003948AB" w:rsidRDefault="003948AB" w:rsidP="001557B4">
      <w:pPr>
        <w:pStyle w:val="ListParagraph"/>
        <w:ind w:left="0"/>
        <w:rPr>
          <w:rFonts w:cs="Times New Roman"/>
          <w:iCs/>
        </w:rPr>
      </w:pPr>
    </w:p>
    <w:p w14:paraId="18236DD4" w14:textId="543212C1" w:rsidR="00911F2D" w:rsidRPr="001557B4" w:rsidRDefault="00911F2D" w:rsidP="00772403">
      <w:pPr>
        <w:pStyle w:val="ListParagraph"/>
        <w:numPr>
          <w:ilvl w:val="0"/>
          <w:numId w:val="68"/>
        </w:numPr>
        <w:tabs>
          <w:tab w:val="left" w:pos="360"/>
        </w:tabs>
        <w:spacing w:line="23" w:lineRule="atLeast"/>
        <w:ind w:left="0" w:firstLine="0"/>
        <w:rPr>
          <w:rFonts w:cs="Times New Roman"/>
          <w:iCs/>
        </w:rPr>
      </w:pPr>
      <w:r w:rsidRPr="001557B4">
        <w:rPr>
          <w:rFonts w:cs="Times New Roman"/>
          <w:iCs/>
        </w:rPr>
        <w:t xml:space="preserve">Air </w:t>
      </w:r>
      <w:r>
        <w:rPr>
          <w:rFonts w:cs="Times New Roman"/>
          <w:iCs/>
        </w:rPr>
        <w:t>emission charges account for approximately 70% of total environmental taxes, most of them from stationary sources. At the same time, air quality and climate represents only 10% of current environmental expenditures during 2010</w:t>
      </w:r>
      <w:r w:rsidR="0041197D">
        <w:rPr>
          <w:rFonts w:cs="Times New Roman"/>
          <w:iCs/>
        </w:rPr>
        <w:t>–</w:t>
      </w:r>
      <w:r>
        <w:rPr>
          <w:rFonts w:cs="Times New Roman"/>
          <w:iCs/>
        </w:rPr>
        <w:t xml:space="preserve">2013. </w:t>
      </w:r>
    </w:p>
    <w:p w14:paraId="22391D08" w14:textId="77777777" w:rsidR="00911F2D" w:rsidRPr="002B1DFC" w:rsidRDefault="00911F2D" w:rsidP="00275839">
      <w:pPr>
        <w:pStyle w:val="ListParagraph"/>
        <w:ind w:left="360"/>
        <w:rPr>
          <w:rFonts w:cs="Times New Roman"/>
          <w:b/>
          <w:bCs/>
          <w:iCs/>
        </w:rPr>
      </w:pPr>
    </w:p>
    <w:p w14:paraId="041B8C88" w14:textId="77777777" w:rsidR="000B7923" w:rsidRPr="001557B4" w:rsidRDefault="000B7923" w:rsidP="00275839">
      <w:pPr>
        <w:rPr>
          <w:rFonts w:cs="Times New Roman"/>
          <w:iCs/>
          <w:u w:val="single"/>
        </w:rPr>
      </w:pPr>
      <w:bookmarkStart w:id="26" w:name="_Toc6908404"/>
      <w:bookmarkStart w:id="27" w:name="_Toc6908721"/>
      <w:bookmarkStart w:id="28" w:name="_Toc6908868"/>
      <w:bookmarkStart w:id="29" w:name="_Toc6980707"/>
      <w:bookmarkStart w:id="30" w:name="_Toc6989373"/>
      <w:bookmarkStart w:id="31" w:name="_Toc6997161"/>
      <w:bookmarkStart w:id="32" w:name="_Toc12482335"/>
      <w:bookmarkStart w:id="33" w:name="_Toc12482681"/>
      <w:bookmarkStart w:id="34" w:name="_Toc23068138"/>
      <w:bookmarkStart w:id="35" w:name="_Toc23077557"/>
      <w:bookmarkStart w:id="36" w:name="_Toc23078089"/>
      <w:bookmarkStart w:id="37" w:name="_Toc23081771"/>
      <w:bookmarkStart w:id="38" w:name="_Toc23142571"/>
      <w:bookmarkStart w:id="39" w:name="_Toc23146056"/>
      <w:r w:rsidRPr="002578F7">
        <w:rPr>
          <w:rFonts w:cs="Times New Roman"/>
          <w:iCs/>
          <w:u w:val="single"/>
        </w:rPr>
        <w:t>Water Resources</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1557B4">
        <w:rPr>
          <w:rFonts w:cs="Times New Roman"/>
          <w:iCs/>
          <w:u w:val="single"/>
        </w:rPr>
        <w:t xml:space="preserve"> </w:t>
      </w:r>
      <w:r w:rsidR="00C347B6" w:rsidRPr="001557B4">
        <w:rPr>
          <w:rFonts w:cs="Times New Roman"/>
          <w:iCs/>
          <w:u w:val="single"/>
        </w:rPr>
        <w:t>and Wastewater Treatment</w:t>
      </w:r>
    </w:p>
    <w:p w14:paraId="2FEB01F8" w14:textId="77777777" w:rsidR="000B7923" w:rsidRPr="002B1DFC" w:rsidRDefault="000B7923" w:rsidP="00275839">
      <w:pPr>
        <w:rPr>
          <w:rFonts w:cs="Times New Roman"/>
          <w:b/>
          <w:bCs/>
          <w:iCs/>
        </w:rPr>
      </w:pPr>
    </w:p>
    <w:p w14:paraId="65B74249" w14:textId="77777777" w:rsidR="007746D2" w:rsidRDefault="007746D2" w:rsidP="00772403">
      <w:pPr>
        <w:pStyle w:val="ListParagraph"/>
        <w:numPr>
          <w:ilvl w:val="0"/>
          <w:numId w:val="68"/>
        </w:numPr>
        <w:tabs>
          <w:tab w:val="left" w:pos="360"/>
        </w:tabs>
        <w:spacing w:line="23" w:lineRule="atLeast"/>
        <w:ind w:left="0" w:firstLine="0"/>
        <w:rPr>
          <w:rFonts w:cs="Times New Roman"/>
          <w:iCs/>
        </w:rPr>
      </w:pPr>
      <w:r>
        <w:rPr>
          <w:rFonts w:cs="Times New Roman"/>
          <w:iCs/>
        </w:rPr>
        <w:t xml:space="preserve">Ukraine’s total renewable water resources are estimated at </w:t>
      </w:r>
      <w:r w:rsidRPr="007746D2">
        <w:rPr>
          <w:rFonts w:cs="Times New Roman"/>
          <w:iCs/>
        </w:rPr>
        <w:t>139.6</w:t>
      </w:r>
      <w:r>
        <w:rPr>
          <w:rFonts w:cs="Times New Roman"/>
          <w:iCs/>
        </w:rPr>
        <w:t xml:space="preserve"> million cubic kilometers </w:t>
      </w:r>
      <w:r w:rsidR="00BA37E3">
        <w:rPr>
          <w:rFonts w:cs="Times New Roman"/>
          <w:iCs/>
        </w:rPr>
        <w:t xml:space="preserve">per year, and </w:t>
      </w:r>
      <w:r w:rsidR="00BA37E3" w:rsidRPr="00BA37E3">
        <w:rPr>
          <w:rFonts w:cs="Times New Roman"/>
          <w:iCs/>
        </w:rPr>
        <w:t>3</w:t>
      </w:r>
      <w:r w:rsidR="00BA37E3">
        <w:rPr>
          <w:rFonts w:cs="Times New Roman"/>
          <w:iCs/>
        </w:rPr>
        <w:t>,</w:t>
      </w:r>
      <w:r w:rsidR="00BA37E3" w:rsidRPr="00BA37E3">
        <w:rPr>
          <w:rFonts w:cs="Times New Roman"/>
          <w:iCs/>
        </w:rPr>
        <w:t>106</w:t>
      </w:r>
      <w:r w:rsidR="00BA37E3">
        <w:rPr>
          <w:rFonts w:cs="Times New Roman"/>
          <w:iCs/>
        </w:rPr>
        <w:t xml:space="preserve"> </w:t>
      </w:r>
      <w:r w:rsidR="00C347B6">
        <w:rPr>
          <w:rFonts w:cs="Times New Roman"/>
          <w:iCs/>
        </w:rPr>
        <w:t xml:space="preserve">cubic meters per capita per year. </w:t>
      </w:r>
      <w:r w:rsidR="00893D12">
        <w:rPr>
          <w:rFonts w:cs="Times New Roman"/>
          <w:iCs/>
        </w:rPr>
        <w:t xml:space="preserve">While </w:t>
      </w:r>
      <w:r w:rsidR="004B60FE">
        <w:rPr>
          <w:rFonts w:cs="Times New Roman"/>
          <w:iCs/>
        </w:rPr>
        <w:t xml:space="preserve">this level </w:t>
      </w:r>
      <w:r w:rsidR="00642B1C">
        <w:rPr>
          <w:rFonts w:cs="Times New Roman"/>
          <w:iCs/>
        </w:rPr>
        <w:t xml:space="preserve">puts Ukraine in the no stress level (defined as below </w:t>
      </w:r>
      <w:r w:rsidR="00893D12">
        <w:rPr>
          <w:rFonts w:cs="Times New Roman"/>
          <w:iCs/>
        </w:rPr>
        <w:t>1,700 cu</w:t>
      </w:r>
      <w:r w:rsidR="004B60FE">
        <w:rPr>
          <w:rFonts w:cs="Times New Roman"/>
          <w:iCs/>
        </w:rPr>
        <w:t>bic meters per capita per year)</w:t>
      </w:r>
      <w:r w:rsidR="00642B1C">
        <w:rPr>
          <w:rFonts w:cs="Times New Roman"/>
          <w:iCs/>
        </w:rPr>
        <w:t xml:space="preserve">, </w:t>
      </w:r>
      <w:r w:rsidR="00893D12">
        <w:rPr>
          <w:rFonts w:cs="Times New Roman"/>
          <w:iCs/>
        </w:rPr>
        <w:t xml:space="preserve">there is disparity in distribution of the water resources between different regions. </w:t>
      </w:r>
      <w:r w:rsidR="001B3CAE">
        <w:rPr>
          <w:rFonts w:cs="Times New Roman"/>
          <w:iCs/>
        </w:rPr>
        <w:t>T</w:t>
      </w:r>
      <w:r w:rsidR="00642B1C">
        <w:rPr>
          <w:rFonts w:cs="Times New Roman"/>
          <w:iCs/>
        </w:rPr>
        <w:t xml:space="preserve">able </w:t>
      </w:r>
      <w:r w:rsidR="005060F5">
        <w:rPr>
          <w:rFonts w:cs="Times New Roman"/>
          <w:iCs/>
        </w:rPr>
        <w:t>4</w:t>
      </w:r>
      <w:r w:rsidR="001B3CAE">
        <w:rPr>
          <w:rFonts w:cs="Times New Roman"/>
          <w:iCs/>
        </w:rPr>
        <w:t xml:space="preserve"> </w:t>
      </w:r>
      <w:r w:rsidR="00642B1C">
        <w:rPr>
          <w:rFonts w:cs="Times New Roman"/>
          <w:iCs/>
        </w:rPr>
        <w:t>below provides an overview of the abstraction, use</w:t>
      </w:r>
      <w:r w:rsidR="001F1E96">
        <w:rPr>
          <w:rFonts w:cs="Times New Roman"/>
          <w:iCs/>
        </w:rPr>
        <w:t>,</w:t>
      </w:r>
      <w:r w:rsidR="00642B1C">
        <w:rPr>
          <w:rFonts w:cs="Times New Roman"/>
          <w:iCs/>
        </w:rPr>
        <w:t xml:space="preserve"> and treatment of surface and ground water resources.</w:t>
      </w:r>
    </w:p>
    <w:p w14:paraId="4276D764" w14:textId="77777777" w:rsidR="00735770" w:rsidRDefault="00735770" w:rsidP="00351D3C">
      <w:pPr>
        <w:rPr>
          <w:rFonts w:cs="Times New Roman"/>
          <w:iCs/>
        </w:rPr>
      </w:pPr>
    </w:p>
    <w:p w14:paraId="6431EE3E" w14:textId="77777777" w:rsidR="00893D12" w:rsidRDefault="00893D12" w:rsidP="00772403">
      <w:pPr>
        <w:pStyle w:val="ListParagraph"/>
        <w:numPr>
          <w:ilvl w:val="0"/>
          <w:numId w:val="68"/>
        </w:numPr>
        <w:tabs>
          <w:tab w:val="left" w:pos="360"/>
        </w:tabs>
        <w:spacing w:line="23" w:lineRule="atLeast"/>
        <w:ind w:left="0" w:firstLine="0"/>
        <w:rPr>
          <w:rFonts w:cs="Times New Roman"/>
          <w:iCs/>
        </w:rPr>
      </w:pPr>
      <w:r w:rsidRPr="002B1DFC">
        <w:rPr>
          <w:rFonts w:cs="Times New Roman"/>
          <w:iCs/>
        </w:rPr>
        <w:t>The NES 2020 notes that prac</w:t>
      </w:r>
      <w:r w:rsidR="00870988">
        <w:rPr>
          <w:rFonts w:cs="Times New Roman"/>
          <w:iCs/>
        </w:rPr>
        <w:t>t</w:t>
      </w:r>
      <w:r w:rsidRPr="002B1DFC">
        <w:rPr>
          <w:rFonts w:cs="Times New Roman"/>
          <w:iCs/>
        </w:rPr>
        <w:t>ically all surface and ground water resources are polluted. Key pollutants include nitrogen and phosphorus, organic substances, which are exposed to light oxidation, pesticides, oil products, heavy metals, and phenols (NES</w:t>
      </w:r>
      <w:r w:rsidR="003C6E32">
        <w:rPr>
          <w:rFonts w:cs="Times New Roman"/>
          <w:iCs/>
        </w:rPr>
        <w:t xml:space="preserve"> </w:t>
      </w:r>
      <w:r w:rsidRPr="002B1DFC">
        <w:rPr>
          <w:rFonts w:cs="Times New Roman"/>
          <w:iCs/>
        </w:rPr>
        <w:t>2020)</w:t>
      </w:r>
      <w:r w:rsidR="003948AB">
        <w:rPr>
          <w:rFonts w:cs="Times New Roman"/>
          <w:iCs/>
        </w:rPr>
        <w:t xml:space="preserve"> (Government of Ukraine 2010)</w:t>
      </w:r>
      <w:r w:rsidR="00870988">
        <w:rPr>
          <w:rFonts w:cs="Times New Roman"/>
          <w:iCs/>
        </w:rPr>
        <w:t>.</w:t>
      </w:r>
    </w:p>
    <w:p w14:paraId="6A8DB556" w14:textId="77777777" w:rsidR="00893D12" w:rsidRDefault="00893D12" w:rsidP="002578F7">
      <w:pPr>
        <w:rPr>
          <w:rFonts w:cs="Times New Roman"/>
          <w:iCs/>
        </w:rPr>
      </w:pPr>
    </w:p>
    <w:p w14:paraId="597284E6" w14:textId="77777777" w:rsidR="001B7067" w:rsidRDefault="002E744A" w:rsidP="00772403">
      <w:pPr>
        <w:pStyle w:val="ListParagraph"/>
        <w:numPr>
          <w:ilvl w:val="0"/>
          <w:numId w:val="68"/>
        </w:numPr>
        <w:tabs>
          <w:tab w:val="left" w:pos="360"/>
        </w:tabs>
        <w:spacing w:line="23" w:lineRule="atLeast"/>
        <w:ind w:left="0" w:firstLine="0"/>
        <w:rPr>
          <w:rFonts w:cs="Times New Roman"/>
          <w:iCs/>
        </w:rPr>
      </w:pPr>
      <w:r w:rsidRPr="002E744A">
        <w:rPr>
          <w:rFonts w:cs="Times New Roman"/>
          <w:iCs/>
        </w:rPr>
        <w:t xml:space="preserve">The main causes of surface water pollution is the </w:t>
      </w:r>
      <w:r>
        <w:rPr>
          <w:rFonts w:cs="Times New Roman"/>
          <w:iCs/>
        </w:rPr>
        <w:t>discharge</w:t>
      </w:r>
      <w:r w:rsidRPr="002E744A">
        <w:rPr>
          <w:rFonts w:cs="Times New Roman"/>
          <w:iCs/>
        </w:rPr>
        <w:t xml:space="preserve"> of contaminated municipal and industrial waste water directly into the water</w:t>
      </w:r>
      <w:r>
        <w:rPr>
          <w:rFonts w:cs="Times New Roman"/>
          <w:iCs/>
        </w:rPr>
        <w:t xml:space="preserve"> body or through the </w:t>
      </w:r>
      <w:r w:rsidRPr="002E744A">
        <w:rPr>
          <w:rFonts w:cs="Times New Roman"/>
          <w:iCs/>
        </w:rPr>
        <w:t xml:space="preserve">sewage system; </w:t>
      </w:r>
      <w:r>
        <w:rPr>
          <w:rFonts w:cs="Times New Roman"/>
          <w:iCs/>
        </w:rPr>
        <w:t>polluted</w:t>
      </w:r>
      <w:r w:rsidRPr="002E744A">
        <w:rPr>
          <w:rFonts w:cs="Times New Roman"/>
          <w:iCs/>
        </w:rPr>
        <w:t xml:space="preserve"> runoff water from built-up areas and farmland</w:t>
      </w:r>
      <w:r>
        <w:rPr>
          <w:rFonts w:cs="Times New Roman"/>
          <w:iCs/>
        </w:rPr>
        <w:t>;</w:t>
      </w:r>
      <w:r w:rsidRPr="002E744A">
        <w:rPr>
          <w:rFonts w:cs="Times New Roman"/>
          <w:iCs/>
        </w:rPr>
        <w:t xml:space="preserve"> and soil erosion </w:t>
      </w:r>
      <w:r>
        <w:rPr>
          <w:rFonts w:cs="Times New Roman"/>
          <w:iCs/>
        </w:rPr>
        <w:t>in</w:t>
      </w:r>
      <w:r w:rsidRPr="002E744A">
        <w:rPr>
          <w:rFonts w:cs="Times New Roman"/>
          <w:iCs/>
        </w:rPr>
        <w:t xml:space="preserve"> water </w:t>
      </w:r>
      <w:r>
        <w:rPr>
          <w:rFonts w:cs="Times New Roman"/>
          <w:iCs/>
        </w:rPr>
        <w:t>recharge</w:t>
      </w:r>
      <w:r w:rsidRPr="002E744A">
        <w:rPr>
          <w:rFonts w:cs="Times New Roman"/>
          <w:iCs/>
        </w:rPr>
        <w:t xml:space="preserve"> area</w:t>
      </w:r>
      <w:r>
        <w:rPr>
          <w:rFonts w:cs="Times New Roman"/>
          <w:iCs/>
        </w:rPr>
        <w:t>s</w:t>
      </w:r>
      <w:r w:rsidRPr="002E744A">
        <w:rPr>
          <w:rFonts w:cs="Times New Roman"/>
          <w:iCs/>
        </w:rPr>
        <w:t>.</w:t>
      </w:r>
      <w:r>
        <w:rPr>
          <w:rFonts w:cs="Times New Roman"/>
          <w:iCs/>
        </w:rPr>
        <w:t xml:space="preserve">  Donetsk, Dnipropetrovsk, Luhansk</w:t>
      </w:r>
      <w:r w:rsidR="008F608B">
        <w:rPr>
          <w:rFonts w:cs="Times New Roman"/>
          <w:iCs/>
        </w:rPr>
        <w:t>, and</w:t>
      </w:r>
      <w:r>
        <w:rPr>
          <w:rFonts w:cs="Times New Roman"/>
          <w:iCs/>
        </w:rPr>
        <w:t xml:space="preserve"> Odesa oblasts account for approximately 75% of all discharges into surface waters. Key sectors contributing to discharge of polluted waters are industrial enterprises (</w:t>
      </w:r>
      <w:r w:rsidRPr="002E744A">
        <w:rPr>
          <w:rFonts w:cs="Times New Roman"/>
          <w:iCs/>
        </w:rPr>
        <w:t xml:space="preserve">894 </w:t>
      </w:r>
      <w:r>
        <w:rPr>
          <w:rFonts w:cs="Times New Roman"/>
          <w:iCs/>
        </w:rPr>
        <w:t>million cubic meters)</w:t>
      </w:r>
      <w:r w:rsidR="003C6E32">
        <w:rPr>
          <w:rFonts w:cs="Times New Roman"/>
          <w:iCs/>
        </w:rPr>
        <w:t>,</w:t>
      </w:r>
      <w:r w:rsidR="00294BDC">
        <w:rPr>
          <w:rFonts w:cs="Times New Roman"/>
          <w:iCs/>
        </w:rPr>
        <w:t xml:space="preserve"> followed by housing and </w:t>
      </w:r>
      <w:r w:rsidR="008F608B">
        <w:rPr>
          <w:rFonts w:cs="Times New Roman"/>
          <w:iCs/>
        </w:rPr>
        <w:t xml:space="preserve">the </w:t>
      </w:r>
      <w:r w:rsidR="00294BDC">
        <w:rPr>
          <w:rFonts w:cs="Times New Roman"/>
          <w:iCs/>
        </w:rPr>
        <w:t>communal sector (</w:t>
      </w:r>
      <w:r w:rsidR="00294BDC" w:rsidRPr="00294BDC">
        <w:rPr>
          <w:rFonts w:cs="Times New Roman"/>
          <w:iCs/>
        </w:rPr>
        <w:t>538 million</w:t>
      </w:r>
      <w:r w:rsidR="00294BDC">
        <w:rPr>
          <w:rFonts w:cs="Times New Roman"/>
          <w:iCs/>
        </w:rPr>
        <w:t xml:space="preserve"> cubic meters)</w:t>
      </w:r>
      <w:r w:rsidR="003C6E32">
        <w:rPr>
          <w:rFonts w:cs="Times New Roman"/>
          <w:iCs/>
        </w:rPr>
        <w:t>,</w:t>
      </w:r>
      <w:r w:rsidR="00294BDC">
        <w:rPr>
          <w:rFonts w:cs="Times New Roman"/>
          <w:iCs/>
        </w:rPr>
        <w:t xml:space="preserve"> and</w:t>
      </w:r>
      <w:r w:rsidR="003C6E32">
        <w:rPr>
          <w:rFonts w:cs="Times New Roman"/>
          <w:iCs/>
        </w:rPr>
        <w:t xml:space="preserve"> the</w:t>
      </w:r>
      <w:r w:rsidR="00294BDC">
        <w:rPr>
          <w:rFonts w:cs="Times New Roman"/>
          <w:iCs/>
        </w:rPr>
        <w:t xml:space="preserve"> agricultural sector (</w:t>
      </w:r>
      <w:r w:rsidR="00294BDC" w:rsidRPr="00294BDC">
        <w:rPr>
          <w:rFonts w:cs="Times New Roman"/>
          <w:iCs/>
        </w:rPr>
        <w:t xml:space="preserve">71 </w:t>
      </w:r>
      <w:r w:rsidR="00294BDC">
        <w:rPr>
          <w:rFonts w:cs="Times New Roman"/>
          <w:iCs/>
        </w:rPr>
        <w:t>million cubic meters)</w:t>
      </w:r>
      <w:r w:rsidRPr="002E744A">
        <w:rPr>
          <w:rFonts w:cs="Times New Roman"/>
          <w:iCs/>
        </w:rPr>
        <w:t>.</w:t>
      </w:r>
      <w:r w:rsidR="00893D12">
        <w:rPr>
          <w:rFonts w:cs="Times New Roman"/>
          <w:iCs/>
        </w:rPr>
        <w:t xml:space="preserve"> </w:t>
      </w:r>
      <w:r w:rsidR="001B7067" w:rsidRPr="001B7067">
        <w:rPr>
          <w:rFonts w:cs="Times New Roman"/>
          <w:iCs/>
        </w:rPr>
        <w:t>Due to the low quality of wastewater treatment, wastewater flow of contaminated surface reservoirs is not reduced.</w:t>
      </w:r>
    </w:p>
    <w:p w14:paraId="19615189" w14:textId="77777777" w:rsidR="00E41894" w:rsidRDefault="00E41894" w:rsidP="00E41894">
      <w:pPr>
        <w:rPr>
          <w:rFonts w:cs="Times New Roman"/>
          <w:iCs/>
        </w:rPr>
      </w:pPr>
    </w:p>
    <w:p w14:paraId="4581B06A" w14:textId="0CA2D278" w:rsidR="00E41894" w:rsidRDefault="00E41894" w:rsidP="00721C66">
      <w:pPr>
        <w:pStyle w:val="Caption"/>
        <w:spacing w:before="200"/>
        <w:rPr>
          <w:iCs/>
        </w:rPr>
      </w:pPr>
      <w:bookmarkStart w:id="40" w:name="_Toc440273996"/>
      <w:r>
        <w:lastRenderedPageBreak/>
        <w:t xml:space="preserve">Table </w:t>
      </w:r>
      <w:r>
        <w:fldChar w:fldCharType="begin"/>
      </w:r>
      <w:r>
        <w:instrText xml:space="preserve"> SEQ Table \* ARABIC </w:instrText>
      </w:r>
      <w:r>
        <w:fldChar w:fldCharType="separate"/>
      </w:r>
      <w:r w:rsidR="00356D5F">
        <w:t>4</w:t>
      </w:r>
      <w:r>
        <w:fldChar w:fldCharType="end"/>
      </w:r>
      <w:r>
        <w:t>. Overview of Ukraine’s Use of Water Resources</w:t>
      </w:r>
      <w:bookmarkEnd w:id="40"/>
      <w:r w:rsidR="00893B23">
        <w:t xml:space="preserve"> </w:t>
      </w:r>
      <w:r w:rsidR="00721C66">
        <w:t>(</w:t>
      </w:r>
      <w:r w:rsidR="00893B23">
        <w:t>million cubic meters</w:t>
      </w:r>
      <w:r w:rsidR="00721C66">
        <w:t>)</w:t>
      </w:r>
      <w:r>
        <w:t xml:space="preserve"> </w:t>
      </w:r>
    </w:p>
    <w:tbl>
      <w:tblPr>
        <w:tblW w:w="5000" w:type="pct"/>
        <w:tblBorders>
          <w:top w:val="single" w:sz="4" w:space="0" w:color="4472C4"/>
          <w:left w:val="single" w:sz="4" w:space="0" w:color="4472C4"/>
          <w:bottom w:val="single" w:sz="4" w:space="0" w:color="4472C4"/>
          <w:right w:val="single" w:sz="4" w:space="0" w:color="4472C4"/>
        </w:tblBorders>
        <w:tblLook w:val="00A0" w:firstRow="1" w:lastRow="0" w:firstColumn="1" w:lastColumn="0" w:noHBand="0" w:noVBand="0"/>
      </w:tblPr>
      <w:tblGrid>
        <w:gridCol w:w="3885"/>
        <w:gridCol w:w="1169"/>
        <w:gridCol w:w="1432"/>
        <w:gridCol w:w="1432"/>
        <w:gridCol w:w="1432"/>
      </w:tblGrid>
      <w:tr w:rsidR="00E41894" w:rsidRPr="001557B4" w14:paraId="52C0774F" w14:textId="77777777" w:rsidTr="006C09A8">
        <w:tc>
          <w:tcPr>
            <w:tcW w:w="2077" w:type="pct"/>
            <w:tcBorders>
              <w:bottom w:val="nil"/>
              <w:right w:val="nil"/>
            </w:tcBorders>
            <w:shd w:val="clear" w:color="auto" w:fill="4472C4"/>
          </w:tcPr>
          <w:p w14:paraId="1B599C77" w14:textId="77777777" w:rsidR="00E41894" w:rsidRPr="002578F7" w:rsidRDefault="00E41894" w:rsidP="006C09A8">
            <w:pPr>
              <w:jc w:val="left"/>
              <w:rPr>
                <w:rFonts w:eastAsia="Courier New"/>
                <w:b/>
                <w:bCs/>
                <w:color w:val="FFFFFF"/>
                <w:sz w:val="20"/>
                <w:szCs w:val="20"/>
              </w:rPr>
            </w:pPr>
            <w:r w:rsidRPr="002578F7">
              <w:rPr>
                <w:rFonts w:eastAsia="Courier New"/>
                <w:b/>
                <w:bCs/>
                <w:color w:val="FFFFFF"/>
                <w:sz w:val="20"/>
                <w:szCs w:val="20"/>
              </w:rPr>
              <w:t>Indicator</w:t>
            </w:r>
          </w:p>
        </w:tc>
        <w:tc>
          <w:tcPr>
            <w:tcW w:w="625" w:type="pct"/>
            <w:shd w:val="clear" w:color="auto" w:fill="4472C4"/>
          </w:tcPr>
          <w:p w14:paraId="57D43F6B" w14:textId="77777777" w:rsidR="00E41894" w:rsidRPr="00351D3C" w:rsidRDefault="00E41894" w:rsidP="006C09A8">
            <w:pPr>
              <w:ind w:left="-198"/>
              <w:jc w:val="center"/>
              <w:rPr>
                <w:b/>
                <w:bCs/>
                <w:color w:val="FFFFFF"/>
                <w:sz w:val="20"/>
                <w:szCs w:val="20"/>
                <w:lang w:val="uk-UA"/>
              </w:rPr>
            </w:pPr>
            <w:r w:rsidRPr="00351D3C">
              <w:rPr>
                <w:rFonts w:eastAsia="Courier New"/>
                <w:b/>
                <w:bCs/>
                <w:color w:val="FFFFFF"/>
                <w:sz w:val="20"/>
                <w:szCs w:val="20"/>
                <w:lang w:val="uk-UA"/>
              </w:rPr>
              <w:t>1990</w:t>
            </w:r>
          </w:p>
        </w:tc>
        <w:tc>
          <w:tcPr>
            <w:tcW w:w="766" w:type="pct"/>
            <w:shd w:val="clear" w:color="auto" w:fill="4472C4"/>
          </w:tcPr>
          <w:p w14:paraId="0491E2F0" w14:textId="77777777" w:rsidR="00E41894" w:rsidRPr="00663979" w:rsidRDefault="00E41894" w:rsidP="006C09A8">
            <w:pPr>
              <w:jc w:val="center"/>
              <w:rPr>
                <w:b/>
                <w:bCs/>
                <w:color w:val="FFFFFF"/>
                <w:sz w:val="20"/>
                <w:szCs w:val="20"/>
                <w:lang w:val="uk-UA"/>
              </w:rPr>
            </w:pPr>
            <w:r w:rsidRPr="00E9091B">
              <w:rPr>
                <w:rFonts w:eastAsia="Courier New"/>
                <w:b/>
                <w:bCs/>
                <w:color w:val="FFFFFF"/>
                <w:sz w:val="20"/>
                <w:szCs w:val="20"/>
                <w:lang w:val="uk-UA"/>
              </w:rPr>
              <w:t>2000</w:t>
            </w:r>
          </w:p>
        </w:tc>
        <w:tc>
          <w:tcPr>
            <w:tcW w:w="766" w:type="pct"/>
            <w:shd w:val="clear" w:color="auto" w:fill="4472C4"/>
          </w:tcPr>
          <w:p w14:paraId="6BBBB659" w14:textId="77777777" w:rsidR="00E41894" w:rsidRPr="0059336D" w:rsidRDefault="00E41894" w:rsidP="006C09A8">
            <w:pPr>
              <w:jc w:val="center"/>
              <w:rPr>
                <w:b/>
                <w:bCs/>
                <w:color w:val="FFFFFF"/>
                <w:sz w:val="20"/>
                <w:szCs w:val="20"/>
                <w:lang w:val="uk-UA"/>
              </w:rPr>
            </w:pPr>
            <w:r w:rsidRPr="0059336D">
              <w:rPr>
                <w:rFonts w:eastAsia="Courier New"/>
                <w:b/>
                <w:bCs/>
                <w:color w:val="FFFFFF"/>
                <w:sz w:val="20"/>
                <w:szCs w:val="20"/>
                <w:lang w:val="uk-UA"/>
              </w:rPr>
              <w:t>2005</w:t>
            </w:r>
          </w:p>
        </w:tc>
        <w:tc>
          <w:tcPr>
            <w:tcW w:w="766" w:type="pct"/>
            <w:shd w:val="clear" w:color="auto" w:fill="4472C4"/>
          </w:tcPr>
          <w:p w14:paraId="1B4F7822" w14:textId="77777777" w:rsidR="00E41894" w:rsidRPr="00D14101" w:rsidRDefault="00E41894" w:rsidP="006C09A8">
            <w:pPr>
              <w:jc w:val="center"/>
              <w:rPr>
                <w:b/>
                <w:bCs/>
                <w:color w:val="FFFFFF"/>
                <w:sz w:val="20"/>
                <w:szCs w:val="20"/>
                <w:lang w:val="uk-UA"/>
              </w:rPr>
            </w:pPr>
            <w:r w:rsidRPr="00D14101">
              <w:rPr>
                <w:rFonts w:eastAsia="Courier New"/>
                <w:b/>
                <w:bCs/>
                <w:color w:val="FFFFFF"/>
                <w:sz w:val="20"/>
                <w:szCs w:val="20"/>
                <w:lang w:val="uk-UA"/>
              </w:rPr>
              <w:t>2010</w:t>
            </w:r>
          </w:p>
        </w:tc>
      </w:tr>
      <w:tr w:rsidR="00E41894" w:rsidRPr="001557B4" w14:paraId="5FF0301B" w14:textId="77777777" w:rsidTr="006C09A8">
        <w:tc>
          <w:tcPr>
            <w:tcW w:w="2077" w:type="pct"/>
            <w:tcBorders>
              <w:top w:val="single" w:sz="4" w:space="0" w:color="4472C4"/>
              <w:bottom w:val="single" w:sz="4" w:space="0" w:color="4472C4"/>
              <w:right w:val="nil"/>
            </w:tcBorders>
            <w:shd w:val="clear" w:color="auto" w:fill="FFFFFF"/>
          </w:tcPr>
          <w:p w14:paraId="3CADEC10" w14:textId="77777777" w:rsidR="00E41894" w:rsidRPr="001557B4" w:rsidRDefault="00E41894" w:rsidP="006C09A8">
            <w:pPr>
              <w:jc w:val="left"/>
              <w:rPr>
                <w:rFonts w:eastAsia="Courier New"/>
                <w:b/>
                <w:bCs/>
                <w:sz w:val="20"/>
                <w:szCs w:val="20"/>
              </w:rPr>
            </w:pPr>
            <w:r w:rsidRPr="001557B4">
              <w:rPr>
                <w:rFonts w:eastAsia="Courier New"/>
                <w:b/>
                <w:bCs/>
                <w:sz w:val="20"/>
                <w:szCs w:val="20"/>
              </w:rPr>
              <w:t>Total water abstraction</w:t>
            </w:r>
          </w:p>
        </w:tc>
        <w:tc>
          <w:tcPr>
            <w:tcW w:w="625" w:type="pct"/>
            <w:tcBorders>
              <w:top w:val="single" w:sz="4" w:space="0" w:color="4472C4"/>
              <w:bottom w:val="single" w:sz="4" w:space="0" w:color="4472C4"/>
            </w:tcBorders>
            <w:shd w:val="clear" w:color="auto" w:fill="auto"/>
          </w:tcPr>
          <w:p w14:paraId="7745FDE5" w14:textId="77777777" w:rsidR="00E41894" w:rsidRPr="001557B4" w:rsidRDefault="00E41894" w:rsidP="006C09A8">
            <w:pPr>
              <w:ind w:left="-378" w:right="369"/>
              <w:jc w:val="right"/>
              <w:rPr>
                <w:sz w:val="20"/>
                <w:szCs w:val="20"/>
                <w:lang w:val="uk-UA"/>
              </w:rPr>
            </w:pPr>
            <w:r w:rsidRPr="001557B4">
              <w:rPr>
                <w:sz w:val="20"/>
                <w:szCs w:val="20"/>
              </w:rPr>
              <w:t xml:space="preserve"> 35,615 </w:t>
            </w:r>
          </w:p>
        </w:tc>
        <w:tc>
          <w:tcPr>
            <w:tcW w:w="766" w:type="pct"/>
            <w:tcBorders>
              <w:top w:val="single" w:sz="4" w:space="0" w:color="4472C4"/>
              <w:bottom w:val="single" w:sz="4" w:space="0" w:color="4472C4"/>
            </w:tcBorders>
            <w:shd w:val="clear" w:color="auto" w:fill="auto"/>
          </w:tcPr>
          <w:p w14:paraId="532A4376" w14:textId="77777777" w:rsidR="00E41894" w:rsidRPr="001557B4" w:rsidRDefault="00E41894" w:rsidP="006C09A8">
            <w:pPr>
              <w:ind w:right="396"/>
              <w:jc w:val="right"/>
              <w:rPr>
                <w:sz w:val="20"/>
                <w:szCs w:val="20"/>
                <w:lang w:val="uk-UA"/>
              </w:rPr>
            </w:pPr>
            <w:r w:rsidRPr="001557B4">
              <w:rPr>
                <w:sz w:val="20"/>
                <w:szCs w:val="20"/>
              </w:rPr>
              <w:t xml:space="preserve"> 18,282 </w:t>
            </w:r>
          </w:p>
        </w:tc>
        <w:tc>
          <w:tcPr>
            <w:tcW w:w="766" w:type="pct"/>
            <w:tcBorders>
              <w:top w:val="single" w:sz="4" w:space="0" w:color="4472C4"/>
              <w:bottom w:val="single" w:sz="4" w:space="0" w:color="4472C4"/>
            </w:tcBorders>
            <w:shd w:val="clear" w:color="auto" w:fill="auto"/>
          </w:tcPr>
          <w:p w14:paraId="176AD6B8" w14:textId="77777777" w:rsidR="00E41894" w:rsidRPr="001557B4" w:rsidRDefault="00E41894" w:rsidP="006C09A8">
            <w:pPr>
              <w:ind w:right="423"/>
              <w:jc w:val="right"/>
              <w:rPr>
                <w:sz w:val="20"/>
                <w:szCs w:val="20"/>
                <w:lang w:val="uk-UA"/>
              </w:rPr>
            </w:pPr>
            <w:r w:rsidRPr="001557B4">
              <w:rPr>
                <w:sz w:val="20"/>
                <w:szCs w:val="20"/>
              </w:rPr>
              <w:t xml:space="preserve"> 15,083 </w:t>
            </w:r>
          </w:p>
        </w:tc>
        <w:tc>
          <w:tcPr>
            <w:tcW w:w="766" w:type="pct"/>
            <w:tcBorders>
              <w:top w:val="single" w:sz="4" w:space="0" w:color="4472C4"/>
              <w:bottom w:val="single" w:sz="4" w:space="0" w:color="4472C4"/>
            </w:tcBorders>
            <w:shd w:val="clear" w:color="auto" w:fill="auto"/>
          </w:tcPr>
          <w:p w14:paraId="78BC03F1" w14:textId="77777777" w:rsidR="00E41894" w:rsidRPr="001557B4" w:rsidRDefault="00E41894" w:rsidP="006C09A8">
            <w:pPr>
              <w:ind w:right="431"/>
              <w:jc w:val="right"/>
              <w:rPr>
                <w:sz w:val="20"/>
                <w:szCs w:val="20"/>
                <w:lang w:val="uk-UA"/>
              </w:rPr>
            </w:pPr>
            <w:r w:rsidRPr="001557B4">
              <w:rPr>
                <w:sz w:val="20"/>
                <w:szCs w:val="20"/>
              </w:rPr>
              <w:t xml:space="preserve"> 14,846 </w:t>
            </w:r>
          </w:p>
        </w:tc>
      </w:tr>
      <w:tr w:rsidR="00E41894" w:rsidRPr="001557B4" w14:paraId="51102250" w14:textId="77777777" w:rsidTr="006C09A8">
        <w:tc>
          <w:tcPr>
            <w:tcW w:w="2077" w:type="pct"/>
            <w:tcBorders>
              <w:right w:val="nil"/>
            </w:tcBorders>
            <w:shd w:val="clear" w:color="auto" w:fill="FFFFFF"/>
          </w:tcPr>
          <w:p w14:paraId="1C7269E1" w14:textId="77777777" w:rsidR="00E41894" w:rsidRPr="001557B4" w:rsidRDefault="00E41894" w:rsidP="006C09A8">
            <w:pPr>
              <w:ind w:left="360"/>
              <w:jc w:val="left"/>
              <w:rPr>
                <w:rFonts w:eastAsia="Courier New"/>
                <w:sz w:val="20"/>
                <w:szCs w:val="20"/>
                <w:lang w:val="uk-UA"/>
              </w:rPr>
            </w:pPr>
            <w:r w:rsidRPr="001557B4">
              <w:rPr>
                <w:rFonts w:eastAsia="Courier New"/>
                <w:sz w:val="20"/>
                <w:szCs w:val="20"/>
              </w:rPr>
              <w:t xml:space="preserve">Including groundwater abstraction </w:t>
            </w:r>
          </w:p>
        </w:tc>
        <w:tc>
          <w:tcPr>
            <w:tcW w:w="625" w:type="pct"/>
            <w:shd w:val="clear" w:color="auto" w:fill="auto"/>
          </w:tcPr>
          <w:p w14:paraId="6C54B00E" w14:textId="77777777" w:rsidR="00E41894" w:rsidRPr="001557B4" w:rsidRDefault="00E41894" w:rsidP="006C09A8">
            <w:pPr>
              <w:ind w:left="-378" w:right="369"/>
              <w:jc w:val="right"/>
              <w:rPr>
                <w:rFonts w:eastAsia="Courier New"/>
                <w:sz w:val="20"/>
                <w:szCs w:val="20"/>
                <w:lang w:val="uk-UA"/>
              </w:rPr>
            </w:pPr>
            <w:r w:rsidRPr="001557B4">
              <w:rPr>
                <w:sz w:val="20"/>
                <w:szCs w:val="20"/>
              </w:rPr>
              <w:t xml:space="preserve"> 5,200 </w:t>
            </w:r>
          </w:p>
        </w:tc>
        <w:tc>
          <w:tcPr>
            <w:tcW w:w="766" w:type="pct"/>
            <w:shd w:val="clear" w:color="auto" w:fill="auto"/>
          </w:tcPr>
          <w:p w14:paraId="07F308B1" w14:textId="77777777" w:rsidR="00E41894" w:rsidRPr="001557B4" w:rsidRDefault="00E41894" w:rsidP="006C09A8">
            <w:pPr>
              <w:ind w:right="396"/>
              <w:jc w:val="right"/>
              <w:rPr>
                <w:rFonts w:eastAsia="Courier New"/>
                <w:sz w:val="20"/>
                <w:szCs w:val="20"/>
                <w:lang w:val="uk-UA"/>
              </w:rPr>
            </w:pPr>
            <w:r w:rsidRPr="001557B4">
              <w:rPr>
                <w:sz w:val="20"/>
                <w:szCs w:val="20"/>
              </w:rPr>
              <w:t xml:space="preserve"> 2,987 </w:t>
            </w:r>
          </w:p>
        </w:tc>
        <w:tc>
          <w:tcPr>
            <w:tcW w:w="766" w:type="pct"/>
            <w:shd w:val="clear" w:color="auto" w:fill="auto"/>
          </w:tcPr>
          <w:p w14:paraId="11A12EAB" w14:textId="77777777" w:rsidR="00E41894" w:rsidRPr="001557B4" w:rsidRDefault="00E41894" w:rsidP="006C09A8">
            <w:pPr>
              <w:ind w:right="423"/>
              <w:jc w:val="right"/>
              <w:rPr>
                <w:sz w:val="20"/>
                <w:szCs w:val="20"/>
                <w:lang w:val="uk-UA"/>
              </w:rPr>
            </w:pPr>
            <w:r w:rsidRPr="001557B4">
              <w:rPr>
                <w:sz w:val="20"/>
                <w:szCs w:val="20"/>
              </w:rPr>
              <w:t xml:space="preserve"> 2,449 </w:t>
            </w:r>
          </w:p>
        </w:tc>
        <w:tc>
          <w:tcPr>
            <w:tcW w:w="766" w:type="pct"/>
            <w:shd w:val="clear" w:color="auto" w:fill="auto"/>
          </w:tcPr>
          <w:p w14:paraId="6F880AB8" w14:textId="77777777" w:rsidR="00E41894" w:rsidRPr="001557B4" w:rsidRDefault="00E41894" w:rsidP="006C09A8">
            <w:pPr>
              <w:ind w:right="431"/>
              <w:jc w:val="right"/>
              <w:rPr>
                <w:sz w:val="20"/>
                <w:szCs w:val="20"/>
                <w:lang w:val="uk-UA"/>
              </w:rPr>
            </w:pPr>
            <w:r w:rsidRPr="001557B4">
              <w:rPr>
                <w:sz w:val="20"/>
                <w:szCs w:val="20"/>
              </w:rPr>
              <w:t xml:space="preserve"> 2,023 </w:t>
            </w:r>
          </w:p>
        </w:tc>
      </w:tr>
      <w:tr w:rsidR="00E41894" w:rsidRPr="001557B4" w14:paraId="76E092B5" w14:textId="77777777" w:rsidTr="006C09A8">
        <w:tc>
          <w:tcPr>
            <w:tcW w:w="2077" w:type="pct"/>
            <w:tcBorders>
              <w:top w:val="single" w:sz="4" w:space="0" w:color="4472C4"/>
              <w:bottom w:val="single" w:sz="4" w:space="0" w:color="4472C4"/>
              <w:right w:val="nil"/>
            </w:tcBorders>
            <w:shd w:val="clear" w:color="auto" w:fill="FFFFFF"/>
          </w:tcPr>
          <w:p w14:paraId="73013F6F" w14:textId="77777777" w:rsidR="00E41894" w:rsidRPr="001557B4" w:rsidRDefault="00E41894" w:rsidP="006C09A8">
            <w:pPr>
              <w:jc w:val="left"/>
              <w:rPr>
                <w:rFonts w:eastAsia="Courier New"/>
                <w:b/>
                <w:bCs/>
                <w:sz w:val="20"/>
                <w:szCs w:val="20"/>
                <w:lang w:val="uk-UA"/>
              </w:rPr>
            </w:pPr>
            <w:r w:rsidRPr="001557B4">
              <w:rPr>
                <w:rFonts w:eastAsia="Courier New"/>
                <w:b/>
                <w:bCs/>
                <w:sz w:val="20"/>
                <w:szCs w:val="20"/>
                <w:lang w:val="uk-UA"/>
              </w:rPr>
              <w:t>Use</w:t>
            </w:r>
            <w:r w:rsidRPr="001557B4">
              <w:rPr>
                <w:rFonts w:eastAsia="Courier New"/>
                <w:b/>
                <w:bCs/>
                <w:sz w:val="20"/>
                <w:szCs w:val="20"/>
              </w:rPr>
              <w:t>d</w:t>
            </w:r>
            <w:r w:rsidRPr="001557B4">
              <w:rPr>
                <w:rFonts w:eastAsia="Courier New"/>
                <w:b/>
                <w:bCs/>
                <w:sz w:val="20"/>
                <w:szCs w:val="20"/>
                <w:lang w:val="uk-UA"/>
              </w:rPr>
              <w:t xml:space="preserve"> fresh water (including marine)</w:t>
            </w:r>
          </w:p>
        </w:tc>
        <w:tc>
          <w:tcPr>
            <w:tcW w:w="625" w:type="pct"/>
            <w:tcBorders>
              <w:top w:val="single" w:sz="4" w:space="0" w:color="4472C4"/>
              <w:bottom w:val="single" w:sz="4" w:space="0" w:color="4472C4"/>
            </w:tcBorders>
            <w:shd w:val="clear" w:color="auto" w:fill="auto"/>
          </w:tcPr>
          <w:p w14:paraId="11EB8681" w14:textId="77777777" w:rsidR="00E41894" w:rsidRPr="001557B4" w:rsidRDefault="00E41894" w:rsidP="006C09A8">
            <w:pPr>
              <w:ind w:left="-378" w:right="369"/>
              <w:jc w:val="right"/>
              <w:rPr>
                <w:sz w:val="20"/>
                <w:szCs w:val="20"/>
                <w:lang w:val="uk-UA"/>
              </w:rPr>
            </w:pPr>
            <w:r w:rsidRPr="001557B4">
              <w:rPr>
                <w:sz w:val="20"/>
                <w:szCs w:val="20"/>
              </w:rPr>
              <w:t xml:space="preserve"> 30,201 </w:t>
            </w:r>
          </w:p>
        </w:tc>
        <w:tc>
          <w:tcPr>
            <w:tcW w:w="766" w:type="pct"/>
            <w:tcBorders>
              <w:top w:val="single" w:sz="4" w:space="0" w:color="4472C4"/>
              <w:bottom w:val="single" w:sz="4" w:space="0" w:color="4472C4"/>
            </w:tcBorders>
            <w:shd w:val="clear" w:color="auto" w:fill="auto"/>
          </w:tcPr>
          <w:p w14:paraId="1393BC09" w14:textId="77777777" w:rsidR="00E41894" w:rsidRPr="001557B4" w:rsidRDefault="00E41894" w:rsidP="006C09A8">
            <w:pPr>
              <w:ind w:right="396"/>
              <w:jc w:val="right"/>
              <w:rPr>
                <w:sz w:val="20"/>
                <w:szCs w:val="20"/>
                <w:lang w:val="uk-UA"/>
              </w:rPr>
            </w:pPr>
            <w:r w:rsidRPr="001557B4">
              <w:rPr>
                <w:sz w:val="20"/>
                <w:szCs w:val="20"/>
              </w:rPr>
              <w:t xml:space="preserve"> 12,991 </w:t>
            </w:r>
          </w:p>
        </w:tc>
        <w:tc>
          <w:tcPr>
            <w:tcW w:w="766" w:type="pct"/>
            <w:tcBorders>
              <w:top w:val="single" w:sz="4" w:space="0" w:color="4472C4"/>
              <w:bottom w:val="single" w:sz="4" w:space="0" w:color="4472C4"/>
            </w:tcBorders>
            <w:shd w:val="clear" w:color="auto" w:fill="auto"/>
          </w:tcPr>
          <w:p w14:paraId="25A16F73" w14:textId="77777777" w:rsidR="00E41894" w:rsidRPr="001557B4" w:rsidRDefault="00E41894" w:rsidP="006C09A8">
            <w:pPr>
              <w:ind w:right="423"/>
              <w:jc w:val="right"/>
              <w:rPr>
                <w:sz w:val="20"/>
                <w:szCs w:val="20"/>
                <w:lang w:val="uk-UA"/>
              </w:rPr>
            </w:pPr>
            <w:r w:rsidRPr="001557B4">
              <w:rPr>
                <w:sz w:val="20"/>
                <w:szCs w:val="20"/>
              </w:rPr>
              <w:t xml:space="preserve"> 10,188 </w:t>
            </w:r>
          </w:p>
        </w:tc>
        <w:tc>
          <w:tcPr>
            <w:tcW w:w="766" w:type="pct"/>
            <w:tcBorders>
              <w:top w:val="single" w:sz="4" w:space="0" w:color="4472C4"/>
              <w:bottom w:val="single" w:sz="4" w:space="0" w:color="4472C4"/>
            </w:tcBorders>
            <w:shd w:val="clear" w:color="auto" w:fill="auto"/>
          </w:tcPr>
          <w:p w14:paraId="3D3D61E0" w14:textId="77777777" w:rsidR="00E41894" w:rsidRPr="001557B4" w:rsidRDefault="00E41894" w:rsidP="006C09A8">
            <w:pPr>
              <w:ind w:right="431"/>
              <w:jc w:val="right"/>
              <w:rPr>
                <w:sz w:val="20"/>
                <w:szCs w:val="20"/>
                <w:lang w:val="uk-UA"/>
              </w:rPr>
            </w:pPr>
            <w:r w:rsidRPr="001557B4">
              <w:rPr>
                <w:sz w:val="20"/>
                <w:szCs w:val="20"/>
              </w:rPr>
              <w:t xml:space="preserve"> 9,817 </w:t>
            </w:r>
          </w:p>
        </w:tc>
      </w:tr>
      <w:tr w:rsidR="00E41894" w:rsidRPr="001557B4" w14:paraId="6FED646F" w14:textId="77777777" w:rsidTr="006C09A8">
        <w:tc>
          <w:tcPr>
            <w:tcW w:w="2077" w:type="pct"/>
            <w:tcBorders>
              <w:right w:val="nil"/>
            </w:tcBorders>
            <w:shd w:val="clear" w:color="auto" w:fill="FFFFFF"/>
          </w:tcPr>
          <w:p w14:paraId="20691CC5" w14:textId="77777777" w:rsidR="00E41894" w:rsidRPr="001557B4" w:rsidRDefault="00E41894" w:rsidP="006C09A8">
            <w:pPr>
              <w:ind w:left="360"/>
              <w:jc w:val="left"/>
              <w:rPr>
                <w:rFonts w:eastAsia="Courier New"/>
                <w:sz w:val="20"/>
                <w:szCs w:val="20"/>
                <w:lang w:val="uk-UA"/>
              </w:rPr>
            </w:pPr>
            <w:r w:rsidRPr="001557B4">
              <w:rPr>
                <w:rFonts w:eastAsia="Courier New"/>
                <w:sz w:val="20"/>
                <w:szCs w:val="20"/>
                <w:lang w:val="uk-UA"/>
              </w:rPr>
              <w:t>production needs</w:t>
            </w:r>
          </w:p>
        </w:tc>
        <w:tc>
          <w:tcPr>
            <w:tcW w:w="625" w:type="pct"/>
            <w:shd w:val="clear" w:color="auto" w:fill="auto"/>
          </w:tcPr>
          <w:p w14:paraId="7B818482" w14:textId="77777777" w:rsidR="00E41894" w:rsidRPr="001557B4" w:rsidRDefault="00E41894" w:rsidP="006C09A8">
            <w:pPr>
              <w:ind w:left="-378" w:right="369"/>
              <w:jc w:val="right"/>
              <w:rPr>
                <w:sz w:val="20"/>
                <w:szCs w:val="20"/>
                <w:lang w:val="uk-UA"/>
              </w:rPr>
            </w:pPr>
            <w:r w:rsidRPr="001557B4">
              <w:rPr>
                <w:sz w:val="20"/>
                <w:szCs w:val="20"/>
              </w:rPr>
              <w:t xml:space="preserve"> 16,247 </w:t>
            </w:r>
          </w:p>
        </w:tc>
        <w:tc>
          <w:tcPr>
            <w:tcW w:w="766" w:type="pct"/>
            <w:shd w:val="clear" w:color="auto" w:fill="auto"/>
          </w:tcPr>
          <w:p w14:paraId="32C5725A" w14:textId="77777777" w:rsidR="00E41894" w:rsidRPr="001557B4" w:rsidRDefault="00E41894" w:rsidP="006C09A8">
            <w:pPr>
              <w:ind w:right="396"/>
              <w:jc w:val="right"/>
              <w:rPr>
                <w:sz w:val="20"/>
                <w:szCs w:val="20"/>
                <w:lang w:val="uk-UA"/>
              </w:rPr>
            </w:pPr>
            <w:r w:rsidRPr="001557B4">
              <w:rPr>
                <w:sz w:val="20"/>
                <w:szCs w:val="20"/>
              </w:rPr>
              <w:t xml:space="preserve"> 6,957 </w:t>
            </w:r>
          </w:p>
        </w:tc>
        <w:tc>
          <w:tcPr>
            <w:tcW w:w="766" w:type="pct"/>
            <w:shd w:val="clear" w:color="auto" w:fill="auto"/>
          </w:tcPr>
          <w:p w14:paraId="5BC0BBBD" w14:textId="77777777" w:rsidR="00E41894" w:rsidRPr="001557B4" w:rsidRDefault="00E41894" w:rsidP="006C09A8">
            <w:pPr>
              <w:ind w:right="423"/>
              <w:jc w:val="right"/>
              <w:rPr>
                <w:sz w:val="20"/>
                <w:szCs w:val="20"/>
                <w:lang w:val="uk-UA"/>
              </w:rPr>
            </w:pPr>
            <w:r w:rsidRPr="001557B4">
              <w:rPr>
                <w:sz w:val="20"/>
                <w:szCs w:val="20"/>
              </w:rPr>
              <w:t xml:space="preserve"> 5,706 </w:t>
            </w:r>
          </w:p>
        </w:tc>
        <w:tc>
          <w:tcPr>
            <w:tcW w:w="766" w:type="pct"/>
            <w:shd w:val="clear" w:color="auto" w:fill="auto"/>
          </w:tcPr>
          <w:p w14:paraId="0BEF21B9" w14:textId="77777777" w:rsidR="00E41894" w:rsidRPr="001557B4" w:rsidRDefault="00E41894" w:rsidP="006C09A8">
            <w:pPr>
              <w:ind w:right="431"/>
              <w:jc w:val="right"/>
              <w:rPr>
                <w:sz w:val="20"/>
                <w:szCs w:val="20"/>
                <w:lang w:val="uk-UA"/>
              </w:rPr>
            </w:pPr>
            <w:r w:rsidRPr="001557B4">
              <w:rPr>
                <w:sz w:val="20"/>
                <w:szCs w:val="20"/>
              </w:rPr>
              <w:t xml:space="preserve"> 5,511 </w:t>
            </w:r>
          </w:p>
        </w:tc>
      </w:tr>
      <w:tr w:rsidR="00E41894" w:rsidRPr="001557B4" w14:paraId="5358EDAD" w14:textId="77777777" w:rsidTr="006C09A8">
        <w:tc>
          <w:tcPr>
            <w:tcW w:w="2077" w:type="pct"/>
            <w:tcBorders>
              <w:top w:val="single" w:sz="4" w:space="0" w:color="4472C4"/>
              <w:bottom w:val="single" w:sz="4" w:space="0" w:color="4472C4"/>
              <w:right w:val="nil"/>
            </w:tcBorders>
            <w:shd w:val="clear" w:color="auto" w:fill="FFFFFF"/>
          </w:tcPr>
          <w:p w14:paraId="0132F94E" w14:textId="77777777" w:rsidR="00E41894" w:rsidRPr="001557B4" w:rsidRDefault="00E41894" w:rsidP="006C09A8">
            <w:pPr>
              <w:ind w:left="360"/>
              <w:jc w:val="left"/>
              <w:rPr>
                <w:rFonts w:eastAsia="Courier New"/>
                <w:sz w:val="20"/>
                <w:szCs w:val="20"/>
                <w:lang w:val="uk-UA"/>
              </w:rPr>
            </w:pPr>
            <w:r w:rsidRPr="001557B4">
              <w:rPr>
                <w:rFonts w:eastAsia="Courier New"/>
                <w:sz w:val="20"/>
                <w:szCs w:val="20"/>
                <w:lang w:val="uk-UA"/>
              </w:rPr>
              <w:t>domestic and drinking need</w:t>
            </w:r>
          </w:p>
        </w:tc>
        <w:tc>
          <w:tcPr>
            <w:tcW w:w="625" w:type="pct"/>
            <w:tcBorders>
              <w:top w:val="single" w:sz="4" w:space="0" w:color="4472C4"/>
              <w:bottom w:val="single" w:sz="4" w:space="0" w:color="4472C4"/>
            </w:tcBorders>
            <w:shd w:val="clear" w:color="auto" w:fill="auto"/>
          </w:tcPr>
          <w:p w14:paraId="1B92C5EF" w14:textId="77777777" w:rsidR="00E41894" w:rsidRPr="001557B4" w:rsidRDefault="00E41894" w:rsidP="006C09A8">
            <w:pPr>
              <w:ind w:left="-378" w:right="369"/>
              <w:jc w:val="right"/>
              <w:rPr>
                <w:sz w:val="20"/>
                <w:szCs w:val="20"/>
                <w:lang w:val="uk-UA"/>
              </w:rPr>
            </w:pPr>
            <w:r w:rsidRPr="001557B4">
              <w:rPr>
                <w:sz w:val="20"/>
                <w:szCs w:val="20"/>
              </w:rPr>
              <w:t xml:space="preserve"> 4,647 </w:t>
            </w:r>
          </w:p>
        </w:tc>
        <w:tc>
          <w:tcPr>
            <w:tcW w:w="766" w:type="pct"/>
            <w:tcBorders>
              <w:top w:val="single" w:sz="4" w:space="0" w:color="4472C4"/>
              <w:bottom w:val="single" w:sz="4" w:space="0" w:color="4472C4"/>
            </w:tcBorders>
            <w:shd w:val="clear" w:color="auto" w:fill="auto"/>
          </w:tcPr>
          <w:p w14:paraId="68C015D3" w14:textId="77777777" w:rsidR="00E41894" w:rsidRPr="001557B4" w:rsidRDefault="00E41894" w:rsidP="006C09A8">
            <w:pPr>
              <w:ind w:right="396"/>
              <w:jc w:val="right"/>
              <w:rPr>
                <w:sz w:val="20"/>
                <w:szCs w:val="20"/>
                <w:lang w:val="uk-UA"/>
              </w:rPr>
            </w:pPr>
            <w:r w:rsidRPr="001557B4">
              <w:rPr>
                <w:sz w:val="20"/>
                <w:szCs w:val="20"/>
              </w:rPr>
              <w:t xml:space="preserve"> 3,311 </w:t>
            </w:r>
          </w:p>
        </w:tc>
        <w:tc>
          <w:tcPr>
            <w:tcW w:w="766" w:type="pct"/>
            <w:tcBorders>
              <w:top w:val="single" w:sz="4" w:space="0" w:color="4472C4"/>
              <w:bottom w:val="single" w:sz="4" w:space="0" w:color="4472C4"/>
            </w:tcBorders>
            <w:shd w:val="clear" w:color="auto" w:fill="auto"/>
          </w:tcPr>
          <w:p w14:paraId="2C12273E" w14:textId="77777777" w:rsidR="00E41894" w:rsidRPr="001557B4" w:rsidRDefault="00E41894" w:rsidP="006C09A8">
            <w:pPr>
              <w:ind w:right="423"/>
              <w:jc w:val="right"/>
              <w:rPr>
                <w:sz w:val="20"/>
                <w:szCs w:val="20"/>
                <w:lang w:val="uk-UA"/>
              </w:rPr>
            </w:pPr>
            <w:r w:rsidRPr="001557B4">
              <w:rPr>
                <w:sz w:val="20"/>
                <w:szCs w:val="20"/>
              </w:rPr>
              <w:t xml:space="preserve"> 2,409 </w:t>
            </w:r>
          </w:p>
        </w:tc>
        <w:tc>
          <w:tcPr>
            <w:tcW w:w="766" w:type="pct"/>
            <w:tcBorders>
              <w:top w:val="single" w:sz="4" w:space="0" w:color="4472C4"/>
              <w:bottom w:val="single" w:sz="4" w:space="0" w:color="4472C4"/>
            </w:tcBorders>
            <w:shd w:val="clear" w:color="auto" w:fill="auto"/>
          </w:tcPr>
          <w:p w14:paraId="4F7840C0" w14:textId="77777777" w:rsidR="00E41894" w:rsidRPr="001557B4" w:rsidRDefault="00E41894" w:rsidP="006C09A8">
            <w:pPr>
              <w:ind w:right="431"/>
              <w:jc w:val="right"/>
              <w:rPr>
                <w:sz w:val="20"/>
                <w:szCs w:val="20"/>
                <w:lang w:val="uk-UA"/>
              </w:rPr>
            </w:pPr>
            <w:r w:rsidRPr="001557B4">
              <w:rPr>
                <w:sz w:val="20"/>
                <w:szCs w:val="20"/>
              </w:rPr>
              <w:t xml:space="preserve"> 1,917 </w:t>
            </w:r>
          </w:p>
        </w:tc>
      </w:tr>
      <w:tr w:rsidR="00E41894" w:rsidRPr="001557B4" w14:paraId="65DBAB07" w14:textId="77777777" w:rsidTr="006C09A8">
        <w:tc>
          <w:tcPr>
            <w:tcW w:w="2077" w:type="pct"/>
            <w:tcBorders>
              <w:right w:val="nil"/>
            </w:tcBorders>
            <w:shd w:val="clear" w:color="auto" w:fill="FFFFFF"/>
          </w:tcPr>
          <w:p w14:paraId="15A2DD38" w14:textId="77777777" w:rsidR="00E41894" w:rsidRPr="002578F7" w:rsidRDefault="00E41894" w:rsidP="006C09A8">
            <w:pPr>
              <w:ind w:left="360"/>
              <w:jc w:val="left"/>
              <w:rPr>
                <w:rFonts w:eastAsia="Courier New"/>
                <w:sz w:val="20"/>
                <w:szCs w:val="20"/>
                <w:lang w:val="uk-UA"/>
              </w:rPr>
            </w:pPr>
            <w:r w:rsidRPr="00F64081">
              <w:rPr>
                <w:rFonts w:eastAsia="Courier New"/>
                <w:b/>
                <w:bCs/>
                <w:sz w:val="20"/>
                <w:szCs w:val="20"/>
              </w:rPr>
              <w:t>i</w:t>
            </w:r>
            <w:r w:rsidRPr="002578F7">
              <w:rPr>
                <w:rFonts w:eastAsia="Courier New"/>
                <w:sz w:val="20"/>
                <w:szCs w:val="20"/>
                <w:lang w:val="uk-UA"/>
              </w:rPr>
              <w:t>rrigation</w:t>
            </w:r>
          </w:p>
        </w:tc>
        <w:tc>
          <w:tcPr>
            <w:tcW w:w="625" w:type="pct"/>
            <w:shd w:val="clear" w:color="auto" w:fill="auto"/>
          </w:tcPr>
          <w:p w14:paraId="240D58E1" w14:textId="77777777" w:rsidR="00E41894" w:rsidRPr="00351D3C" w:rsidRDefault="00E41894" w:rsidP="006C09A8">
            <w:pPr>
              <w:ind w:left="-378" w:right="369"/>
              <w:jc w:val="right"/>
              <w:rPr>
                <w:sz w:val="20"/>
                <w:szCs w:val="20"/>
                <w:lang w:val="uk-UA"/>
              </w:rPr>
            </w:pPr>
            <w:r w:rsidRPr="00351D3C">
              <w:rPr>
                <w:sz w:val="20"/>
                <w:szCs w:val="20"/>
              </w:rPr>
              <w:t xml:space="preserve"> 6,959 </w:t>
            </w:r>
          </w:p>
        </w:tc>
        <w:tc>
          <w:tcPr>
            <w:tcW w:w="766" w:type="pct"/>
            <w:shd w:val="clear" w:color="auto" w:fill="auto"/>
          </w:tcPr>
          <w:p w14:paraId="2F1777AC" w14:textId="77777777" w:rsidR="00E41894" w:rsidRPr="00663979" w:rsidRDefault="00E41894" w:rsidP="006C09A8">
            <w:pPr>
              <w:ind w:right="396"/>
              <w:jc w:val="right"/>
              <w:rPr>
                <w:sz w:val="20"/>
                <w:szCs w:val="20"/>
                <w:lang w:val="uk-UA"/>
              </w:rPr>
            </w:pPr>
            <w:r w:rsidRPr="00E9091B">
              <w:rPr>
                <w:sz w:val="20"/>
                <w:szCs w:val="20"/>
              </w:rPr>
              <w:t xml:space="preserve"> 1,699 </w:t>
            </w:r>
          </w:p>
        </w:tc>
        <w:tc>
          <w:tcPr>
            <w:tcW w:w="766" w:type="pct"/>
            <w:shd w:val="clear" w:color="auto" w:fill="auto"/>
          </w:tcPr>
          <w:p w14:paraId="3256C359" w14:textId="77777777" w:rsidR="00E41894" w:rsidRPr="00D14101" w:rsidRDefault="00E41894" w:rsidP="006C09A8">
            <w:pPr>
              <w:ind w:right="423"/>
              <w:jc w:val="right"/>
              <w:rPr>
                <w:sz w:val="20"/>
                <w:szCs w:val="20"/>
                <w:lang w:val="uk-UA"/>
              </w:rPr>
            </w:pPr>
            <w:r w:rsidRPr="0059336D">
              <w:rPr>
                <w:sz w:val="20"/>
                <w:szCs w:val="20"/>
              </w:rPr>
              <w:t xml:space="preserve"> 1,186 </w:t>
            </w:r>
          </w:p>
        </w:tc>
        <w:tc>
          <w:tcPr>
            <w:tcW w:w="766" w:type="pct"/>
            <w:shd w:val="clear" w:color="auto" w:fill="auto"/>
          </w:tcPr>
          <w:p w14:paraId="4590FA35" w14:textId="77777777" w:rsidR="00E41894" w:rsidRPr="00D14101" w:rsidRDefault="00E41894" w:rsidP="006C09A8">
            <w:pPr>
              <w:ind w:right="431"/>
              <w:jc w:val="right"/>
              <w:rPr>
                <w:sz w:val="20"/>
                <w:szCs w:val="20"/>
                <w:lang w:val="uk-UA"/>
              </w:rPr>
            </w:pPr>
            <w:r w:rsidRPr="00D14101">
              <w:rPr>
                <w:sz w:val="20"/>
                <w:szCs w:val="20"/>
              </w:rPr>
              <w:t xml:space="preserve"> 1,377 </w:t>
            </w:r>
          </w:p>
        </w:tc>
      </w:tr>
      <w:tr w:rsidR="00E41894" w:rsidRPr="001557B4" w14:paraId="38747C52" w14:textId="77777777" w:rsidTr="006C09A8">
        <w:tc>
          <w:tcPr>
            <w:tcW w:w="2077" w:type="pct"/>
            <w:tcBorders>
              <w:top w:val="single" w:sz="4" w:space="0" w:color="4472C4"/>
              <w:bottom w:val="single" w:sz="4" w:space="0" w:color="4472C4"/>
              <w:right w:val="nil"/>
            </w:tcBorders>
            <w:shd w:val="clear" w:color="auto" w:fill="FFFFFF"/>
          </w:tcPr>
          <w:p w14:paraId="373D1B56" w14:textId="77777777" w:rsidR="00E41894" w:rsidRPr="00351D3C" w:rsidRDefault="00E41894" w:rsidP="006C09A8">
            <w:pPr>
              <w:ind w:left="360"/>
              <w:jc w:val="left"/>
              <w:rPr>
                <w:rFonts w:eastAsia="Courier New"/>
                <w:sz w:val="20"/>
                <w:szCs w:val="20"/>
                <w:lang w:val="uk-UA"/>
              </w:rPr>
            </w:pPr>
            <w:r w:rsidRPr="00351D3C">
              <w:rPr>
                <w:rFonts w:eastAsia="Courier New"/>
                <w:sz w:val="20"/>
                <w:szCs w:val="20"/>
                <w:lang w:val="uk-UA"/>
              </w:rPr>
              <w:t xml:space="preserve">agricultural and </w:t>
            </w:r>
            <w:r w:rsidRPr="00351D3C">
              <w:rPr>
                <w:rFonts w:eastAsia="Courier New"/>
                <w:sz w:val="20"/>
                <w:szCs w:val="20"/>
              </w:rPr>
              <w:t xml:space="preserve">freshwater </w:t>
            </w:r>
            <w:r w:rsidRPr="00F64081">
              <w:rPr>
                <w:rFonts w:eastAsia="Courier New"/>
                <w:b/>
                <w:bCs/>
                <w:sz w:val="20"/>
                <w:szCs w:val="20"/>
              </w:rPr>
              <w:t>a</w:t>
            </w:r>
            <w:r w:rsidRPr="002578F7">
              <w:rPr>
                <w:rFonts w:eastAsia="Courier New"/>
                <w:sz w:val="20"/>
                <w:szCs w:val="20"/>
              </w:rPr>
              <w:t xml:space="preserve">quaculture </w:t>
            </w:r>
          </w:p>
        </w:tc>
        <w:tc>
          <w:tcPr>
            <w:tcW w:w="625" w:type="pct"/>
            <w:tcBorders>
              <w:top w:val="single" w:sz="4" w:space="0" w:color="4472C4"/>
              <w:bottom w:val="single" w:sz="4" w:space="0" w:color="4472C4"/>
            </w:tcBorders>
            <w:shd w:val="clear" w:color="auto" w:fill="auto"/>
          </w:tcPr>
          <w:p w14:paraId="3E4E8C62" w14:textId="77777777" w:rsidR="00E41894" w:rsidRPr="00663979" w:rsidRDefault="00E41894" w:rsidP="006C09A8">
            <w:pPr>
              <w:ind w:left="-378" w:right="369"/>
              <w:jc w:val="right"/>
              <w:rPr>
                <w:sz w:val="20"/>
                <w:szCs w:val="20"/>
                <w:lang w:val="uk-UA"/>
              </w:rPr>
            </w:pPr>
            <w:r w:rsidRPr="00E9091B">
              <w:rPr>
                <w:sz w:val="20"/>
                <w:szCs w:val="20"/>
              </w:rPr>
              <w:t xml:space="preserve"> 2,102 </w:t>
            </w:r>
          </w:p>
        </w:tc>
        <w:tc>
          <w:tcPr>
            <w:tcW w:w="766" w:type="pct"/>
            <w:tcBorders>
              <w:top w:val="single" w:sz="4" w:space="0" w:color="4472C4"/>
              <w:bottom w:val="single" w:sz="4" w:space="0" w:color="4472C4"/>
            </w:tcBorders>
            <w:shd w:val="clear" w:color="auto" w:fill="auto"/>
          </w:tcPr>
          <w:p w14:paraId="666C52C8" w14:textId="77777777" w:rsidR="00E41894" w:rsidRPr="0059336D" w:rsidRDefault="00E41894" w:rsidP="006C09A8">
            <w:pPr>
              <w:ind w:right="396"/>
              <w:jc w:val="right"/>
              <w:rPr>
                <w:sz w:val="20"/>
                <w:szCs w:val="20"/>
                <w:lang w:val="uk-UA"/>
              </w:rPr>
            </w:pPr>
            <w:r w:rsidRPr="0059336D">
              <w:rPr>
                <w:sz w:val="20"/>
                <w:szCs w:val="20"/>
              </w:rPr>
              <w:t xml:space="preserve"> 912 </w:t>
            </w:r>
          </w:p>
        </w:tc>
        <w:tc>
          <w:tcPr>
            <w:tcW w:w="766" w:type="pct"/>
            <w:tcBorders>
              <w:top w:val="single" w:sz="4" w:space="0" w:color="4472C4"/>
              <w:bottom w:val="single" w:sz="4" w:space="0" w:color="4472C4"/>
            </w:tcBorders>
            <w:shd w:val="clear" w:color="auto" w:fill="auto"/>
          </w:tcPr>
          <w:p w14:paraId="64B0B1EC" w14:textId="77777777" w:rsidR="00E41894" w:rsidRPr="00D14101" w:rsidRDefault="00E41894" w:rsidP="006C09A8">
            <w:pPr>
              <w:ind w:right="423"/>
              <w:jc w:val="right"/>
              <w:rPr>
                <w:sz w:val="20"/>
                <w:szCs w:val="20"/>
                <w:lang w:val="uk-UA"/>
              </w:rPr>
            </w:pPr>
            <w:r w:rsidRPr="00D14101">
              <w:rPr>
                <w:sz w:val="20"/>
                <w:szCs w:val="20"/>
              </w:rPr>
              <w:t xml:space="preserve"> 843 </w:t>
            </w:r>
          </w:p>
        </w:tc>
        <w:tc>
          <w:tcPr>
            <w:tcW w:w="766" w:type="pct"/>
            <w:tcBorders>
              <w:top w:val="single" w:sz="4" w:space="0" w:color="4472C4"/>
              <w:bottom w:val="single" w:sz="4" w:space="0" w:color="4472C4"/>
            </w:tcBorders>
            <w:shd w:val="clear" w:color="auto" w:fill="auto"/>
          </w:tcPr>
          <w:p w14:paraId="69A6A0D2" w14:textId="77777777" w:rsidR="00E41894" w:rsidRPr="008158BD" w:rsidRDefault="00E41894" w:rsidP="006C09A8">
            <w:pPr>
              <w:ind w:right="431"/>
              <w:jc w:val="right"/>
              <w:rPr>
                <w:sz w:val="20"/>
                <w:szCs w:val="20"/>
                <w:lang w:val="uk-UA"/>
              </w:rPr>
            </w:pPr>
            <w:r w:rsidRPr="00D14101">
              <w:rPr>
                <w:sz w:val="20"/>
                <w:szCs w:val="20"/>
              </w:rPr>
              <w:t xml:space="preserve"> 970 </w:t>
            </w:r>
          </w:p>
        </w:tc>
      </w:tr>
      <w:tr w:rsidR="00E41894" w:rsidRPr="001557B4" w14:paraId="498A8AC5" w14:textId="77777777" w:rsidTr="006C09A8">
        <w:tc>
          <w:tcPr>
            <w:tcW w:w="2077" w:type="pct"/>
            <w:tcBorders>
              <w:right w:val="nil"/>
            </w:tcBorders>
            <w:shd w:val="clear" w:color="auto" w:fill="FFFFFF"/>
          </w:tcPr>
          <w:p w14:paraId="67D21C12" w14:textId="77777777" w:rsidR="00E41894" w:rsidRPr="001557B4" w:rsidRDefault="00E41894" w:rsidP="006C09A8">
            <w:pPr>
              <w:jc w:val="left"/>
              <w:rPr>
                <w:rFonts w:eastAsia="Courier New"/>
                <w:b/>
                <w:bCs/>
                <w:sz w:val="20"/>
                <w:szCs w:val="20"/>
                <w:lang w:val="uk-UA"/>
              </w:rPr>
            </w:pPr>
            <w:r w:rsidRPr="001557B4">
              <w:rPr>
                <w:rFonts w:eastAsia="Courier New"/>
                <w:b/>
                <w:bCs/>
                <w:sz w:val="20"/>
                <w:szCs w:val="20"/>
              </w:rPr>
              <w:t>T</w:t>
            </w:r>
            <w:r w:rsidRPr="001557B4">
              <w:rPr>
                <w:rFonts w:eastAsia="Courier New"/>
                <w:b/>
                <w:bCs/>
                <w:sz w:val="20"/>
                <w:szCs w:val="20"/>
                <w:lang w:val="uk-UA"/>
              </w:rPr>
              <w:t xml:space="preserve">otal </w:t>
            </w:r>
            <w:r w:rsidRPr="001557B4">
              <w:rPr>
                <w:rFonts w:eastAsia="Courier New"/>
                <w:b/>
                <w:bCs/>
                <w:sz w:val="20"/>
                <w:szCs w:val="20"/>
              </w:rPr>
              <w:t>wastewater generated</w:t>
            </w:r>
          </w:p>
        </w:tc>
        <w:tc>
          <w:tcPr>
            <w:tcW w:w="625" w:type="pct"/>
            <w:shd w:val="clear" w:color="auto" w:fill="auto"/>
          </w:tcPr>
          <w:p w14:paraId="028BC6EB" w14:textId="77777777" w:rsidR="00E41894" w:rsidRPr="001557B4" w:rsidRDefault="00E41894" w:rsidP="006C09A8">
            <w:pPr>
              <w:ind w:left="-378" w:right="369"/>
              <w:jc w:val="right"/>
              <w:rPr>
                <w:sz w:val="20"/>
                <w:szCs w:val="20"/>
                <w:lang w:val="uk-UA"/>
              </w:rPr>
            </w:pPr>
            <w:r w:rsidRPr="001557B4">
              <w:rPr>
                <w:sz w:val="20"/>
                <w:szCs w:val="20"/>
              </w:rPr>
              <w:t xml:space="preserve"> 20,261 </w:t>
            </w:r>
          </w:p>
        </w:tc>
        <w:tc>
          <w:tcPr>
            <w:tcW w:w="766" w:type="pct"/>
            <w:shd w:val="clear" w:color="auto" w:fill="auto"/>
          </w:tcPr>
          <w:p w14:paraId="475AD9D2" w14:textId="77777777" w:rsidR="00E41894" w:rsidRPr="001557B4" w:rsidRDefault="00E41894" w:rsidP="006C09A8">
            <w:pPr>
              <w:ind w:right="396"/>
              <w:jc w:val="right"/>
              <w:rPr>
                <w:sz w:val="20"/>
                <w:szCs w:val="20"/>
                <w:lang w:val="uk-UA"/>
              </w:rPr>
            </w:pPr>
            <w:r w:rsidRPr="001557B4">
              <w:rPr>
                <w:sz w:val="20"/>
                <w:szCs w:val="20"/>
              </w:rPr>
              <w:t xml:space="preserve"> 10,964 </w:t>
            </w:r>
          </w:p>
        </w:tc>
        <w:tc>
          <w:tcPr>
            <w:tcW w:w="766" w:type="pct"/>
            <w:shd w:val="clear" w:color="auto" w:fill="auto"/>
          </w:tcPr>
          <w:p w14:paraId="03632CD4" w14:textId="77777777" w:rsidR="00E41894" w:rsidRPr="001557B4" w:rsidRDefault="00E41894" w:rsidP="006C09A8">
            <w:pPr>
              <w:ind w:right="423"/>
              <w:jc w:val="right"/>
              <w:rPr>
                <w:sz w:val="20"/>
                <w:szCs w:val="20"/>
                <w:lang w:val="uk-UA"/>
              </w:rPr>
            </w:pPr>
            <w:r w:rsidRPr="001557B4">
              <w:rPr>
                <w:sz w:val="20"/>
                <w:szCs w:val="20"/>
              </w:rPr>
              <w:t xml:space="preserve"> 8,900 </w:t>
            </w:r>
          </w:p>
        </w:tc>
        <w:tc>
          <w:tcPr>
            <w:tcW w:w="766" w:type="pct"/>
            <w:shd w:val="clear" w:color="auto" w:fill="auto"/>
          </w:tcPr>
          <w:p w14:paraId="0EBB7BD6" w14:textId="77777777" w:rsidR="00E41894" w:rsidRPr="001557B4" w:rsidRDefault="00E41894" w:rsidP="006C09A8">
            <w:pPr>
              <w:ind w:right="431"/>
              <w:jc w:val="right"/>
              <w:rPr>
                <w:sz w:val="20"/>
                <w:szCs w:val="20"/>
                <w:lang w:val="uk-UA"/>
              </w:rPr>
            </w:pPr>
            <w:r w:rsidRPr="001557B4">
              <w:rPr>
                <w:sz w:val="20"/>
                <w:szCs w:val="20"/>
              </w:rPr>
              <w:t xml:space="preserve"> 8,141 </w:t>
            </w:r>
          </w:p>
        </w:tc>
      </w:tr>
      <w:tr w:rsidR="00E41894" w:rsidRPr="001557B4" w14:paraId="1143D036" w14:textId="77777777" w:rsidTr="006C09A8">
        <w:tc>
          <w:tcPr>
            <w:tcW w:w="2077" w:type="pct"/>
            <w:tcBorders>
              <w:top w:val="single" w:sz="4" w:space="0" w:color="4472C4"/>
              <w:bottom w:val="single" w:sz="4" w:space="0" w:color="4472C4"/>
              <w:right w:val="nil"/>
            </w:tcBorders>
            <w:shd w:val="clear" w:color="auto" w:fill="FFFFFF"/>
          </w:tcPr>
          <w:p w14:paraId="62FA9316" w14:textId="77777777" w:rsidR="00E41894" w:rsidRPr="001557B4" w:rsidRDefault="00E41894" w:rsidP="006C09A8">
            <w:pPr>
              <w:ind w:left="360"/>
              <w:jc w:val="left"/>
              <w:rPr>
                <w:rFonts w:eastAsia="Courier New"/>
                <w:sz w:val="20"/>
                <w:szCs w:val="20"/>
                <w:lang w:val="uk-UA"/>
              </w:rPr>
            </w:pPr>
            <w:r w:rsidRPr="001557B4">
              <w:rPr>
                <w:rFonts w:eastAsia="Courier New"/>
                <w:sz w:val="20"/>
                <w:szCs w:val="20"/>
                <w:lang w:val="uk-UA"/>
              </w:rPr>
              <w:t xml:space="preserve">of </w:t>
            </w:r>
            <w:r w:rsidRPr="001557B4">
              <w:rPr>
                <w:rFonts w:eastAsia="Courier New"/>
                <w:sz w:val="20"/>
                <w:szCs w:val="20"/>
              </w:rPr>
              <w:t>which discharged to</w:t>
            </w:r>
            <w:r w:rsidRPr="001557B4">
              <w:rPr>
                <w:rFonts w:eastAsia="Courier New"/>
                <w:sz w:val="20"/>
                <w:szCs w:val="20"/>
                <w:lang w:val="uk-UA"/>
              </w:rPr>
              <w:t xml:space="preserve"> surface water</w:t>
            </w:r>
          </w:p>
        </w:tc>
        <w:tc>
          <w:tcPr>
            <w:tcW w:w="625" w:type="pct"/>
            <w:tcBorders>
              <w:top w:val="single" w:sz="4" w:space="0" w:color="4472C4"/>
              <w:bottom w:val="single" w:sz="4" w:space="0" w:color="4472C4"/>
            </w:tcBorders>
            <w:shd w:val="clear" w:color="auto" w:fill="auto"/>
          </w:tcPr>
          <w:p w14:paraId="41E9A5EF" w14:textId="77777777" w:rsidR="00E41894" w:rsidRPr="001557B4" w:rsidRDefault="00E41894" w:rsidP="006C09A8">
            <w:pPr>
              <w:ind w:left="-378" w:right="369"/>
              <w:jc w:val="right"/>
              <w:rPr>
                <w:sz w:val="20"/>
                <w:szCs w:val="20"/>
                <w:lang w:val="uk-UA"/>
              </w:rPr>
            </w:pPr>
            <w:r w:rsidRPr="001557B4">
              <w:rPr>
                <w:sz w:val="20"/>
                <w:szCs w:val="20"/>
              </w:rPr>
              <w:t xml:space="preserve"> 19,329 </w:t>
            </w:r>
          </w:p>
        </w:tc>
        <w:tc>
          <w:tcPr>
            <w:tcW w:w="766" w:type="pct"/>
            <w:tcBorders>
              <w:top w:val="single" w:sz="4" w:space="0" w:color="4472C4"/>
              <w:bottom w:val="single" w:sz="4" w:space="0" w:color="4472C4"/>
            </w:tcBorders>
            <w:shd w:val="clear" w:color="auto" w:fill="auto"/>
          </w:tcPr>
          <w:p w14:paraId="3B8F8DBA" w14:textId="77777777" w:rsidR="00E41894" w:rsidRPr="001557B4" w:rsidRDefault="00E41894" w:rsidP="006C09A8">
            <w:pPr>
              <w:ind w:right="396"/>
              <w:jc w:val="right"/>
              <w:rPr>
                <w:sz w:val="20"/>
                <w:szCs w:val="20"/>
                <w:lang w:val="uk-UA"/>
              </w:rPr>
            </w:pPr>
            <w:r w:rsidRPr="001557B4">
              <w:rPr>
                <w:sz w:val="20"/>
                <w:szCs w:val="20"/>
              </w:rPr>
              <w:t xml:space="preserve"> 10,517 </w:t>
            </w:r>
          </w:p>
        </w:tc>
        <w:tc>
          <w:tcPr>
            <w:tcW w:w="766" w:type="pct"/>
            <w:tcBorders>
              <w:top w:val="single" w:sz="4" w:space="0" w:color="4472C4"/>
              <w:bottom w:val="single" w:sz="4" w:space="0" w:color="4472C4"/>
            </w:tcBorders>
            <w:shd w:val="clear" w:color="auto" w:fill="auto"/>
          </w:tcPr>
          <w:p w14:paraId="0D3CF27D" w14:textId="77777777" w:rsidR="00E41894" w:rsidRPr="001557B4" w:rsidRDefault="00E41894" w:rsidP="006C09A8">
            <w:pPr>
              <w:ind w:right="423"/>
              <w:jc w:val="right"/>
              <w:rPr>
                <w:sz w:val="20"/>
                <w:szCs w:val="20"/>
                <w:lang w:val="uk-UA"/>
              </w:rPr>
            </w:pPr>
            <w:r w:rsidRPr="001557B4">
              <w:rPr>
                <w:sz w:val="20"/>
                <w:szCs w:val="20"/>
              </w:rPr>
              <w:t xml:space="preserve"> 8,553 </w:t>
            </w:r>
          </w:p>
        </w:tc>
        <w:tc>
          <w:tcPr>
            <w:tcW w:w="766" w:type="pct"/>
            <w:tcBorders>
              <w:top w:val="single" w:sz="4" w:space="0" w:color="4472C4"/>
              <w:bottom w:val="single" w:sz="4" w:space="0" w:color="4472C4"/>
            </w:tcBorders>
            <w:shd w:val="clear" w:color="auto" w:fill="auto"/>
          </w:tcPr>
          <w:p w14:paraId="762F57AF" w14:textId="77777777" w:rsidR="00E41894" w:rsidRPr="001557B4" w:rsidRDefault="00E41894" w:rsidP="006C09A8">
            <w:pPr>
              <w:ind w:right="431"/>
              <w:jc w:val="right"/>
              <w:rPr>
                <w:sz w:val="20"/>
                <w:szCs w:val="20"/>
                <w:lang w:val="uk-UA"/>
              </w:rPr>
            </w:pPr>
            <w:r w:rsidRPr="001557B4">
              <w:rPr>
                <w:sz w:val="20"/>
                <w:szCs w:val="20"/>
              </w:rPr>
              <w:t xml:space="preserve"> 7,817 </w:t>
            </w:r>
          </w:p>
        </w:tc>
      </w:tr>
      <w:tr w:rsidR="00E41894" w:rsidRPr="001557B4" w14:paraId="5B309C37" w14:textId="77777777" w:rsidTr="006C09A8">
        <w:tc>
          <w:tcPr>
            <w:tcW w:w="2077" w:type="pct"/>
            <w:tcBorders>
              <w:right w:val="nil"/>
            </w:tcBorders>
            <w:shd w:val="clear" w:color="auto" w:fill="FFFFFF"/>
          </w:tcPr>
          <w:p w14:paraId="71975000" w14:textId="77777777" w:rsidR="00E41894" w:rsidRPr="001557B4" w:rsidRDefault="00E41894" w:rsidP="006C09A8">
            <w:pPr>
              <w:ind w:left="360"/>
              <w:jc w:val="left"/>
              <w:rPr>
                <w:rFonts w:eastAsia="Courier New"/>
                <w:sz w:val="20"/>
                <w:szCs w:val="20"/>
                <w:lang w:val="uk-UA"/>
              </w:rPr>
            </w:pPr>
            <w:r w:rsidRPr="001557B4">
              <w:rPr>
                <w:rFonts w:eastAsia="Courier New"/>
                <w:sz w:val="20"/>
                <w:szCs w:val="20"/>
                <w:lang w:val="uk-UA"/>
              </w:rPr>
              <w:t>including polluted wastewaters</w:t>
            </w:r>
          </w:p>
        </w:tc>
        <w:tc>
          <w:tcPr>
            <w:tcW w:w="625" w:type="pct"/>
            <w:shd w:val="clear" w:color="auto" w:fill="auto"/>
          </w:tcPr>
          <w:p w14:paraId="54E50C88" w14:textId="77777777" w:rsidR="00E41894" w:rsidRPr="001557B4" w:rsidRDefault="00E41894" w:rsidP="006C09A8">
            <w:pPr>
              <w:ind w:left="-378" w:right="369"/>
              <w:jc w:val="right"/>
              <w:rPr>
                <w:sz w:val="20"/>
                <w:szCs w:val="20"/>
                <w:lang w:val="uk-UA"/>
              </w:rPr>
            </w:pPr>
            <w:r w:rsidRPr="001557B4">
              <w:rPr>
                <w:sz w:val="20"/>
                <w:szCs w:val="20"/>
              </w:rPr>
              <w:t xml:space="preserve"> 3,199 </w:t>
            </w:r>
          </w:p>
        </w:tc>
        <w:tc>
          <w:tcPr>
            <w:tcW w:w="766" w:type="pct"/>
            <w:shd w:val="clear" w:color="auto" w:fill="auto"/>
          </w:tcPr>
          <w:p w14:paraId="721E930C" w14:textId="77777777" w:rsidR="00E41894" w:rsidRPr="001557B4" w:rsidRDefault="00E41894" w:rsidP="006C09A8">
            <w:pPr>
              <w:ind w:right="396"/>
              <w:jc w:val="right"/>
              <w:rPr>
                <w:sz w:val="20"/>
                <w:szCs w:val="20"/>
                <w:lang w:val="uk-UA"/>
              </w:rPr>
            </w:pPr>
            <w:r w:rsidRPr="001557B4">
              <w:rPr>
                <w:sz w:val="20"/>
                <w:szCs w:val="20"/>
              </w:rPr>
              <w:t xml:space="preserve"> 3,313 </w:t>
            </w:r>
          </w:p>
        </w:tc>
        <w:tc>
          <w:tcPr>
            <w:tcW w:w="766" w:type="pct"/>
            <w:shd w:val="clear" w:color="auto" w:fill="auto"/>
          </w:tcPr>
          <w:p w14:paraId="19FC24CE" w14:textId="77777777" w:rsidR="00E41894" w:rsidRPr="001557B4" w:rsidRDefault="00E41894" w:rsidP="006C09A8">
            <w:pPr>
              <w:ind w:right="423"/>
              <w:jc w:val="right"/>
              <w:rPr>
                <w:sz w:val="20"/>
                <w:szCs w:val="20"/>
                <w:lang w:val="uk-UA"/>
              </w:rPr>
            </w:pPr>
            <w:r w:rsidRPr="001557B4">
              <w:rPr>
                <w:sz w:val="20"/>
                <w:szCs w:val="20"/>
              </w:rPr>
              <w:t xml:space="preserve"> 3,444 </w:t>
            </w:r>
          </w:p>
        </w:tc>
        <w:tc>
          <w:tcPr>
            <w:tcW w:w="766" w:type="pct"/>
            <w:shd w:val="clear" w:color="auto" w:fill="auto"/>
          </w:tcPr>
          <w:p w14:paraId="791CA69C" w14:textId="77777777" w:rsidR="00E41894" w:rsidRPr="001557B4" w:rsidRDefault="00E41894" w:rsidP="006C09A8">
            <w:pPr>
              <w:ind w:right="431"/>
              <w:jc w:val="right"/>
              <w:rPr>
                <w:sz w:val="20"/>
                <w:szCs w:val="20"/>
                <w:lang w:val="uk-UA"/>
              </w:rPr>
            </w:pPr>
            <w:r w:rsidRPr="001557B4">
              <w:rPr>
                <w:sz w:val="20"/>
                <w:szCs w:val="20"/>
              </w:rPr>
              <w:t xml:space="preserve"> 1,744 </w:t>
            </w:r>
          </w:p>
        </w:tc>
      </w:tr>
      <w:tr w:rsidR="00E41894" w:rsidRPr="001557B4" w14:paraId="4A89A5A4" w14:textId="77777777" w:rsidTr="006C09A8">
        <w:tc>
          <w:tcPr>
            <w:tcW w:w="2077" w:type="pct"/>
            <w:tcBorders>
              <w:top w:val="single" w:sz="4" w:space="0" w:color="4472C4"/>
              <w:bottom w:val="single" w:sz="4" w:space="0" w:color="4472C4"/>
              <w:right w:val="nil"/>
            </w:tcBorders>
            <w:shd w:val="clear" w:color="auto" w:fill="FFFFFF"/>
          </w:tcPr>
          <w:p w14:paraId="72E5D965" w14:textId="77777777" w:rsidR="00E41894" w:rsidRPr="001557B4" w:rsidRDefault="00E41894" w:rsidP="006C09A8">
            <w:pPr>
              <w:ind w:left="720"/>
              <w:jc w:val="left"/>
              <w:rPr>
                <w:rFonts w:eastAsia="Courier New"/>
                <w:sz w:val="20"/>
                <w:szCs w:val="20"/>
                <w:lang w:val="uk-UA"/>
              </w:rPr>
            </w:pPr>
            <w:r w:rsidRPr="001557B4">
              <w:rPr>
                <w:rFonts w:eastAsia="Courier New"/>
                <w:sz w:val="20"/>
                <w:szCs w:val="20"/>
                <w:lang w:val="uk-UA"/>
              </w:rPr>
              <w:t>of which without purification</w:t>
            </w:r>
          </w:p>
        </w:tc>
        <w:tc>
          <w:tcPr>
            <w:tcW w:w="625" w:type="pct"/>
            <w:tcBorders>
              <w:top w:val="single" w:sz="4" w:space="0" w:color="4472C4"/>
              <w:bottom w:val="single" w:sz="4" w:space="0" w:color="4472C4"/>
            </w:tcBorders>
            <w:shd w:val="clear" w:color="auto" w:fill="auto"/>
          </w:tcPr>
          <w:p w14:paraId="76D1FBB6" w14:textId="77777777" w:rsidR="00E41894" w:rsidRPr="001557B4" w:rsidRDefault="00E41894" w:rsidP="006C09A8">
            <w:pPr>
              <w:ind w:left="-378" w:right="369"/>
              <w:jc w:val="right"/>
              <w:rPr>
                <w:sz w:val="20"/>
                <w:szCs w:val="20"/>
                <w:lang w:val="uk-UA"/>
              </w:rPr>
            </w:pPr>
            <w:r w:rsidRPr="001557B4">
              <w:rPr>
                <w:sz w:val="20"/>
                <w:szCs w:val="20"/>
              </w:rPr>
              <w:t xml:space="preserve"> 470 </w:t>
            </w:r>
          </w:p>
        </w:tc>
        <w:tc>
          <w:tcPr>
            <w:tcW w:w="766" w:type="pct"/>
            <w:tcBorders>
              <w:top w:val="single" w:sz="4" w:space="0" w:color="4472C4"/>
              <w:bottom w:val="single" w:sz="4" w:space="0" w:color="4472C4"/>
            </w:tcBorders>
            <w:shd w:val="clear" w:color="auto" w:fill="auto"/>
          </w:tcPr>
          <w:p w14:paraId="70B2776A" w14:textId="77777777" w:rsidR="00E41894" w:rsidRPr="001557B4" w:rsidRDefault="00E41894" w:rsidP="006C09A8">
            <w:pPr>
              <w:ind w:right="396"/>
              <w:jc w:val="right"/>
              <w:rPr>
                <w:sz w:val="20"/>
                <w:szCs w:val="20"/>
                <w:lang w:val="uk-UA"/>
              </w:rPr>
            </w:pPr>
            <w:r w:rsidRPr="001557B4">
              <w:rPr>
                <w:sz w:val="20"/>
                <w:szCs w:val="20"/>
              </w:rPr>
              <w:t xml:space="preserve"> 758 </w:t>
            </w:r>
          </w:p>
        </w:tc>
        <w:tc>
          <w:tcPr>
            <w:tcW w:w="766" w:type="pct"/>
            <w:tcBorders>
              <w:top w:val="single" w:sz="4" w:space="0" w:color="4472C4"/>
              <w:bottom w:val="single" w:sz="4" w:space="0" w:color="4472C4"/>
            </w:tcBorders>
            <w:shd w:val="clear" w:color="auto" w:fill="auto"/>
          </w:tcPr>
          <w:p w14:paraId="099C18EB" w14:textId="77777777" w:rsidR="00E41894" w:rsidRPr="001557B4" w:rsidRDefault="00E41894" w:rsidP="006C09A8">
            <w:pPr>
              <w:ind w:right="423"/>
              <w:jc w:val="right"/>
              <w:rPr>
                <w:sz w:val="20"/>
                <w:szCs w:val="20"/>
                <w:lang w:val="uk-UA"/>
              </w:rPr>
            </w:pPr>
            <w:r w:rsidRPr="001557B4">
              <w:rPr>
                <w:sz w:val="20"/>
                <w:szCs w:val="20"/>
              </w:rPr>
              <w:t xml:space="preserve"> 896 </w:t>
            </w:r>
          </w:p>
        </w:tc>
        <w:tc>
          <w:tcPr>
            <w:tcW w:w="766" w:type="pct"/>
            <w:tcBorders>
              <w:top w:val="single" w:sz="4" w:space="0" w:color="4472C4"/>
              <w:bottom w:val="single" w:sz="4" w:space="0" w:color="4472C4"/>
            </w:tcBorders>
            <w:shd w:val="clear" w:color="auto" w:fill="auto"/>
          </w:tcPr>
          <w:p w14:paraId="4474A924" w14:textId="77777777" w:rsidR="00E41894" w:rsidRPr="001557B4" w:rsidRDefault="00E41894" w:rsidP="006C09A8">
            <w:pPr>
              <w:ind w:right="431"/>
              <w:jc w:val="right"/>
              <w:rPr>
                <w:sz w:val="20"/>
                <w:szCs w:val="20"/>
                <w:lang w:val="uk-UA"/>
              </w:rPr>
            </w:pPr>
            <w:r w:rsidRPr="001557B4">
              <w:rPr>
                <w:sz w:val="20"/>
                <w:szCs w:val="20"/>
              </w:rPr>
              <w:t xml:space="preserve"> 312 </w:t>
            </w:r>
          </w:p>
        </w:tc>
      </w:tr>
      <w:tr w:rsidR="00E41894" w:rsidRPr="001557B4" w14:paraId="44673DD3" w14:textId="77777777" w:rsidTr="006C09A8">
        <w:tc>
          <w:tcPr>
            <w:tcW w:w="2077" w:type="pct"/>
            <w:tcBorders>
              <w:right w:val="nil"/>
            </w:tcBorders>
            <w:shd w:val="clear" w:color="auto" w:fill="FFFFFF"/>
          </w:tcPr>
          <w:p w14:paraId="1DA45D12" w14:textId="77777777" w:rsidR="00E41894" w:rsidRPr="001557B4" w:rsidRDefault="00E41894" w:rsidP="006C09A8">
            <w:pPr>
              <w:ind w:left="360"/>
              <w:jc w:val="left"/>
              <w:rPr>
                <w:rFonts w:eastAsia="Courier New"/>
                <w:sz w:val="20"/>
                <w:szCs w:val="20"/>
                <w:lang w:val="uk-UA"/>
              </w:rPr>
            </w:pPr>
            <w:r w:rsidRPr="001557B4">
              <w:rPr>
                <w:rFonts w:eastAsia="Courier New"/>
                <w:sz w:val="20"/>
                <w:szCs w:val="20"/>
              </w:rPr>
              <w:t xml:space="preserve">Treated to standard </w:t>
            </w:r>
          </w:p>
        </w:tc>
        <w:tc>
          <w:tcPr>
            <w:tcW w:w="625" w:type="pct"/>
            <w:shd w:val="clear" w:color="auto" w:fill="auto"/>
          </w:tcPr>
          <w:p w14:paraId="459342DF" w14:textId="77777777" w:rsidR="00E41894" w:rsidRPr="001557B4" w:rsidRDefault="00E41894" w:rsidP="006C09A8">
            <w:pPr>
              <w:ind w:left="-378" w:right="369"/>
              <w:jc w:val="right"/>
              <w:rPr>
                <w:sz w:val="20"/>
                <w:szCs w:val="20"/>
                <w:lang w:val="uk-UA"/>
              </w:rPr>
            </w:pPr>
            <w:r w:rsidRPr="001557B4">
              <w:rPr>
                <w:sz w:val="20"/>
                <w:szCs w:val="20"/>
              </w:rPr>
              <w:t xml:space="preserve"> 3,318 </w:t>
            </w:r>
          </w:p>
        </w:tc>
        <w:tc>
          <w:tcPr>
            <w:tcW w:w="766" w:type="pct"/>
            <w:shd w:val="clear" w:color="auto" w:fill="auto"/>
          </w:tcPr>
          <w:p w14:paraId="3D793BDB" w14:textId="77777777" w:rsidR="00E41894" w:rsidRPr="001557B4" w:rsidRDefault="00E41894" w:rsidP="006C09A8">
            <w:pPr>
              <w:ind w:right="396"/>
              <w:jc w:val="right"/>
              <w:rPr>
                <w:sz w:val="20"/>
                <w:szCs w:val="20"/>
                <w:lang w:val="uk-UA"/>
              </w:rPr>
            </w:pPr>
            <w:r w:rsidRPr="001557B4">
              <w:rPr>
                <w:sz w:val="20"/>
                <w:szCs w:val="20"/>
              </w:rPr>
              <w:t xml:space="preserve"> 2,100 </w:t>
            </w:r>
          </w:p>
        </w:tc>
        <w:tc>
          <w:tcPr>
            <w:tcW w:w="766" w:type="pct"/>
            <w:shd w:val="clear" w:color="auto" w:fill="auto"/>
          </w:tcPr>
          <w:p w14:paraId="6EFA080A" w14:textId="77777777" w:rsidR="00E41894" w:rsidRPr="001557B4" w:rsidRDefault="00E41894" w:rsidP="006C09A8">
            <w:pPr>
              <w:ind w:right="423"/>
              <w:jc w:val="right"/>
              <w:rPr>
                <w:sz w:val="20"/>
                <w:szCs w:val="20"/>
                <w:lang w:val="uk-UA"/>
              </w:rPr>
            </w:pPr>
            <w:r w:rsidRPr="001557B4">
              <w:rPr>
                <w:sz w:val="20"/>
                <w:szCs w:val="20"/>
              </w:rPr>
              <w:t xml:space="preserve"> 1,315 </w:t>
            </w:r>
          </w:p>
        </w:tc>
        <w:tc>
          <w:tcPr>
            <w:tcW w:w="766" w:type="pct"/>
            <w:shd w:val="clear" w:color="auto" w:fill="auto"/>
          </w:tcPr>
          <w:p w14:paraId="09134C6A" w14:textId="77777777" w:rsidR="00E41894" w:rsidRPr="001557B4" w:rsidRDefault="00E41894" w:rsidP="006C09A8">
            <w:pPr>
              <w:ind w:right="431"/>
              <w:jc w:val="right"/>
              <w:rPr>
                <w:sz w:val="20"/>
                <w:szCs w:val="20"/>
                <w:lang w:val="uk-UA"/>
              </w:rPr>
            </w:pPr>
            <w:r w:rsidRPr="001557B4">
              <w:rPr>
                <w:sz w:val="20"/>
                <w:szCs w:val="20"/>
              </w:rPr>
              <w:t xml:space="preserve"> 1,760 </w:t>
            </w:r>
          </w:p>
        </w:tc>
      </w:tr>
      <w:tr w:rsidR="00E41894" w:rsidRPr="001557B4" w14:paraId="72F60E8B" w14:textId="77777777" w:rsidTr="006C09A8">
        <w:tc>
          <w:tcPr>
            <w:tcW w:w="2077" w:type="pct"/>
            <w:tcBorders>
              <w:top w:val="single" w:sz="4" w:space="0" w:color="4472C4"/>
              <w:bottom w:val="single" w:sz="4" w:space="0" w:color="4472C4"/>
              <w:right w:val="nil"/>
            </w:tcBorders>
            <w:shd w:val="clear" w:color="auto" w:fill="FFFFFF"/>
          </w:tcPr>
          <w:p w14:paraId="47BB8DC9" w14:textId="77777777" w:rsidR="00E41894" w:rsidRPr="001557B4" w:rsidRDefault="00E41894" w:rsidP="006C09A8">
            <w:pPr>
              <w:ind w:left="360"/>
              <w:jc w:val="left"/>
              <w:rPr>
                <w:rFonts w:eastAsia="Courier New"/>
                <w:sz w:val="20"/>
                <w:szCs w:val="20"/>
                <w:lang w:val="uk-UA"/>
              </w:rPr>
            </w:pPr>
            <w:r w:rsidRPr="001557B4">
              <w:rPr>
                <w:rFonts w:eastAsia="Courier New"/>
                <w:sz w:val="20"/>
                <w:szCs w:val="20"/>
              </w:rPr>
              <w:t xml:space="preserve">Of standard quality with no treatment </w:t>
            </w:r>
          </w:p>
        </w:tc>
        <w:tc>
          <w:tcPr>
            <w:tcW w:w="625" w:type="pct"/>
            <w:tcBorders>
              <w:top w:val="single" w:sz="4" w:space="0" w:color="4472C4"/>
              <w:bottom w:val="single" w:sz="4" w:space="0" w:color="4472C4"/>
            </w:tcBorders>
            <w:shd w:val="clear" w:color="auto" w:fill="auto"/>
          </w:tcPr>
          <w:p w14:paraId="013B3276" w14:textId="77777777" w:rsidR="00E41894" w:rsidRPr="001557B4" w:rsidRDefault="00E41894" w:rsidP="006C09A8">
            <w:pPr>
              <w:ind w:left="-378" w:right="369"/>
              <w:jc w:val="right"/>
              <w:rPr>
                <w:sz w:val="20"/>
                <w:szCs w:val="20"/>
                <w:lang w:val="uk-UA"/>
              </w:rPr>
            </w:pPr>
            <w:r w:rsidRPr="001557B4">
              <w:rPr>
                <w:sz w:val="20"/>
                <w:szCs w:val="20"/>
              </w:rPr>
              <w:t xml:space="preserve"> 12,812 </w:t>
            </w:r>
          </w:p>
        </w:tc>
        <w:tc>
          <w:tcPr>
            <w:tcW w:w="766" w:type="pct"/>
            <w:tcBorders>
              <w:top w:val="single" w:sz="4" w:space="0" w:color="4472C4"/>
              <w:bottom w:val="single" w:sz="4" w:space="0" w:color="4472C4"/>
            </w:tcBorders>
            <w:shd w:val="clear" w:color="auto" w:fill="auto"/>
          </w:tcPr>
          <w:p w14:paraId="570B958F" w14:textId="77777777" w:rsidR="00E41894" w:rsidRPr="001557B4" w:rsidRDefault="00E41894" w:rsidP="006C09A8">
            <w:pPr>
              <w:ind w:right="396"/>
              <w:jc w:val="right"/>
              <w:rPr>
                <w:sz w:val="20"/>
                <w:szCs w:val="20"/>
                <w:lang w:val="uk-UA"/>
              </w:rPr>
            </w:pPr>
            <w:r w:rsidRPr="001557B4">
              <w:rPr>
                <w:sz w:val="20"/>
                <w:szCs w:val="20"/>
              </w:rPr>
              <w:t xml:space="preserve"> 5,104 </w:t>
            </w:r>
          </w:p>
        </w:tc>
        <w:tc>
          <w:tcPr>
            <w:tcW w:w="766" w:type="pct"/>
            <w:tcBorders>
              <w:top w:val="single" w:sz="4" w:space="0" w:color="4472C4"/>
              <w:bottom w:val="single" w:sz="4" w:space="0" w:color="4472C4"/>
            </w:tcBorders>
            <w:shd w:val="clear" w:color="auto" w:fill="auto"/>
          </w:tcPr>
          <w:p w14:paraId="72756DBB" w14:textId="77777777" w:rsidR="00E41894" w:rsidRPr="001557B4" w:rsidRDefault="00E41894" w:rsidP="006C09A8">
            <w:pPr>
              <w:ind w:right="423"/>
              <w:jc w:val="right"/>
              <w:rPr>
                <w:sz w:val="20"/>
                <w:szCs w:val="20"/>
                <w:lang w:val="uk-UA"/>
              </w:rPr>
            </w:pPr>
            <w:r w:rsidRPr="001557B4">
              <w:rPr>
                <w:sz w:val="20"/>
                <w:szCs w:val="20"/>
              </w:rPr>
              <w:t xml:space="preserve"> 3,794 </w:t>
            </w:r>
          </w:p>
        </w:tc>
        <w:tc>
          <w:tcPr>
            <w:tcW w:w="766" w:type="pct"/>
            <w:tcBorders>
              <w:top w:val="single" w:sz="4" w:space="0" w:color="4472C4"/>
              <w:bottom w:val="single" w:sz="4" w:space="0" w:color="4472C4"/>
            </w:tcBorders>
            <w:shd w:val="clear" w:color="auto" w:fill="auto"/>
          </w:tcPr>
          <w:p w14:paraId="1DFFA1FC" w14:textId="77777777" w:rsidR="00E41894" w:rsidRPr="001557B4" w:rsidRDefault="00E41894" w:rsidP="006C09A8">
            <w:pPr>
              <w:ind w:right="431"/>
              <w:jc w:val="right"/>
              <w:rPr>
                <w:sz w:val="20"/>
                <w:szCs w:val="20"/>
                <w:lang w:val="uk-UA"/>
              </w:rPr>
            </w:pPr>
            <w:r w:rsidRPr="001557B4">
              <w:rPr>
                <w:sz w:val="20"/>
                <w:szCs w:val="20"/>
              </w:rPr>
              <w:t xml:space="preserve"> 4,313 </w:t>
            </w:r>
          </w:p>
        </w:tc>
      </w:tr>
      <w:tr w:rsidR="00E41894" w:rsidRPr="001557B4" w14:paraId="7DEC7381" w14:textId="77777777" w:rsidTr="006C09A8">
        <w:tc>
          <w:tcPr>
            <w:tcW w:w="2077" w:type="pct"/>
            <w:tcBorders>
              <w:right w:val="nil"/>
            </w:tcBorders>
            <w:shd w:val="clear" w:color="auto" w:fill="FFFFFF"/>
          </w:tcPr>
          <w:p w14:paraId="6498EE11" w14:textId="77777777" w:rsidR="00E41894" w:rsidRPr="001557B4" w:rsidRDefault="00E41894" w:rsidP="006C09A8">
            <w:pPr>
              <w:jc w:val="left"/>
              <w:rPr>
                <w:rFonts w:eastAsia="Courier New"/>
                <w:b/>
                <w:bCs/>
                <w:sz w:val="20"/>
                <w:szCs w:val="20"/>
                <w:lang w:val="uk-UA"/>
              </w:rPr>
            </w:pPr>
            <w:r w:rsidRPr="001557B4">
              <w:rPr>
                <w:rFonts w:eastAsia="Courier New"/>
                <w:b/>
                <w:bCs/>
                <w:sz w:val="20"/>
                <w:szCs w:val="20"/>
              </w:rPr>
              <w:t>R</w:t>
            </w:r>
            <w:r w:rsidRPr="001557B4">
              <w:rPr>
                <w:rFonts w:eastAsia="Courier New"/>
                <w:b/>
                <w:bCs/>
                <w:sz w:val="20"/>
                <w:szCs w:val="20"/>
                <w:lang w:val="uk-UA"/>
              </w:rPr>
              <w:t xml:space="preserve">ecycled and </w:t>
            </w:r>
            <w:r w:rsidRPr="001557B4">
              <w:rPr>
                <w:rFonts w:eastAsia="Courier New"/>
                <w:b/>
                <w:bCs/>
                <w:sz w:val="20"/>
                <w:szCs w:val="20"/>
              </w:rPr>
              <w:t>re</w:t>
            </w:r>
            <w:r w:rsidRPr="001557B4">
              <w:rPr>
                <w:rFonts w:eastAsia="Courier New"/>
                <w:b/>
                <w:bCs/>
                <w:sz w:val="20"/>
                <w:szCs w:val="20"/>
                <w:lang w:val="uk-UA"/>
              </w:rPr>
              <w:t xml:space="preserve">used </w:t>
            </w:r>
          </w:p>
        </w:tc>
        <w:tc>
          <w:tcPr>
            <w:tcW w:w="625" w:type="pct"/>
            <w:shd w:val="clear" w:color="auto" w:fill="auto"/>
          </w:tcPr>
          <w:p w14:paraId="59F200E1" w14:textId="77777777" w:rsidR="00E41894" w:rsidRPr="001557B4" w:rsidRDefault="00E41894" w:rsidP="006C09A8">
            <w:pPr>
              <w:ind w:left="-378" w:right="369"/>
              <w:jc w:val="right"/>
              <w:rPr>
                <w:sz w:val="20"/>
                <w:szCs w:val="20"/>
                <w:lang w:val="uk-UA"/>
              </w:rPr>
            </w:pPr>
            <w:r w:rsidRPr="001557B4">
              <w:rPr>
                <w:sz w:val="20"/>
                <w:szCs w:val="20"/>
              </w:rPr>
              <w:t xml:space="preserve"> 67,661 </w:t>
            </w:r>
          </w:p>
        </w:tc>
        <w:tc>
          <w:tcPr>
            <w:tcW w:w="766" w:type="pct"/>
            <w:shd w:val="clear" w:color="auto" w:fill="auto"/>
          </w:tcPr>
          <w:p w14:paraId="3418977F" w14:textId="77777777" w:rsidR="00E41894" w:rsidRPr="001557B4" w:rsidRDefault="00E41894" w:rsidP="006C09A8">
            <w:pPr>
              <w:ind w:right="396"/>
              <w:jc w:val="right"/>
              <w:rPr>
                <w:sz w:val="20"/>
                <w:szCs w:val="20"/>
                <w:lang w:val="uk-UA"/>
              </w:rPr>
            </w:pPr>
            <w:r w:rsidRPr="001557B4">
              <w:rPr>
                <w:sz w:val="20"/>
                <w:szCs w:val="20"/>
              </w:rPr>
              <w:t xml:space="preserve"> 41,523 </w:t>
            </w:r>
          </w:p>
        </w:tc>
        <w:tc>
          <w:tcPr>
            <w:tcW w:w="766" w:type="pct"/>
            <w:shd w:val="clear" w:color="auto" w:fill="auto"/>
          </w:tcPr>
          <w:p w14:paraId="2E78C239" w14:textId="77777777" w:rsidR="00E41894" w:rsidRPr="001557B4" w:rsidRDefault="00E41894" w:rsidP="006C09A8">
            <w:pPr>
              <w:ind w:right="423"/>
              <w:jc w:val="right"/>
              <w:rPr>
                <w:sz w:val="20"/>
                <w:szCs w:val="20"/>
                <w:lang w:val="uk-UA"/>
              </w:rPr>
            </w:pPr>
            <w:r w:rsidRPr="001557B4">
              <w:rPr>
                <w:sz w:val="20"/>
                <w:szCs w:val="20"/>
              </w:rPr>
              <w:t xml:space="preserve"> 47,167 </w:t>
            </w:r>
          </w:p>
        </w:tc>
        <w:tc>
          <w:tcPr>
            <w:tcW w:w="766" w:type="pct"/>
            <w:shd w:val="clear" w:color="auto" w:fill="auto"/>
          </w:tcPr>
          <w:p w14:paraId="69BFCB70" w14:textId="77777777" w:rsidR="00E41894" w:rsidRPr="001557B4" w:rsidRDefault="00E41894" w:rsidP="006C09A8">
            <w:pPr>
              <w:ind w:right="431"/>
              <w:jc w:val="right"/>
              <w:rPr>
                <w:sz w:val="20"/>
                <w:szCs w:val="20"/>
                <w:lang w:val="uk-UA"/>
              </w:rPr>
            </w:pPr>
            <w:r w:rsidRPr="001557B4">
              <w:rPr>
                <w:sz w:val="20"/>
                <w:szCs w:val="20"/>
              </w:rPr>
              <w:t xml:space="preserve"> 43,138 </w:t>
            </w:r>
          </w:p>
        </w:tc>
      </w:tr>
      <w:tr w:rsidR="00E41894" w:rsidRPr="001557B4" w14:paraId="3C032EA7" w14:textId="77777777" w:rsidTr="006C09A8">
        <w:tc>
          <w:tcPr>
            <w:tcW w:w="2077" w:type="pct"/>
            <w:tcBorders>
              <w:top w:val="single" w:sz="4" w:space="0" w:color="4472C4"/>
              <w:bottom w:val="single" w:sz="4" w:space="0" w:color="4472C4"/>
              <w:right w:val="nil"/>
            </w:tcBorders>
            <w:shd w:val="clear" w:color="auto" w:fill="FFFFFF"/>
          </w:tcPr>
          <w:p w14:paraId="73182AAC" w14:textId="77777777" w:rsidR="00E41894" w:rsidRPr="001557B4" w:rsidRDefault="00E41894" w:rsidP="006C09A8">
            <w:pPr>
              <w:ind w:left="360"/>
              <w:jc w:val="left"/>
              <w:rPr>
                <w:rFonts w:eastAsia="Courier New"/>
                <w:sz w:val="20"/>
                <w:szCs w:val="20"/>
                <w:lang w:val="uk-UA"/>
              </w:rPr>
            </w:pPr>
            <w:r w:rsidRPr="001557B4">
              <w:rPr>
                <w:rFonts w:eastAsia="Courier New"/>
                <w:sz w:val="20"/>
                <w:szCs w:val="20"/>
                <w:lang w:val="uk-UA"/>
              </w:rPr>
              <w:t xml:space="preserve">Share </w:t>
            </w:r>
            <w:r w:rsidRPr="001557B4">
              <w:rPr>
                <w:rFonts w:eastAsia="Courier New"/>
                <w:sz w:val="20"/>
                <w:szCs w:val="20"/>
              </w:rPr>
              <w:t xml:space="preserve">of </w:t>
            </w:r>
            <w:r w:rsidRPr="001557B4">
              <w:rPr>
                <w:rFonts w:eastAsia="Courier New"/>
                <w:sz w:val="20"/>
                <w:szCs w:val="20"/>
                <w:lang w:val="uk-UA"/>
              </w:rPr>
              <w:t xml:space="preserve">recycled and </w:t>
            </w:r>
            <w:r w:rsidRPr="001557B4">
              <w:rPr>
                <w:rFonts w:eastAsia="Courier New"/>
                <w:sz w:val="20"/>
                <w:szCs w:val="20"/>
              </w:rPr>
              <w:t>re</w:t>
            </w:r>
            <w:r w:rsidRPr="001557B4">
              <w:rPr>
                <w:rFonts w:eastAsia="Courier New"/>
                <w:sz w:val="20"/>
                <w:szCs w:val="20"/>
                <w:lang w:val="uk-UA"/>
              </w:rPr>
              <w:t>used water,%</w:t>
            </w:r>
          </w:p>
        </w:tc>
        <w:tc>
          <w:tcPr>
            <w:tcW w:w="625" w:type="pct"/>
            <w:tcBorders>
              <w:top w:val="single" w:sz="4" w:space="0" w:color="4472C4"/>
              <w:bottom w:val="single" w:sz="4" w:space="0" w:color="4472C4"/>
            </w:tcBorders>
            <w:shd w:val="clear" w:color="auto" w:fill="auto"/>
          </w:tcPr>
          <w:p w14:paraId="012A10C8" w14:textId="77777777" w:rsidR="00E41894" w:rsidRPr="001557B4" w:rsidRDefault="00E41894" w:rsidP="006C09A8">
            <w:pPr>
              <w:ind w:left="-378" w:right="369"/>
              <w:jc w:val="right"/>
              <w:rPr>
                <w:sz w:val="20"/>
                <w:szCs w:val="20"/>
                <w:lang w:val="uk-UA"/>
              </w:rPr>
            </w:pPr>
            <w:r w:rsidRPr="001557B4">
              <w:rPr>
                <w:sz w:val="20"/>
                <w:szCs w:val="20"/>
              </w:rPr>
              <w:t xml:space="preserve"> 81 </w:t>
            </w:r>
          </w:p>
        </w:tc>
        <w:tc>
          <w:tcPr>
            <w:tcW w:w="766" w:type="pct"/>
            <w:tcBorders>
              <w:top w:val="single" w:sz="4" w:space="0" w:color="4472C4"/>
              <w:bottom w:val="single" w:sz="4" w:space="0" w:color="4472C4"/>
            </w:tcBorders>
            <w:shd w:val="clear" w:color="auto" w:fill="auto"/>
          </w:tcPr>
          <w:p w14:paraId="45D28BB8" w14:textId="77777777" w:rsidR="00E41894" w:rsidRPr="001557B4" w:rsidRDefault="00E41894" w:rsidP="006C09A8">
            <w:pPr>
              <w:ind w:right="396"/>
              <w:jc w:val="right"/>
              <w:rPr>
                <w:sz w:val="20"/>
                <w:szCs w:val="20"/>
                <w:lang w:val="uk-UA"/>
              </w:rPr>
            </w:pPr>
            <w:r w:rsidRPr="001557B4">
              <w:rPr>
                <w:sz w:val="20"/>
                <w:szCs w:val="20"/>
              </w:rPr>
              <w:t xml:space="preserve"> 86 </w:t>
            </w:r>
          </w:p>
        </w:tc>
        <w:tc>
          <w:tcPr>
            <w:tcW w:w="766" w:type="pct"/>
            <w:tcBorders>
              <w:top w:val="single" w:sz="4" w:space="0" w:color="4472C4"/>
              <w:bottom w:val="single" w:sz="4" w:space="0" w:color="4472C4"/>
            </w:tcBorders>
            <w:shd w:val="clear" w:color="auto" w:fill="auto"/>
          </w:tcPr>
          <w:p w14:paraId="3946DB20" w14:textId="77777777" w:rsidR="00E41894" w:rsidRPr="001557B4" w:rsidRDefault="00E41894" w:rsidP="006C09A8">
            <w:pPr>
              <w:ind w:right="423"/>
              <w:jc w:val="right"/>
              <w:rPr>
                <w:sz w:val="20"/>
                <w:szCs w:val="20"/>
                <w:lang w:val="uk-UA"/>
              </w:rPr>
            </w:pPr>
            <w:r w:rsidRPr="001557B4">
              <w:rPr>
                <w:sz w:val="20"/>
                <w:szCs w:val="20"/>
              </w:rPr>
              <w:t xml:space="preserve"> 89 </w:t>
            </w:r>
          </w:p>
        </w:tc>
        <w:tc>
          <w:tcPr>
            <w:tcW w:w="766" w:type="pct"/>
            <w:tcBorders>
              <w:top w:val="single" w:sz="4" w:space="0" w:color="4472C4"/>
              <w:bottom w:val="single" w:sz="4" w:space="0" w:color="4472C4"/>
            </w:tcBorders>
            <w:shd w:val="clear" w:color="auto" w:fill="auto"/>
          </w:tcPr>
          <w:p w14:paraId="6E51324A" w14:textId="77777777" w:rsidR="00E41894" w:rsidRPr="001557B4" w:rsidRDefault="00E41894" w:rsidP="006C09A8">
            <w:pPr>
              <w:ind w:right="431"/>
              <w:jc w:val="right"/>
              <w:rPr>
                <w:sz w:val="20"/>
                <w:szCs w:val="20"/>
                <w:lang w:val="uk-UA"/>
              </w:rPr>
            </w:pPr>
            <w:r w:rsidRPr="001557B4">
              <w:rPr>
                <w:sz w:val="20"/>
                <w:szCs w:val="20"/>
              </w:rPr>
              <w:t xml:space="preserve"> 89 </w:t>
            </w:r>
          </w:p>
        </w:tc>
      </w:tr>
      <w:tr w:rsidR="00E41894" w:rsidRPr="001557B4" w14:paraId="07EFA00D" w14:textId="77777777" w:rsidTr="006C09A8">
        <w:tc>
          <w:tcPr>
            <w:tcW w:w="2077" w:type="pct"/>
            <w:tcBorders>
              <w:right w:val="nil"/>
            </w:tcBorders>
            <w:shd w:val="clear" w:color="auto" w:fill="FFFFFF"/>
          </w:tcPr>
          <w:p w14:paraId="61219A8D" w14:textId="77777777" w:rsidR="00E41894" w:rsidRPr="001557B4" w:rsidRDefault="00E41894" w:rsidP="006C09A8">
            <w:pPr>
              <w:jc w:val="left"/>
              <w:rPr>
                <w:rFonts w:eastAsia="Courier New"/>
                <w:b/>
                <w:bCs/>
                <w:sz w:val="20"/>
                <w:szCs w:val="20"/>
              </w:rPr>
            </w:pPr>
            <w:r w:rsidRPr="001557B4">
              <w:rPr>
                <w:rFonts w:eastAsia="Courier New"/>
                <w:b/>
                <w:bCs/>
                <w:sz w:val="20"/>
                <w:szCs w:val="20"/>
              </w:rPr>
              <w:t xml:space="preserve">Capacity of </w:t>
            </w:r>
            <w:r w:rsidRPr="001557B4">
              <w:rPr>
                <w:rFonts w:eastAsia="Courier New"/>
                <w:b/>
                <w:bCs/>
                <w:sz w:val="20"/>
                <w:szCs w:val="20"/>
                <w:lang w:val="uk-UA"/>
              </w:rPr>
              <w:t xml:space="preserve"> </w:t>
            </w:r>
            <w:r w:rsidRPr="001557B4">
              <w:rPr>
                <w:rFonts w:eastAsia="Courier New"/>
                <w:b/>
                <w:bCs/>
                <w:sz w:val="20"/>
                <w:szCs w:val="20"/>
              </w:rPr>
              <w:t>T</w:t>
            </w:r>
            <w:r w:rsidRPr="001557B4">
              <w:rPr>
                <w:rFonts w:eastAsia="Courier New"/>
                <w:b/>
                <w:bCs/>
                <w:sz w:val="20"/>
                <w:szCs w:val="20"/>
                <w:lang w:val="uk-UA"/>
              </w:rPr>
              <w:t xml:space="preserve">reatment </w:t>
            </w:r>
            <w:r w:rsidRPr="001557B4">
              <w:rPr>
                <w:rFonts w:eastAsia="Courier New"/>
                <w:b/>
                <w:bCs/>
                <w:sz w:val="20"/>
                <w:szCs w:val="20"/>
              </w:rPr>
              <w:t>facilities</w:t>
            </w:r>
          </w:p>
        </w:tc>
        <w:tc>
          <w:tcPr>
            <w:tcW w:w="625" w:type="pct"/>
            <w:shd w:val="clear" w:color="auto" w:fill="auto"/>
          </w:tcPr>
          <w:p w14:paraId="613303EA" w14:textId="77777777" w:rsidR="00E41894" w:rsidRPr="001557B4" w:rsidRDefault="00E41894" w:rsidP="006C09A8">
            <w:pPr>
              <w:ind w:left="-378" w:right="369"/>
              <w:jc w:val="right"/>
              <w:rPr>
                <w:sz w:val="20"/>
                <w:szCs w:val="20"/>
                <w:lang w:val="uk-UA"/>
              </w:rPr>
            </w:pPr>
            <w:r w:rsidRPr="001557B4">
              <w:rPr>
                <w:sz w:val="20"/>
                <w:szCs w:val="20"/>
              </w:rPr>
              <w:t xml:space="preserve"> 8,131 </w:t>
            </w:r>
          </w:p>
        </w:tc>
        <w:tc>
          <w:tcPr>
            <w:tcW w:w="766" w:type="pct"/>
            <w:shd w:val="clear" w:color="auto" w:fill="auto"/>
          </w:tcPr>
          <w:p w14:paraId="7D2A0909" w14:textId="77777777" w:rsidR="00E41894" w:rsidRPr="001557B4" w:rsidRDefault="00E41894" w:rsidP="006C09A8">
            <w:pPr>
              <w:ind w:right="396"/>
              <w:jc w:val="right"/>
              <w:rPr>
                <w:sz w:val="20"/>
                <w:szCs w:val="20"/>
                <w:lang w:val="uk-UA"/>
              </w:rPr>
            </w:pPr>
            <w:r w:rsidRPr="001557B4">
              <w:rPr>
                <w:sz w:val="20"/>
                <w:szCs w:val="20"/>
              </w:rPr>
              <w:t xml:space="preserve"> 7,992 </w:t>
            </w:r>
          </w:p>
        </w:tc>
        <w:tc>
          <w:tcPr>
            <w:tcW w:w="766" w:type="pct"/>
            <w:shd w:val="clear" w:color="auto" w:fill="auto"/>
          </w:tcPr>
          <w:p w14:paraId="50A9A717" w14:textId="77777777" w:rsidR="00E41894" w:rsidRPr="001557B4" w:rsidRDefault="00E41894" w:rsidP="006C09A8">
            <w:pPr>
              <w:ind w:right="423"/>
              <w:jc w:val="right"/>
              <w:rPr>
                <w:sz w:val="20"/>
                <w:szCs w:val="20"/>
                <w:lang w:val="uk-UA"/>
              </w:rPr>
            </w:pPr>
            <w:r w:rsidRPr="001557B4">
              <w:rPr>
                <w:sz w:val="20"/>
                <w:szCs w:val="20"/>
              </w:rPr>
              <w:t xml:space="preserve"> 7,688 </w:t>
            </w:r>
          </w:p>
        </w:tc>
        <w:tc>
          <w:tcPr>
            <w:tcW w:w="766" w:type="pct"/>
            <w:shd w:val="clear" w:color="auto" w:fill="auto"/>
          </w:tcPr>
          <w:p w14:paraId="177BEAE9" w14:textId="77777777" w:rsidR="00E41894" w:rsidRPr="001557B4" w:rsidRDefault="00E41894" w:rsidP="006C09A8">
            <w:pPr>
              <w:ind w:right="431"/>
              <w:jc w:val="right"/>
              <w:rPr>
                <w:sz w:val="20"/>
                <w:szCs w:val="20"/>
                <w:lang w:val="uk-UA"/>
              </w:rPr>
            </w:pPr>
            <w:r w:rsidRPr="001557B4">
              <w:rPr>
                <w:sz w:val="20"/>
                <w:szCs w:val="20"/>
              </w:rPr>
              <w:t xml:space="preserve"> 7,425 </w:t>
            </w:r>
          </w:p>
        </w:tc>
      </w:tr>
    </w:tbl>
    <w:p w14:paraId="0EDBB711" w14:textId="77777777" w:rsidR="00E41894" w:rsidRPr="00663798" w:rsidRDefault="00E41894" w:rsidP="00E41894">
      <w:pPr>
        <w:rPr>
          <w:rFonts w:cs="Times New Roman"/>
          <w:iCs/>
          <w:sz w:val="20"/>
          <w:szCs w:val="20"/>
        </w:rPr>
      </w:pPr>
      <w:r w:rsidRPr="00663798">
        <w:rPr>
          <w:rFonts w:cs="Times New Roman"/>
          <w:i/>
          <w:iCs/>
          <w:sz w:val="20"/>
          <w:szCs w:val="20"/>
        </w:rPr>
        <w:t>Source:</w:t>
      </w:r>
      <w:r w:rsidRPr="00663798">
        <w:rPr>
          <w:rFonts w:cs="Times New Roman"/>
          <w:iCs/>
          <w:sz w:val="20"/>
          <w:szCs w:val="20"/>
        </w:rPr>
        <w:t xml:space="preserve"> National Academy of Ukraine. 2012. </w:t>
      </w:r>
      <w:r w:rsidRPr="00663798">
        <w:rPr>
          <w:rFonts w:cs="Times New Roman"/>
          <w:i/>
          <w:iCs/>
          <w:sz w:val="20"/>
          <w:szCs w:val="20"/>
        </w:rPr>
        <w:t>National Report – Status of Implementation of Agenda 21.</w:t>
      </w:r>
      <w:r w:rsidRPr="00663798">
        <w:rPr>
          <w:rFonts w:cs="Times New Roman"/>
          <w:iCs/>
          <w:sz w:val="20"/>
          <w:szCs w:val="20"/>
        </w:rPr>
        <w:t xml:space="preserve"> Available online. </w:t>
      </w:r>
    </w:p>
    <w:p w14:paraId="1E0ABE53" w14:textId="77777777" w:rsidR="00893D12" w:rsidRDefault="00893D12" w:rsidP="00E9091B">
      <w:pPr>
        <w:rPr>
          <w:rFonts w:cs="Times New Roman"/>
          <w:iCs/>
        </w:rPr>
      </w:pPr>
    </w:p>
    <w:p w14:paraId="1D344401" w14:textId="77777777" w:rsidR="00911F2D" w:rsidRDefault="00893D12" w:rsidP="00772403">
      <w:pPr>
        <w:pStyle w:val="ListParagraph"/>
        <w:numPr>
          <w:ilvl w:val="0"/>
          <w:numId w:val="68"/>
        </w:numPr>
        <w:tabs>
          <w:tab w:val="left" w:pos="360"/>
        </w:tabs>
        <w:spacing w:line="23" w:lineRule="atLeast"/>
        <w:ind w:left="0" w:firstLine="0"/>
        <w:rPr>
          <w:rFonts w:cs="Times New Roman"/>
          <w:iCs/>
        </w:rPr>
      </w:pPr>
      <w:r>
        <w:rPr>
          <w:rFonts w:cs="Times New Roman"/>
          <w:iCs/>
        </w:rPr>
        <w:t xml:space="preserve">Almost </w:t>
      </w:r>
      <w:r w:rsidRPr="00893D12">
        <w:rPr>
          <w:rFonts w:cs="Times New Roman"/>
          <w:iCs/>
        </w:rPr>
        <w:t xml:space="preserve">70% of </w:t>
      </w:r>
      <w:r w:rsidR="003C6E32">
        <w:rPr>
          <w:rFonts w:cs="Times New Roman"/>
          <w:iCs/>
        </w:rPr>
        <w:t xml:space="preserve">the </w:t>
      </w:r>
      <w:r w:rsidRPr="00893D12">
        <w:rPr>
          <w:rFonts w:cs="Times New Roman"/>
          <w:iCs/>
        </w:rPr>
        <w:t>drinking water supply relies on surface water sources</w:t>
      </w:r>
      <w:r w:rsidR="003C6E32">
        <w:rPr>
          <w:rFonts w:cs="Times New Roman"/>
          <w:iCs/>
        </w:rPr>
        <w:t>,</w:t>
      </w:r>
      <w:r w:rsidR="00B103D3">
        <w:rPr>
          <w:rFonts w:cs="Times New Roman"/>
          <w:iCs/>
        </w:rPr>
        <w:t xml:space="preserve"> which increases the importance of reducing pollution of these water sources, including through adequate treatment of wastewater and </w:t>
      </w:r>
      <w:r w:rsidR="00680D3B">
        <w:rPr>
          <w:rFonts w:cs="Times New Roman"/>
          <w:iCs/>
        </w:rPr>
        <w:t xml:space="preserve">limiting </w:t>
      </w:r>
      <w:r w:rsidR="003C6E32">
        <w:rPr>
          <w:rFonts w:cs="Times New Roman"/>
          <w:iCs/>
        </w:rPr>
        <w:t xml:space="preserve">the </w:t>
      </w:r>
      <w:r w:rsidR="00680D3B">
        <w:rPr>
          <w:rFonts w:cs="Times New Roman"/>
          <w:iCs/>
        </w:rPr>
        <w:t xml:space="preserve">discharge of polluted water into surface and ground water bodies. </w:t>
      </w:r>
      <w:r w:rsidRPr="00893D12">
        <w:rPr>
          <w:rFonts w:cs="Times New Roman"/>
          <w:iCs/>
        </w:rPr>
        <w:cr/>
      </w:r>
    </w:p>
    <w:p w14:paraId="7921A9A2" w14:textId="77777777" w:rsidR="00911F2D" w:rsidRDefault="00911F2D" w:rsidP="00772403">
      <w:pPr>
        <w:pStyle w:val="ListParagraph"/>
        <w:numPr>
          <w:ilvl w:val="0"/>
          <w:numId w:val="68"/>
        </w:numPr>
        <w:tabs>
          <w:tab w:val="left" w:pos="360"/>
        </w:tabs>
        <w:spacing w:line="23" w:lineRule="atLeast"/>
        <w:ind w:left="0" w:firstLine="0"/>
        <w:rPr>
          <w:rFonts w:cs="Times New Roman"/>
          <w:iCs/>
        </w:rPr>
      </w:pPr>
      <w:r>
        <w:rPr>
          <w:rFonts w:cs="Times New Roman"/>
          <w:iCs/>
        </w:rPr>
        <w:t>Wastewater treatment accounts for 43% of Ukraine’s current environmental expend</w:t>
      </w:r>
      <w:r w:rsidR="00336C58">
        <w:rPr>
          <w:rFonts w:cs="Times New Roman"/>
          <w:iCs/>
        </w:rPr>
        <w:t>itures during 2010-2013</w:t>
      </w:r>
      <w:r w:rsidR="003C6E32">
        <w:rPr>
          <w:rFonts w:cs="Times New Roman"/>
          <w:iCs/>
        </w:rPr>
        <w:t>,</w:t>
      </w:r>
      <w:r w:rsidR="00336C58">
        <w:rPr>
          <w:rFonts w:cs="Times New Roman"/>
          <w:iCs/>
        </w:rPr>
        <w:t xml:space="preserve"> which puts it at highest category of expenditure. </w:t>
      </w:r>
      <w:r w:rsidR="00F47DD9">
        <w:rPr>
          <w:rFonts w:cs="Times New Roman"/>
          <w:iCs/>
        </w:rPr>
        <w:t>This is in addition to</w:t>
      </w:r>
      <w:r w:rsidR="008F608B">
        <w:rPr>
          <w:rFonts w:cs="Times New Roman"/>
          <w:iCs/>
        </w:rPr>
        <w:t xml:space="preserve"> the</w:t>
      </w:r>
      <w:r w:rsidR="00F47DD9">
        <w:rPr>
          <w:rFonts w:cs="Times New Roman"/>
          <w:iCs/>
        </w:rPr>
        <w:t xml:space="preserve"> 6% expenditure for the protection and rehabilitation of soil, </w:t>
      </w:r>
      <w:r w:rsidR="008F608B">
        <w:rPr>
          <w:rFonts w:cs="Times New Roman"/>
          <w:iCs/>
        </w:rPr>
        <w:t xml:space="preserve">and of </w:t>
      </w:r>
      <w:r w:rsidR="00F47DD9">
        <w:rPr>
          <w:rFonts w:cs="Times New Roman"/>
          <w:iCs/>
        </w:rPr>
        <w:t xml:space="preserve">ground and surface waters. </w:t>
      </w:r>
      <w:r w:rsidR="008F608B">
        <w:rPr>
          <w:rFonts w:cs="Times New Roman"/>
          <w:iCs/>
        </w:rPr>
        <w:t>However, i</w:t>
      </w:r>
      <w:r w:rsidR="00336C58">
        <w:rPr>
          <w:rFonts w:cs="Times New Roman"/>
          <w:iCs/>
        </w:rPr>
        <w:t xml:space="preserve">t should be noted that </w:t>
      </w:r>
      <w:r w:rsidR="008F608B">
        <w:rPr>
          <w:rFonts w:cs="Times New Roman"/>
          <w:iCs/>
        </w:rPr>
        <w:t xml:space="preserve">a </w:t>
      </w:r>
      <w:r w:rsidR="00336C58">
        <w:rPr>
          <w:rFonts w:cs="Times New Roman"/>
          <w:iCs/>
        </w:rPr>
        <w:t>large proportion (65% nationally) covers operational costs</w:t>
      </w:r>
      <w:r w:rsidR="00BF44BA">
        <w:rPr>
          <w:rFonts w:cs="Times New Roman"/>
          <w:iCs/>
        </w:rPr>
        <w:t>, which may indicate under</w:t>
      </w:r>
      <w:r w:rsidR="008F608B">
        <w:rPr>
          <w:rFonts w:cs="Times New Roman"/>
          <w:iCs/>
        </w:rPr>
        <w:t>-</w:t>
      </w:r>
      <w:r w:rsidR="00BF44BA">
        <w:rPr>
          <w:rFonts w:cs="Times New Roman"/>
          <w:iCs/>
        </w:rPr>
        <w:t>investment in key wastewater collection and treatment infrastructure.</w:t>
      </w:r>
    </w:p>
    <w:p w14:paraId="1B75B2CD" w14:textId="77777777" w:rsidR="00422690" w:rsidRPr="002B1DFC" w:rsidRDefault="00422690" w:rsidP="001557B4">
      <w:pPr>
        <w:rPr>
          <w:rFonts w:cs="Times New Roman"/>
          <w:iCs/>
        </w:rPr>
      </w:pPr>
      <w:bookmarkStart w:id="41" w:name="_Toc6908405"/>
      <w:bookmarkStart w:id="42" w:name="_Toc6908722"/>
      <w:bookmarkStart w:id="43" w:name="_Toc6908869"/>
      <w:bookmarkStart w:id="44" w:name="_Toc6980708"/>
      <w:bookmarkStart w:id="45" w:name="_Toc6989374"/>
      <w:bookmarkStart w:id="46" w:name="_Toc6997162"/>
      <w:bookmarkStart w:id="47" w:name="_Toc12482336"/>
      <w:bookmarkStart w:id="48" w:name="_Toc12482683"/>
      <w:bookmarkStart w:id="49" w:name="_Toc23068140"/>
      <w:bookmarkStart w:id="50" w:name="_Toc23077558"/>
      <w:bookmarkStart w:id="51" w:name="_Toc23078090"/>
      <w:bookmarkStart w:id="52" w:name="_Toc23081772"/>
      <w:bookmarkStart w:id="53" w:name="_Toc23142572"/>
      <w:bookmarkStart w:id="54" w:name="_Toc23146057"/>
    </w:p>
    <w:p w14:paraId="0D591B32" w14:textId="77777777" w:rsidR="000B7923" w:rsidRPr="002B1DFC" w:rsidRDefault="000B7923" w:rsidP="00275839">
      <w:pPr>
        <w:rPr>
          <w:rFonts w:cs="Times New Roman"/>
          <w:iCs/>
          <w:u w:val="single"/>
        </w:rPr>
      </w:pPr>
      <w:r w:rsidRPr="002B1DFC">
        <w:rPr>
          <w:rFonts w:cs="Times New Roman"/>
          <w:iCs/>
          <w:u w:val="single"/>
        </w:rPr>
        <w:t>Solid and Hazardous Waste</w:t>
      </w:r>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2B1DFC">
        <w:rPr>
          <w:rFonts w:cs="Times New Roman"/>
          <w:iCs/>
          <w:u w:val="single"/>
        </w:rPr>
        <w:t xml:space="preserve"> Management </w:t>
      </w:r>
    </w:p>
    <w:p w14:paraId="2E7513E6" w14:textId="77777777" w:rsidR="000B7923" w:rsidRPr="002B1DFC" w:rsidRDefault="000B7923" w:rsidP="00275839">
      <w:pPr>
        <w:rPr>
          <w:rFonts w:cs="Times New Roman"/>
          <w:iCs/>
          <w:u w:val="single"/>
        </w:rPr>
      </w:pPr>
    </w:p>
    <w:p w14:paraId="5C892403" w14:textId="77777777" w:rsidR="000B7923" w:rsidRDefault="000B7923" w:rsidP="00772403">
      <w:pPr>
        <w:pStyle w:val="ListParagraph"/>
        <w:numPr>
          <w:ilvl w:val="0"/>
          <w:numId w:val="68"/>
        </w:numPr>
        <w:tabs>
          <w:tab w:val="left" w:pos="360"/>
        </w:tabs>
        <w:spacing w:line="23" w:lineRule="atLeast"/>
        <w:ind w:left="0" w:firstLine="0"/>
        <w:rPr>
          <w:rFonts w:cs="Times New Roman"/>
          <w:iCs/>
        </w:rPr>
      </w:pPr>
      <w:r w:rsidRPr="002B1DFC">
        <w:rPr>
          <w:rFonts w:cs="Times New Roman"/>
          <w:iCs/>
        </w:rPr>
        <w:t xml:space="preserve">Ukraine identifies four classes of industrial waste, grouped according to hazardous properties and physical, chemical, and biological characteristics. The first, second, and third classes—considered most harmful—represent 3% of </w:t>
      </w:r>
      <w:r w:rsidR="008F608B">
        <w:rPr>
          <w:rFonts w:cs="Times New Roman"/>
          <w:iCs/>
        </w:rPr>
        <w:t xml:space="preserve">the </w:t>
      </w:r>
      <w:r w:rsidRPr="002B1DFC">
        <w:rPr>
          <w:rFonts w:cs="Times New Roman"/>
          <w:iCs/>
        </w:rPr>
        <w:t xml:space="preserve">annual generation of waste, or 1% of waste accumulation. The fourth class is considered less harmful and, in practice, represents </w:t>
      </w:r>
      <w:r w:rsidR="003C6E32">
        <w:rPr>
          <w:rFonts w:cs="Times New Roman"/>
          <w:iCs/>
        </w:rPr>
        <w:t xml:space="preserve">the </w:t>
      </w:r>
      <w:r w:rsidRPr="002B1DFC">
        <w:rPr>
          <w:rFonts w:cs="Times New Roman"/>
          <w:iCs/>
        </w:rPr>
        <w:t xml:space="preserve">total accumulation of solid waste in Ukraine. Major sources of waste generation in Ukraine are mining, chemical and metallurgical, machine building, energy, wood pulp and paper, and agriculture sectors. Large accumulations of toxic wastes increase the risks of ecological accidents from disposed heavy metals, oil products, pesticides, and other materials (NES 2020). About 350 thousand tons of medical waste is being generated annually (NES 2020). Table </w:t>
      </w:r>
      <w:r w:rsidR="005060F5">
        <w:rPr>
          <w:rFonts w:cs="Times New Roman"/>
          <w:iCs/>
        </w:rPr>
        <w:t>5</w:t>
      </w:r>
      <w:r w:rsidRPr="002B1DFC">
        <w:rPr>
          <w:rFonts w:cs="Times New Roman"/>
          <w:iCs/>
        </w:rPr>
        <w:t xml:space="preserve"> shows solid waste generation by classification from 2011 to 2013. </w:t>
      </w:r>
    </w:p>
    <w:p w14:paraId="14376F8B" w14:textId="77777777" w:rsidR="00E41894" w:rsidRDefault="00E41894" w:rsidP="00076172">
      <w:pPr>
        <w:rPr>
          <w:rFonts w:cs="Times New Roman"/>
          <w:iCs/>
        </w:rPr>
      </w:pPr>
    </w:p>
    <w:p w14:paraId="2DBEE2EA" w14:textId="77777777" w:rsidR="00E41894" w:rsidRPr="002B1DFC" w:rsidRDefault="00E41894" w:rsidP="00772403">
      <w:pPr>
        <w:pStyle w:val="ListParagraph"/>
        <w:numPr>
          <w:ilvl w:val="0"/>
          <w:numId w:val="68"/>
        </w:numPr>
        <w:tabs>
          <w:tab w:val="left" w:pos="360"/>
        </w:tabs>
        <w:spacing w:line="23" w:lineRule="atLeast"/>
        <w:ind w:left="0" w:firstLine="0"/>
      </w:pPr>
      <w:r w:rsidRPr="002B1DFC">
        <w:rPr>
          <w:rFonts w:cs="Times New Roman"/>
          <w:iCs/>
        </w:rPr>
        <w:t xml:space="preserve">An IFC (2012) study on Waste Management in Ukraine (IFC 2012) highlighted </w:t>
      </w:r>
      <w:r>
        <w:rPr>
          <w:rFonts w:cs="Times New Roman"/>
          <w:iCs/>
        </w:rPr>
        <w:t>Ukraine’s</w:t>
      </w:r>
      <w:r w:rsidRPr="002B1DFC">
        <w:rPr>
          <w:rFonts w:cs="Times New Roman"/>
          <w:iCs/>
        </w:rPr>
        <w:t xml:space="preserve"> current waste management practices as resource-inefficient and resulting in negative environmental impacts. Municipal solid waste generation i</w:t>
      </w:r>
      <w:r>
        <w:rPr>
          <w:rFonts w:cs="Times New Roman"/>
          <w:iCs/>
        </w:rPr>
        <w:t>n</w:t>
      </w:r>
      <w:r w:rsidRPr="002B1DFC">
        <w:rPr>
          <w:rFonts w:cs="Times New Roman"/>
          <w:iCs/>
        </w:rPr>
        <w:t xml:space="preserve"> Ukraine is estimated between 220</w:t>
      </w:r>
      <w:r>
        <w:rPr>
          <w:rFonts w:cs="Times New Roman"/>
          <w:iCs/>
        </w:rPr>
        <w:t>–</w:t>
      </w:r>
      <w:r w:rsidRPr="002B1DFC">
        <w:rPr>
          <w:rFonts w:cs="Times New Roman"/>
          <w:iCs/>
        </w:rPr>
        <w:t>350 kg per capita annually. While this is lower than EU’s general rate of 510 kilograms, it has been increasing from previous years. Municipal solid waste is disposed of mainly in 4</w:t>
      </w:r>
      <w:r>
        <w:rPr>
          <w:rFonts w:cs="Times New Roman"/>
          <w:iCs/>
        </w:rPr>
        <w:t>,</w:t>
      </w:r>
      <w:r w:rsidRPr="002B1DFC">
        <w:rPr>
          <w:rFonts w:cs="Times New Roman"/>
          <w:iCs/>
        </w:rPr>
        <w:t>157 open dumps and landfills, while 3.5% of total municipal solid waste is incinerated. Ukraine recovers approximately 5%</w:t>
      </w:r>
      <w:r>
        <w:rPr>
          <w:rFonts w:cs="Times New Roman"/>
          <w:iCs/>
        </w:rPr>
        <w:t>–</w:t>
      </w:r>
      <w:r w:rsidRPr="002B1DFC">
        <w:rPr>
          <w:rFonts w:cs="Times New Roman"/>
          <w:iCs/>
        </w:rPr>
        <w:t>7% of municipal solid waste</w:t>
      </w:r>
      <w:r>
        <w:rPr>
          <w:rFonts w:cs="Times New Roman"/>
          <w:iCs/>
        </w:rPr>
        <w:t xml:space="preserve"> (even though this may not take into consideration recovery at source - </w:t>
      </w:r>
      <w:r w:rsidRPr="004C3604">
        <w:rPr>
          <w:rFonts w:cs="Times New Roman"/>
          <w:iCs/>
        </w:rPr>
        <w:t xml:space="preserve">people taking everything of some value from waste containers </w:t>
      </w:r>
      <w:r>
        <w:rPr>
          <w:rFonts w:cs="Times New Roman"/>
          <w:iCs/>
        </w:rPr>
        <w:t>for resale for recycling</w:t>
      </w:r>
      <w:r w:rsidRPr="004C3604">
        <w:rPr>
          <w:rFonts w:cs="Times New Roman"/>
          <w:iCs/>
        </w:rPr>
        <w:t>)</w:t>
      </w:r>
      <w:r w:rsidRPr="002B1DFC">
        <w:rPr>
          <w:rFonts w:cs="Times New Roman"/>
          <w:iCs/>
        </w:rPr>
        <w:t>, compared to 60% in EU member states</w:t>
      </w:r>
      <w:r>
        <w:rPr>
          <w:rFonts w:cs="Times New Roman"/>
          <w:iCs/>
        </w:rPr>
        <w:t>—</w:t>
      </w:r>
      <w:r w:rsidRPr="002B1DFC">
        <w:rPr>
          <w:rFonts w:cs="Times New Roman"/>
          <w:iCs/>
        </w:rPr>
        <w:t xml:space="preserve">a figure that requires Ukraine to double </w:t>
      </w:r>
      <w:r w:rsidRPr="002B1DFC">
        <w:rPr>
          <w:rFonts w:cs="Times New Roman"/>
          <w:iCs/>
        </w:rPr>
        <w:lastRenderedPageBreak/>
        <w:t xml:space="preserve">its solid waste disposal capacity in the next 15 years. </w:t>
      </w:r>
      <w:r w:rsidRPr="002B1DFC">
        <w:t xml:space="preserve">The IFC (2012) report identified key measures that are necessary to overcome the current administrative and financial challenges facing the municipal solid waste </w:t>
      </w:r>
      <w:r w:rsidRPr="00772403">
        <w:rPr>
          <w:rFonts w:cs="Times New Roman"/>
          <w:iCs/>
        </w:rPr>
        <w:t>sector</w:t>
      </w:r>
      <w:r w:rsidRPr="002B1DFC">
        <w:t>. These include putting in place the following mechanisms: market coordination</w:t>
      </w:r>
      <w:r>
        <w:t>,</w:t>
      </w:r>
      <w:r w:rsidRPr="002B1DFC">
        <w:t xml:space="preserve"> tariff setting</w:t>
      </w:r>
      <w:r>
        <w:t>,</w:t>
      </w:r>
      <w:r w:rsidRPr="002B1DFC">
        <w:t xml:space="preserve"> waste recovery incentives</w:t>
      </w:r>
      <w:r>
        <w:t>,</w:t>
      </w:r>
      <w:r w:rsidRPr="002B1DFC">
        <w:t xml:space="preserve"> and mechanisms for private</w:t>
      </w:r>
      <w:r>
        <w:t>-</w:t>
      </w:r>
      <w:r w:rsidRPr="002B1DFC">
        <w:t xml:space="preserve">sector engagement and financing. </w:t>
      </w:r>
      <w:r>
        <w:t>(See figure 2.)</w:t>
      </w:r>
    </w:p>
    <w:p w14:paraId="0F14066C" w14:textId="77777777" w:rsidR="000D5F54" w:rsidRPr="002B1DFC" w:rsidRDefault="000D5F54" w:rsidP="00076172">
      <w:pPr>
        <w:rPr>
          <w:rFonts w:cs="Times New Roman"/>
          <w:iCs/>
        </w:rPr>
      </w:pPr>
    </w:p>
    <w:p w14:paraId="0E4727CB" w14:textId="37BB8CA4" w:rsidR="000B7923" w:rsidRPr="002B1DFC" w:rsidRDefault="000B7923" w:rsidP="00663798">
      <w:pPr>
        <w:pStyle w:val="Caption"/>
        <w:spacing w:before="200"/>
        <w:rPr>
          <w:iCs/>
        </w:rPr>
      </w:pPr>
      <w:bookmarkStart w:id="55" w:name="_Toc440273997"/>
      <w:r w:rsidRPr="002B1DFC">
        <w:t xml:space="preserve">Table </w:t>
      </w:r>
      <w:r w:rsidRPr="002B1DFC">
        <w:fldChar w:fldCharType="begin"/>
      </w:r>
      <w:r w:rsidRPr="002B1DFC">
        <w:instrText xml:space="preserve"> SEQ Table \* ARABIC </w:instrText>
      </w:r>
      <w:r w:rsidRPr="002B1DFC">
        <w:fldChar w:fldCharType="separate"/>
      </w:r>
      <w:r w:rsidR="00356D5F">
        <w:t>5</w:t>
      </w:r>
      <w:r w:rsidRPr="002B1DFC">
        <w:fldChar w:fldCharType="end"/>
      </w:r>
      <w:r w:rsidRPr="002B1DFC">
        <w:t xml:space="preserve">. </w:t>
      </w:r>
      <w:r w:rsidRPr="002B1DFC">
        <w:rPr>
          <w:iCs/>
        </w:rPr>
        <w:t>Overview of Solid Waste Generation in Ukraine by Hazard Classification</w:t>
      </w:r>
      <w:bookmarkEnd w:id="55"/>
      <w:r w:rsidR="00E56023">
        <w:rPr>
          <w:iCs/>
        </w:rPr>
        <w:t xml:space="preserve"> (thousand tons)</w:t>
      </w:r>
    </w:p>
    <w:tbl>
      <w:tblPr>
        <w:tblW w:w="5000" w:type="pct"/>
        <w:tblInd w:w="108" w:type="dxa"/>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856"/>
        <w:gridCol w:w="1266"/>
        <w:gridCol w:w="1232"/>
        <w:gridCol w:w="1266"/>
        <w:gridCol w:w="1232"/>
        <w:gridCol w:w="1266"/>
        <w:gridCol w:w="1232"/>
      </w:tblGrid>
      <w:tr w:rsidR="000B7923" w:rsidRPr="002B1DFC" w14:paraId="722894AE" w14:textId="77777777">
        <w:tc>
          <w:tcPr>
            <w:tcW w:w="1001" w:type="pct"/>
            <w:tcBorders>
              <w:top w:val="single" w:sz="4" w:space="0" w:color="4F81BD"/>
              <w:left w:val="single" w:sz="4" w:space="0" w:color="4F81BD"/>
              <w:bottom w:val="single" w:sz="4" w:space="0" w:color="4F81BD"/>
            </w:tcBorders>
            <w:shd w:val="clear" w:color="auto" w:fill="4F81BD"/>
            <w:noWrap/>
          </w:tcPr>
          <w:p w14:paraId="5ACE3FF5" w14:textId="77777777" w:rsidR="000B7923" w:rsidRPr="002B1DFC" w:rsidRDefault="000B7923" w:rsidP="00C66939">
            <w:pPr>
              <w:pStyle w:val="ListParagraph"/>
              <w:ind w:left="360"/>
              <w:rPr>
                <w:rFonts w:eastAsia="Times New Roman" w:cs="Times New Roman"/>
                <w:b/>
                <w:bCs/>
                <w:iCs/>
                <w:color w:val="FFFFFF"/>
                <w:sz w:val="18"/>
                <w:szCs w:val="18"/>
              </w:rPr>
            </w:pPr>
            <w:r w:rsidRPr="002B1DFC">
              <w:rPr>
                <w:rFonts w:eastAsia="Times New Roman" w:cs="Times New Roman"/>
                <w:b/>
                <w:bCs/>
                <w:iCs/>
                <w:color w:val="FFFFFF"/>
                <w:sz w:val="18"/>
                <w:szCs w:val="18"/>
              </w:rPr>
              <w:t> Year</w:t>
            </w:r>
          </w:p>
        </w:tc>
        <w:tc>
          <w:tcPr>
            <w:tcW w:w="1333" w:type="pct"/>
            <w:gridSpan w:val="2"/>
            <w:tcBorders>
              <w:top w:val="single" w:sz="4" w:space="0" w:color="4F81BD"/>
              <w:bottom w:val="single" w:sz="4" w:space="0" w:color="4F81BD"/>
            </w:tcBorders>
            <w:shd w:val="clear" w:color="auto" w:fill="4F81BD"/>
            <w:noWrap/>
          </w:tcPr>
          <w:p w14:paraId="35787019" w14:textId="77777777" w:rsidR="000B7923" w:rsidRPr="002B1DFC" w:rsidRDefault="000B7923" w:rsidP="00C66939">
            <w:pPr>
              <w:pStyle w:val="ListParagraph"/>
              <w:ind w:left="360"/>
              <w:rPr>
                <w:rFonts w:eastAsia="Times New Roman" w:cs="Times New Roman"/>
                <w:b/>
                <w:bCs/>
                <w:iCs/>
                <w:color w:val="FFFFFF"/>
                <w:sz w:val="18"/>
                <w:szCs w:val="18"/>
              </w:rPr>
            </w:pPr>
            <w:r w:rsidRPr="002B1DFC">
              <w:rPr>
                <w:rFonts w:eastAsia="Times New Roman" w:cs="Times New Roman"/>
                <w:b/>
                <w:bCs/>
                <w:iCs/>
                <w:color w:val="FFFFFF"/>
                <w:sz w:val="18"/>
                <w:szCs w:val="18"/>
              </w:rPr>
              <w:t>2011</w:t>
            </w:r>
            <w:r w:rsidR="00B60BB9">
              <w:rPr>
                <w:rFonts w:eastAsia="Times New Roman" w:cs="Times New Roman"/>
                <w:b/>
                <w:bCs/>
                <w:iCs/>
                <w:color w:val="FFFFFF"/>
                <w:sz w:val="18"/>
                <w:szCs w:val="18"/>
              </w:rPr>
              <w:t xml:space="preserve"> - - - - - - - - - </w:t>
            </w:r>
          </w:p>
        </w:tc>
        <w:tc>
          <w:tcPr>
            <w:tcW w:w="1333" w:type="pct"/>
            <w:gridSpan w:val="2"/>
            <w:tcBorders>
              <w:top w:val="single" w:sz="4" w:space="0" w:color="4F81BD"/>
              <w:bottom w:val="single" w:sz="4" w:space="0" w:color="4F81BD"/>
            </w:tcBorders>
            <w:shd w:val="clear" w:color="auto" w:fill="4F81BD"/>
            <w:noWrap/>
          </w:tcPr>
          <w:p w14:paraId="68713D9B" w14:textId="77777777" w:rsidR="000B7923" w:rsidRPr="002B1DFC" w:rsidRDefault="000B7923" w:rsidP="00663798">
            <w:pPr>
              <w:pStyle w:val="ListParagraph"/>
              <w:ind w:left="552"/>
              <w:rPr>
                <w:rFonts w:eastAsia="Times New Roman" w:cs="Times New Roman"/>
                <w:b/>
                <w:bCs/>
                <w:iCs/>
                <w:color w:val="FFFFFF"/>
                <w:sz w:val="18"/>
                <w:szCs w:val="18"/>
              </w:rPr>
            </w:pPr>
            <w:r w:rsidRPr="002B1DFC">
              <w:rPr>
                <w:rFonts w:eastAsia="Times New Roman" w:cs="Times New Roman"/>
                <w:b/>
                <w:bCs/>
                <w:iCs/>
                <w:color w:val="FFFFFF"/>
                <w:sz w:val="18"/>
                <w:szCs w:val="18"/>
              </w:rPr>
              <w:t>2012</w:t>
            </w:r>
            <w:r w:rsidR="00B60BB9">
              <w:rPr>
                <w:rFonts w:eastAsia="Times New Roman" w:cs="Times New Roman"/>
                <w:b/>
                <w:bCs/>
                <w:iCs/>
                <w:color w:val="FFFFFF"/>
                <w:sz w:val="18"/>
                <w:szCs w:val="18"/>
              </w:rPr>
              <w:t xml:space="preserve"> - - - - - - - - </w:t>
            </w:r>
          </w:p>
        </w:tc>
        <w:tc>
          <w:tcPr>
            <w:tcW w:w="1333" w:type="pct"/>
            <w:gridSpan w:val="2"/>
            <w:tcBorders>
              <w:top w:val="single" w:sz="4" w:space="0" w:color="4F81BD"/>
              <w:bottom w:val="single" w:sz="4" w:space="0" w:color="4F81BD"/>
              <w:right w:val="single" w:sz="4" w:space="0" w:color="4F81BD"/>
            </w:tcBorders>
            <w:shd w:val="clear" w:color="auto" w:fill="4F81BD"/>
            <w:noWrap/>
          </w:tcPr>
          <w:p w14:paraId="5B554AEF" w14:textId="77777777" w:rsidR="000B7923" w:rsidRPr="002B1DFC" w:rsidRDefault="000B7923" w:rsidP="00663798">
            <w:pPr>
              <w:pStyle w:val="ListParagraph"/>
              <w:ind w:left="519"/>
              <w:rPr>
                <w:rFonts w:eastAsia="Times New Roman" w:cs="Times New Roman"/>
                <w:b/>
                <w:bCs/>
                <w:iCs/>
                <w:color w:val="FFFFFF"/>
                <w:sz w:val="18"/>
                <w:szCs w:val="18"/>
              </w:rPr>
            </w:pPr>
            <w:r w:rsidRPr="002B1DFC">
              <w:rPr>
                <w:rFonts w:eastAsia="Times New Roman" w:cs="Times New Roman"/>
                <w:b/>
                <w:bCs/>
                <w:iCs/>
                <w:color w:val="FFFFFF"/>
                <w:sz w:val="18"/>
                <w:szCs w:val="18"/>
              </w:rPr>
              <w:t>2013</w:t>
            </w:r>
            <w:r w:rsidR="00B60BB9">
              <w:rPr>
                <w:rFonts w:eastAsia="Times New Roman" w:cs="Times New Roman"/>
                <w:b/>
                <w:bCs/>
                <w:iCs/>
                <w:color w:val="FFFFFF"/>
                <w:sz w:val="18"/>
                <w:szCs w:val="18"/>
              </w:rPr>
              <w:t xml:space="preserve"> - - - - - - - -</w:t>
            </w:r>
          </w:p>
        </w:tc>
      </w:tr>
      <w:tr w:rsidR="000B7923" w:rsidRPr="002B1DFC" w14:paraId="173D77DD" w14:textId="77777777">
        <w:tc>
          <w:tcPr>
            <w:tcW w:w="1001" w:type="pct"/>
            <w:tcBorders>
              <w:top w:val="single" w:sz="4" w:space="0" w:color="95B3D7"/>
              <w:left w:val="single" w:sz="4" w:space="0" w:color="95B3D7"/>
              <w:bottom w:val="single" w:sz="4" w:space="0" w:color="95B3D7"/>
            </w:tcBorders>
            <w:shd w:val="clear" w:color="auto" w:fill="DBE5F1"/>
            <w:noWrap/>
          </w:tcPr>
          <w:p w14:paraId="19DCB998" w14:textId="77777777" w:rsidR="000B7923" w:rsidRPr="002B1DFC" w:rsidRDefault="000B7923" w:rsidP="00F441C6">
            <w:pPr>
              <w:pStyle w:val="ListParagraph"/>
              <w:ind w:left="360"/>
              <w:jc w:val="right"/>
              <w:rPr>
                <w:rFonts w:eastAsia="Times New Roman" w:cs="Times New Roman"/>
                <w:b/>
                <w:bCs/>
                <w:iCs/>
                <w:sz w:val="18"/>
                <w:szCs w:val="18"/>
              </w:rPr>
            </w:pPr>
            <w:r w:rsidRPr="002B1DFC">
              <w:rPr>
                <w:rFonts w:eastAsia="Times New Roman" w:cs="Times New Roman"/>
                <w:b/>
                <w:bCs/>
                <w:iCs/>
                <w:sz w:val="18"/>
                <w:szCs w:val="18"/>
              </w:rPr>
              <w:t xml:space="preserve"> Class </w:t>
            </w:r>
            <w:r w:rsidRPr="002B1DFC">
              <w:rPr>
                <w:rFonts w:eastAsia="Times New Roman" w:cs="Times New Roman"/>
                <w:iCs/>
                <w:sz w:val="18"/>
                <w:szCs w:val="18"/>
              </w:rPr>
              <w:sym w:font="Wingdings" w:char="F0E0"/>
            </w:r>
          </w:p>
        </w:tc>
        <w:tc>
          <w:tcPr>
            <w:tcW w:w="666" w:type="pct"/>
            <w:tcBorders>
              <w:top w:val="single" w:sz="4" w:space="0" w:color="95B3D7"/>
              <w:bottom w:val="single" w:sz="4" w:space="0" w:color="95B3D7"/>
            </w:tcBorders>
            <w:shd w:val="clear" w:color="auto" w:fill="DBE5F1"/>
          </w:tcPr>
          <w:p w14:paraId="43C8C2BA" w14:textId="77777777" w:rsidR="000B7923" w:rsidRPr="002B1DFC" w:rsidRDefault="000B7923" w:rsidP="00F441C6">
            <w:pPr>
              <w:pStyle w:val="ListParagraph"/>
              <w:ind w:left="360"/>
              <w:rPr>
                <w:rFonts w:eastAsia="Times New Roman" w:cs="Times New Roman"/>
                <w:b/>
                <w:bCs/>
                <w:iCs/>
                <w:sz w:val="18"/>
                <w:szCs w:val="18"/>
              </w:rPr>
            </w:pPr>
            <w:r w:rsidRPr="002B1DFC">
              <w:rPr>
                <w:rFonts w:eastAsia="Times New Roman" w:cs="Times New Roman"/>
                <w:b/>
                <w:bCs/>
                <w:iCs/>
                <w:sz w:val="18"/>
                <w:szCs w:val="18"/>
              </w:rPr>
              <w:t xml:space="preserve">I-IV </w:t>
            </w:r>
          </w:p>
        </w:tc>
        <w:tc>
          <w:tcPr>
            <w:tcW w:w="667" w:type="pct"/>
            <w:tcBorders>
              <w:top w:val="single" w:sz="4" w:space="0" w:color="95B3D7"/>
              <w:bottom w:val="single" w:sz="4" w:space="0" w:color="95B3D7"/>
            </w:tcBorders>
            <w:shd w:val="clear" w:color="auto" w:fill="DBE5F1"/>
          </w:tcPr>
          <w:p w14:paraId="07E3307E" w14:textId="77777777" w:rsidR="000B7923" w:rsidRPr="002B1DFC" w:rsidRDefault="000B7923" w:rsidP="00F441C6">
            <w:pPr>
              <w:pStyle w:val="ListParagraph"/>
              <w:ind w:left="360"/>
              <w:rPr>
                <w:rFonts w:eastAsia="Times New Roman" w:cs="Times New Roman"/>
                <w:b/>
                <w:bCs/>
                <w:iCs/>
                <w:sz w:val="18"/>
                <w:szCs w:val="18"/>
              </w:rPr>
            </w:pPr>
            <w:r w:rsidRPr="002B1DFC">
              <w:rPr>
                <w:rFonts w:eastAsia="Times New Roman" w:cs="Times New Roman"/>
                <w:b/>
                <w:bCs/>
                <w:iCs/>
                <w:sz w:val="18"/>
                <w:szCs w:val="18"/>
              </w:rPr>
              <w:t xml:space="preserve">І-III </w:t>
            </w:r>
          </w:p>
        </w:tc>
        <w:tc>
          <w:tcPr>
            <w:tcW w:w="666" w:type="pct"/>
            <w:tcBorders>
              <w:top w:val="single" w:sz="4" w:space="0" w:color="95B3D7"/>
              <w:bottom w:val="single" w:sz="4" w:space="0" w:color="95B3D7"/>
            </w:tcBorders>
            <w:shd w:val="clear" w:color="auto" w:fill="DBE5F1"/>
          </w:tcPr>
          <w:p w14:paraId="31C7F9DC" w14:textId="77777777" w:rsidR="000B7923" w:rsidRPr="002B1DFC" w:rsidRDefault="000B7923" w:rsidP="00663798">
            <w:pPr>
              <w:pStyle w:val="ListParagraph"/>
              <w:ind w:left="360"/>
              <w:jc w:val="center"/>
              <w:rPr>
                <w:rFonts w:eastAsia="Times New Roman" w:cs="Times New Roman"/>
                <w:b/>
                <w:bCs/>
                <w:iCs/>
                <w:sz w:val="18"/>
                <w:szCs w:val="18"/>
              </w:rPr>
            </w:pPr>
            <w:r w:rsidRPr="002B1DFC">
              <w:rPr>
                <w:rFonts w:eastAsia="Times New Roman" w:cs="Times New Roman"/>
                <w:b/>
                <w:bCs/>
                <w:iCs/>
                <w:sz w:val="18"/>
                <w:szCs w:val="18"/>
              </w:rPr>
              <w:t>I-IV</w:t>
            </w:r>
          </w:p>
        </w:tc>
        <w:tc>
          <w:tcPr>
            <w:tcW w:w="667" w:type="pct"/>
            <w:tcBorders>
              <w:top w:val="single" w:sz="4" w:space="0" w:color="95B3D7"/>
              <w:bottom w:val="single" w:sz="4" w:space="0" w:color="95B3D7"/>
            </w:tcBorders>
            <w:shd w:val="clear" w:color="auto" w:fill="DBE5F1"/>
          </w:tcPr>
          <w:p w14:paraId="5FC94D94" w14:textId="77777777" w:rsidR="000B7923" w:rsidRPr="002B1DFC" w:rsidRDefault="000B7923" w:rsidP="00F441C6">
            <w:pPr>
              <w:pStyle w:val="ListParagraph"/>
              <w:ind w:left="360"/>
              <w:rPr>
                <w:rFonts w:eastAsia="Times New Roman" w:cs="Times New Roman"/>
                <w:b/>
                <w:bCs/>
                <w:iCs/>
                <w:sz w:val="18"/>
                <w:szCs w:val="18"/>
              </w:rPr>
            </w:pPr>
            <w:r w:rsidRPr="002B1DFC">
              <w:rPr>
                <w:rFonts w:eastAsia="Times New Roman" w:cs="Times New Roman"/>
                <w:b/>
                <w:bCs/>
                <w:iCs/>
                <w:sz w:val="18"/>
                <w:szCs w:val="18"/>
              </w:rPr>
              <w:t xml:space="preserve">І-III </w:t>
            </w:r>
          </w:p>
        </w:tc>
        <w:tc>
          <w:tcPr>
            <w:tcW w:w="666" w:type="pct"/>
            <w:tcBorders>
              <w:top w:val="single" w:sz="4" w:space="0" w:color="95B3D7"/>
              <w:bottom w:val="single" w:sz="4" w:space="0" w:color="95B3D7"/>
            </w:tcBorders>
            <w:shd w:val="clear" w:color="auto" w:fill="DBE5F1"/>
          </w:tcPr>
          <w:p w14:paraId="48B20CBE" w14:textId="77777777" w:rsidR="000B7923" w:rsidRPr="002B1DFC" w:rsidRDefault="000B7923" w:rsidP="00663798">
            <w:pPr>
              <w:pStyle w:val="ListParagraph"/>
              <w:ind w:left="360"/>
              <w:jc w:val="center"/>
              <w:rPr>
                <w:rFonts w:eastAsia="Times New Roman" w:cs="Times New Roman"/>
                <w:b/>
                <w:bCs/>
                <w:iCs/>
                <w:sz w:val="18"/>
                <w:szCs w:val="18"/>
              </w:rPr>
            </w:pPr>
            <w:r w:rsidRPr="002B1DFC">
              <w:rPr>
                <w:rFonts w:eastAsia="Times New Roman" w:cs="Times New Roman"/>
                <w:b/>
                <w:bCs/>
                <w:iCs/>
                <w:sz w:val="18"/>
                <w:szCs w:val="18"/>
              </w:rPr>
              <w:t>I-IV</w:t>
            </w:r>
          </w:p>
        </w:tc>
        <w:tc>
          <w:tcPr>
            <w:tcW w:w="667" w:type="pct"/>
            <w:tcBorders>
              <w:top w:val="single" w:sz="4" w:space="0" w:color="95B3D7"/>
              <w:bottom w:val="single" w:sz="4" w:space="0" w:color="95B3D7"/>
              <w:right w:val="single" w:sz="4" w:space="0" w:color="95B3D7"/>
            </w:tcBorders>
            <w:shd w:val="clear" w:color="auto" w:fill="DBE5F1"/>
          </w:tcPr>
          <w:p w14:paraId="719FB707" w14:textId="77777777" w:rsidR="000B7923" w:rsidRPr="002B1DFC" w:rsidRDefault="000B7923" w:rsidP="00663798">
            <w:pPr>
              <w:pStyle w:val="ListParagraph"/>
              <w:ind w:left="0"/>
              <w:jc w:val="center"/>
              <w:rPr>
                <w:rFonts w:eastAsia="Times New Roman" w:cs="Times New Roman"/>
                <w:b/>
                <w:bCs/>
                <w:iCs/>
                <w:sz w:val="18"/>
                <w:szCs w:val="18"/>
              </w:rPr>
            </w:pPr>
            <w:r w:rsidRPr="002B1DFC">
              <w:rPr>
                <w:rFonts w:eastAsia="Times New Roman" w:cs="Times New Roman"/>
                <w:b/>
                <w:bCs/>
                <w:iCs/>
                <w:sz w:val="18"/>
                <w:szCs w:val="18"/>
              </w:rPr>
              <w:t>І-III</w:t>
            </w:r>
          </w:p>
        </w:tc>
      </w:tr>
      <w:tr w:rsidR="000B7923" w:rsidRPr="002B1DFC" w14:paraId="66CEAB54" w14:textId="77777777">
        <w:tc>
          <w:tcPr>
            <w:tcW w:w="1001" w:type="pct"/>
            <w:tcBorders>
              <w:top w:val="single" w:sz="4" w:space="0" w:color="95B3D7"/>
              <w:left w:val="single" w:sz="4" w:space="0" w:color="95B3D7"/>
              <w:bottom w:val="single" w:sz="4" w:space="0" w:color="95B3D7"/>
            </w:tcBorders>
          </w:tcPr>
          <w:p w14:paraId="2C2C178D" w14:textId="77777777" w:rsidR="000B7923" w:rsidRPr="00663798" w:rsidRDefault="000B7923" w:rsidP="00E7427A">
            <w:pPr>
              <w:rPr>
                <w:rFonts w:eastAsia="Times New Roman"/>
                <w:b/>
                <w:bCs/>
                <w:sz w:val="21"/>
                <w:szCs w:val="21"/>
              </w:rPr>
            </w:pPr>
            <w:r w:rsidRPr="00663798">
              <w:rPr>
                <w:rFonts w:eastAsia="Times New Roman"/>
                <w:sz w:val="21"/>
                <w:szCs w:val="21"/>
              </w:rPr>
              <w:t>Total generated</w:t>
            </w:r>
          </w:p>
        </w:tc>
        <w:tc>
          <w:tcPr>
            <w:tcW w:w="666" w:type="pct"/>
            <w:tcBorders>
              <w:top w:val="single" w:sz="4" w:space="0" w:color="95B3D7"/>
              <w:bottom w:val="single" w:sz="4" w:space="0" w:color="95B3D7"/>
            </w:tcBorders>
            <w:noWrap/>
            <w:vAlign w:val="bottom"/>
          </w:tcPr>
          <w:p w14:paraId="329053E4" w14:textId="77777777" w:rsidR="000B7923" w:rsidRPr="002B1DFC" w:rsidRDefault="000B7923" w:rsidP="00F441C6">
            <w:pPr>
              <w:jc w:val="left"/>
              <w:rPr>
                <w:sz w:val="20"/>
                <w:szCs w:val="20"/>
              </w:rPr>
            </w:pPr>
            <w:r w:rsidRPr="002B1DFC">
              <w:rPr>
                <w:rFonts w:eastAsia="Times New Roman"/>
                <w:sz w:val="20"/>
                <w:szCs w:val="20"/>
              </w:rPr>
              <w:t xml:space="preserve">        447,641    </w:t>
            </w:r>
          </w:p>
        </w:tc>
        <w:tc>
          <w:tcPr>
            <w:tcW w:w="667" w:type="pct"/>
            <w:tcBorders>
              <w:top w:val="single" w:sz="4" w:space="0" w:color="95B3D7"/>
              <w:bottom w:val="single" w:sz="4" w:space="0" w:color="95B3D7"/>
            </w:tcBorders>
            <w:noWrap/>
            <w:vAlign w:val="bottom"/>
          </w:tcPr>
          <w:p w14:paraId="65EF193C" w14:textId="77777777" w:rsidR="000B7923" w:rsidRPr="002B1DFC" w:rsidRDefault="000B7923" w:rsidP="00663798">
            <w:pPr>
              <w:ind w:right="222"/>
              <w:rPr>
                <w:rFonts w:eastAsia="Times New Roman"/>
                <w:sz w:val="20"/>
                <w:szCs w:val="20"/>
              </w:rPr>
            </w:pPr>
            <w:r w:rsidRPr="002B1DFC">
              <w:rPr>
                <w:rFonts w:eastAsia="Times New Roman"/>
                <w:sz w:val="20"/>
                <w:szCs w:val="20"/>
              </w:rPr>
              <w:t xml:space="preserve">      1,435    </w:t>
            </w:r>
          </w:p>
        </w:tc>
        <w:tc>
          <w:tcPr>
            <w:tcW w:w="666" w:type="pct"/>
            <w:tcBorders>
              <w:top w:val="single" w:sz="4" w:space="0" w:color="95B3D7"/>
              <w:bottom w:val="single" w:sz="4" w:space="0" w:color="95B3D7"/>
            </w:tcBorders>
            <w:noWrap/>
            <w:vAlign w:val="bottom"/>
          </w:tcPr>
          <w:p w14:paraId="20A7F09C" w14:textId="77777777" w:rsidR="000B7923" w:rsidRPr="002B1DFC" w:rsidRDefault="000B7923" w:rsidP="00E7427A">
            <w:pPr>
              <w:rPr>
                <w:rFonts w:eastAsia="Times New Roman"/>
                <w:sz w:val="20"/>
                <w:szCs w:val="20"/>
              </w:rPr>
            </w:pPr>
            <w:r w:rsidRPr="002B1DFC">
              <w:rPr>
                <w:rFonts w:eastAsia="Times New Roman"/>
                <w:sz w:val="20"/>
                <w:szCs w:val="20"/>
              </w:rPr>
              <w:t xml:space="preserve">        450,727    </w:t>
            </w:r>
          </w:p>
        </w:tc>
        <w:tc>
          <w:tcPr>
            <w:tcW w:w="667" w:type="pct"/>
            <w:tcBorders>
              <w:top w:val="single" w:sz="4" w:space="0" w:color="95B3D7"/>
              <w:bottom w:val="single" w:sz="4" w:space="0" w:color="95B3D7"/>
            </w:tcBorders>
            <w:noWrap/>
            <w:vAlign w:val="bottom"/>
          </w:tcPr>
          <w:p w14:paraId="65C65408" w14:textId="77777777" w:rsidR="000B7923" w:rsidRPr="002B1DFC" w:rsidRDefault="000B7923" w:rsidP="00663798">
            <w:pPr>
              <w:ind w:right="241"/>
              <w:jc w:val="right"/>
              <w:rPr>
                <w:rFonts w:eastAsia="Times New Roman"/>
                <w:sz w:val="20"/>
                <w:szCs w:val="20"/>
              </w:rPr>
            </w:pPr>
            <w:r w:rsidRPr="002B1DFC">
              <w:rPr>
                <w:rFonts w:eastAsia="Times New Roman"/>
                <w:sz w:val="20"/>
                <w:szCs w:val="20"/>
              </w:rPr>
              <w:t>1,368</w:t>
            </w:r>
          </w:p>
        </w:tc>
        <w:tc>
          <w:tcPr>
            <w:tcW w:w="666" w:type="pct"/>
            <w:tcBorders>
              <w:top w:val="single" w:sz="4" w:space="0" w:color="95B3D7"/>
              <w:bottom w:val="single" w:sz="4" w:space="0" w:color="95B3D7"/>
            </w:tcBorders>
            <w:noWrap/>
            <w:vAlign w:val="bottom"/>
          </w:tcPr>
          <w:p w14:paraId="04929C10" w14:textId="77777777" w:rsidR="000B7923" w:rsidRPr="002B1DFC" w:rsidRDefault="000B7923" w:rsidP="00E7427A">
            <w:pPr>
              <w:rPr>
                <w:rFonts w:eastAsia="Times New Roman"/>
                <w:sz w:val="20"/>
                <w:szCs w:val="20"/>
              </w:rPr>
            </w:pPr>
            <w:r w:rsidRPr="002B1DFC">
              <w:rPr>
                <w:rFonts w:eastAsia="Times New Roman"/>
                <w:sz w:val="20"/>
                <w:szCs w:val="20"/>
              </w:rPr>
              <w:t xml:space="preserve">        448,118    </w:t>
            </w:r>
          </w:p>
        </w:tc>
        <w:tc>
          <w:tcPr>
            <w:tcW w:w="667" w:type="pct"/>
            <w:tcBorders>
              <w:top w:val="single" w:sz="4" w:space="0" w:color="95B3D7"/>
              <w:bottom w:val="single" w:sz="4" w:space="0" w:color="95B3D7"/>
              <w:right w:val="single" w:sz="4" w:space="0" w:color="95B3D7"/>
            </w:tcBorders>
            <w:noWrap/>
            <w:vAlign w:val="bottom"/>
          </w:tcPr>
          <w:p w14:paraId="0779CD89" w14:textId="77777777" w:rsidR="000B7923" w:rsidRPr="002B1DFC" w:rsidRDefault="000B7923" w:rsidP="00663798">
            <w:pPr>
              <w:ind w:right="198"/>
              <w:rPr>
                <w:rFonts w:eastAsia="Times New Roman"/>
                <w:sz w:val="20"/>
                <w:szCs w:val="20"/>
              </w:rPr>
            </w:pPr>
            <w:r w:rsidRPr="002B1DFC">
              <w:rPr>
                <w:rFonts w:eastAsia="Times New Roman"/>
                <w:sz w:val="20"/>
                <w:szCs w:val="20"/>
              </w:rPr>
              <w:t xml:space="preserve">         924    </w:t>
            </w:r>
          </w:p>
        </w:tc>
      </w:tr>
      <w:tr w:rsidR="000B7923" w:rsidRPr="002B1DFC" w14:paraId="75D7761A" w14:textId="77777777">
        <w:tc>
          <w:tcPr>
            <w:tcW w:w="1001" w:type="pct"/>
            <w:tcBorders>
              <w:top w:val="single" w:sz="4" w:space="0" w:color="95B3D7"/>
              <w:left w:val="single" w:sz="4" w:space="0" w:color="95B3D7"/>
              <w:bottom w:val="single" w:sz="4" w:space="0" w:color="95B3D7"/>
            </w:tcBorders>
            <w:shd w:val="clear" w:color="auto" w:fill="DBE5F1"/>
          </w:tcPr>
          <w:p w14:paraId="218F95F3" w14:textId="77777777" w:rsidR="000B7923" w:rsidRPr="00663798" w:rsidRDefault="000B7923" w:rsidP="00E7427A">
            <w:pPr>
              <w:rPr>
                <w:rFonts w:eastAsia="Times New Roman"/>
                <w:b/>
                <w:bCs/>
                <w:sz w:val="21"/>
                <w:szCs w:val="21"/>
              </w:rPr>
            </w:pPr>
            <w:r w:rsidRPr="00663798">
              <w:rPr>
                <w:rFonts w:eastAsia="Times New Roman"/>
                <w:sz w:val="21"/>
                <w:szCs w:val="21"/>
              </w:rPr>
              <w:t>Disposed</w:t>
            </w:r>
            <w:r w:rsidR="00C66939">
              <w:rPr>
                <w:rFonts w:eastAsia="Times New Roman"/>
                <w:sz w:val="21"/>
                <w:szCs w:val="21"/>
              </w:rPr>
              <w:t xml:space="preserve"> </w:t>
            </w:r>
            <w:r w:rsidRPr="00663798">
              <w:rPr>
                <w:rFonts w:eastAsia="Times New Roman"/>
                <w:sz w:val="21"/>
                <w:szCs w:val="21"/>
              </w:rPr>
              <w:t xml:space="preserve"> / Recycled</w:t>
            </w:r>
          </w:p>
        </w:tc>
        <w:tc>
          <w:tcPr>
            <w:tcW w:w="666" w:type="pct"/>
            <w:tcBorders>
              <w:top w:val="single" w:sz="4" w:space="0" w:color="95B3D7"/>
              <w:bottom w:val="single" w:sz="4" w:space="0" w:color="95B3D7"/>
            </w:tcBorders>
            <w:shd w:val="clear" w:color="auto" w:fill="DBE5F1"/>
            <w:vAlign w:val="bottom"/>
          </w:tcPr>
          <w:p w14:paraId="1C785C5A" w14:textId="77777777" w:rsidR="000B7923" w:rsidRPr="002B1DFC" w:rsidRDefault="000B7923" w:rsidP="00E7427A">
            <w:pPr>
              <w:rPr>
                <w:rFonts w:eastAsia="Times New Roman"/>
                <w:sz w:val="20"/>
                <w:szCs w:val="20"/>
              </w:rPr>
            </w:pPr>
            <w:r w:rsidRPr="002B1DFC">
              <w:rPr>
                <w:rFonts w:eastAsia="Times New Roman"/>
                <w:sz w:val="20"/>
                <w:szCs w:val="20"/>
              </w:rPr>
              <w:t xml:space="preserve">        153,687    </w:t>
            </w:r>
          </w:p>
        </w:tc>
        <w:tc>
          <w:tcPr>
            <w:tcW w:w="667" w:type="pct"/>
            <w:tcBorders>
              <w:top w:val="single" w:sz="4" w:space="0" w:color="95B3D7"/>
              <w:bottom w:val="single" w:sz="4" w:space="0" w:color="95B3D7"/>
            </w:tcBorders>
            <w:shd w:val="clear" w:color="auto" w:fill="DBE5F1"/>
            <w:vAlign w:val="bottom"/>
          </w:tcPr>
          <w:p w14:paraId="507BB0B3" w14:textId="77777777" w:rsidR="000B7923" w:rsidRPr="002B1DFC" w:rsidRDefault="000B7923" w:rsidP="00663798">
            <w:pPr>
              <w:ind w:right="222"/>
              <w:rPr>
                <w:rFonts w:eastAsia="Times New Roman"/>
                <w:sz w:val="20"/>
                <w:szCs w:val="20"/>
              </w:rPr>
            </w:pPr>
            <w:r w:rsidRPr="002B1DFC">
              <w:rPr>
                <w:rFonts w:eastAsia="Times New Roman"/>
                <w:sz w:val="20"/>
                <w:szCs w:val="20"/>
              </w:rPr>
              <w:t xml:space="preserve">         598    </w:t>
            </w:r>
          </w:p>
        </w:tc>
        <w:tc>
          <w:tcPr>
            <w:tcW w:w="666" w:type="pct"/>
            <w:tcBorders>
              <w:top w:val="single" w:sz="4" w:space="0" w:color="95B3D7"/>
              <w:bottom w:val="single" w:sz="4" w:space="0" w:color="95B3D7"/>
            </w:tcBorders>
            <w:shd w:val="clear" w:color="auto" w:fill="DBE5F1"/>
            <w:vAlign w:val="bottom"/>
          </w:tcPr>
          <w:p w14:paraId="3436B239" w14:textId="5D710F8C" w:rsidR="000B7923" w:rsidRPr="002B1DFC" w:rsidRDefault="000B7923">
            <w:pPr>
              <w:jc w:val="right"/>
              <w:rPr>
                <w:rFonts w:eastAsia="Times New Roman"/>
                <w:sz w:val="20"/>
                <w:szCs w:val="20"/>
              </w:rPr>
            </w:pPr>
            <w:r w:rsidRPr="002B1DFC">
              <w:rPr>
                <w:rFonts w:eastAsia="Times New Roman"/>
                <w:sz w:val="20"/>
                <w:szCs w:val="20"/>
              </w:rPr>
              <w:t xml:space="preserve"> 143</w:t>
            </w:r>
            <w:r w:rsidR="00E56023">
              <w:rPr>
                <w:rFonts w:eastAsia="Times New Roman"/>
                <w:sz w:val="20"/>
                <w:szCs w:val="20"/>
              </w:rPr>
              <w:t>,</w:t>
            </w:r>
            <w:r w:rsidRPr="002B1DFC">
              <w:rPr>
                <w:rFonts w:eastAsia="Times New Roman"/>
                <w:sz w:val="20"/>
                <w:szCs w:val="20"/>
              </w:rPr>
              <w:t>453</w:t>
            </w:r>
            <w:r w:rsidR="00B60BB9">
              <w:rPr>
                <w:rFonts w:eastAsia="Times New Roman"/>
                <w:sz w:val="20"/>
                <w:szCs w:val="20"/>
              </w:rPr>
              <w:t>.</w:t>
            </w:r>
            <w:r w:rsidRPr="002B1DFC">
              <w:rPr>
                <w:rFonts w:eastAsia="Times New Roman"/>
                <w:sz w:val="20"/>
                <w:szCs w:val="20"/>
              </w:rPr>
              <w:t xml:space="preserve">5 </w:t>
            </w:r>
          </w:p>
        </w:tc>
        <w:tc>
          <w:tcPr>
            <w:tcW w:w="667" w:type="pct"/>
            <w:tcBorders>
              <w:top w:val="single" w:sz="4" w:space="0" w:color="95B3D7"/>
              <w:bottom w:val="single" w:sz="4" w:space="0" w:color="95B3D7"/>
            </w:tcBorders>
            <w:shd w:val="clear" w:color="auto" w:fill="DBE5F1"/>
            <w:vAlign w:val="bottom"/>
          </w:tcPr>
          <w:p w14:paraId="315FFD77" w14:textId="77777777" w:rsidR="000B7923" w:rsidRPr="002B1DFC" w:rsidRDefault="000B7923" w:rsidP="00663798">
            <w:pPr>
              <w:ind w:right="241"/>
              <w:jc w:val="right"/>
              <w:rPr>
                <w:rFonts w:eastAsia="Times New Roman"/>
                <w:sz w:val="20"/>
                <w:szCs w:val="20"/>
              </w:rPr>
            </w:pPr>
            <w:r w:rsidRPr="002B1DFC">
              <w:rPr>
                <w:rFonts w:eastAsia="Times New Roman"/>
                <w:sz w:val="20"/>
                <w:szCs w:val="20"/>
              </w:rPr>
              <w:t>541</w:t>
            </w:r>
            <w:r w:rsidR="00B60BB9">
              <w:rPr>
                <w:rFonts w:eastAsia="Times New Roman"/>
                <w:sz w:val="20"/>
                <w:szCs w:val="20"/>
              </w:rPr>
              <w:t>.</w:t>
            </w:r>
            <w:r w:rsidRPr="002B1DFC">
              <w:rPr>
                <w:rFonts w:eastAsia="Times New Roman"/>
                <w:sz w:val="20"/>
                <w:szCs w:val="20"/>
              </w:rPr>
              <w:t xml:space="preserve">4 </w:t>
            </w:r>
          </w:p>
        </w:tc>
        <w:tc>
          <w:tcPr>
            <w:tcW w:w="666" w:type="pct"/>
            <w:tcBorders>
              <w:top w:val="single" w:sz="4" w:space="0" w:color="95B3D7"/>
              <w:bottom w:val="single" w:sz="4" w:space="0" w:color="95B3D7"/>
            </w:tcBorders>
            <w:shd w:val="clear" w:color="auto" w:fill="DBE5F1"/>
            <w:noWrap/>
            <w:vAlign w:val="bottom"/>
          </w:tcPr>
          <w:p w14:paraId="4A8B8004" w14:textId="77777777" w:rsidR="000B7923" w:rsidRPr="002B1DFC" w:rsidRDefault="000B7923" w:rsidP="00F441C6">
            <w:pPr>
              <w:jc w:val="left"/>
              <w:rPr>
                <w:rFonts w:eastAsia="Times New Roman"/>
                <w:sz w:val="20"/>
                <w:szCs w:val="20"/>
              </w:rPr>
            </w:pPr>
            <w:r w:rsidRPr="002B1DFC">
              <w:rPr>
                <w:rFonts w:eastAsia="Times New Roman"/>
                <w:sz w:val="20"/>
                <w:szCs w:val="20"/>
              </w:rPr>
              <w:t xml:space="preserve">        147,178    </w:t>
            </w:r>
          </w:p>
        </w:tc>
        <w:tc>
          <w:tcPr>
            <w:tcW w:w="667" w:type="pct"/>
            <w:tcBorders>
              <w:top w:val="single" w:sz="4" w:space="0" w:color="95B3D7"/>
              <w:bottom w:val="single" w:sz="4" w:space="0" w:color="95B3D7"/>
              <w:right w:val="single" w:sz="4" w:space="0" w:color="95B3D7"/>
            </w:tcBorders>
            <w:shd w:val="clear" w:color="auto" w:fill="DBE5F1"/>
            <w:noWrap/>
            <w:vAlign w:val="bottom"/>
          </w:tcPr>
          <w:p w14:paraId="64BB05B9" w14:textId="77777777" w:rsidR="000B7923" w:rsidRPr="002B1DFC" w:rsidRDefault="000B7923" w:rsidP="00663798">
            <w:pPr>
              <w:ind w:right="198"/>
              <w:rPr>
                <w:rFonts w:eastAsia="Times New Roman"/>
                <w:sz w:val="20"/>
                <w:szCs w:val="20"/>
              </w:rPr>
            </w:pPr>
            <w:r w:rsidRPr="002B1DFC">
              <w:rPr>
                <w:rFonts w:eastAsia="Times New Roman"/>
                <w:sz w:val="20"/>
                <w:szCs w:val="20"/>
              </w:rPr>
              <w:t xml:space="preserve">         439    </w:t>
            </w:r>
          </w:p>
        </w:tc>
      </w:tr>
      <w:tr w:rsidR="000B7923" w:rsidRPr="002B1DFC" w14:paraId="6D9FE566" w14:textId="77777777">
        <w:tc>
          <w:tcPr>
            <w:tcW w:w="1001" w:type="pct"/>
            <w:tcBorders>
              <w:top w:val="single" w:sz="4" w:space="0" w:color="95B3D7"/>
              <w:left w:val="single" w:sz="4" w:space="0" w:color="95B3D7"/>
              <w:bottom w:val="single" w:sz="4" w:space="0" w:color="95B3D7"/>
            </w:tcBorders>
          </w:tcPr>
          <w:p w14:paraId="65DAB2DD" w14:textId="77777777" w:rsidR="000B7923" w:rsidRPr="00663798" w:rsidRDefault="000B7923" w:rsidP="00E7427A">
            <w:pPr>
              <w:rPr>
                <w:rFonts w:eastAsia="Times New Roman"/>
                <w:b/>
                <w:bCs/>
                <w:sz w:val="21"/>
                <w:szCs w:val="21"/>
              </w:rPr>
            </w:pPr>
            <w:r w:rsidRPr="00663798">
              <w:rPr>
                <w:rFonts w:eastAsia="Times New Roman"/>
                <w:sz w:val="21"/>
                <w:szCs w:val="21"/>
              </w:rPr>
              <w:t>Burned</w:t>
            </w:r>
          </w:p>
        </w:tc>
        <w:tc>
          <w:tcPr>
            <w:tcW w:w="666" w:type="pct"/>
            <w:tcBorders>
              <w:top w:val="single" w:sz="4" w:space="0" w:color="95B3D7"/>
              <w:bottom w:val="single" w:sz="4" w:space="0" w:color="95B3D7"/>
            </w:tcBorders>
            <w:noWrap/>
            <w:vAlign w:val="bottom"/>
          </w:tcPr>
          <w:p w14:paraId="120CA606" w14:textId="77777777" w:rsidR="000B7923" w:rsidRPr="002B1DFC" w:rsidRDefault="000B7923" w:rsidP="00E7427A">
            <w:pPr>
              <w:rPr>
                <w:rFonts w:eastAsia="Times New Roman"/>
                <w:sz w:val="20"/>
                <w:szCs w:val="20"/>
              </w:rPr>
            </w:pPr>
            <w:r w:rsidRPr="002B1DFC">
              <w:rPr>
                <w:rFonts w:eastAsia="Times New Roman"/>
                <w:sz w:val="20"/>
                <w:szCs w:val="20"/>
              </w:rPr>
              <w:t xml:space="preserve">            1,055    </w:t>
            </w:r>
          </w:p>
        </w:tc>
        <w:tc>
          <w:tcPr>
            <w:tcW w:w="667" w:type="pct"/>
            <w:tcBorders>
              <w:top w:val="single" w:sz="4" w:space="0" w:color="95B3D7"/>
              <w:bottom w:val="single" w:sz="4" w:space="0" w:color="95B3D7"/>
            </w:tcBorders>
            <w:noWrap/>
            <w:vAlign w:val="bottom"/>
          </w:tcPr>
          <w:p w14:paraId="0A49F093" w14:textId="77777777" w:rsidR="000B7923" w:rsidRPr="002B1DFC" w:rsidRDefault="000B7923" w:rsidP="00663798">
            <w:pPr>
              <w:ind w:right="222"/>
              <w:rPr>
                <w:rFonts w:eastAsia="Times New Roman"/>
                <w:sz w:val="20"/>
                <w:szCs w:val="20"/>
              </w:rPr>
            </w:pPr>
            <w:r w:rsidRPr="002B1DFC">
              <w:rPr>
                <w:rFonts w:eastAsia="Times New Roman"/>
                <w:sz w:val="20"/>
                <w:szCs w:val="20"/>
              </w:rPr>
              <w:t xml:space="preserve">           16    </w:t>
            </w:r>
          </w:p>
        </w:tc>
        <w:tc>
          <w:tcPr>
            <w:tcW w:w="666" w:type="pct"/>
            <w:tcBorders>
              <w:top w:val="single" w:sz="4" w:space="0" w:color="95B3D7"/>
              <w:bottom w:val="single" w:sz="4" w:space="0" w:color="95B3D7"/>
            </w:tcBorders>
            <w:noWrap/>
            <w:vAlign w:val="bottom"/>
          </w:tcPr>
          <w:p w14:paraId="519EFA50" w14:textId="77777777" w:rsidR="000B7923" w:rsidRPr="002B1DFC" w:rsidRDefault="000B7923" w:rsidP="00E7427A">
            <w:pPr>
              <w:rPr>
                <w:rFonts w:eastAsia="Times New Roman"/>
                <w:sz w:val="20"/>
                <w:szCs w:val="20"/>
              </w:rPr>
            </w:pPr>
            <w:r w:rsidRPr="002B1DFC">
              <w:rPr>
                <w:rFonts w:eastAsia="Times New Roman"/>
                <w:sz w:val="20"/>
                <w:szCs w:val="20"/>
              </w:rPr>
              <w:t xml:space="preserve">            1,216    </w:t>
            </w:r>
          </w:p>
        </w:tc>
        <w:tc>
          <w:tcPr>
            <w:tcW w:w="667" w:type="pct"/>
            <w:tcBorders>
              <w:top w:val="single" w:sz="4" w:space="0" w:color="95B3D7"/>
              <w:bottom w:val="single" w:sz="4" w:space="0" w:color="95B3D7"/>
            </w:tcBorders>
            <w:noWrap/>
            <w:vAlign w:val="bottom"/>
          </w:tcPr>
          <w:p w14:paraId="5AF5B0C5" w14:textId="77777777" w:rsidR="000B7923" w:rsidRPr="002B1DFC" w:rsidRDefault="000B7923" w:rsidP="00663798">
            <w:pPr>
              <w:ind w:right="241"/>
              <w:jc w:val="right"/>
              <w:rPr>
                <w:rFonts w:eastAsia="Times New Roman"/>
                <w:sz w:val="20"/>
                <w:szCs w:val="20"/>
              </w:rPr>
            </w:pPr>
            <w:r w:rsidRPr="002B1DFC">
              <w:rPr>
                <w:rFonts w:eastAsia="Times New Roman"/>
                <w:sz w:val="20"/>
                <w:szCs w:val="20"/>
              </w:rPr>
              <w:t>14</w:t>
            </w:r>
          </w:p>
        </w:tc>
        <w:tc>
          <w:tcPr>
            <w:tcW w:w="666" w:type="pct"/>
            <w:tcBorders>
              <w:top w:val="single" w:sz="4" w:space="0" w:color="95B3D7"/>
              <w:bottom w:val="single" w:sz="4" w:space="0" w:color="95B3D7"/>
            </w:tcBorders>
            <w:noWrap/>
            <w:vAlign w:val="bottom"/>
          </w:tcPr>
          <w:p w14:paraId="1E8B4A03" w14:textId="77777777" w:rsidR="000B7923" w:rsidRPr="002B1DFC" w:rsidRDefault="000B7923" w:rsidP="00E7427A">
            <w:pPr>
              <w:rPr>
                <w:rFonts w:eastAsia="Times New Roman"/>
                <w:sz w:val="20"/>
                <w:szCs w:val="20"/>
              </w:rPr>
            </w:pPr>
            <w:r w:rsidRPr="002B1DFC">
              <w:rPr>
                <w:rFonts w:eastAsia="Times New Roman"/>
                <w:sz w:val="20"/>
                <w:szCs w:val="20"/>
              </w:rPr>
              <w:t xml:space="preserve">               919    </w:t>
            </w:r>
          </w:p>
        </w:tc>
        <w:tc>
          <w:tcPr>
            <w:tcW w:w="667" w:type="pct"/>
            <w:tcBorders>
              <w:top w:val="single" w:sz="4" w:space="0" w:color="95B3D7"/>
              <w:bottom w:val="single" w:sz="4" w:space="0" w:color="95B3D7"/>
              <w:right w:val="single" w:sz="4" w:space="0" w:color="95B3D7"/>
            </w:tcBorders>
            <w:noWrap/>
            <w:vAlign w:val="bottom"/>
          </w:tcPr>
          <w:p w14:paraId="60A323C3" w14:textId="77777777" w:rsidR="000B7923" w:rsidRPr="002B1DFC" w:rsidRDefault="000B7923" w:rsidP="00663798">
            <w:pPr>
              <w:ind w:right="198"/>
              <w:rPr>
                <w:rFonts w:eastAsia="Times New Roman"/>
                <w:sz w:val="20"/>
                <w:szCs w:val="20"/>
              </w:rPr>
            </w:pPr>
            <w:r w:rsidRPr="002B1DFC">
              <w:rPr>
                <w:rFonts w:eastAsia="Times New Roman"/>
                <w:sz w:val="20"/>
                <w:szCs w:val="20"/>
              </w:rPr>
              <w:t xml:space="preserve">           15    </w:t>
            </w:r>
          </w:p>
        </w:tc>
      </w:tr>
      <w:tr w:rsidR="000B7923" w:rsidRPr="002B1DFC" w14:paraId="1AC1DC42" w14:textId="77777777">
        <w:tc>
          <w:tcPr>
            <w:tcW w:w="1001" w:type="pct"/>
            <w:tcBorders>
              <w:top w:val="single" w:sz="4" w:space="0" w:color="95B3D7"/>
              <w:left w:val="single" w:sz="4" w:space="0" w:color="95B3D7"/>
              <w:bottom w:val="single" w:sz="4" w:space="0" w:color="95B3D7"/>
            </w:tcBorders>
            <w:shd w:val="clear" w:color="auto" w:fill="DBE5F1"/>
          </w:tcPr>
          <w:p w14:paraId="2A307A09" w14:textId="77777777" w:rsidR="000B7923" w:rsidRPr="00663798" w:rsidRDefault="000B7923" w:rsidP="00C66939">
            <w:pPr>
              <w:rPr>
                <w:rFonts w:eastAsia="Times New Roman"/>
                <w:b/>
                <w:bCs/>
                <w:sz w:val="21"/>
                <w:szCs w:val="21"/>
              </w:rPr>
            </w:pPr>
            <w:r w:rsidRPr="00663798">
              <w:rPr>
                <w:rFonts w:eastAsia="Times New Roman"/>
                <w:sz w:val="21"/>
                <w:szCs w:val="21"/>
              </w:rPr>
              <w:t>Dispose</w:t>
            </w:r>
            <w:r w:rsidR="00C66939">
              <w:rPr>
                <w:rFonts w:eastAsia="Times New Roman"/>
                <w:sz w:val="21"/>
                <w:szCs w:val="21"/>
              </w:rPr>
              <w:t>d of</w:t>
            </w:r>
            <w:r w:rsidRPr="00663798">
              <w:rPr>
                <w:rFonts w:eastAsia="Times New Roman"/>
                <w:sz w:val="21"/>
                <w:szCs w:val="21"/>
              </w:rPr>
              <w:t xml:space="preserve"> in</w:t>
            </w:r>
            <w:r w:rsidR="00C66939">
              <w:rPr>
                <w:rFonts w:eastAsia="Times New Roman"/>
                <w:sz w:val="21"/>
                <w:szCs w:val="21"/>
              </w:rPr>
              <w:t xml:space="preserve"> the</w:t>
            </w:r>
            <w:r w:rsidRPr="00663798">
              <w:rPr>
                <w:rFonts w:eastAsia="Times New Roman"/>
                <w:sz w:val="21"/>
                <w:szCs w:val="21"/>
              </w:rPr>
              <w:t xml:space="preserve"> designated areas and facilities</w:t>
            </w:r>
          </w:p>
        </w:tc>
        <w:tc>
          <w:tcPr>
            <w:tcW w:w="666" w:type="pct"/>
            <w:tcBorders>
              <w:top w:val="single" w:sz="4" w:space="0" w:color="95B3D7"/>
              <w:bottom w:val="single" w:sz="4" w:space="0" w:color="95B3D7"/>
            </w:tcBorders>
            <w:shd w:val="clear" w:color="auto" w:fill="DBE5F1"/>
            <w:noWrap/>
            <w:vAlign w:val="bottom"/>
          </w:tcPr>
          <w:p w14:paraId="20C6680A" w14:textId="77777777" w:rsidR="000B7923" w:rsidRPr="002B1DFC" w:rsidRDefault="000B7923" w:rsidP="00E7427A">
            <w:pPr>
              <w:rPr>
                <w:rFonts w:eastAsia="Times New Roman"/>
                <w:sz w:val="20"/>
                <w:szCs w:val="20"/>
              </w:rPr>
            </w:pPr>
            <w:r w:rsidRPr="002B1DFC">
              <w:rPr>
                <w:rFonts w:eastAsia="Times New Roman"/>
                <w:sz w:val="20"/>
                <w:szCs w:val="20"/>
              </w:rPr>
              <w:t xml:space="preserve">        277,107    </w:t>
            </w:r>
          </w:p>
        </w:tc>
        <w:tc>
          <w:tcPr>
            <w:tcW w:w="667" w:type="pct"/>
            <w:tcBorders>
              <w:top w:val="single" w:sz="4" w:space="0" w:color="95B3D7"/>
              <w:bottom w:val="single" w:sz="4" w:space="0" w:color="95B3D7"/>
            </w:tcBorders>
            <w:shd w:val="clear" w:color="auto" w:fill="DBE5F1"/>
            <w:noWrap/>
            <w:vAlign w:val="bottom"/>
          </w:tcPr>
          <w:p w14:paraId="76920705" w14:textId="77777777" w:rsidR="000B7923" w:rsidRPr="002B1DFC" w:rsidRDefault="000B7923" w:rsidP="00663798">
            <w:pPr>
              <w:ind w:right="222"/>
              <w:rPr>
                <w:rFonts w:eastAsia="Times New Roman"/>
                <w:sz w:val="20"/>
                <w:szCs w:val="20"/>
              </w:rPr>
            </w:pPr>
            <w:r w:rsidRPr="002B1DFC">
              <w:rPr>
                <w:rFonts w:eastAsia="Times New Roman"/>
                <w:sz w:val="20"/>
                <w:szCs w:val="20"/>
              </w:rPr>
              <w:t xml:space="preserve">         139    </w:t>
            </w:r>
          </w:p>
        </w:tc>
        <w:tc>
          <w:tcPr>
            <w:tcW w:w="666" w:type="pct"/>
            <w:tcBorders>
              <w:top w:val="single" w:sz="4" w:space="0" w:color="95B3D7"/>
              <w:bottom w:val="single" w:sz="4" w:space="0" w:color="95B3D7"/>
            </w:tcBorders>
            <w:shd w:val="clear" w:color="auto" w:fill="DBE5F1"/>
            <w:vAlign w:val="bottom"/>
          </w:tcPr>
          <w:p w14:paraId="5B243E48" w14:textId="77777777" w:rsidR="000B7923" w:rsidRPr="002B1DFC" w:rsidRDefault="000B7923" w:rsidP="00F441C6">
            <w:pPr>
              <w:jc w:val="right"/>
              <w:rPr>
                <w:rFonts w:eastAsia="Times New Roman"/>
                <w:sz w:val="20"/>
                <w:szCs w:val="20"/>
              </w:rPr>
            </w:pPr>
            <w:r w:rsidRPr="002B1DFC">
              <w:rPr>
                <w:rFonts w:eastAsia="Times New Roman"/>
                <w:sz w:val="20"/>
                <w:szCs w:val="20"/>
              </w:rPr>
              <w:t xml:space="preserve">        289,627    </w:t>
            </w:r>
          </w:p>
        </w:tc>
        <w:tc>
          <w:tcPr>
            <w:tcW w:w="667" w:type="pct"/>
            <w:tcBorders>
              <w:top w:val="single" w:sz="4" w:space="0" w:color="95B3D7"/>
              <w:bottom w:val="single" w:sz="4" w:space="0" w:color="95B3D7"/>
            </w:tcBorders>
            <w:shd w:val="clear" w:color="auto" w:fill="DBE5F1"/>
            <w:vAlign w:val="bottom"/>
          </w:tcPr>
          <w:p w14:paraId="1876268D" w14:textId="77777777" w:rsidR="000B7923" w:rsidRPr="002B1DFC" w:rsidRDefault="000B7923" w:rsidP="00663798">
            <w:pPr>
              <w:ind w:right="241"/>
              <w:jc w:val="right"/>
              <w:rPr>
                <w:rFonts w:eastAsia="Times New Roman"/>
                <w:sz w:val="20"/>
                <w:szCs w:val="20"/>
              </w:rPr>
            </w:pPr>
            <w:r w:rsidRPr="002B1DFC">
              <w:rPr>
                <w:rFonts w:eastAsia="Times New Roman"/>
                <w:sz w:val="20"/>
                <w:szCs w:val="20"/>
              </w:rPr>
              <w:t>147</w:t>
            </w:r>
          </w:p>
        </w:tc>
        <w:tc>
          <w:tcPr>
            <w:tcW w:w="666" w:type="pct"/>
            <w:tcBorders>
              <w:top w:val="single" w:sz="4" w:space="0" w:color="95B3D7"/>
              <w:bottom w:val="single" w:sz="4" w:space="0" w:color="95B3D7"/>
            </w:tcBorders>
            <w:shd w:val="clear" w:color="auto" w:fill="DBE5F1"/>
            <w:noWrap/>
            <w:vAlign w:val="bottom"/>
          </w:tcPr>
          <w:p w14:paraId="07B1B343" w14:textId="77777777" w:rsidR="000B7923" w:rsidRPr="002B1DFC" w:rsidRDefault="000B7923" w:rsidP="00F441C6">
            <w:pPr>
              <w:jc w:val="left"/>
              <w:rPr>
                <w:rFonts w:eastAsia="Times New Roman"/>
                <w:sz w:val="20"/>
                <w:szCs w:val="20"/>
              </w:rPr>
            </w:pPr>
            <w:r w:rsidRPr="002B1DFC">
              <w:rPr>
                <w:rFonts w:eastAsia="Times New Roman"/>
                <w:sz w:val="20"/>
                <w:szCs w:val="20"/>
              </w:rPr>
              <w:t xml:space="preserve">        288,121    </w:t>
            </w:r>
          </w:p>
        </w:tc>
        <w:tc>
          <w:tcPr>
            <w:tcW w:w="667" w:type="pct"/>
            <w:tcBorders>
              <w:top w:val="single" w:sz="4" w:space="0" w:color="95B3D7"/>
              <w:bottom w:val="single" w:sz="4" w:space="0" w:color="95B3D7"/>
              <w:right w:val="single" w:sz="4" w:space="0" w:color="95B3D7"/>
            </w:tcBorders>
            <w:shd w:val="clear" w:color="auto" w:fill="DBE5F1"/>
            <w:noWrap/>
            <w:vAlign w:val="bottom"/>
          </w:tcPr>
          <w:p w14:paraId="4736C21E" w14:textId="77777777" w:rsidR="000B7923" w:rsidRPr="002B1DFC" w:rsidRDefault="000B7923" w:rsidP="00663798">
            <w:pPr>
              <w:ind w:right="198"/>
              <w:rPr>
                <w:rFonts w:eastAsia="Times New Roman"/>
                <w:sz w:val="20"/>
                <w:szCs w:val="20"/>
              </w:rPr>
            </w:pPr>
            <w:r w:rsidRPr="002B1DFC">
              <w:rPr>
                <w:rFonts w:eastAsia="Times New Roman"/>
                <w:sz w:val="20"/>
                <w:szCs w:val="20"/>
              </w:rPr>
              <w:t xml:space="preserve">         103    </w:t>
            </w:r>
          </w:p>
        </w:tc>
      </w:tr>
      <w:tr w:rsidR="000B7923" w:rsidRPr="002B1DFC" w14:paraId="0F236618" w14:textId="77777777">
        <w:tc>
          <w:tcPr>
            <w:tcW w:w="1001" w:type="pct"/>
            <w:tcBorders>
              <w:top w:val="single" w:sz="4" w:space="0" w:color="95B3D7"/>
              <w:left w:val="single" w:sz="4" w:space="0" w:color="95B3D7"/>
              <w:bottom w:val="single" w:sz="4" w:space="0" w:color="95B3D7"/>
            </w:tcBorders>
          </w:tcPr>
          <w:p w14:paraId="1A2B7DE9" w14:textId="77777777" w:rsidR="000B7923" w:rsidRPr="00663798" w:rsidRDefault="000B7923" w:rsidP="00C66939">
            <w:pPr>
              <w:rPr>
                <w:rFonts w:eastAsia="Times New Roman"/>
                <w:b/>
                <w:bCs/>
                <w:sz w:val="21"/>
                <w:szCs w:val="21"/>
              </w:rPr>
            </w:pPr>
            <w:r w:rsidRPr="00663798">
              <w:rPr>
                <w:rFonts w:eastAsia="Times New Roman"/>
                <w:sz w:val="21"/>
                <w:szCs w:val="21"/>
              </w:rPr>
              <w:t>Total accumulated in SW at end of the year (in SW dumps and the territory of enterprises).</w:t>
            </w:r>
          </w:p>
        </w:tc>
        <w:tc>
          <w:tcPr>
            <w:tcW w:w="666" w:type="pct"/>
            <w:tcBorders>
              <w:top w:val="single" w:sz="4" w:space="0" w:color="95B3D7"/>
              <w:bottom w:val="single" w:sz="4" w:space="0" w:color="95B3D7"/>
            </w:tcBorders>
            <w:noWrap/>
            <w:vAlign w:val="bottom"/>
          </w:tcPr>
          <w:p w14:paraId="118A1463" w14:textId="77777777" w:rsidR="000B7923" w:rsidRPr="002B1DFC" w:rsidRDefault="000B7923" w:rsidP="00E7427A">
            <w:pPr>
              <w:rPr>
                <w:rFonts w:eastAsia="Times New Roman"/>
                <w:sz w:val="20"/>
                <w:szCs w:val="20"/>
              </w:rPr>
            </w:pPr>
            <w:r w:rsidRPr="002B1DFC">
              <w:rPr>
                <w:rFonts w:eastAsia="Times New Roman"/>
                <w:sz w:val="20"/>
                <w:szCs w:val="20"/>
              </w:rPr>
              <w:t xml:space="preserve">   14,422,372    </w:t>
            </w:r>
          </w:p>
        </w:tc>
        <w:tc>
          <w:tcPr>
            <w:tcW w:w="667" w:type="pct"/>
            <w:tcBorders>
              <w:top w:val="single" w:sz="4" w:space="0" w:color="95B3D7"/>
              <w:bottom w:val="single" w:sz="4" w:space="0" w:color="95B3D7"/>
            </w:tcBorders>
            <w:noWrap/>
            <w:vAlign w:val="bottom"/>
          </w:tcPr>
          <w:p w14:paraId="793CCB0A" w14:textId="77777777" w:rsidR="000B7923" w:rsidRPr="002B1DFC" w:rsidRDefault="000B7923" w:rsidP="00663798">
            <w:pPr>
              <w:ind w:right="222"/>
              <w:rPr>
                <w:rFonts w:eastAsia="Times New Roman"/>
                <w:sz w:val="20"/>
                <w:szCs w:val="20"/>
              </w:rPr>
            </w:pPr>
            <w:r w:rsidRPr="002B1DFC">
              <w:rPr>
                <w:rFonts w:eastAsia="Times New Roman"/>
                <w:sz w:val="20"/>
                <w:szCs w:val="20"/>
              </w:rPr>
              <w:t xml:space="preserve">    15,158    </w:t>
            </w:r>
          </w:p>
        </w:tc>
        <w:tc>
          <w:tcPr>
            <w:tcW w:w="666" w:type="pct"/>
            <w:tcBorders>
              <w:top w:val="single" w:sz="4" w:space="0" w:color="95B3D7"/>
              <w:bottom w:val="single" w:sz="4" w:space="0" w:color="95B3D7"/>
            </w:tcBorders>
            <w:noWrap/>
            <w:vAlign w:val="bottom"/>
          </w:tcPr>
          <w:p w14:paraId="2C463DDD" w14:textId="77777777" w:rsidR="000B7923" w:rsidRPr="002B1DFC" w:rsidRDefault="000B7923" w:rsidP="00F441C6">
            <w:pPr>
              <w:jc w:val="right"/>
              <w:rPr>
                <w:rFonts w:eastAsia="Times New Roman"/>
                <w:sz w:val="20"/>
                <w:szCs w:val="20"/>
              </w:rPr>
            </w:pPr>
            <w:r w:rsidRPr="002B1DFC">
              <w:rPr>
                <w:rFonts w:eastAsia="Times New Roman"/>
                <w:sz w:val="20"/>
                <w:szCs w:val="20"/>
              </w:rPr>
              <w:t xml:space="preserve">   14,910,105    </w:t>
            </w:r>
          </w:p>
        </w:tc>
        <w:tc>
          <w:tcPr>
            <w:tcW w:w="667" w:type="pct"/>
            <w:tcBorders>
              <w:top w:val="single" w:sz="4" w:space="0" w:color="95B3D7"/>
              <w:bottom w:val="single" w:sz="4" w:space="0" w:color="95B3D7"/>
            </w:tcBorders>
            <w:noWrap/>
            <w:vAlign w:val="bottom"/>
          </w:tcPr>
          <w:p w14:paraId="1DC00B3F" w14:textId="77777777" w:rsidR="000B7923" w:rsidRPr="002B1DFC" w:rsidRDefault="000B7923" w:rsidP="00663798">
            <w:pPr>
              <w:ind w:right="241"/>
              <w:jc w:val="right"/>
              <w:rPr>
                <w:rFonts w:eastAsia="Times New Roman"/>
                <w:sz w:val="20"/>
                <w:szCs w:val="20"/>
              </w:rPr>
            </w:pPr>
            <w:r w:rsidRPr="002B1DFC">
              <w:rPr>
                <w:rFonts w:eastAsia="Times New Roman"/>
                <w:sz w:val="20"/>
                <w:szCs w:val="20"/>
              </w:rPr>
              <w:t>14,325</w:t>
            </w:r>
          </w:p>
        </w:tc>
        <w:tc>
          <w:tcPr>
            <w:tcW w:w="666" w:type="pct"/>
            <w:tcBorders>
              <w:top w:val="single" w:sz="4" w:space="0" w:color="95B3D7"/>
              <w:bottom w:val="single" w:sz="4" w:space="0" w:color="95B3D7"/>
            </w:tcBorders>
            <w:noWrap/>
            <w:vAlign w:val="bottom"/>
          </w:tcPr>
          <w:p w14:paraId="6B7C400F" w14:textId="77777777" w:rsidR="000B7923" w:rsidRPr="002B1DFC" w:rsidRDefault="000B7923" w:rsidP="00F441C6">
            <w:pPr>
              <w:jc w:val="left"/>
              <w:rPr>
                <w:rFonts w:eastAsia="Times New Roman"/>
                <w:sz w:val="20"/>
                <w:szCs w:val="20"/>
              </w:rPr>
            </w:pPr>
            <w:r w:rsidRPr="002B1DFC">
              <w:rPr>
                <w:rFonts w:eastAsia="Times New Roman"/>
                <w:sz w:val="20"/>
                <w:szCs w:val="20"/>
              </w:rPr>
              <w:t xml:space="preserve">   15,167,369    </w:t>
            </w:r>
          </w:p>
        </w:tc>
        <w:tc>
          <w:tcPr>
            <w:tcW w:w="667" w:type="pct"/>
            <w:tcBorders>
              <w:top w:val="single" w:sz="4" w:space="0" w:color="95B3D7"/>
              <w:bottom w:val="single" w:sz="4" w:space="0" w:color="95B3D7"/>
              <w:right w:val="single" w:sz="4" w:space="0" w:color="95B3D7"/>
            </w:tcBorders>
            <w:noWrap/>
            <w:vAlign w:val="bottom"/>
          </w:tcPr>
          <w:p w14:paraId="18B266EE" w14:textId="77777777" w:rsidR="000B7923" w:rsidRPr="002B1DFC" w:rsidRDefault="000B7923" w:rsidP="00663798">
            <w:pPr>
              <w:ind w:right="198"/>
              <w:rPr>
                <w:rFonts w:eastAsia="Times New Roman"/>
                <w:sz w:val="20"/>
                <w:szCs w:val="20"/>
              </w:rPr>
            </w:pPr>
            <w:r w:rsidRPr="002B1DFC">
              <w:rPr>
                <w:rFonts w:eastAsia="Times New Roman"/>
                <w:sz w:val="20"/>
                <w:szCs w:val="20"/>
              </w:rPr>
              <w:t xml:space="preserve">    12,642    </w:t>
            </w:r>
          </w:p>
        </w:tc>
      </w:tr>
    </w:tbl>
    <w:p w14:paraId="5C1071F2" w14:textId="77777777" w:rsidR="000B7923" w:rsidRPr="00663798" w:rsidRDefault="000B7923" w:rsidP="00275839">
      <w:pPr>
        <w:rPr>
          <w:sz w:val="20"/>
          <w:szCs w:val="20"/>
        </w:rPr>
      </w:pPr>
      <w:r w:rsidRPr="00663798">
        <w:rPr>
          <w:i/>
          <w:sz w:val="20"/>
          <w:szCs w:val="20"/>
        </w:rPr>
        <w:t>Source:</w:t>
      </w:r>
      <w:r w:rsidRPr="00663798">
        <w:rPr>
          <w:sz w:val="20"/>
          <w:szCs w:val="20"/>
        </w:rPr>
        <w:t xml:space="preserve"> State Statistics Service of Ukraine 2014.</w:t>
      </w:r>
    </w:p>
    <w:p w14:paraId="7DF038D6" w14:textId="77777777" w:rsidR="000B7923" w:rsidRPr="002B1DFC" w:rsidRDefault="000B7923" w:rsidP="00275839">
      <w:pPr>
        <w:pStyle w:val="ListParagraph"/>
        <w:ind w:left="360"/>
        <w:rPr>
          <w:rFonts w:cs="Times New Roman"/>
          <w:iCs/>
        </w:rPr>
      </w:pPr>
    </w:p>
    <w:p w14:paraId="03C1677A" w14:textId="77777777" w:rsidR="000B7923" w:rsidRPr="002B1DFC" w:rsidRDefault="000B7923" w:rsidP="00275839">
      <w:pPr>
        <w:rPr>
          <w:rFonts w:cs="Times New Roman"/>
          <w:iCs/>
          <w:color w:val="00B0F0"/>
        </w:rPr>
      </w:pPr>
    </w:p>
    <w:p w14:paraId="2DAB5F01" w14:textId="77777777" w:rsidR="000B7923" w:rsidRPr="002B1DFC" w:rsidRDefault="000B7923" w:rsidP="00275839">
      <w:pPr>
        <w:pStyle w:val="Caption"/>
        <w:rPr>
          <w:iCs/>
          <w:color w:val="00B0F0"/>
        </w:rPr>
      </w:pPr>
      <w:bookmarkStart w:id="56" w:name="_Toc440274012"/>
      <w:r w:rsidRPr="002B1DFC">
        <w:t xml:space="preserve">Figure </w:t>
      </w:r>
      <w:r w:rsidRPr="002B1DFC">
        <w:fldChar w:fldCharType="begin"/>
      </w:r>
      <w:r w:rsidRPr="002B1DFC">
        <w:instrText xml:space="preserve"> SEQ Figure \* ARABIC </w:instrText>
      </w:r>
      <w:r w:rsidRPr="002B1DFC">
        <w:fldChar w:fldCharType="separate"/>
      </w:r>
      <w:r w:rsidR="00356D5F">
        <w:t>2</w:t>
      </w:r>
      <w:r w:rsidRPr="002B1DFC">
        <w:fldChar w:fldCharType="end"/>
      </w:r>
      <w:r w:rsidRPr="002B1DFC">
        <w:t>. Comparative Municipal Solid Waste Generation and Recovery Rates</w:t>
      </w:r>
      <w:bookmarkEnd w:id="56"/>
    </w:p>
    <w:p w14:paraId="22687F3C" w14:textId="77777777" w:rsidR="000B7923" w:rsidRPr="002B1DFC" w:rsidRDefault="00BE4288" w:rsidP="00275839">
      <w:pPr>
        <w:rPr>
          <w:rFonts w:cs="Times New Roman"/>
          <w:iCs/>
          <w:color w:val="00B0F0"/>
        </w:rPr>
      </w:pPr>
      <w:r w:rsidRPr="002B1DFC">
        <w:rPr>
          <w:noProof/>
        </w:rPr>
        <w:drawing>
          <wp:inline distT="0" distB="0" distL="0" distR="0" wp14:anchorId="078DC8D9" wp14:editId="655ED01F">
            <wp:extent cx="4714875" cy="2200275"/>
            <wp:effectExtent l="0" t="0" r="9525" b="9525"/>
            <wp:docPr id="8"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2200275"/>
                    </a:xfrm>
                    <a:prstGeom prst="rect">
                      <a:avLst/>
                    </a:prstGeom>
                    <a:noFill/>
                    <a:ln>
                      <a:noFill/>
                    </a:ln>
                  </pic:spPr>
                </pic:pic>
              </a:graphicData>
            </a:graphic>
          </wp:inline>
        </w:drawing>
      </w:r>
    </w:p>
    <w:p w14:paraId="1DE5DA6B" w14:textId="77777777" w:rsidR="000B7923" w:rsidRPr="00663798" w:rsidRDefault="000B7923" w:rsidP="00275839">
      <w:pPr>
        <w:rPr>
          <w:rFonts w:cs="Times New Roman"/>
          <w:iCs/>
          <w:sz w:val="20"/>
          <w:szCs w:val="20"/>
        </w:rPr>
      </w:pPr>
      <w:r w:rsidRPr="00663798">
        <w:rPr>
          <w:rFonts w:cs="Times New Roman"/>
          <w:i/>
          <w:iCs/>
          <w:sz w:val="20"/>
          <w:szCs w:val="20"/>
        </w:rPr>
        <w:t>Source:</w:t>
      </w:r>
      <w:r w:rsidRPr="00663798">
        <w:rPr>
          <w:rFonts w:cs="Times New Roman"/>
          <w:iCs/>
          <w:sz w:val="20"/>
          <w:szCs w:val="20"/>
        </w:rPr>
        <w:t xml:space="preserve"> IFC 2012.</w:t>
      </w:r>
    </w:p>
    <w:p w14:paraId="15F90880" w14:textId="77777777" w:rsidR="000B7923" w:rsidRDefault="000B7923" w:rsidP="001557B4">
      <w:pPr>
        <w:pStyle w:val="ListParagraph"/>
        <w:ind w:left="0"/>
        <w:rPr>
          <w:rFonts w:cs="Times New Roman"/>
          <w:iCs/>
        </w:rPr>
      </w:pPr>
    </w:p>
    <w:p w14:paraId="0DC7D0DF" w14:textId="77777777" w:rsidR="00F1704A" w:rsidRDefault="00F1704A" w:rsidP="00772403">
      <w:pPr>
        <w:pStyle w:val="ListParagraph"/>
        <w:numPr>
          <w:ilvl w:val="0"/>
          <w:numId w:val="68"/>
        </w:numPr>
        <w:tabs>
          <w:tab w:val="left" w:pos="360"/>
        </w:tabs>
        <w:spacing w:line="23" w:lineRule="atLeast"/>
        <w:ind w:left="0" w:firstLine="0"/>
        <w:rPr>
          <w:rFonts w:cs="Times New Roman"/>
          <w:iCs/>
        </w:rPr>
      </w:pPr>
      <w:r>
        <w:rPr>
          <w:rFonts w:cs="Times New Roman"/>
          <w:iCs/>
        </w:rPr>
        <w:t>Waste management accounted for 34% of Ukraine’s environmental expenditures during 2010</w:t>
      </w:r>
      <w:r w:rsidR="0041197D">
        <w:rPr>
          <w:rFonts w:cs="Times New Roman"/>
          <w:iCs/>
        </w:rPr>
        <w:t>–</w:t>
      </w:r>
      <w:r>
        <w:rPr>
          <w:rFonts w:cs="Times New Roman"/>
          <w:iCs/>
        </w:rPr>
        <w:t>2013</w:t>
      </w:r>
      <w:r w:rsidR="00B60BB9">
        <w:rPr>
          <w:rFonts w:cs="Times New Roman"/>
          <w:iCs/>
        </w:rPr>
        <w:t>. This is</w:t>
      </w:r>
      <w:r>
        <w:rPr>
          <w:rFonts w:cs="Times New Roman"/>
          <w:iCs/>
        </w:rPr>
        <w:t xml:space="preserve"> the second highest category after wastewater treatment. </w:t>
      </w:r>
    </w:p>
    <w:p w14:paraId="45A4C198" w14:textId="77777777" w:rsidR="00F1704A" w:rsidRPr="002B1DFC" w:rsidRDefault="00F1704A" w:rsidP="001557B4">
      <w:pPr>
        <w:pStyle w:val="ListParagraph"/>
        <w:ind w:left="0"/>
        <w:rPr>
          <w:rFonts w:cs="Times New Roman"/>
          <w:iCs/>
        </w:rPr>
      </w:pPr>
    </w:p>
    <w:p w14:paraId="5CA3C21A" w14:textId="77777777" w:rsidR="000B7923" w:rsidRPr="002B1DFC" w:rsidRDefault="000B7923" w:rsidP="00E25899">
      <w:pPr>
        <w:rPr>
          <w:rFonts w:cs="Times New Roman"/>
          <w:iCs/>
          <w:u w:val="single"/>
        </w:rPr>
      </w:pPr>
      <w:r w:rsidRPr="002B1DFC">
        <w:rPr>
          <w:rFonts w:cs="Times New Roman"/>
          <w:iCs/>
          <w:u w:val="single"/>
        </w:rPr>
        <w:t xml:space="preserve">Biodiversity and Forests </w:t>
      </w:r>
    </w:p>
    <w:p w14:paraId="115A5024" w14:textId="77777777" w:rsidR="000B7923" w:rsidRPr="002B1DFC" w:rsidRDefault="000B7923" w:rsidP="00275839">
      <w:pPr>
        <w:rPr>
          <w:rFonts w:cs="Times New Roman"/>
          <w:iCs/>
        </w:rPr>
      </w:pPr>
    </w:p>
    <w:p w14:paraId="50C12FBF"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iCs/>
        </w:rPr>
      </w:pPr>
      <w:r w:rsidRPr="002B1DFC">
        <w:rPr>
          <w:rFonts w:cs="Times New Roman"/>
          <w:iCs/>
        </w:rPr>
        <w:t xml:space="preserve">Due to its central location and climate, Ukraine is home to over 70 thousands of flora and fauna species. It is also on crossroads for over 100 species of migratory birds. Almost 5.4% of the country’s area (approximately 3 million hectares) is protected. </w:t>
      </w:r>
      <w:r w:rsidR="00B60BB9">
        <w:rPr>
          <w:rFonts w:cs="Times New Roman"/>
          <w:iCs/>
        </w:rPr>
        <w:t>The m</w:t>
      </w:r>
      <w:r w:rsidRPr="002B1DFC">
        <w:rPr>
          <w:rFonts w:cs="Times New Roman"/>
          <w:iCs/>
        </w:rPr>
        <w:t xml:space="preserve">ain threats to the country’s biodiversity </w:t>
      </w:r>
      <w:r w:rsidR="00B60BB9" w:rsidRPr="002B1DFC">
        <w:rPr>
          <w:rFonts w:cs="Times New Roman"/>
          <w:iCs/>
        </w:rPr>
        <w:t>include</w:t>
      </w:r>
      <w:r w:rsidRPr="002B1DFC">
        <w:rPr>
          <w:rFonts w:cs="Times New Roman"/>
          <w:iCs/>
        </w:rPr>
        <w:t xml:space="preserve"> loss of habitat due to agricultural activity, deforestation, urban expansion, </w:t>
      </w:r>
      <w:r w:rsidR="00B60BB9">
        <w:rPr>
          <w:rFonts w:cs="Times New Roman"/>
          <w:iCs/>
        </w:rPr>
        <w:t xml:space="preserve">and </w:t>
      </w:r>
      <w:r w:rsidRPr="002B1DFC">
        <w:rPr>
          <w:rFonts w:cs="Times New Roman"/>
          <w:iCs/>
        </w:rPr>
        <w:t>industrial activity</w:t>
      </w:r>
      <w:r w:rsidR="00B60BB9">
        <w:rPr>
          <w:rFonts w:cs="Times New Roman"/>
          <w:iCs/>
        </w:rPr>
        <w:t>,</w:t>
      </w:r>
      <w:r w:rsidRPr="002B1DFC">
        <w:rPr>
          <w:rFonts w:cs="Times New Roman"/>
          <w:iCs/>
        </w:rPr>
        <w:t xml:space="preserve"> as well as </w:t>
      </w:r>
      <w:r w:rsidR="00B60BB9">
        <w:rPr>
          <w:rFonts w:cs="Times New Roman"/>
          <w:iCs/>
        </w:rPr>
        <w:t xml:space="preserve">the </w:t>
      </w:r>
      <w:r w:rsidRPr="002B1DFC">
        <w:rPr>
          <w:rFonts w:cs="Times New Roman"/>
          <w:iCs/>
        </w:rPr>
        <w:t xml:space="preserve">introduction of invasive species (NES 2020). </w:t>
      </w:r>
    </w:p>
    <w:p w14:paraId="1E5194D8" w14:textId="77777777" w:rsidR="000B7923" w:rsidRPr="002B1DFC" w:rsidRDefault="000B7923" w:rsidP="00275839">
      <w:pPr>
        <w:rPr>
          <w:rFonts w:cs="Times New Roman"/>
          <w:iCs/>
        </w:rPr>
      </w:pPr>
    </w:p>
    <w:p w14:paraId="3AC7EFDF"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iCs/>
        </w:rPr>
      </w:pPr>
      <w:r w:rsidRPr="002B1DFC">
        <w:rPr>
          <w:rFonts w:cs="Times New Roman"/>
          <w:iCs/>
        </w:rPr>
        <w:t>Over 15% of Ukraine’s land area is covered by forests mainly in the northern and western parts of the country (NES 2020). Ukraine’s timber stock was estimated at 1,736 million m</w:t>
      </w:r>
      <w:r w:rsidRPr="002B1DFC">
        <w:rPr>
          <w:rFonts w:cs="Times New Roman"/>
          <w:iCs/>
          <w:vertAlign w:val="superscript"/>
        </w:rPr>
        <w:t>3</w:t>
      </w:r>
      <w:r w:rsidRPr="002B1DFC">
        <w:rPr>
          <w:rFonts w:cs="Times New Roman"/>
          <w:iCs/>
        </w:rPr>
        <w:t xml:space="preserve">. Reforestation in Ukraine is poor and it is principally determined by estimated wood cut area. Intensification of forestation is generally not possible due to lack of funds. Forest contamination is increasing rapidly, and protection from pests and tree diseases that represent a critical problem to forest areas is minimal. </w:t>
      </w:r>
    </w:p>
    <w:p w14:paraId="234A09D7" w14:textId="77777777" w:rsidR="000B7923" w:rsidRPr="002B1DFC" w:rsidRDefault="000B7923" w:rsidP="00275839">
      <w:pPr>
        <w:rPr>
          <w:rFonts w:cs="Times New Roman"/>
          <w:iCs/>
        </w:rPr>
      </w:pPr>
    </w:p>
    <w:p w14:paraId="6A68500C" w14:textId="77777777" w:rsidR="000B7923" w:rsidRDefault="000B7923" w:rsidP="00772403">
      <w:pPr>
        <w:pStyle w:val="ListParagraph"/>
        <w:numPr>
          <w:ilvl w:val="0"/>
          <w:numId w:val="68"/>
        </w:numPr>
        <w:tabs>
          <w:tab w:val="left" w:pos="360"/>
        </w:tabs>
        <w:spacing w:line="23" w:lineRule="atLeast"/>
        <w:ind w:left="0" w:firstLine="0"/>
        <w:rPr>
          <w:rFonts w:cs="Times New Roman"/>
          <w:iCs/>
        </w:rPr>
      </w:pPr>
      <w:r w:rsidRPr="00772403">
        <w:rPr>
          <w:rFonts w:cs="Times New Roman"/>
          <w:iCs/>
        </w:rPr>
        <w:t>Ukraine’s</w:t>
      </w:r>
      <w:r w:rsidRPr="002B1DFC">
        <w:t xml:space="preserve"> 5</w:t>
      </w:r>
      <w:r w:rsidRPr="002B1DFC">
        <w:rPr>
          <w:vertAlign w:val="superscript"/>
        </w:rPr>
        <w:t>th</w:t>
      </w:r>
      <w:r w:rsidRPr="002B1DFC">
        <w:t xml:space="preserve"> National Report to the Convention on Biological Diversity (MENR 2015</w:t>
      </w:r>
      <w:r w:rsidR="00C8434D">
        <w:t>c</w:t>
      </w:r>
      <w:r w:rsidRPr="002B1DFC">
        <w:t>) identifies the key threats to biodiversity</w:t>
      </w:r>
      <w:r w:rsidR="00B60BB9">
        <w:t>. These are the</w:t>
      </w:r>
      <w:r w:rsidRPr="002B1DFC">
        <w:t xml:space="preserve"> u</w:t>
      </w:r>
      <w:r w:rsidRPr="002B1DFC">
        <w:rPr>
          <w:rFonts w:cs="Times New Roman"/>
          <w:iCs/>
        </w:rPr>
        <w:t>ncontrolled use of forest resources</w:t>
      </w:r>
      <w:r w:rsidR="00B60BB9">
        <w:rPr>
          <w:rFonts w:cs="Times New Roman"/>
          <w:iCs/>
        </w:rPr>
        <w:t>,</w:t>
      </w:r>
      <w:r w:rsidRPr="002B1DFC">
        <w:rPr>
          <w:rFonts w:cs="Times New Roman"/>
          <w:iCs/>
        </w:rPr>
        <w:t xml:space="preserve"> land degradation</w:t>
      </w:r>
      <w:r w:rsidR="008F608B">
        <w:rPr>
          <w:rFonts w:cs="Times New Roman"/>
          <w:iCs/>
        </w:rPr>
        <w:t>,</w:t>
      </w:r>
      <w:r w:rsidRPr="002B1DFC">
        <w:rPr>
          <w:rFonts w:cs="Times New Roman"/>
          <w:iCs/>
        </w:rPr>
        <w:t xml:space="preserve"> and over-exploitation of the steppes</w:t>
      </w:r>
      <w:r w:rsidR="00B60BB9">
        <w:rPr>
          <w:rFonts w:cs="Times New Roman"/>
          <w:iCs/>
        </w:rPr>
        <w:t>,</w:t>
      </w:r>
      <w:r w:rsidRPr="002B1DFC">
        <w:rPr>
          <w:rFonts w:cs="Times New Roman"/>
          <w:iCs/>
        </w:rPr>
        <w:t xml:space="preserve"> recreation</w:t>
      </w:r>
      <w:r w:rsidR="008F608B">
        <w:rPr>
          <w:rFonts w:cs="Times New Roman"/>
          <w:iCs/>
        </w:rPr>
        <w:t>al</w:t>
      </w:r>
      <w:r w:rsidRPr="002B1DFC">
        <w:rPr>
          <w:rFonts w:cs="Times New Roman"/>
          <w:iCs/>
        </w:rPr>
        <w:t xml:space="preserve"> activities</w:t>
      </w:r>
      <w:r w:rsidR="008F608B">
        <w:rPr>
          <w:rFonts w:cs="Times New Roman"/>
          <w:iCs/>
        </w:rPr>
        <w:t>,</w:t>
      </w:r>
      <w:r w:rsidRPr="002B1DFC">
        <w:rPr>
          <w:rFonts w:cs="Times New Roman"/>
          <w:iCs/>
        </w:rPr>
        <w:t xml:space="preserve"> and wastewater pollution of the aquatic and coastal ecosystems</w:t>
      </w:r>
      <w:r w:rsidR="00B60BB9">
        <w:rPr>
          <w:rFonts w:cs="Times New Roman"/>
          <w:iCs/>
        </w:rPr>
        <w:t>,</w:t>
      </w:r>
      <w:r w:rsidRPr="002B1DFC">
        <w:rPr>
          <w:rFonts w:cs="Times New Roman"/>
          <w:iCs/>
        </w:rPr>
        <w:t xml:space="preserve"> regulation of the Dnipro </w:t>
      </w:r>
      <w:r w:rsidR="00B60BB9">
        <w:rPr>
          <w:rFonts w:cs="Times New Roman"/>
          <w:iCs/>
        </w:rPr>
        <w:t>R</w:t>
      </w:r>
      <w:r w:rsidRPr="002B1DFC">
        <w:rPr>
          <w:rFonts w:cs="Times New Roman"/>
          <w:iCs/>
        </w:rPr>
        <w:t>iver and its tributaries changing the natural mode of floods</w:t>
      </w:r>
      <w:r w:rsidR="00B60BB9">
        <w:rPr>
          <w:rFonts w:cs="Times New Roman"/>
          <w:iCs/>
        </w:rPr>
        <w:t>,</w:t>
      </w:r>
      <w:r w:rsidRPr="002B1DFC">
        <w:rPr>
          <w:rFonts w:cs="Times New Roman"/>
          <w:iCs/>
        </w:rPr>
        <w:t xml:space="preserve"> organic pollution</w:t>
      </w:r>
      <w:r w:rsidR="00B60BB9">
        <w:rPr>
          <w:rFonts w:cs="Times New Roman"/>
          <w:iCs/>
        </w:rPr>
        <w:t>,</w:t>
      </w:r>
      <w:r w:rsidRPr="002B1DFC">
        <w:rPr>
          <w:rFonts w:cs="Times New Roman"/>
          <w:iCs/>
        </w:rPr>
        <w:t xml:space="preserve"> and destruction of natural habitats</w:t>
      </w:r>
      <w:r w:rsidR="00B60BB9">
        <w:rPr>
          <w:rFonts w:cs="Times New Roman"/>
          <w:iCs/>
        </w:rPr>
        <w:t>. Additional key threats are</w:t>
      </w:r>
      <w:r w:rsidRPr="002B1DFC">
        <w:rPr>
          <w:rFonts w:cs="Times New Roman"/>
          <w:iCs/>
        </w:rPr>
        <w:t xml:space="preserve"> natural factors such as excessive overgrowing of small rivers </w:t>
      </w:r>
      <w:r w:rsidR="00B60BB9">
        <w:rPr>
          <w:rFonts w:cs="Times New Roman"/>
          <w:iCs/>
        </w:rPr>
        <w:t>by</w:t>
      </w:r>
      <w:r w:rsidR="00B60BB9" w:rsidRPr="002B1DFC">
        <w:rPr>
          <w:rFonts w:cs="Times New Roman"/>
          <w:iCs/>
        </w:rPr>
        <w:t xml:space="preserve"> </w:t>
      </w:r>
      <w:r w:rsidRPr="002B1DFC">
        <w:rPr>
          <w:rFonts w:cs="Times New Roman"/>
          <w:iCs/>
        </w:rPr>
        <w:t>air-water vegetation that reduces the biodiversity of aquatic organisms (plants and animals)</w:t>
      </w:r>
      <w:r w:rsidR="00B60BB9">
        <w:rPr>
          <w:rFonts w:cs="Times New Roman"/>
          <w:iCs/>
        </w:rPr>
        <w:t>,</w:t>
      </w:r>
      <w:r w:rsidRPr="002B1DFC">
        <w:rPr>
          <w:rFonts w:cs="Times New Roman"/>
          <w:iCs/>
        </w:rPr>
        <w:t xml:space="preserve"> invasive species</w:t>
      </w:r>
      <w:r w:rsidR="00B60BB9">
        <w:rPr>
          <w:rFonts w:cs="Times New Roman"/>
          <w:iCs/>
        </w:rPr>
        <w:t>,</w:t>
      </w:r>
      <w:r w:rsidRPr="002B1DFC">
        <w:rPr>
          <w:rFonts w:cs="Times New Roman"/>
          <w:iCs/>
        </w:rPr>
        <w:t xml:space="preserve"> and climate change </w:t>
      </w:r>
      <w:r w:rsidR="00B60BB9">
        <w:rPr>
          <w:rFonts w:cs="Times New Roman"/>
          <w:iCs/>
        </w:rPr>
        <w:t>in</w:t>
      </w:r>
      <w:r w:rsidRPr="002B1DFC">
        <w:rPr>
          <w:rFonts w:cs="Times New Roman"/>
          <w:iCs/>
        </w:rPr>
        <w:t xml:space="preserve"> forest</w:t>
      </w:r>
      <w:r w:rsidR="00B60BB9">
        <w:rPr>
          <w:rFonts w:cs="Times New Roman"/>
          <w:iCs/>
        </w:rPr>
        <w:t xml:space="preserve"> areas</w:t>
      </w:r>
      <w:r w:rsidRPr="002B1DFC">
        <w:rPr>
          <w:rFonts w:cs="Times New Roman"/>
          <w:iCs/>
        </w:rPr>
        <w:t xml:space="preserve">. </w:t>
      </w:r>
    </w:p>
    <w:p w14:paraId="3ED3DF7C" w14:textId="77777777" w:rsidR="00F1704A" w:rsidRDefault="00F1704A" w:rsidP="00275839">
      <w:pPr>
        <w:rPr>
          <w:rFonts w:cs="Times New Roman"/>
          <w:iCs/>
        </w:rPr>
      </w:pPr>
    </w:p>
    <w:p w14:paraId="61316CF0" w14:textId="77777777" w:rsidR="00F1704A" w:rsidRPr="002B1DFC" w:rsidRDefault="00F1704A" w:rsidP="00772403">
      <w:pPr>
        <w:pStyle w:val="ListParagraph"/>
        <w:numPr>
          <w:ilvl w:val="0"/>
          <w:numId w:val="68"/>
        </w:numPr>
        <w:tabs>
          <w:tab w:val="left" w:pos="360"/>
        </w:tabs>
        <w:spacing w:line="23" w:lineRule="atLeast"/>
        <w:ind w:left="0" w:firstLine="0"/>
        <w:rPr>
          <w:rFonts w:cs="Times New Roman"/>
          <w:iCs/>
        </w:rPr>
      </w:pPr>
      <w:r>
        <w:rPr>
          <w:rFonts w:cs="Times New Roman"/>
          <w:iCs/>
        </w:rPr>
        <w:t>In spite of its significance, biodiversity and habitat conservation accounted for almost 3% of Ukraine’s environmental expenditures during 2010</w:t>
      </w:r>
      <w:r w:rsidR="0041197D">
        <w:rPr>
          <w:rFonts w:cs="Times New Roman"/>
          <w:iCs/>
        </w:rPr>
        <w:t>–</w:t>
      </w:r>
      <w:r>
        <w:rPr>
          <w:rFonts w:cs="Times New Roman"/>
          <w:iCs/>
        </w:rPr>
        <w:t xml:space="preserve">2013. </w:t>
      </w:r>
    </w:p>
    <w:p w14:paraId="402D2BAC" w14:textId="77777777" w:rsidR="000B7923" w:rsidRPr="002B1DFC" w:rsidRDefault="000B7923" w:rsidP="00275839">
      <w:pPr>
        <w:pStyle w:val="ListParagraph"/>
        <w:ind w:left="360"/>
        <w:rPr>
          <w:rFonts w:cs="Times New Roman"/>
          <w:iCs/>
        </w:rPr>
      </w:pPr>
    </w:p>
    <w:p w14:paraId="1FF14253" w14:textId="77777777" w:rsidR="000B7923" w:rsidRPr="002B1DFC" w:rsidRDefault="000B7923" w:rsidP="00275839">
      <w:pPr>
        <w:rPr>
          <w:rFonts w:cs="Times New Roman"/>
          <w:iCs/>
        </w:rPr>
      </w:pPr>
      <w:r w:rsidRPr="002B1DFC">
        <w:rPr>
          <w:rFonts w:cs="Times New Roman"/>
          <w:iCs/>
          <w:u w:val="single"/>
        </w:rPr>
        <w:t>Land Resources</w:t>
      </w:r>
      <w:r w:rsidRPr="002B1DFC">
        <w:rPr>
          <w:rFonts w:cs="Times New Roman"/>
          <w:iCs/>
        </w:rPr>
        <w:t xml:space="preserve"> </w:t>
      </w:r>
    </w:p>
    <w:p w14:paraId="058A1FA8" w14:textId="77777777" w:rsidR="000B7923" w:rsidRPr="002B1DFC" w:rsidRDefault="000B7923" w:rsidP="00275839">
      <w:pPr>
        <w:rPr>
          <w:rFonts w:cs="Times New Roman"/>
          <w:iCs/>
        </w:rPr>
      </w:pPr>
    </w:p>
    <w:p w14:paraId="1EED17AC" w14:textId="77777777" w:rsidR="00422690" w:rsidRDefault="000B7923" w:rsidP="00772403">
      <w:pPr>
        <w:pStyle w:val="ListParagraph"/>
        <w:numPr>
          <w:ilvl w:val="0"/>
          <w:numId w:val="68"/>
        </w:numPr>
        <w:tabs>
          <w:tab w:val="left" w:pos="360"/>
        </w:tabs>
        <w:spacing w:line="23" w:lineRule="atLeast"/>
        <w:ind w:left="0" w:firstLine="0"/>
        <w:rPr>
          <w:rFonts w:cs="Times New Roman"/>
          <w:iCs/>
        </w:rPr>
      </w:pPr>
      <w:r w:rsidRPr="002B1DFC">
        <w:rPr>
          <w:rFonts w:cs="Times New Roman"/>
          <w:iCs/>
        </w:rPr>
        <w:t>According to the National Environmental Strategy 2020, the status of land resources in Ukraine is close to critical. Key threats include: erosion, pollution and flooding, and many problems stem from the lack of inventory and automation of system for maintenance of land cadaster, imperfection of land management documentation and insufficiency of legal and regulatory support, that are coupled with low institutional capacity of the respective executive authorities.</w:t>
      </w:r>
    </w:p>
    <w:p w14:paraId="08B1D856" w14:textId="77777777" w:rsidR="00422690" w:rsidRDefault="00422690" w:rsidP="0027187C">
      <w:pPr>
        <w:rPr>
          <w:rFonts w:cs="Times New Roman"/>
          <w:iCs/>
        </w:rPr>
      </w:pPr>
    </w:p>
    <w:p w14:paraId="29C50D39" w14:textId="77777777" w:rsidR="000B7923" w:rsidRDefault="00422690" w:rsidP="0027187C">
      <w:pPr>
        <w:rPr>
          <w:rFonts w:cs="Times New Roman"/>
          <w:iCs/>
          <w:u w:val="single"/>
        </w:rPr>
      </w:pPr>
      <w:r w:rsidRPr="001557B4">
        <w:rPr>
          <w:rFonts w:cs="Times New Roman"/>
          <w:iCs/>
          <w:u w:val="single"/>
        </w:rPr>
        <w:t>Climate Change</w:t>
      </w:r>
      <w:r w:rsidR="000B7923" w:rsidRPr="001557B4">
        <w:rPr>
          <w:rFonts w:cs="Times New Roman"/>
          <w:iCs/>
          <w:u w:val="single"/>
        </w:rPr>
        <w:t> </w:t>
      </w:r>
    </w:p>
    <w:p w14:paraId="0798FD1B" w14:textId="77777777" w:rsidR="00422690" w:rsidRPr="001557B4" w:rsidRDefault="00422690" w:rsidP="0027187C">
      <w:pPr>
        <w:rPr>
          <w:rFonts w:cs="Times New Roman"/>
          <w:iCs/>
        </w:rPr>
      </w:pPr>
    </w:p>
    <w:p w14:paraId="1332AD88" w14:textId="77777777" w:rsidR="00422690" w:rsidRPr="001557B4" w:rsidRDefault="00C941E8" w:rsidP="00772403">
      <w:pPr>
        <w:pStyle w:val="ListParagraph"/>
        <w:numPr>
          <w:ilvl w:val="0"/>
          <w:numId w:val="68"/>
        </w:numPr>
        <w:tabs>
          <w:tab w:val="left" w:pos="360"/>
        </w:tabs>
        <w:spacing w:line="23" w:lineRule="atLeast"/>
        <w:ind w:left="0" w:firstLine="0"/>
        <w:rPr>
          <w:rFonts w:cs="Times New Roman"/>
          <w:iCs/>
        </w:rPr>
      </w:pPr>
      <w:r w:rsidRPr="001557B4">
        <w:rPr>
          <w:rFonts w:cs="Times New Roman"/>
          <w:iCs/>
        </w:rPr>
        <w:t xml:space="preserve">Ukraine is party to the UN Framework Convention on Climate Change and the Kyoto Protocol, which provides </w:t>
      </w:r>
      <w:r w:rsidR="005D7DBB">
        <w:rPr>
          <w:rFonts w:cs="Times New Roman"/>
          <w:iCs/>
        </w:rPr>
        <w:t xml:space="preserve">provisions and quantitative commitments </w:t>
      </w:r>
      <w:r w:rsidRPr="001557B4">
        <w:rPr>
          <w:rFonts w:cs="Times New Roman"/>
          <w:iCs/>
        </w:rPr>
        <w:t>for the reduction of greenhouse gas emissions, energy efficiency and the implementation of measures aimed at reducing anthropogenic emissions of greenhouse gases.</w:t>
      </w:r>
      <w:r w:rsidR="006D34AB" w:rsidRPr="001557B4">
        <w:rPr>
          <w:rFonts w:cs="Times New Roman"/>
          <w:iCs/>
        </w:rPr>
        <w:t xml:space="preserve"> The key sectors for emissions of </w:t>
      </w:r>
      <w:r w:rsidR="0056635E" w:rsidRPr="001557B4">
        <w:rPr>
          <w:rFonts w:cs="Times New Roman"/>
          <w:iCs/>
        </w:rPr>
        <w:t>greenhouse</w:t>
      </w:r>
      <w:r w:rsidR="006D34AB" w:rsidRPr="001557B4">
        <w:rPr>
          <w:rFonts w:cs="Times New Roman"/>
          <w:iCs/>
        </w:rPr>
        <w:t xml:space="preserve"> gases in Ukraine</w:t>
      </w:r>
      <w:r w:rsidR="005D7DBB">
        <w:rPr>
          <w:rFonts w:cs="Times New Roman"/>
          <w:iCs/>
        </w:rPr>
        <w:t>, per 2013 figures,</w:t>
      </w:r>
      <w:r w:rsidR="006D34AB" w:rsidRPr="001557B4">
        <w:rPr>
          <w:rFonts w:cs="Times New Roman"/>
          <w:iCs/>
        </w:rPr>
        <w:t xml:space="preserve"> are energy</w:t>
      </w:r>
      <w:r w:rsidR="0019296E" w:rsidRPr="001557B4">
        <w:rPr>
          <w:rFonts w:cs="Times New Roman"/>
          <w:iCs/>
        </w:rPr>
        <w:t xml:space="preserve"> (7</w:t>
      </w:r>
      <w:r w:rsidR="005D7DBB">
        <w:rPr>
          <w:rFonts w:cs="Times New Roman"/>
          <w:iCs/>
        </w:rPr>
        <w:t>8</w:t>
      </w:r>
      <w:r w:rsidR="0019296E" w:rsidRPr="001557B4">
        <w:rPr>
          <w:rFonts w:cs="Times New Roman"/>
          <w:iCs/>
        </w:rPr>
        <w:t>%)</w:t>
      </w:r>
      <w:r w:rsidR="006D34AB" w:rsidRPr="001557B4">
        <w:rPr>
          <w:rFonts w:cs="Times New Roman"/>
          <w:iCs/>
        </w:rPr>
        <w:t>; industrial processes and product use</w:t>
      </w:r>
      <w:r w:rsidR="0019296E" w:rsidRPr="001557B4">
        <w:rPr>
          <w:rFonts w:cs="Times New Roman"/>
          <w:iCs/>
        </w:rPr>
        <w:t xml:space="preserve"> (</w:t>
      </w:r>
      <w:r w:rsidR="005D7DBB">
        <w:rPr>
          <w:rFonts w:cs="Times New Roman"/>
          <w:iCs/>
        </w:rPr>
        <w:t>21</w:t>
      </w:r>
      <w:r w:rsidR="0019296E" w:rsidRPr="001557B4">
        <w:rPr>
          <w:rFonts w:cs="Times New Roman"/>
          <w:iCs/>
        </w:rPr>
        <w:t>%)</w:t>
      </w:r>
      <w:r w:rsidR="006D34AB" w:rsidRPr="001557B4">
        <w:rPr>
          <w:rFonts w:cs="Times New Roman"/>
          <w:iCs/>
        </w:rPr>
        <w:t>; agriculture</w:t>
      </w:r>
      <w:r w:rsidR="005D7DBB">
        <w:rPr>
          <w:rFonts w:cs="Times New Roman"/>
          <w:iCs/>
        </w:rPr>
        <w:t xml:space="preserve"> (9% in 2013)</w:t>
      </w:r>
      <w:r w:rsidR="00EC3354">
        <w:rPr>
          <w:rFonts w:cs="Times New Roman"/>
          <w:iCs/>
        </w:rPr>
        <w:t>;</w:t>
      </w:r>
      <w:r w:rsidR="006D34AB" w:rsidRPr="001557B4">
        <w:rPr>
          <w:rFonts w:cs="Times New Roman"/>
          <w:iCs/>
        </w:rPr>
        <w:t xml:space="preserve"> land use, land-use change and forestry</w:t>
      </w:r>
      <w:r w:rsidR="005D7DBB">
        <w:rPr>
          <w:rFonts w:cs="Times New Roman"/>
          <w:iCs/>
        </w:rPr>
        <w:t xml:space="preserve"> (</w:t>
      </w:r>
      <w:r w:rsidR="00EC3354">
        <w:rPr>
          <w:rFonts w:cs="Times New Roman"/>
          <w:iCs/>
        </w:rPr>
        <w:t>16% net absorption of carbon dioxide) (</w:t>
      </w:r>
      <w:r w:rsidR="005D7DBB">
        <w:rPr>
          <w:rFonts w:cs="Times New Roman"/>
          <w:iCs/>
        </w:rPr>
        <w:t>this</w:t>
      </w:r>
      <w:r w:rsidR="0019296E" w:rsidRPr="001557B4">
        <w:rPr>
          <w:rFonts w:cs="Times New Roman"/>
          <w:iCs/>
        </w:rPr>
        <w:t xml:space="preserve"> </w:t>
      </w:r>
      <w:r w:rsidR="00EC3354">
        <w:rPr>
          <w:rFonts w:cs="Times New Roman"/>
          <w:iCs/>
        </w:rPr>
        <w:t xml:space="preserve">sector </w:t>
      </w:r>
      <w:r w:rsidR="0019296E" w:rsidRPr="001557B4">
        <w:rPr>
          <w:rFonts w:cs="Times New Roman"/>
          <w:iCs/>
        </w:rPr>
        <w:t>includes both emissions and absorption of carbon dioxide</w:t>
      </w:r>
      <w:r w:rsidR="00EC3354">
        <w:rPr>
          <w:rFonts w:cs="Times New Roman"/>
          <w:iCs/>
        </w:rPr>
        <w:t>)</w:t>
      </w:r>
      <w:r w:rsidR="006D34AB" w:rsidRPr="001557B4">
        <w:rPr>
          <w:rFonts w:cs="Times New Roman"/>
          <w:iCs/>
        </w:rPr>
        <w:t>; and waste</w:t>
      </w:r>
      <w:r w:rsidR="0019296E" w:rsidRPr="001557B4">
        <w:rPr>
          <w:rFonts w:cs="Times New Roman"/>
          <w:iCs/>
        </w:rPr>
        <w:t xml:space="preserve"> (</w:t>
      </w:r>
      <w:r w:rsidR="005D7DBB">
        <w:rPr>
          <w:rFonts w:cs="Times New Roman"/>
          <w:iCs/>
        </w:rPr>
        <w:t>4</w:t>
      </w:r>
      <w:r w:rsidR="0019296E" w:rsidRPr="001557B4">
        <w:rPr>
          <w:rFonts w:cs="Times New Roman"/>
          <w:iCs/>
        </w:rPr>
        <w:t>%)</w:t>
      </w:r>
      <w:r w:rsidR="001E2BFB">
        <w:rPr>
          <w:rFonts w:cs="Times New Roman"/>
          <w:iCs/>
        </w:rPr>
        <w:t xml:space="preserve"> (Government Agency for Ecological Investments of Ukraine 2015)</w:t>
      </w:r>
      <w:r w:rsidR="006D34AB" w:rsidRPr="001557B4">
        <w:rPr>
          <w:rFonts w:cs="Times New Roman"/>
          <w:iCs/>
        </w:rPr>
        <w:t>.</w:t>
      </w:r>
    </w:p>
    <w:p w14:paraId="1A380124" w14:textId="77777777" w:rsidR="0019296E" w:rsidRPr="001557B4" w:rsidRDefault="0019296E" w:rsidP="00351D3C">
      <w:pPr>
        <w:rPr>
          <w:rFonts w:cs="Times New Roman"/>
          <w:iCs/>
        </w:rPr>
      </w:pPr>
    </w:p>
    <w:p w14:paraId="71908789" w14:textId="77777777" w:rsidR="006F1C82" w:rsidRPr="001557B4" w:rsidRDefault="0019296E" w:rsidP="00772403">
      <w:pPr>
        <w:pStyle w:val="ListParagraph"/>
        <w:numPr>
          <w:ilvl w:val="0"/>
          <w:numId w:val="68"/>
        </w:numPr>
        <w:tabs>
          <w:tab w:val="left" w:pos="360"/>
        </w:tabs>
        <w:spacing w:line="23" w:lineRule="atLeast"/>
        <w:ind w:left="0" w:firstLine="0"/>
        <w:rPr>
          <w:rFonts w:cs="Times New Roman"/>
          <w:iCs/>
        </w:rPr>
      </w:pPr>
      <w:r w:rsidRPr="001557B4">
        <w:rPr>
          <w:rFonts w:cs="Times New Roman"/>
          <w:iCs/>
        </w:rPr>
        <w:t>Ukraine’s 6</w:t>
      </w:r>
      <w:r w:rsidRPr="001557B4">
        <w:rPr>
          <w:rFonts w:cs="Times New Roman"/>
          <w:iCs/>
          <w:vertAlign w:val="superscript"/>
        </w:rPr>
        <w:t>th</w:t>
      </w:r>
      <w:r w:rsidRPr="001557B4">
        <w:rPr>
          <w:rFonts w:cs="Times New Roman"/>
          <w:iCs/>
        </w:rPr>
        <w:t xml:space="preserve"> National Communication Report to the UNFCCC (MOE 2014)</w:t>
      </w:r>
      <w:r w:rsidR="00574181" w:rsidRPr="001557B4">
        <w:rPr>
          <w:rFonts w:cs="Times New Roman"/>
          <w:iCs/>
        </w:rPr>
        <w:t xml:space="preserve"> summarizes the </w:t>
      </w:r>
      <w:r w:rsidR="00F437C7" w:rsidRPr="001557B4">
        <w:rPr>
          <w:rFonts w:cs="Times New Roman"/>
          <w:iCs/>
        </w:rPr>
        <w:t xml:space="preserve">following </w:t>
      </w:r>
      <w:r w:rsidR="00574181" w:rsidRPr="001557B4">
        <w:rPr>
          <w:rFonts w:cs="Times New Roman"/>
          <w:iCs/>
        </w:rPr>
        <w:t xml:space="preserve">key sectors </w:t>
      </w:r>
      <w:r w:rsidR="00B60BB9">
        <w:rPr>
          <w:rFonts w:cs="Times New Roman"/>
          <w:iCs/>
        </w:rPr>
        <w:t xml:space="preserve">of vulnerability </w:t>
      </w:r>
      <w:r w:rsidR="00574181" w:rsidRPr="001557B4">
        <w:rPr>
          <w:rFonts w:cs="Times New Roman"/>
          <w:iCs/>
        </w:rPr>
        <w:t>to climate change</w:t>
      </w:r>
      <w:r w:rsidR="00B60BB9">
        <w:rPr>
          <w:rFonts w:cs="Times New Roman"/>
          <w:iCs/>
        </w:rPr>
        <w:t xml:space="preserve"> impacts</w:t>
      </w:r>
      <w:r w:rsidR="00574181" w:rsidRPr="001557B4">
        <w:rPr>
          <w:rFonts w:cs="Times New Roman"/>
          <w:iCs/>
        </w:rPr>
        <w:t>:</w:t>
      </w:r>
    </w:p>
    <w:p w14:paraId="50AC7B38" w14:textId="77777777" w:rsidR="006F1C82" w:rsidRPr="001557B4" w:rsidRDefault="00F437C7" w:rsidP="00B83095">
      <w:pPr>
        <w:numPr>
          <w:ilvl w:val="0"/>
          <w:numId w:val="8"/>
        </w:numPr>
        <w:rPr>
          <w:rFonts w:cs="Times New Roman"/>
          <w:iCs/>
        </w:rPr>
      </w:pPr>
      <w:r w:rsidRPr="002578F7">
        <w:rPr>
          <w:rFonts w:cs="Times New Roman"/>
          <w:iCs/>
        </w:rPr>
        <w:t>A</w:t>
      </w:r>
      <w:r w:rsidR="009F7F2B" w:rsidRPr="001557B4">
        <w:rPr>
          <w:rFonts w:cs="Times New Roman"/>
          <w:iCs/>
        </w:rPr>
        <w:t>gricultural sector</w:t>
      </w:r>
      <w:r w:rsidR="00B60BB9">
        <w:rPr>
          <w:rFonts w:cs="Times New Roman"/>
          <w:iCs/>
        </w:rPr>
        <w:t xml:space="preserve"> </w:t>
      </w:r>
      <w:r w:rsidR="0041197D">
        <w:rPr>
          <w:rFonts w:cs="Times New Roman"/>
          <w:iCs/>
        </w:rPr>
        <w:t>–</w:t>
      </w:r>
      <w:r w:rsidR="00B60BB9">
        <w:rPr>
          <w:rFonts w:cs="Times New Roman"/>
          <w:iCs/>
        </w:rPr>
        <w:t xml:space="preserve"> G</w:t>
      </w:r>
      <w:r w:rsidR="00574181" w:rsidRPr="001557B4">
        <w:rPr>
          <w:rFonts w:cs="Times New Roman"/>
          <w:iCs/>
        </w:rPr>
        <w:t>rain yield may decrease by 10</w:t>
      </w:r>
      <w:r w:rsidR="0041197D">
        <w:rPr>
          <w:rFonts w:cs="Times New Roman"/>
          <w:iCs/>
        </w:rPr>
        <w:t>–</w:t>
      </w:r>
      <w:r w:rsidR="00574181" w:rsidRPr="001557B4">
        <w:rPr>
          <w:rFonts w:cs="Times New Roman"/>
          <w:iCs/>
        </w:rPr>
        <w:t>16% due to increase in the frequency and severity of drought during the growing season, decrease in the frequency of precipitation and an increase in the intensity of rainfall, and lack of sustainable snow depth needed for crops to weather sub-freezing temperatures.</w:t>
      </w:r>
    </w:p>
    <w:p w14:paraId="03FFF547" w14:textId="77777777" w:rsidR="006F1C82" w:rsidRPr="001557B4" w:rsidRDefault="006F1C82" w:rsidP="00B83095">
      <w:pPr>
        <w:numPr>
          <w:ilvl w:val="0"/>
          <w:numId w:val="8"/>
        </w:numPr>
        <w:rPr>
          <w:rFonts w:cs="Times New Roman"/>
          <w:iCs/>
        </w:rPr>
      </w:pPr>
      <w:r w:rsidRPr="001557B4">
        <w:rPr>
          <w:rFonts w:cs="Times New Roman"/>
          <w:iCs/>
        </w:rPr>
        <w:t>Forest</w:t>
      </w:r>
      <w:r w:rsidR="00F437C7" w:rsidRPr="001557B4">
        <w:rPr>
          <w:rFonts w:cs="Times New Roman"/>
          <w:iCs/>
        </w:rPr>
        <w:t>s</w:t>
      </w:r>
      <w:r w:rsidR="00B60BB9">
        <w:rPr>
          <w:rFonts w:cs="Times New Roman"/>
          <w:iCs/>
        </w:rPr>
        <w:t xml:space="preserve"> </w:t>
      </w:r>
      <w:r w:rsidR="0041197D">
        <w:rPr>
          <w:rFonts w:cs="Times New Roman"/>
          <w:iCs/>
        </w:rPr>
        <w:t>–</w:t>
      </w:r>
      <w:r w:rsidRPr="001557B4">
        <w:rPr>
          <w:rFonts w:cs="Times New Roman"/>
          <w:iCs/>
        </w:rPr>
        <w:t xml:space="preserve"> Long-term climate change is very likely to show generally negative </w:t>
      </w:r>
      <w:r w:rsidR="00F437C7" w:rsidRPr="001557B4">
        <w:rPr>
          <w:rFonts w:cs="Times New Roman"/>
          <w:iCs/>
        </w:rPr>
        <w:t>impact on forests</w:t>
      </w:r>
      <w:r w:rsidRPr="001557B4">
        <w:rPr>
          <w:rFonts w:cs="Times New Roman"/>
          <w:iCs/>
        </w:rPr>
        <w:t xml:space="preserve">, the impact of increasing climate variability on terrestrial ecosystems are expected </w:t>
      </w:r>
      <w:r w:rsidR="00F437C7" w:rsidRPr="001557B4">
        <w:rPr>
          <w:rFonts w:cs="Times New Roman"/>
          <w:iCs/>
        </w:rPr>
        <w:t xml:space="preserve">to be </w:t>
      </w:r>
      <w:r w:rsidRPr="001557B4">
        <w:rPr>
          <w:rFonts w:cs="Times New Roman"/>
          <w:iCs/>
        </w:rPr>
        <w:t>negative and significant. Increasing the fire danger is very likely in the various regions of the country.</w:t>
      </w:r>
    </w:p>
    <w:p w14:paraId="0D7167C8" w14:textId="77777777" w:rsidR="00F437C7" w:rsidRPr="001557B4" w:rsidRDefault="00F437C7" w:rsidP="00FA5C8F">
      <w:pPr>
        <w:numPr>
          <w:ilvl w:val="0"/>
          <w:numId w:val="8"/>
        </w:numPr>
        <w:rPr>
          <w:rFonts w:cs="Times New Roman"/>
          <w:iCs/>
        </w:rPr>
      </w:pPr>
      <w:r w:rsidRPr="001557B4">
        <w:rPr>
          <w:rFonts w:cs="Times New Roman"/>
          <w:iCs/>
        </w:rPr>
        <w:t>Human health</w:t>
      </w:r>
      <w:r w:rsidR="00B60BB9">
        <w:rPr>
          <w:rFonts w:cs="Times New Roman"/>
          <w:iCs/>
        </w:rPr>
        <w:t xml:space="preserve"> </w:t>
      </w:r>
      <w:r w:rsidR="0041197D">
        <w:rPr>
          <w:rFonts w:cs="Times New Roman"/>
          <w:iCs/>
        </w:rPr>
        <w:t>–</w:t>
      </w:r>
      <w:r w:rsidR="00B60BB9">
        <w:rPr>
          <w:rFonts w:cs="Times New Roman"/>
          <w:iCs/>
        </w:rPr>
        <w:t xml:space="preserve"> </w:t>
      </w:r>
      <w:r w:rsidR="00FA5C8F">
        <w:rPr>
          <w:rFonts w:cs="Times New Roman"/>
          <w:iCs/>
        </w:rPr>
        <w:t>The report expects that human health will be affected through changes in vector ecology, as well as i</w:t>
      </w:r>
      <w:r w:rsidRPr="001557B4">
        <w:rPr>
          <w:rFonts w:cs="Times New Roman"/>
          <w:iCs/>
        </w:rPr>
        <w:t>mpacts of extremes of temperature (cold season and heat waves)</w:t>
      </w:r>
      <w:r w:rsidR="00B60BB9">
        <w:rPr>
          <w:rFonts w:cs="Times New Roman"/>
          <w:iCs/>
        </w:rPr>
        <w:t xml:space="preserve">. </w:t>
      </w:r>
    </w:p>
    <w:p w14:paraId="52A725F8" w14:textId="77777777" w:rsidR="006D34AB" w:rsidRDefault="006D34AB" w:rsidP="00351D3C">
      <w:pPr>
        <w:rPr>
          <w:rFonts w:cs="Times New Roman"/>
          <w:iCs/>
        </w:rPr>
      </w:pPr>
    </w:p>
    <w:p w14:paraId="3B6B9FA4" w14:textId="7FD66BD3" w:rsidR="00E7698A" w:rsidRDefault="000B15D2" w:rsidP="00B76BDA">
      <w:pPr>
        <w:pStyle w:val="ListParagraph"/>
        <w:numPr>
          <w:ilvl w:val="0"/>
          <w:numId w:val="68"/>
        </w:numPr>
        <w:tabs>
          <w:tab w:val="left" w:pos="360"/>
        </w:tabs>
        <w:spacing w:line="23" w:lineRule="atLeast"/>
        <w:ind w:left="0" w:firstLine="0"/>
      </w:pPr>
      <w:r>
        <w:rPr>
          <w:rFonts w:cs="Times New Roman"/>
          <w:iCs/>
        </w:rPr>
        <w:t xml:space="preserve">Ukraine’s NDS refers to Ukraine’s </w:t>
      </w:r>
      <w:r w:rsidRPr="000B15D2">
        <w:rPr>
          <w:rFonts w:cs="Times New Roman"/>
          <w:iCs/>
        </w:rPr>
        <w:t>international obligations under the Kyoto Protocol to the UN Climate Change Framework Convention</w:t>
      </w:r>
      <w:r>
        <w:rPr>
          <w:rFonts w:cs="Times New Roman"/>
          <w:iCs/>
        </w:rPr>
        <w:t>, and as part of the second target (</w:t>
      </w:r>
      <w:r w:rsidRPr="000B15D2">
        <w:rPr>
          <w:rFonts w:cs="Times New Roman"/>
          <w:iCs/>
        </w:rPr>
        <w:t>Target 2. Improvement of ecological situation and increase of level of ecological safety</w:t>
      </w:r>
      <w:r>
        <w:rPr>
          <w:rFonts w:cs="Times New Roman"/>
          <w:iCs/>
        </w:rPr>
        <w:t xml:space="preserve">), calls for optimization of mix of sources of </w:t>
      </w:r>
      <w:r>
        <w:rPr>
          <w:rFonts w:cs="Times New Roman"/>
          <w:iCs/>
        </w:rPr>
        <w:lastRenderedPageBreak/>
        <w:t xml:space="preserve">energy. It also put as a target to elaborate a national policy and action plan for adaptation to climate change. </w:t>
      </w:r>
      <w:r w:rsidR="006D34AB" w:rsidRPr="001557B4">
        <w:rPr>
          <w:rFonts w:cs="Times New Roman"/>
          <w:iCs/>
        </w:rPr>
        <w:t xml:space="preserve">In preparation for the Paris COP 21, Ukraine prepared its Intended Nationally-Determined Contribution to a New Global Climate Agreement (INDC).  In its INDC, </w:t>
      </w:r>
      <w:r w:rsidR="006D34AB" w:rsidRPr="002578F7">
        <w:t xml:space="preserve">Ukraine </w:t>
      </w:r>
      <w:r w:rsidR="006D34AB" w:rsidRPr="00351D3C">
        <w:t>is committed to not exceed 60% of 1990 GHG emissions level in 2030</w:t>
      </w:r>
      <w:r w:rsidR="006D34AB" w:rsidRPr="0059336D">
        <w:t xml:space="preserve">. </w:t>
      </w:r>
      <w:r w:rsidR="00E7698A">
        <w:t xml:space="preserve">Ukraine </w:t>
      </w:r>
      <w:r w:rsidR="00A52B06">
        <w:t xml:space="preserve">also declared its </w:t>
      </w:r>
      <w:r w:rsidR="00E7698A">
        <w:t xml:space="preserve">support </w:t>
      </w:r>
      <w:r w:rsidR="00A52B06">
        <w:t xml:space="preserve">for </w:t>
      </w:r>
      <w:r w:rsidR="00E7698A">
        <w:t>national adaptation processes in the context of the international commitments</w:t>
      </w:r>
      <w:r w:rsidR="00A52B06">
        <w:t xml:space="preserve"> and has accorded identical priorities to both the mitigation and adaptation activities. </w:t>
      </w:r>
      <w:r w:rsidR="00E7698A">
        <w:t>The INDC outline</w:t>
      </w:r>
      <w:r w:rsidR="00A52B06">
        <w:t>d</w:t>
      </w:r>
      <w:r w:rsidR="00E7698A">
        <w:t xml:space="preserve"> the following </w:t>
      </w:r>
      <w:r w:rsidR="00A52B06">
        <w:t xml:space="preserve">next </w:t>
      </w:r>
      <w:r w:rsidR="00E7698A">
        <w:t>steps</w:t>
      </w:r>
      <w:r w:rsidR="00A52B06">
        <w:t xml:space="preserve"> for implementation</w:t>
      </w:r>
      <w:r w:rsidR="00E7698A">
        <w:t>:</w:t>
      </w:r>
    </w:p>
    <w:p w14:paraId="562B5434" w14:textId="1EE279E5" w:rsidR="00E7698A" w:rsidRPr="001546C8" w:rsidRDefault="00E7698A" w:rsidP="001546C8">
      <w:pPr>
        <w:numPr>
          <w:ilvl w:val="0"/>
          <w:numId w:val="8"/>
        </w:numPr>
        <w:rPr>
          <w:rFonts w:cs="Times New Roman"/>
          <w:iCs/>
        </w:rPr>
      </w:pPr>
      <w:r w:rsidRPr="001546C8">
        <w:rPr>
          <w:rFonts w:cs="Times New Roman"/>
          <w:iCs/>
        </w:rPr>
        <w:t xml:space="preserve">Adoption of relevant legislative acts for the INDC implementation. </w:t>
      </w:r>
    </w:p>
    <w:p w14:paraId="71686B6A" w14:textId="2A060075" w:rsidR="006D34AB" w:rsidRPr="001546C8" w:rsidRDefault="00E7698A" w:rsidP="001546C8">
      <w:pPr>
        <w:numPr>
          <w:ilvl w:val="0"/>
          <w:numId w:val="8"/>
        </w:numPr>
        <w:rPr>
          <w:rFonts w:cs="Times New Roman"/>
          <w:iCs/>
        </w:rPr>
      </w:pPr>
      <w:r w:rsidRPr="001546C8">
        <w:rPr>
          <w:rFonts w:cs="Times New Roman"/>
          <w:iCs/>
        </w:rPr>
        <w:t>Implementation of the Association Agreement between the European Union, the European Atomic Energy Community and their Member States, of the one part, and Ukraine, of the other part, ratified by the Law of Ukraine dated 16.09.2014 № 1678 – VІІ.</w:t>
      </w:r>
    </w:p>
    <w:p w14:paraId="06CC5A24" w14:textId="60328C02" w:rsidR="00E7698A" w:rsidRPr="001546C8" w:rsidRDefault="00E7698A" w:rsidP="001546C8">
      <w:pPr>
        <w:numPr>
          <w:ilvl w:val="0"/>
          <w:numId w:val="8"/>
        </w:numPr>
        <w:rPr>
          <w:rFonts w:cs="Times New Roman"/>
          <w:iCs/>
        </w:rPr>
      </w:pPr>
      <w:r w:rsidRPr="001546C8">
        <w:rPr>
          <w:rFonts w:cs="Times New Roman"/>
          <w:iCs/>
        </w:rPr>
        <w:t>Development and implementation of measures aimed at increasing absorption of greenhouse gases.</w:t>
      </w:r>
    </w:p>
    <w:p w14:paraId="4DEDB6EC" w14:textId="77777777" w:rsidR="00180897" w:rsidRDefault="00180897" w:rsidP="0059336D"/>
    <w:p w14:paraId="338F477D" w14:textId="77777777" w:rsidR="00180897" w:rsidRPr="00351D3C" w:rsidRDefault="00180897" w:rsidP="0059336D">
      <w:pPr>
        <w:rPr>
          <w:rFonts w:cs="Times New Roman"/>
          <w:iCs/>
        </w:rPr>
      </w:pPr>
    </w:p>
    <w:p w14:paraId="1AB65264" w14:textId="77777777" w:rsidR="00422690" w:rsidRDefault="00422690">
      <w:pPr>
        <w:spacing w:after="200" w:line="276" w:lineRule="auto"/>
        <w:jc w:val="left"/>
      </w:pPr>
      <w:bookmarkStart w:id="57" w:name="_Toc403738253"/>
      <w:bookmarkEnd w:id="21"/>
    </w:p>
    <w:p w14:paraId="5F8380D8" w14:textId="77777777" w:rsidR="000B7923" w:rsidRPr="002B1DFC" w:rsidRDefault="000B7923">
      <w:pPr>
        <w:spacing w:after="200" w:line="276" w:lineRule="auto"/>
        <w:jc w:val="left"/>
        <w:rPr>
          <w:rFonts w:eastAsia="Times New Roman" w:cs="Times New Roman"/>
          <w:b/>
          <w:bCs/>
          <w:smallCaps/>
          <w:color w:val="365F91"/>
          <w:sz w:val="28"/>
          <w:szCs w:val="28"/>
        </w:rPr>
      </w:pPr>
      <w:r w:rsidRPr="002B1DFC">
        <w:br w:type="page"/>
      </w:r>
    </w:p>
    <w:p w14:paraId="1DEC2AF0" w14:textId="40335ADE" w:rsidR="001D3BC4" w:rsidRDefault="001D3BC4">
      <w:pPr>
        <w:jc w:val="left"/>
        <w:rPr>
          <w:rFonts w:cs="Times New Roman"/>
          <w:b/>
          <w:bCs/>
          <w:smallCaps/>
          <w:color w:val="365F91"/>
          <w:sz w:val="28"/>
          <w:szCs w:val="28"/>
        </w:rPr>
      </w:pPr>
    </w:p>
    <w:p w14:paraId="5227EC14" w14:textId="77777777" w:rsidR="00991FA8" w:rsidRDefault="00991FA8">
      <w:pPr>
        <w:jc w:val="left"/>
        <w:rPr>
          <w:rFonts w:cs="Times New Roman"/>
          <w:b/>
          <w:bCs/>
          <w:smallCaps/>
          <w:color w:val="365F91"/>
          <w:sz w:val="28"/>
          <w:szCs w:val="28"/>
        </w:rPr>
      </w:pPr>
      <w:r>
        <w:br w:type="page"/>
      </w:r>
    </w:p>
    <w:p w14:paraId="52F2D95A" w14:textId="14350C5C" w:rsidR="000B7923" w:rsidRPr="002B1DFC" w:rsidRDefault="000B7923" w:rsidP="001B3C85">
      <w:pPr>
        <w:pStyle w:val="Heading1"/>
        <w:tabs>
          <w:tab w:val="clear" w:pos="720"/>
          <w:tab w:val="left" w:pos="540"/>
        </w:tabs>
        <w:spacing w:before="0"/>
      </w:pPr>
      <w:bookmarkStart w:id="58" w:name="_Toc440273954"/>
      <w:r w:rsidRPr="002B1DFC">
        <w:lastRenderedPageBreak/>
        <w:t>Policy, Legal and Regulatory Environmental Management Framework</w:t>
      </w:r>
      <w:bookmarkEnd w:id="57"/>
      <w:bookmarkEnd w:id="58"/>
      <w:r w:rsidRPr="002B1DFC">
        <w:t xml:space="preserve"> </w:t>
      </w:r>
    </w:p>
    <w:p w14:paraId="49892757" w14:textId="77777777" w:rsidR="000B7923" w:rsidRPr="002B1DFC" w:rsidRDefault="000B7923" w:rsidP="005774DB">
      <w:pPr>
        <w:pStyle w:val="Heading2"/>
      </w:pPr>
      <w:bookmarkStart w:id="59" w:name="_Toc440273955"/>
      <w:bookmarkStart w:id="60" w:name="_Toc403738254"/>
      <w:r w:rsidRPr="002B1DFC">
        <w:t>Broader Issues Affecting Environmental Management</w:t>
      </w:r>
      <w:bookmarkEnd w:id="59"/>
    </w:p>
    <w:p w14:paraId="2DB6FFAF" w14:textId="77777777" w:rsidR="000B7923" w:rsidRPr="002B1DFC" w:rsidRDefault="000B7923" w:rsidP="005774DB"/>
    <w:p w14:paraId="607BB690" w14:textId="74EF2561" w:rsidR="000B7923" w:rsidRPr="002B1DFC" w:rsidRDefault="000B7923" w:rsidP="00772403">
      <w:pPr>
        <w:pStyle w:val="ListParagraph"/>
        <w:numPr>
          <w:ilvl w:val="0"/>
          <w:numId w:val="68"/>
        </w:numPr>
        <w:tabs>
          <w:tab w:val="left" w:pos="360"/>
        </w:tabs>
        <w:spacing w:line="23" w:lineRule="atLeast"/>
        <w:ind w:left="0" w:firstLine="0"/>
      </w:pPr>
      <w:r w:rsidRPr="002B1DFC">
        <w:t xml:space="preserve">The system of environmental protection inevitably depends on the overall system of public governance </w:t>
      </w:r>
      <w:r w:rsidRPr="00772403">
        <w:rPr>
          <w:rFonts w:cs="Times New Roman"/>
          <w:iCs/>
        </w:rPr>
        <w:t>existing</w:t>
      </w:r>
      <w:r w:rsidRPr="002B1DFC">
        <w:t xml:space="preserve"> (and the one that </w:t>
      </w:r>
      <w:r w:rsidRPr="002B1DFC">
        <w:rPr>
          <w:i/>
        </w:rPr>
        <w:t>has existed</w:t>
      </w:r>
      <w:r w:rsidRPr="002B1DFC">
        <w:t xml:space="preserve">) in the country. </w:t>
      </w:r>
      <w:r w:rsidR="00690A3D">
        <w:t>The present day e</w:t>
      </w:r>
      <w:r w:rsidRPr="002B1DFC">
        <w:t>nvironmental governance system in Ukraine has inherited</w:t>
      </w:r>
      <w:r w:rsidR="00EF0A33">
        <w:t xml:space="preserve"> a certain legacy</w:t>
      </w:r>
      <w:r w:rsidRPr="002B1DFC">
        <w:t xml:space="preserve">, and </w:t>
      </w:r>
      <w:r w:rsidR="00690A3D">
        <w:t>faces a number of</w:t>
      </w:r>
      <w:r w:rsidRPr="002B1DFC">
        <w:t xml:space="preserve"> challenges </w:t>
      </w:r>
      <w:r w:rsidR="00690A3D">
        <w:t>going forward</w:t>
      </w:r>
      <w:r w:rsidRPr="002B1DFC">
        <w:t xml:space="preserve">. </w:t>
      </w:r>
    </w:p>
    <w:p w14:paraId="051791ED" w14:textId="77777777" w:rsidR="000B7923" w:rsidRPr="002B1DFC" w:rsidRDefault="000B7923" w:rsidP="005774DB">
      <w:pPr>
        <w:rPr>
          <w:rFonts w:cs="Times New Roman"/>
        </w:rPr>
      </w:pPr>
    </w:p>
    <w:p w14:paraId="7445DBE1" w14:textId="7C1AE971"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b/>
          <w:bCs/>
        </w:rPr>
        <w:t xml:space="preserve">Ukraine embarked on decentralization reform, which aims to </w:t>
      </w:r>
      <w:r w:rsidR="00F43A5E">
        <w:rPr>
          <w:rFonts w:cs="Times New Roman"/>
          <w:b/>
          <w:bCs/>
        </w:rPr>
        <w:t>empower the local government</w:t>
      </w:r>
      <w:r w:rsidRPr="002B1DFC">
        <w:rPr>
          <w:rFonts w:cs="Times New Roman"/>
          <w:b/>
          <w:bCs/>
        </w:rPr>
        <w:t>.</w:t>
      </w:r>
      <w:r w:rsidRPr="002B1DFC">
        <w:rPr>
          <w:rFonts w:cs="Times New Roman"/>
        </w:rPr>
        <w:t xml:space="preserve">  The </w:t>
      </w:r>
      <w:r w:rsidRPr="00772403">
        <w:rPr>
          <w:rFonts w:cs="Times New Roman"/>
          <w:iCs/>
        </w:rPr>
        <w:t>Government</w:t>
      </w:r>
      <w:r w:rsidRPr="002B1DFC">
        <w:rPr>
          <w:rFonts w:cs="Times New Roman"/>
        </w:rPr>
        <w:t xml:space="preserve"> of Ukraine foresees decentralization in </w:t>
      </w:r>
      <w:r w:rsidR="00B60BB9" w:rsidRPr="002B1DFC">
        <w:rPr>
          <w:rFonts w:cs="Times New Roman"/>
        </w:rPr>
        <w:t>five</w:t>
      </w:r>
      <w:r w:rsidRPr="002B1DFC">
        <w:rPr>
          <w:rFonts w:cs="Times New Roman"/>
        </w:rPr>
        <w:t xml:space="preserve"> steps</w:t>
      </w:r>
      <w:r w:rsidR="001E2BFB">
        <w:rPr>
          <w:rFonts w:cs="Times New Roman"/>
        </w:rPr>
        <w:t xml:space="preserve"> (Government of Ukraine Decentralization Website 2015)</w:t>
      </w:r>
      <w:r w:rsidR="00FF310A">
        <w:rPr>
          <w:rFonts w:cs="Times New Roman"/>
        </w:rPr>
        <w:t>:</w:t>
      </w:r>
    </w:p>
    <w:p w14:paraId="37113C14" w14:textId="3B8EB1E0" w:rsidR="000B7923" w:rsidRPr="002B1DFC" w:rsidRDefault="000B7923" w:rsidP="00F43A5E">
      <w:pPr>
        <w:pStyle w:val="ListParagraph"/>
        <w:numPr>
          <w:ilvl w:val="0"/>
          <w:numId w:val="17"/>
        </w:numPr>
        <w:rPr>
          <w:rFonts w:cs="Times New Roman"/>
        </w:rPr>
      </w:pPr>
      <w:r w:rsidRPr="002B1DFC">
        <w:rPr>
          <w:rFonts w:cs="Times New Roman"/>
        </w:rPr>
        <w:t>Defin</w:t>
      </w:r>
      <w:r w:rsidR="00F43A5E">
        <w:rPr>
          <w:rFonts w:cs="Times New Roman"/>
        </w:rPr>
        <w:t>e</w:t>
      </w:r>
      <w:r w:rsidRPr="002B1DFC">
        <w:rPr>
          <w:rFonts w:cs="Times New Roman"/>
        </w:rPr>
        <w:t xml:space="preserve"> the territorial boundaries of the local </w:t>
      </w:r>
      <w:r w:rsidR="00F43A5E">
        <w:rPr>
          <w:rFonts w:cs="Times New Roman"/>
        </w:rPr>
        <w:t xml:space="preserve">government </w:t>
      </w:r>
      <w:r w:rsidRPr="002B1DFC">
        <w:rPr>
          <w:rFonts w:cs="Times New Roman"/>
        </w:rPr>
        <w:t>bodies and executive power</w:t>
      </w:r>
      <w:r w:rsidR="00B60BB9">
        <w:rPr>
          <w:rFonts w:cs="Times New Roman"/>
        </w:rPr>
        <w:t xml:space="preserve">. This step </w:t>
      </w:r>
      <w:r w:rsidRPr="002B1DFC">
        <w:rPr>
          <w:rFonts w:cs="Times New Roman"/>
        </w:rPr>
        <w:t>envisions the establishment a three-tiered system of administrative and territorial structure: 27 regions, 120</w:t>
      </w:r>
      <w:r w:rsidR="0041197D">
        <w:rPr>
          <w:rFonts w:cs="Times New Roman"/>
        </w:rPr>
        <w:t>–</w:t>
      </w:r>
      <w:r w:rsidRPr="002B1DFC">
        <w:rPr>
          <w:rFonts w:cs="Times New Roman"/>
        </w:rPr>
        <w:t xml:space="preserve">150 </w:t>
      </w:r>
      <w:r w:rsidR="00F43A5E">
        <w:rPr>
          <w:rFonts w:cs="Times New Roman"/>
        </w:rPr>
        <w:t>districts</w:t>
      </w:r>
      <w:r w:rsidRPr="002B1DFC">
        <w:rPr>
          <w:rFonts w:cs="Times New Roman"/>
        </w:rPr>
        <w:t xml:space="preserve"> (</w:t>
      </w:r>
      <w:proofErr w:type="spellStart"/>
      <w:r w:rsidRPr="002B1DFC">
        <w:rPr>
          <w:rFonts w:cs="Times New Roman"/>
        </w:rPr>
        <w:t>rayons</w:t>
      </w:r>
      <w:proofErr w:type="spellEnd"/>
      <w:r w:rsidRPr="002B1DFC">
        <w:rPr>
          <w:rFonts w:cs="Times New Roman"/>
        </w:rPr>
        <w:t>), and 1</w:t>
      </w:r>
      <w:r w:rsidR="00B60BB9">
        <w:rPr>
          <w:rFonts w:cs="Times New Roman"/>
        </w:rPr>
        <w:t>,</w:t>
      </w:r>
      <w:r w:rsidRPr="002B1DFC">
        <w:rPr>
          <w:rFonts w:cs="Times New Roman"/>
        </w:rPr>
        <w:t>500</w:t>
      </w:r>
      <w:r w:rsidR="0041197D">
        <w:rPr>
          <w:rFonts w:cs="Times New Roman"/>
        </w:rPr>
        <w:t>–</w:t>
      </w:r>
      <w:r w:rsidRPr="002B1DFC">
        <w:rPr>
          <w:rFonts w:cs="Times New Roman"/>
        </w:rPr>
        <w:t>1</w:t>
      </w:r>
      <w:r w:rsidR="00B60BB9">
        <w:rPr>
          <w:rFonts w:cs="Times New Roman"/>
        </w:rPr>
        <w:t>,</w:t>
      </w:r>
      <w:r w:rsidRPr="002B1DFC">
        <w:rPr>
          <w:rFonts w:cs="Times New Roman"/>
        </w:rPr>
        <w:t>800 communities</w:t>
      </w:r>
      <w:r w:rsidR="00A461E4">
        <w:rPr>
          <w:rFonts w:cs="Times New Roman"/>
        </w:rPr>
        <w:t xml:space="preserve"> (</w:t>
      </w:r>
      <w:proofErr w:type="spellStart"/>
      <w:r w:rsidR="00A461E4">
        <w:rPr>
          <w:rFonts w:cs="Times New Roman"/>
        </w:rPr>
        <w:t>hromady</w:t>
      </w:r>
      <w:proofErr w:type="spellEnd"/>
      <w:r w:rsidR="00A461E4">
        <w:rPr>
          <w:rFonts w:cs="Times New Roman"/>
        </w:rPr>
        <w:t>)</w:t>
      </w:r>
      <w:r w:rsidRPr="002B1DFC">
        <w:rPr>
          <w:rFonts w:cs="Times New Roman"/>
        </w:rPr>
        <w:t xml:space="preserve">. </w:t>
      </w:r>
    </w:p>
    <w:p w14:paraId="2B3A9020" w14:textId="7D7A39A1" w:rsidR="000B7923" w:rsidRPr="002B1DFC" w:rsidRDefault="000B7923">
      <w:pPr>
        <w:pStyle w:val="ListParagraph"/>
        <w:numPr>
          <w:ilvl w:val="0"/>
          <w:numId w:val="17"/>
        </w:numPr>
        <w:rPr>
          <w:rFonts w:cs="Times New Roman"/>
        </w:rPr>
      </w:pPr>
      <w:r w:rsidRPr="002B1DFC">
        <w:rPr>
          <w:rFonts w:cs="Times New Roman"/>
        </w:rPr>
        <w:t>Allocat</w:t>
      </w:r>
      <w:r w:rsidR="00F43A5E">
        <w:rPr>
          <w:rFonts w:cs="Times New Roman"/>
        </w:rPr>
        <w:t>e</w:t>
      </w:r>
      <w:r w:rsidRPr="002B1DFC">
        <w:rPr>
          <w:rFonts w:cs="Times New Roman"/>
        </w:rPr>
        <w:t xml:space="preserve"> responsibilities between the different levels of local </w:t>
      </w:r>
      <w:r w:rsidR="00F43A5E">
        <w:rPr>
          <w:rFonts w:cs="Times New Roman"/>
        </w:rPr>
        <w:t>government</w:t>
      </w:r>
      <w:r w:rsidR="00B60BB9">
        <w:rPr>
          <w:rFonts w:cs="Times New Roman"/>
        </w:rPr>
        <w:t xml:space="preserve">. The preservation of </w:t>
      </w:r>
      <w:r w:rsidRPr="002B1DFC">
        <w:rPr>
          <w:rFonts w:cs="Times New Roman"/>
        </w:rPr>
        <w:t xml:space="preserve">natural resources </w:t>
      </w:r>
      <w:r w:rsidR="008A1853">
        <w:rPr>
          <w:rFonts w:cs="Times New Roman"/>
        </w:rPr>
        <w:t xml:space="preserve">is expected to lie </w:t>
      </w:r>
      <w:r w:rsidRPr="002B1DFC">
        <w:rPr>
          <w:rFonts w:cs="Times New Roman"/>
        </w:rPr>
        <w:t>within the purview of the region</w:t>
      </w:r>
      <w:r w:rsidR="00A461E4">
        <w:rPr>
          <w:rFonts w:cs="Times New Roman"/>
        </w:rPr>
        <w:t>al government</w:t>
      </w:r>
      <w:r w:rsidR="008A1853">
        <w:rPr>
          <w:rFonts w:cs="Times New Roman"/>
        </w:rPr>
        <w:t>.</w:t>
      </w:r>
      <w:r w:rsidRPr="002B1DFC">
        <w:rPr>
          <w:rFonts w:cs="Times New Roman"/>
        </w:rPr>
        <w:t xml:space="preserve"> </w:t>
      </w:r>
      <w:r w:rsidR="008A1853">
        <w:rPr>
          <w:rFonts w:cs="Times New Roman"/>
        </w:rPr>
        <w:t xml:space="preserve">There is </w:t>
      </w:r>
      <w:r w:rsidR="00A461E4">
        <w:rPr>
          <w:rFonts w:cs="Times New Roman"/>
        </w:rPr>
        <w:t xml:space="preserve">no information of </w:t>
      </w:r>
      <w:r w:rsidR="008A1853">
        <w:rPr>
          <w:rFonts w:cs="Times New Roman"/>
        </w:rPr>
        <w:t xml:space="preserve">what </w:t>
      </w:r>
      <w:r w:rsidR="00A461E4">
        <w:rPr>
          <w:rFonts w:cs="Times New Roman"/>
        </w:rPr>
        <w:t xml:space="preserve">environmental responsibilities </w:t>
      </w:r>
      <w:r w:rsidR="008A1853">
        <w:rPr>
          <w:rFonts w:cs="Times New Roman"/>
        </w:rPr>
        <w:t xml:space="preserve">(if any) will be within the purview of the </w:t>
      </w:r>
      <w:r w:rsidR="00A461E4">
        <w:rPr>
          <w:rFonts w:cs="Times New Roman"/>
        </w:rPr>
        <w:t>district (rayon) and community (</w:t>
      </w:r>
      <w:proofErr w:type="spellStart"/>
      <w:r w:rsidR="00A461E4">
        <w:rPr>
          <w:rFonts w:cs="Times New Roman"/>
        </w:rPr>
        <w:t>hromada</w:t>
      </w:r>
      <w:proofErr w:type="spellEnd"/>
      <w:r w:rsidR="00A461E4">
        <w:rPr>
          <w:rFonts w:cs="Times New Roman"/>
        </w:rPr>
        <w:t>) l</w:t>
      </w:r>
      <w:r w:rsidR="008A1853">
        <w:rPr>
          <w:rFonts w:cs="Times New Roman"/>
        </w:rPr>
        <w:t>evels of local governments</w:t>
      </w:r>
      <w:r w:rsidR="00A461E4">
        <w:rPr>
          <w:rFonts w:cs="Times New Roman"/>
        </w:rPr>
        <w:t>.</w:t>
      </w:r>
    </w:p>
    <w:p w14:paraId="00B7F2B2" w14:textId="62F073A2" w:rsidR="000B7923" w:rsidRPr="002B1DFC" w:rsidRDefault="000B7923">
      <w:pPr>
        <w:pStyle w:val="ListParagraph"/>
        <w:numPr>
          <w:ilvl w:val="0"/>
          <w:numId w:val="17"/>
        </w:numPr>
        <w:rPr>
          <w:rFonts w:cs="Times New Roman"/>
        </w:rPr>
      </w:pPr>
      <w:r w:rsidRPr="002B1DFC">
        <w:rPr>
          <w:rFonts w:cs="Times New Roman"/>
        </w:rPr>
        <w:t>Allocat</w:t>
      </w:r>
      <w:r w:rsidR="00F43A5E">
        <w:rPr>
          <w:rFonts w:cs="Times New Roman"/>
        </w:rPr>
        <w:t>e</w:t>
      </w:r>
      <w:r w:rsidRPr="002B1DFC">
        <w:rPr>
          <w:rFonts w:cs="Times New Roman"/>
        </w:rPr>
        <w:t xml:space="preserve"> responsibilities between the local </w:t>
      </w:r>
      <w:r w:rsidR="00F43A5E">
        <w:rPr>
          <w:rFonts w:cs="Times New Roman"/>
        </w:rPr>
        <w:t>government</w:t>
      </w:r>
      <w:r w:rsidRPr="002B1DFC">
        <w:rPr>
          <w:rFonts w:cs="Times New Roman"/>
        </w:rPr>
        <w:t xml:space="preserve"> and </w:t>
      </w:r>
      <w:r w:rsidR="00A52B06">
        <w:rPr>
          <w:rFonts w:cs="Times New Roman"/>
        </w:rPr>
        <w:t>central</w:t>
      </w:r>
      <w:r w:rsidRPr="002B1DFC">
        <w:rPr>
          <w:rFonts w:cs="Times New Roman"/>
        </w:rPr>
        <w:t xml:space="preserve"> authorities. </w:t>
      </w:r>
    </w:p>
    <w:p w14:paraId="2BE64CB0" w14:textId="3D90EC56" w:rsidR="000B7923" w:rsidRPr="002B1DFC" w:rsidRDefault="00F43A5E" w:rsidP="00F43A5E">
      <w:pPr>
        <w:pStyle w:val="ListParagraph"/>
        <w:numPr>
          <w:ilvl w:val="0"/>
          <w:numId w:val="17"/>
        </w:numPr>
        <w:rPr>
          <w:rFonts w:cs="Times New Roman"/>
        </w:rPr>
      </w:pPr>
      <w:r w:rsidRPr="002B1DFC">
        <w:rPr>
          <w:rFonts w:cs="Times New Roman"/>
        </w:rPr>
        <w:t>Determin</w:t>
      </w:r>
      <w:r>
        <w:rPr>
          <w:rFonts w:cs="Times New Roman"/>
        </w:rPr>
        <w:t>e</w:t>
      </w:r>
      <w:r w:rsidRPr="002B1DFC">
        <w:rPr>
          <w:rFonts w:cs="Times New Roman"/>
        </w:rPr>
        <w:t xml:space="preserve"> </w:t>
      </w:r>
      <w:r w:rsidR="000B7923" w:rsidRPr="002B1DFC">
        <w:rPr>
          <w:rFonts w:cs="Times New Roman"/>
        </w:rPr>
        <w:t xml:space="preserve">the required resources at each level. </w:t>
      </w:r>
    </w:p>
    <w:p w14:paraId="3D18D45B" w14:textId="4E6276B4" w:rsidR="000B7923" w:rsidRPr="002B1DFC" w:rsidRDefault="00F43A5E" w:rsidP="00F43A5E">
      <w:pPr>
        <w:pStyle w:val="ListParagraph"/>
        <w:numPr>
          <w:ilvl w:val="0"/>
          <w:numId w:val="17"/>
        </w:numPr>
        <w:rPr>
          <w:rFonts w:cs="Times New Roman"/>
        </w:rPr>
      </w:pPr>
      <w:r w:rsidRPr="002B1DFC">
        <w:rPr>
          <w:rFonts w:cs="Times New Roman"/>
        </w:rPr>
        <w:t>Ensur</w:t>
      </w:r>
      <w:r>
        <w:rPr>
          <w:rFonts w:cs="Times New Roman"/>
        </w:rPr>
        <w:t>e</w:t>
      </w:r>
      <w:r w:rsidRPr="002B1DFC">
        <w:rPr>
          <w:rFonts w:cs="Times New Roman"/>
        </w:rPr>
        <w:t xml:space="preserve"> </w:t>
      </w:r>
      <w:r w:rsidR="000B7923" w:rsidRPr="002B1DFC">
        <w:rPr>
          <w:rFonts w:cs="Times New Roman"/>
        </w:rPr>
        <w:t xml:space="preserve">accountability of local </w:t>
      </w:r>
      <w:r>
        <w:rPr>
          <w:rFonts w:cs="Times New Roman"/>
        </w:rPr>
        <w:t>government</w:t>
      </w:r>
      <w:r w:rsidR="000B7923" w:rsidRPr="002B1DFC">
        <w:rPr>
          <w:rFonts w:cs="Times New Roman"/>
        </w:rPr>
        <w:t xml:space="preserve">. </w:t>
      </w:r>
    </w:p>
    <w:p w14:paraId="7C9772EC" w14:textId="77777777" w:rsidR="000B7923" w:rsidRPr="002B1DFC" w:rsidRDefault="000B7923" w:rsidP="005774DB">
      <w:pPr>
        <w:rPr>
          <w:rFonts w:cs="Times New Roman"/>
        </w:rPr>
      </w:pPr>
    </w:p>
    <w:p w14:paraId="5920B162"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b/>
          <w:bCs/>
        </w:rPr>
        <w:t xml:space="preserve">The </w:t>
      </w:r>
      <w:r w:rsidR="00B454F7" w:rsidRPr="002B1DFC">
        <w:rPr>
          <w:rFonts w:cs="Times New Roman"/>
          <w:b/>
          <w:bCs/>
        </w:rPr>
        <w:t>G</w:t>
      </w:r>
      <w:r w:rsidR="00B454F7">
        <w:rPr>
          <w:rFonts w:cs="Times New Roman"/>
          <w:b/>
          <w:bCs/>
        </w:rPr>
        <w:t>overnment of Ukraine</w:t>
      </w:r>
      <w:r w:rsidR="00B454F7" w:rsidRPr="002B1DFC">
        <w:rPr>
          <w:rFonts w:cs="Times New Roman"/>
          <w:b/>
          <w:bCs/>
        </w:rPr>
        <w:t xml:space="preserve"> </w:t>
      </w:r>
      <w:r w:rsidRPr="002B1DFC">
        <w:rPr>
          <w:rFonts w:cs="Times New Roman"/>
          <w:b/>
          <w:bCs/>
        </w:rPr>
        <w:t>has stepped up its decentralization reform following the approval of the reform concept in April 2014.</w:t>
      </w:r>
      <w:r w:rsidRPr="002B1DFC">
        <w:rPr>
          <w:rFonts w:cs="Times New Roman"/>
        </w:rPr>
        <w:t xml:space="preserve"> The proposals on changes to Constitution of Ukraine and draft laws have been formulated and submitted to the parliament for review and approval. The laws on territorial </w:t>
      </w:r>
      <w:r w:rsidRPr="00772403">
        <w:rPr>
          <w:rFonts w:cs="Times New Roman"/>
          <w:iCs/>
        </w:rPr>
        <w:t>communities’</w:t>
      </w:r>
      <w:r w:rsidRPr="002B1DFC">
        <w:rPr>
          <w:rFonts w:cs="Times New Roman"/>
        </w:rPr>
        <w:t xml:space="preserve"> cooperation and state budget, with significant expansion of local budget’ revenues, in line with the reform requirements, were passed in 2014</w:t>
      </w:r>
      <w:r w:rsidR="001B3CAE">
        <w:rPr>
          <w:rFonts w:cs="Times New Roman"/>
        </w:rPr>
        <w:t>,</w:t>
      </w:r>
      <w:r w:rsidRPr="002B1DFC">
        <w:rPr>
          <w:rFonts w:cs="Times New Roman"/>
        </w:rPr>
        <w:t xml:space="preserve"> as well as the State strategy for regional development </w:t>
      </w:r>
      <w:r w:rsidR="001B3CAE">
        <w:rPr>
          <w:rFonts w:cs="Times New Roman"/>
        </w:rPr>
        <w:t>up to</w:t>
      </w:r>
      <w:r w:rsidR="001B3CAE" w:rsidRPr="002B1DFC">
        <w:rPr>
          <w:rFonts w:cs="Times New Roman"/>
        </w:rPr>
        <w:t xml:space="preserve"> </w:t>
      </w:r>
      <w:r w:rsidRPr="002B1DFC">
        <w:rPr>
          <w:rFonts w:cs="Times New Roman"/>
        </w:rPr>
        <w:t>2020. Box 1 summar</w:t>
      </w:r>
      <w:r w:rsidR="003439CA">
        <w:rPr>
          <w:rFonts w:cs="Times New Roman"/>
        </w:rPr>
        <w:t>izes</w:t>
      </w:r>
      <w:r w:rsidRPr="002B1DFC">
        <w:rPr>
          <w:rFonts w:cs="Times New Roman"/>
        </w:rPr>
        <w:t xml:space="preserve"> the key goals of the State Strategy for Regional Development </w:t>
      </w:r>
      <w:r w:rsidR="00BB0F37">
        <w:rPr>
          <w:rFonts w:cs="Times New Roman"/>
        </w:rPr>
        <w:t>up to</w:t>
      </w:r>
      <w:r w:rsidR="003439CA">
        <w:rPr>
          <w:rFonts w:cs="Times New Roman"/>
        </w:rPr>
        <w:t xml:space="preserve"> </w:t>
      </w:r>
      <w:r w:rsidRPr="002B1DFC">
        <w:rPr>
          <w:rFonts w:cs="Times New Roman"/>
        </w:rPr>
        <w:t>2020.</w:t>
      </w:r>
    </w:p>
    <w:p w14:paraId="5641DAEF" w14:textId="77777777" w:rsidR="000B7923" w:rsidRPr="002B1DFC" w:rsidRDefault="000B7923" w:rsidP="005774DB">
      <w:pPr>
        <w:pStyle w:val="Caption"/>
        <w:rPr>
          <w:noProof w:val="0"/>
          <w:lang w:val="en-US"/>
        </w:rPr>
      </w:pPr>
      <w:bookmarkStart w:id="61" w:name="_Toc440274020"/>
      <w:r w:rsidRPr="002B1DFC">
        <w:rPr>
          <w:noProof w:val="0"/>
          <w:lang w:val="en-US"/>
        </w:rPr>
        <w:t xml:space="preserve">Box </w:t>
      </w:r>
      <w:r w:rsidRPr="002B1DFC">
        <w:rPr>
          <w:noProof w:val="0"/>
          <w:lang w:val="en-US"/>
        </w:rPr>
        <w:fldChar w:fldCharType="begin"/>
      </w:r>
      <w:r w:rsidRPr="002B1DFC">
        <w:rPr>
          <w:noProof w:val="0"/>
          <w:lang w:val="en-US"/>
        </w:rPr>
        <w:instrText xml:space="preserve"> SEQ Box \* ARABIC </w:instrText>
      </w:r>
      <w:r w:rsidRPr="002B1DFC">
        <w:rPr>
          <w:noProof w:val="0"/>
          <w:lang w:val="en-US"/>
        </w:rPr>
        <w:fldChar w:fldCharType="separate"/>
      </w:r>
      <w:r w:rsidR="00356D5F">
        <w:rPr>
          <w:lang w:val="en-US"/>
        </w:rPr>
        <w:t>1</w:t>
      </w:r>
      <w:r w:rsidRPr="002B1DFC">
        <w:rPr>
          <w:noProof w:val="0"/>
          <w:lang w:val="en-US"/>
        </w:rPr>
        <w:fldChar w:fldCharType="end"/>
      </w:r>
      <w:r w:rsidRPr="002B1DFC">
        <w:rPr>
          <w:noProof w:val="0"/>
          <w:lang w:val="en-US"/>
        </w:rPr>
        <w:t xml:space="preserve">. Key Goals of the Government Strategy for Regional Development </w:t>
      </w:r>
      <w:r w:rsidR="00BB0F37">
        <w:rPr>
          <w:noProof w:val="0"/>
          <w:lang w:val="en-US"/>
        </w:rPr>
        <w:t>up to</w:t>
      </w:r>
      <w:r w:rsidRPr="002B1DFC">
        <w:rPr>
          <w:noProof w:val="0"/>
          <w:lang w:val="en-US"/>
        </w:rPr>
        <w:t xml:space="preserve"> 2020</w:t>
      </w:r>
      <w:bookmarkEnd w:id="61"/>
      <w:r w:rsidRPr="002B1DFC">
        <w:rPr>
          <w:noProof w:val="0"/>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B7923" w:rsidRPr="002B1DFC" w14:paraId="33420BD5" w14:textId="77777777">
        <w:tc>
          <w:tcPr>
            <w:tcW w:w="9576" w:type="dxa"/>
            <w:tcBorders>
              <w:top w:val="single" w:sz="4" w:space="0" w:color="auto"/>
              <w:left w:val="single" w:sz="4" w:space="0" w:color="auto"/>
              <w:bottom w:val="single" w:sz="4" w:space="0" w:color="auto"/>
              <w:right w:val="single" w:sz="4" w:space="0" w:color="auto"/>
            </w:tcBorders>
          </w:tcPr>
          <w:p w14:paraId="3778F6F7" w14:textId="77777777" w:rsidR="000B7923" w:rsidRPr="002B1DFC" w:rsidRDefault="000B7923" w:rsidP="001B3C85">
            <w:pPr>
              <w:spacing w:before="120" w:after="120"/>
              <w:rPr>
                <w:rFonts w:eastAsia="Times New Roman" w:cs="Times New Roman"/>
              </w:rPr>
            </w:pPr>
            <w:r w:rsidRPr="002B1DFC">
              <w:rPr>
                <w:rFonts w:eastAsia="Times New Roman" w:cs="Times New Roman"/>
              </w:rPr>
              <w:t xml:space="preserve">The Regional Development Strategy </w:t>
            </w:r>
            <w:r w:rsidR="0041197D">
              <w:rPr>
                <w:rFonts w:eastAsia="Times New Roman" w:cs="Times New Roman"/>
              </w:rPr>
              <w:t>–</w:t>
            </w:r>
            <w:r w:rsidRPr="002B1DFC">
              <w:rPr>
                <w:rFonts w:eastAsia="Times New Roman" w:cs="Times New Roman"/>
              </w:rPr>
              <w:t xml:space="preserve"> 2020, identified three key goals: </w:t>
            </w:r>
          </w:p>
          <w:p w14:paraId="36A72A0A" w14:textId="77777777" w:rsidR="000B7923" w:rsidRPr="002B1DFC" w:rsidRDefault="000B7923" w:rsidP="001B3C85">
            <w:pPr>
              <w:pStyle w:val="ListParagraph"/>
              <w:numPr>
                <w:ilvl w:val="0"/>
                <w:numId w:val="15"/>
              </w:numPr>
              <w:spacing w:before="120" w:after="120"/>
              <w:rPr>
                <w:rFonts w:eastAsia="Times New Roman" w:cs="Times New Roman"/>
              </w:rPr>
            </w:pPr>
            <w:r w:rsidRPr="002B1DFC">
              <w:rPr>
                <w:rFonts w:eastAsia="Times New Roman" w:cs="Times New Roman"/>
              </w:rPr>
              <w:t>Enhance regional competitiveness</w:t>
            </w:r>
            <w:r w:rsidR="0041197D">
              <w:rPr>
                <w:rFonts w:eastAsia="Times New Roman" w:cs="Times New Roman"/>
              </w:rPr>
              <w:t>;</w:t>
            </w:r>
          </w:p>
          <w:p w14:paraId="46047FF9" w14:textId="77777777" w:rsidR="000B7923" w:rsidRPr="002B1DFC" w:rsidRDefault="000B7923" w:rsidP="001B3C85">
            <w:pPr>
              <w:pStyle w:val="ListParagraph"/>
              <w:numPr>
                <w:ilvl w:val="0"/>
                <w:numId w:val="15"/>
              </w:numPr>
              <w:spacing w:before="120" w:after="120"/>
              <w:rPr>
                <w:rFonts w:eastAsia="Times New Roman" w:cs="Times New Roman"/>
              </w:rPr>
            </w:pPr>
            <w:r w:rsidRPr="002B1DFC">
              <w:rPr>
                <w:rFonts w:eastAsia="Times New Roman" w:cs="Times New Roman"/>
              </w:rPr>
              <w:t>Territorial socioeconomic integration and spatial development</w:t>
            </w:r>
            <w:r w:rsidR="0041197D">
              <w:rPr>
                <w:rFonts w:eastAsia="Times New Roman" w:cs="Times New Roman"/>
              </w:rPr>
              <w:t>; and</w:t>
            </w:r>
          </w:p>
          <w:p w14:paraId="35AE5218" w14:textId="77777777" w:rsidR="000B7923" w:rsidRPr="002B1DFC" w:rsidRDefault="000B7923" w:rsidP="001B3C85">
            <w:pPr>
              <w:pStyle w:val="ListParagraph"/>
              <w:numPr>
                <w:ilvl w:val="0"/>
                <w:numId w:val="15"/>
              </w:numPr>
              <w:spacing w:before="60" w:after="60"/>
              <w:rPr>
                <w:rFonts w:eastAsia="Times New Roman" w:cs="Times New Roman"/>
              </w:rPr>
            </w:pPr>
            <w:r w:rsidRPr="002B1DFC">
              <w:rPr>
                <w:rFonts w:eastAsia="Times New Roman" w:cs="Times New Roman"/>
              </w:rPr>
              <w:t>Effective governance of regional development, this includes:</w:t>
            </w:r>
          </w:p>
          <w:p w14:paraId="7B902600" w14:textId="77777777" w:rsidR="000B7923" w:rsidRPr="002B1DFC" w:rsidRDefault="000B7923" w:rsidP="001B3C85">
            <w:pPr>
              <w:pStyle w:val="ListParagraph"/>
              <w:numPr>
                <w:ilvl w:val="0"/>
                <w:numId w:val="16"/>
              </w:numPr>
              <w:spacing w:before="60" w:after="60"/>
              <w:rPr>
                <w:rFonts w:eastAsia="Times New Roman" w:cs="Times New Roman"/>
              </w:rPr>
            </w:pPr>
            <w:r w:rsidRPr="002B1DFC">
              <w:rPr>
                <w:rFonts w:eastAsia="Times New Roman" w:cs="Times New Roman"/>
              </w:rPr>
              <w:t>Decentralization reform of local government and administrative-territorial structure</w:t>
            </w:r>
          </w:p>
          <w:p w14:paraId="640ED28C"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t>Introduction of a three-tier system of administrative-territorial structure</w:t>
            </w:r>
          </w:p>
          <w:p w14:paraId="27B02B23"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t xml:space="preserve">Definition of </w:t>
            </w:r>
            <w:r w:rsidR="0041197D">
              <w:rPr>
                <w:rFonts w:eastAsia="Times New Roman" w:cs="Times New Roman"/>
              </w:rPr>
              <w:t xml:space="preserve">a </w:t>
            </w:r>
            <w:r w:rsidRPr="002B1DFC">
              <w:rPr>
                <w:rFonts w:eastAsia="Times New Roman" w:cs="Times New Roman"/>
              </w:rPr>
              <w:t>reasonable territorial basis for the work of local authorities and executive bodies that can ensure the availability and quality of services provided by such authorities</w:t>
            </w:r>
          </w:p>
          <w:p w14:paraId="2C73B53C"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t>Achieving optimal distribution of powers between the local authorities and executive authorities by transferring executive functions of executive bodies of local administrations to the respective level councils.</w:t>
            </w:r>
          </w:p>
          <w:p w14:paraId="6DFC7844" w14:textId="3270B5F4" w:rsidR="000B7923" w:rsidRPr="002B1DFC" w:rsidRDefault="000B7923" w:rsidP="00F43A5E">
            <w:pPr>
              <w:pStyle w:val="ListParagraph"/>
              <w:numPr>
                <w:ilvl w:val="0"/>
                <w:numId w:val="14"/>
              </w:numPr>
              <w:spacing w:before="60" w:after="60"/>
              <w:ind w:left="1080"/>
              <w:rPr>
                <w:rFonts w:eastAsia="Times New Roman" w:cs="Times New Roman"/>
              </w:rPr>
            </w:pPr>
            <w:r w:rsidRPr="002B1DFC">
              <w:rPr>
                <w:rFonts w:eastAsia="Times New Roman" w:cs="Times New Roman"/>
              </w:rPr>
              <w:t xml:space="preserve">Implementation of fiscal decentralization, including through redistribution of national taxes, ensuring autonomy of local budgets guaranteed by the Constitution of Ukraine, securing stable revenue base for each element of </w:t>
            </w:r>
            <w:r w:rsidR="00F43A5E">
              <w:rPr>
                <w:rFonts w:eastAsia="Times New Roman" w:cs="Times New Roman"/>
              </w:rPr>
              <w:t xml:space="preserve">local government </w:t>
            </w:r>
            <w:r w:rsidRPr="002B1DFC">
              <w:rPr>
                <w:rFonts w:eastAsia="Times New Roman" w:cs="Times New Roman"/>
              </w:rPr>
              <w:t>to allow the implementation of their functions and providing fiscal incentives for communities</w:t>
            </w:r>
          </w:p>
          <w:p w14:paraId="099EAEC2"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lastRenderedPageBreak/>
              <w:t>Creation of appropriate material, financial and organizational conditions for strengthening the economic base of local communities</w:t>
            </w:r>
          </w:p>
          <w:p w14:paraId="27A30B3D"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t>Ensuring the availability and quality of public services</w:t>
            </w:r>
          </w:p>
          <w:p w14:paraId="34F2F6EE" w14:textId="77777777" w:rsidR="000B7923" w:rsidRPr="002B1DFC" w:rsidRDefault="000B7923" w:rsidP="001B3C85">
            <w:pPr>
              <w:pStyle w:val="ListParagraph"/>
              <w:numPr>
                <w:ilvl w:val="0"/>
                <w:numId w:val="16"/>
              </w:numPr>
              <w:spacing w:before="60" w:after="60"/>
              <w:rPr>
                <w:rFonts w:eastAsia="Times New Roman" w:cs="Times New Roman"/>
              </w:rPr>
            </w:pPr>
            <w:r w:rsidRPr="002B1DFC">
              <w:rPr>
                <w:rFonts w:eastAsia="Times New Roman" w:cs="Times New Roman"/>
              </w:rPr>
              <w:t>Improving the strategic planning of regional development at national and regional levels</w:t>
            </w:r>
          </w:p>
          <w:p w14:paraId="67F7E525" w14:textId="77777777" w:rsidR="000B7923" w:rsidRPr="002B1DFC" w:rsidRDefault="000B7923" w:rsidP="001B3C85">
            <w:pPr>
              <w:pStyle w:val="ListParagraph"/>
              <w:numPr>
                <w:ilvl w:val="0"/>
                <w:numId w:val="16"/>
              </w:numPr>
              <w:spacing w:before="60" w:after="60"/>
              <w:rPr>
                <w:rFonts w:eastAsia="Times New Roman" w:cs="Times New Roman"/>
              </w:rPr>
            </w:pPr>
            <w:r w:rsidRPr="002B1DFC">
              <w:rPr>
                <w:rFonts w:eastAsia="Times New Roman" w:cs="Times New Roman"/>
              </w:rPr>
              <w:t>Improving the quality of management of regional development</w:t>
            </w:r>
          </w:p>
          <w:p w14:paraId="2C1EB0BB"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t>Improving the efficiency of local administrations, improving relations between local administration and natural and legal persons through the introduction of e-governance</w:t>
            </w:r>
          </w:p>
          <w:p w14:paraId="306ECC2D"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t>Creating an effective system for training and professional development of central and local executive authorities, local governments in the governance of regional development</w:t>
            </w:r>
          </w:p>
          <w:p w14:paraId="259BB6D0"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t>Improving the monitoring of efficiency of budgetary funds, increased responsibility of local authorities for the effective use of resources, aimed at solving social and economic problems of regional development</w:t>
            </w:r>
          </w:p>
          <w:p w14:paraId="61C10295"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t>Enhancing the role of NGOs in shaping the priorities of regional development, implementation and monitoring of the implementation</w:t>
            </w:r>
          </w:p>
          <w:p w14:paraId="448CF0BC" w14:textId="77777777" w:rsidR="000B7923" w:rsidRPr="002B1DFC" w:rsidRDefault="000B7923" w:rsidP="001B3C85">
            <w:pPr>
              <w:pStyle w:val="ListParagraph"/>
              <w:numPr>
                <w:ilvl w:val="0"/>
                <w:numId w:val="16"/>
              </w:numPr>
              <w:spacing w:before="60" w:after="60"/>
              <w:rPr>
                <w:rFonts w:eastAsia="Times New Roman" w:cs="Times New Roman"/>
              </w:rPr>
            </w:pPr>
            <w:r w:rsidRPr="002B1DFC">
              <w:rPr>
                <w:rFonts w:eastAsia="Times New Roman" w:cs="Times New Roman"/>
              </w:rPr>
              <w:t>Strengthening inter-sectoral coordination in the formation and implementation of state regional policy</w:t>
            </w:r>
          </w:p>
          <w:p w14:paraId="6DFC37A2" w14:textId="7DA73571" w:rsidR="000B7923" w:rsidRPr="002B1DFC" w:rsidRDefault="000B7923">
            <w:pPr>
              <w:pStyle w:val="ListParagraph"/>
              <w:numPr>
                <w:ilvl w:val="0"/>
                <w:numId w:val="14"/>
              </w:numPr>
              <w:spacing w:before="60" w:after="60"/>
              <w:ind w:left="1080"/>
              <w:rPr>
                <w:rFonts w:eastAsia="Times New Roman" w:cs="Times New Roman"/>
              </w:rPr>
            </w:pPr>
            <w:r w:rsidRPr="002B1DFC">
              <w:rPr>
                <w:rFonts w:eastAsia="Times New Roman" w:cs="Times New Roman"/>
              </w:rPr>
              <w:t>Reconciliation of objectives, priorities, tasks and activities of central and local executive authorities and local government in solving current problems of regional development and achieving long-term strategic goals</w:t>
            </w:r>
          </w:p>
          <w:p w14:paraId="7FEF2BCC"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t>Developing an electronic system for sharing of information between the central and local authorities</w:t>
            </w:r>
          </w:p>
          <w:p w14:paraId="15702B52" w14:textId="77777777" w:rsidR="000B7923" w:rsidRPr="002B1DFC" w:rsidRDefault="000B7923" w:rsidP="001B3C85">
            <w:pPr>
              <w:pStyle w:val="ListParagraph"/>
              <w:numPr>
                <w:ilvl w:val="0"/>
                <w:numId w:val="14"/>
              </w:numPr>
              <w:spacing w:before="60" w:after="60"/>
              <w:ind w:left="1080"/>
              <w:rPr>
                <w:rFonts w:eastAsia="Times New Roman" w:cs="Times New Roman"/>
              </w:rPr>
            </w:pPr>
            <w:r w:rsidRPr="002B1DFC">
              <w:rPr>
                <w:rFonts w:eastAsia="Times New Roman" w:cs="Times New Roman"/>
              </w:rPr>
              <w:t xml:space="preserve">Harmonization of national and regional long term strategic priorities </w:t>
            </w:r>
          </w:p>
          <w:p w14:paraId="0B3AA629" w14:textId="12BA2F5B" w:rsidR="000B7923" w:rsidRPr="002B1DFC" w:rsidRDefault="000B7923">
            <w:pPr>
              <w:pStyle w:val="ListParagraph"/>
              <w:numPr>
                <w:ilvl w:val="0"/>
                <w:numId w:val="14"/>
              </w:numPr>
              <w:spacing w:before="60" w:after="60"/>
              <w:ind w:left="1080"/>
              <w:rPr>
                <w:rFonts w:eastAsia="Times New Roman" w:cs="Times New Roman"/>
              </w:rPr>
            </w:pPr>
            <w:r w:rsidRPr="002B1DFC">
              <w:rPr>
                <w:rFonts w:eastAsia="Times New Roman" w:cs="Times New Roman"/>
              </w:rPr>
              <w:t>Harmonization of national and regional interests in the development and implementation of state regional policy through: a clear division of responsibilities of central and local executive authorities, local government; transparent and sustainable distribution of tax resources between the state and local budgets; taking into account the local government of national interests in solving local issues; impact assessment policy, which is implemented by the central executive authority in the relevant area, the level of socioeconomic development of regions, separate territories</w:t>
            </w:r>
          </w:p>
          <w:p w14:paraId="64051D4D" w14:textId="77777777" w:rsidR="000B7923" w:rsidRPr="002B1DFC" w:rsidRDefault="000B7923" w:rsidP="001B3C85">
            <w:pPr>
              <w:pStyle w:val="ListParagraph"/>
              <w:numPr>
                <w:ilvl w:val="0"/>
                <w:numId w:val="16"/>
              </w:numPr>
              <w:spacing w:before="60" w:after="60"/>
              <w:rPr>
                <w:rFonts w:eastAsia="Times New Roman" w:cs="Times New Roman"/>
              </w:rPr>
            </w:pPr>
            <w:r w:rsidRPr="002B1DFC">
              <w:rPr>
                <w:rFonts w:eastAsia="Times New Roman" w:cs="Times New Roman"/>
              </w:rPr>
              <w:t>Institutional support for regional development</w:t>
            </w:r>
          </w:p>
        </w:tc>
      </w:tr>
    </w:tbl>
    <w:p w14:paraId="07CCC3B2" w14:textId="77777777" w:rsidR="000B7923" w:rsidRPr="002B1DFC" w:rsidRDefault="000B7923" w:rsidP="005774DB">
      <w:pPr>
        <w:rPr>
          <w:rFonts w:cs="Times New Roman"/>
        </w:rPr>
      </w:pPr>
    </w:p>
    <w:p w14:paraId="557C4AEB"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b/>
          <w:bCs/>
        </w:rPr>
        <w:t>During 2010</w:t>
      </w:r>
      <w:r w:rsidR="0041197D">
        <w:rPr>
          <w:rFonts w:cs="Times New Roman"/>
          <w:b/>
          <w:bCs/>
        </w:rPr>
        <w:t>–</w:t>
      </w:r>
      <w:r w:rsidRPr="002B1DFC">
        <w:rPr>
          <w:rFonts w:cs="Times New Roman"/>
          <w:b/>
          <w:bCs/>
        </w:rPr>
        <w:t>2013</w:t>
      </w:r>
      <w:r w:rsidR="003439CA">
        <w:rPr>
          <w:rFonts w:cs="Times New Roman"/>
          <w:b/>
          <w:bCs/>
        </w:rPr>
        <w:t>,</w:t>
      </w:r>
      <w:r w:rsidRPr="002B1DFC">
        <w:rPr>
          <w:rFonts w:cs="Times New Roman"/>
          <w:b/>
          <w:bCs/>
        </w:rPr>
        <w:t xml:space="preserve"> administrative reforms that focused on decentralization of authority in Ukraine seriously affected institutional capacity and functions of environmental management. </w:t>
      </w:r>
      <w:r w:rsidRPr="002B1DFC">
        <w:rPr>
          <w:rFonts w:cs="Times New Roman"/>
        </w:rPr>
        <w:t xml:space="preserve">The MENR regional departments were </w:t>
      </w:r>
      <w:r w:rsidR="00B454F7">
        <w:rPr>
          <w:rFonts w:cs="Times New Roman"/>
        </w:rPr>
        <w:t>abolished</w:t>
      </w:r>
      <w:r w:rsidR="00B454F7" w:rsidRPr="002B1DFC">
        <w:rPr>
          <w:rFonts w:cs="Times New Roman"/>
        </w:rPr>
        <w:t xml:space="preserve"> </w:t>
      </w:r>
      <w:r w:rsidRPr="002B1DFC">
        <w:rPr>
          <w:rFonts w:cs="Times New Roman"/>
        </w:rPr>
        <w:t xml:space="preserve">and their functions were </w:t>
      </w:r>
      <w:r w:rsidR="00B454F7">
        <w:rPr>
          <w:rFonts w:cs="Times New Roman"/>
        </w:rPr>
        <w:t>transferred</w:t>
      </w:r>
      <w:r w:rsidR="00B454F7" w:rsidRPr="002B1DFC">
        <w:rPr>
          <w:rFonts w:cs="Times New Roman"/>
        </w:rPr>
        <w:t xml:space="preserve"> </w:t>
      </w:r>
      <w:r w:rsidRPr="002B1DFC">
        <w:rPr>
          <w:rFonts w:cs="Times New Roman"/>
        </w:rPr>
        <w:t xml:space="preserve">to the state </w:t>
      </w:r>
      <w:r w:rsidR="007D3BCF">
        <w:rPr>
          <w:rFonts w:cs="Times New Roman"/>
        </w:rPr>
        <w:t xml:space="preserve">oblast </w:t>
      </w:r>
      <w:r w:rsidRPr="002B1DFC">
        <w:rPr>
          <w:rFonts w:cs="Times New Roman"/>
        </w:rPr>
        <w:t xml:space="preserve">/ city administrations. </w:t>
      </w:r>
      <w:r w:rsidR="007D3BCF">
        <w:rPr>
          <w:rFonts w:cs="Times New Roman"/>
        </w:rPr>
        <w:t>This</w:t>
      </w:r>
      <w:r w:rsidRPr="002B1DFC">
        <w:rPr>
          <w:rFonts w:cs="Times New Roman"/>
        </w:rPr>
        <w:t xml:space="preserve"> reform in environmental management lead to loss of environmental information and database</w:t>
      </w:r>
      <w:r w:rsidR="00B454F7">
        <w:rPr>
          <w:rFonts w:cs="Times New Roman"/>
        </w:rPr>
        <w:t>s</w:t>
      </w:r>
      <w:r w:rsidRPr="002B1DFC">
        <w:rPr>
          <w:rFonts w:cs="Times New Roman"/>
        </w:rPr>
        <w:t xml:space="preserve">, loss of experienced personnel and gaps in implementation of environmental policy and legislation. </w:t>
      </w:r>
    </w:p>
    <w:p w14:paraId="1C530F9C" w14:textId="77777777" w:rsidR="000B7923" w:rsidRPr="002B1DFC" w:rsidRDefault="000B7923" w:rsidP="005774DB">
      <w:pPr>
        <w:rPr>
          <w:rFonts w:cs="Times New Roman"/>
        </w:rPr>
      </w:pPr>
    </w:p>
    <w:p w14:paraId="398A9F46" w14:textId="7DD38FCA" w:rsidR="000B7923" w:rsidRPr="00011F41" w:rsidRDefault="000B7923" w:rsidP="00B76BDA">
      <w:pPr>
        <w:pStyle w:val="ListParagraph"/>
        <w:numPr>
          <w:ilvl w:val="0"/>
          <w:numId w:val="68"/>
        </w:numPr>
        <w:tabs>
          <w:tab w:val="left" w:pos="360"/>
        </w:tabs>
        <w:spacing w:line="23" w:lineRule="atLeast"/>
        <w:ind w:left="0" w:firstLine="0"/>
        <w:rPr>
          <w:rFonts w:cs="Times New Roman"/>
        </w:rPr>
      </w:pPr>
      <w:r w:rsidRPr="008A1853">
        <w:rPr>
          <w:rFonts w:cs="Times New Roman"/>
          <w:b/>
          <w:bCs/>
        </w:rPr>
        <w:t xml:space="preserve">However, Ukraine still faces a number of internal challenges in terms of adequacy of policy and legislation and the implementation of necessary </w:t>
      </w:r>
      <w:r w:rsidR="00B454F7" w:rsidRPr="008A1853">
        <w:rPr>
          <w:rFonts w:cs="Times New Roman"/>
          <w:b/>
          <w:bCs/>
        </w:rPr>
        <w:t xml:space="preserve">environmental governance </w:t>
      </w:r>
      <w:r w:rsidRPr="008A1853">
        <w:rPr>
          <w:rFonts w:cs="Times New Roman"/>
          <w:b/>
          <w:bCs/>
        </w:rPr>
        <w:t>changes and reforms.</w:t>
      </w:r>
      <w:r w:rsidRPr="008A1853">
        <w:rPr>
          <w:rFonts w:cs="Times New Roman"/>
        </w:rPr>
        <w:t xml:space="preserve"> </w:t>
      </w:r>
      <w:r w:rsidR="009677E2" w:rsidRPr="00B76BDA">
        <w:rPr>
          <w:rFonts w:cs="Times New Roman"/>
        </w:rPr>
        <w:t>Delays in adoption of</w:t>
      </w:r>
      <w:r w:rsidR="009218E9" w:rsidRPr="00B76BDA">
        <w:rPr>
          <w:rFonts w:cs="Times New Roman"/>
        </w:rPr>
        <w:t xml:space="preserve"> </w:t>
      </w:r>
      <w:r w:rsidRPr="008A1853">
        <w:rPr>
          <w:rFonts w:cs="Times New Roman"/>
        </w:rPr>
        <w:t xml:space="preserve">necessary legal acts </w:t>
      </w:r>
      <w:r w:rsidR="007D3BCF" w:rsidRPr="008A1853">
        <w:rPr>
          <w:rFonts w:cs="Times New Roman"/>
        </w:rPr>
        <w:t xml:space="preserve">and regulations </w:t>
      </w:r>
      <w:r w:rsidRPr="008A1853">
        <w:rPr>
          <w:rFonts w:cs="Times New Roman"/>
        </w:rPr>
        <w:t>in environmental sphere</w:t>
      </w:r>
      <w:r w:rsidR="00011F41" w:rsidRPr="00B76BDA">
        <w:rPr>
          <w:rFonts w:cs="Times New Roman"/>
        </w:rPr>
        <w:t xml:space="preserve"> due to frequent changes in the government and vested interested</w:t>
      </w:r>
      <w:r w:rsidRPr="008A1853">
        <w:rPr>
          <w:rFonts w:cs="Times New Roman"/>
        </w:rPr>
        <w:t xml:space="preserve">, </w:t>
      </w:r>
      <w:r w:rsidR="00011F41" w:rsidRPr="00B76BDA">
        <w:rPr>
          <w:rFonts w:cs="Times New Roman"/>
        </w:rPr>
        <w:t xml:space="preserve">have </w:t>
      </w:r>
      <w:r w:rsidR="00370632" w:rsidRPr="00B76BDA">
        <w:rPr>
          <w:rFonts w:cs="Times New Roman"/>
        </w:rPr>
        <w:t>hinder</w:t>
      </w:r>
      <w:r w:rsidR="00011F41" w:rsidRPr="00B76BDA">
        <w:rPr>
          <w:rFonts w:cs="Times New Roman"/>
        </w:rPr>
        <w:t>ed</w:t>
      </w:r>
      <w:r w:rsidR="00370632" w:rsidRPr="00B76BDA">
        <w:rPr>
          <w:rFonts w:cs="Times New Roman"/>
        </w:rPr>
        <w:t xml:space="preserve"> the </w:t>
      </w:r>
      <w:r w:rsidRPr="008A1853">
        <w:rPr>
          <w:rFonts w:cs="Times New Roman"/>
        </w:rPr>
        <w:t xml:space="preserve">building </w:t>
      </w:r>
      <w:r w:rsidR="00370632" w:rsidRPr="00B76BDA">
        <w:rPr>
          <w:rFonts w:cs="Times New Roman"/>
        </w:rPr>
        <w:t xml:space="preserve">of </w:t>
      </w:r>
      <w:r w:rsidR="0041197D" w:rsidRPr="008A1853">
        <w:rPr>
          <w:rFonts w:cs="Times New Roman"/>
        </w:rPr>
        <w:t xml:space="preserve">an </w:t>
      </w:r>
      <w:r w:rsidRPr="008A1853">
        <w:rPr>
          <w:rFonts w:cs="Times New Roman"/>
        </w:rPr>
        <w:t xml:space="preserve">appropriate institutional framework with clear responsibilities and </w:t>
      </w:r>
      <w:r w:rsidR="00011F41" w:rsidRPr="00B76BDA">
        <w:rPr>
          <w:rFonts w:cs="Times New Roman"/>
        </w:rPr>
        <w:t xml:space="preserve">a wide </w:t>
      </w:r>
      <w:r w:rsidRPr="00011F41">
        <w:rPr>
          <w:rFonts w:cs="Times New Roman"/>
        </w:rPr>
        <w:t xml:space="preserve">stakeholder </w:t>
      </w:r>
      <w:r w:rsidR="00011F41" w:rsidRPr="00B76BDA">
        <w:rPr>
          <w:rFonts w:cs="Times New Roman"/>
        </w:rPr>
        <w:t xml:space="preserve">participation </w:t>
      </w:r>
      <w:r w:rsidRPr="00011F41">
        <w:rPr>
          <w:rFonts w:cs="Times New Roman"/>
        </w:rPr>
        <w:t>in</w:t>
      </w:r>
      <w:r w:rsidR="0041197D" w:rsidRPr="00011F41">
        <w:rPr>
          <w:rFonts w:cs="Times New Roman"/>
        </w:rPr>
        <w:t xml:space="preserve"> the process of making</w:t>
      </w:r>
      <w:r w:rsidRPr="00011F41">
        <w:rPr>
          <w:rFonts w:cs="Times New Roman"/>
        </w:rPr>
        <w:t xml:space="preserve"> policy</w:t>
      </w:r>
      <w:r w:rsidR="0041197D" w:rsidRPr="00011F41">
        <w:rPr>
          <w:rFonts w:cs="Times New Roman"/>
        </w:rPr>
        <w:t xml:space="preserve"> decisions</w:t>
      </w:r>
      <w:r w:rsidR="00A200BE" w:rsidRPr="00B76BDA">
        <w:rPr>
          <w:rFonts w:cs="Times New Roman"/>
        </w:rPr>
        <w:t xml:space="preserve"> (</w:t>
      </w:r>
      <w:proofErr w:type="spellStart"/>
      <w:r w:rsidR="00A200BE" w:rsidRPr="00B76BDA">
        <w:rPr>
          <w:rFonts w:cs="Times New Roman"/>
        </w:rPr>
        <w:t>Melnychuk</w:t>
      </w:r>
      <w:proofErr w:type="spellEnd"/>
      <w:r w:rsidR="00A200BE" w:rsidRPr="00B76BDA">
        <w:rPr>
          <w:rFonts w:cs="Times New Roman"/>
        </w:rPr>
        <w:t xml:space="preserve"> </w:t>
      </w:r>
      <w:r w:rsidR="00A200BE" w:rsidRPr="00B76BDA">
        <w:rPr>
          <w:rFonts w:cs="Times New Roman"/>
          <w:i/>
          <w:iCs/>
        </w:rPr>
        <w:t>et al.</w:t>
      </w:r>
      <w:r w:rsidR="00A200BE" w:rsidRPr="00B76BDA">
        <w:rPr>
          <w:rFonts w:cs="Times New Roman"/>
        </w:rPr>
        <w:t xml:space="preserve"> 2015)</w:t>
      </w:r>
      <w:r w:rsidRPr="00011F41">
        <w:rPr>
          <w:rFonts w:cs="Times New Roman"/>
        </w:rPr>
        <w:t>.</w:t>
      </w:r>
      <w:r w:rsidR="00370632" w:rsidRPr="00011F41">
        <w:rPr>
          <w:rFonts w:cs="Times New Roman"/>
        </w:rPr>
        <w:t xml:space="preserve"> </w:t>
      </w:r>
    </w:p>
    <w:p w14:paraId="160D24D6" w14:textId="77777777" w:rsidR="000B7923" w:rsidRPr="002B1DFC" w:rsidRDefault="000B7923" w:rsidP="005774DB">
      <w:pPr>
        <w:rPr>
          <w:rFonts w:cs="Times New Roman"/>
        </w:rPr>
      </w:pPr>
    </w:p>
    <w:p w14:paraId="114AE882"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b/>
          <w:bCs/>
        </w:rPr>
        <w:lastRenderedPageBreak/>
        <w:t>Ukraine lags behind Europe and Central Asia countries in all of the Worldwide Governance Indicators</w:t>
      </w:r>
      <w:r w:rsidR="0041197D">
        <w:rPr>
          <w:rFonts w:cs="Times New Roman"/>
          <w:b/>
          <w:bCs/>
        </w:rPr>
        <w:t>,</w:t>
      </w:r>
      <w:r w:rsidRPr="002B1DFC">
        <w:rPr>
          <w:rFonts w:cs="Times New Roman"/>
          <w:b/>
          <w:bCs/>
        </w:rPr>
        <w:t xml:space="preserve"> </w:t>
      </w:r>
      <w:r w:rsidRPr="002B1DFC">
        <w:rPr>
          <w:rFonts w:cs="Times New Roman"/>
        </w:rPr>
        <w:t xml:space="preserve">and </w:t>
      </w:r>
      <w:r w:rsidR="0041197D">
        <w:rPr>
          <w:rFonts w:cs="Times New Roman"/>
        </w:rPr>
        <w:t xml:space="preserve">Ukraine lags behind </w:t>
      </w:r>
      <w:r w:rsidRPr="002B1DFC">
        <w:rPr>
          <w:rFonts w:cs="Times New Roman"/>
        </w:rPr>
        <w:t xml:space="preserve">lower </w:t>
      </w:r>
      <w:r w:rsidR="003439CA" w:rsidRPr="002B1DFC">
        <w:rPr>
          <w:rFonts w:cs="Times New Roman"/>
        </w:rPr>
        <w:t>middle-income</w:t>
      </w:r>
      <w:r w:rsidRPr="002B1DFC">
        <w:rPr>
          <w:rFonts w:cs="Times New Roman"/>
        </w:rPr>
        <w:t xml:space="preserve"> countries in Political Stability, Rule of Law</w:t>
      </w:r>
      <w:r w:rsidR="0041197D">
        <w:rPr>
          <w:rFonts w:cs="Times New Roman"/>
        </w:rPr>
        <w:t>,</w:t>
      </w:r>
      <w:r w:rsidRPr="002B1DFC">
        <w:rPr>
          <w:rFonts w:cs="Times New Roman"/>
        </w:rPr>
        <w:t xml:space="preserve"> and Control of Corruption Indicators (see </w:t>
      </w:r>
      <w:r w:rsidR="0041197D">
        <w:rPr>
          <w:rFonts w:cs="Times New Roman"/>
        </w:rPr>
        <w:t>f</w:t>
      </w:r>
      <w:r w:rsidRPr="002B1DFC">
        <w:rPr>
          <w:rFonts w:cs="Times New Roman"/>
        </w:rPr>
        <w:t xml:space="preserve">igure </w:t>
      </w:r>
      <w:r w:rsidR="000D5F54">
        <w:rPr>
          <w:rFonts w:cs="Times New Roman"/>
        </w:rPr>
        <w:t>3</w:t>
      </w:r>
      <w:r w:rsidRPr="002B1DFC">
        <w:rPr>
          <w:rFonts w:cs="Times New Roman"/>
        </w:rPr>
        <w:t xml:space="preserve">). </w:t>
      </w:r>
    </w:p>
    <w:p w14:paraId="01C670A3" w14:textId="77777777" w:rsidR="000B7923" w:rsidRPr="002B1DFC" w:rsidRDefault="000B7923" w:rsidP="005774DB">
      <w:pPr>
        <w:rPr>
          <w:rFonts w:cs="Times New Roman"/>
        </w:rPr>
      </w:pPr>
    </w:p>
    <w:p w14:paraId="34DBD38A" w14:textId="77777777" w:rsidR="000B7923" w:rsidRPr="001B3C85" w:rsidRDefault="000B7923" w:rsidP="00EC5D30">
      <w:pPr>
        <w:pStyle w:val="Caption"/>
        <w:rPr>
          <w:b w:val="0"/>
          <w:noProof w:val="0"/>
          <w:lang w:val="en-US"/>
        </w:rPr>
      </w:pPr>
      <w:bookmarkStart w:id="62" w:name="_Toc440274013"/>
      <w:r w:rsidRPr="002B1DFC">
        <w:rPr>
          <w:noProof w:val="0"/>
          <w:lang w:val="en-US"/>
        </w:rPr>
        <w:t xml:space="preserve">Figure </w:t>
      </w:r>
      <w:r w:rsidRPr="002B1DFC">
        <w:rPr>
          <w:noProof w:val="0"/>
          <w:lang w:val="en-US"/>
        </w:rPr>
        <w:fldChar w:fldCharType="begin"/>
      </w:r>
      <w:r w:rsidRPr="002B1DFC">
        <w:rPr>
          <w:noProof w:val="0"/>
          <w:lang w:val="en-US"/>
        </w:rPr>
        <w:instrText xml:space="preserve"> SEQ Figure \* ARABIC </w:instrText>
      </w:r>
      <w:r w:rsidRPr="002B1DFC">
        <w:rPr>
          <w:noProof w:val="0"/>
          <w:lang w:val="en-US"/>
        </w:rPr>
        <w:fldChar w:fldCharType="separate"/>
      </w:r>
      <w:r w:rsidR="00356D5F">
        <w:rPr>
          <w:lang w:val="en-US"/>
        </w:rPr>
        <w:t>3</w:t>
      </w:r>
      <w:r w:rsidRPr="002B1DFC">
        <w:rPr>
          <w:noProof w:val="0"/>
          <w:lang w:val="en-US"/>
        </w:rPr>
        <w:fldChar w:fldCharType="end"/>
      </w:r>
      <w:r w:rsidRPr="002B1DFC">
        <w:rPr>
          <w:noProof w:val="0"/>
          <w:lang w:val="en-US"/>
        </w:rPr>
        <w:t>. Worldwide Governance Indicators – Ukraine</w:t>
      </w:r>
      <w:bookmarkEnd w:id="62"/>
      <w:r w:rsidR="00FF310A">
        <w:rPr>
          <w:noProof w:val="0"/>
          <w:lang w:val="en-US"/>
        </w:rPr>
        <w:t xml:space="preserve"> </w:t>
      </w:r>
    </w:p>
    <w:p w14:paraId="704F230F" w14:textId="77777777" w:rsidR="000B7923" w:rsidRPr="002B1DFC" w:rsidRDefault="00BE4288" w:rsidP="005774DB">
      <w:pPr>
        <w:rPr>
          <w:rFonts w:cs="Times New Roman"/>
          <w:b/>
          <w:bCs/>
          <w:i/>
          <w:iCs/>
        </w:rPr>
      </w:pPr>
      <w:r w:rsidRPr="002B1DFC">
        <w:rPr>
          <w:rFonts w:cs="Times New Roman"/>
          <w:noProof/>
        </w:rPr>
        <w:drawing>
          <wp:inline distT="0" distB="0" distL="0" distR="0" wp14:anchorId="0163244F" wp14:editId="5374A584">
            <wp:extent cx="5829300" cy="4124325"/>
            <wp:effectExtent l="0" t="0" r="0" b="9525"/>
            <wp:docPr id="9" name="Picture 3" descr="C:\Users\wb316871\AppData\Local\Microsoft\Windows\Temporary Internet Files\Content.Word\Graph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316871\AppData\Local\Microsoft\Windows\Temporary Internet Files\Content.Word\Graph_View.png"/>
                    <pic:cNvPicPr>
                      <a:picLocks noChangeAspect="1" noChangeArrowheads="1"/>
                    </pic:cNvPicPr>
                  </pic:nvPicPr>
                  <pic:blipFill>
                    <a:blip r:embed="rId16">
                      <a:extLst>
                        <a:ext uri="{28A0092B-C50C-407E-A947-70E740481C1C}">
                          <a14:useLocalDpi xmlns:a14="http://schemas.microsoft.com/office/drawing/2010/main" val="0"/>
                        </a:ext>
                      </a:extLst>
                    </a:blip>
                    <a:srcRect l="742" r="537"/>
                    <a:stretch>
                      <a:fillRect/>
                    </a:stretch>
                  </pic:blipFill>
                  <pic:spPr bwMode="auto">
                    <a:xfrm>
                      <a:off x="0" y="0"/>
                      <a:ext cx="5829300" cy="4124325"/>
                    </a:xfrm>
                    <a:prstGeom prst="rect">
                      <a:avLst/>
                    </a:prstGeom>
                    <a:noFill/>
                    <a:ln>
                      <a:noFill/>
                    </a:ln>
                  </pic:spPr>
                </pic:pic>
              </a:graphicData>
            </a:graphic>
          </wp:inline>
        </w:drawing>
      </w:r>
    </w:p>
    <w:p w14:paraId="2700E3B2" w14:textId="77777777" w:rsidR="000B7923" w:rsidRPr="001B3C85" w:rsidRDefault="000B7923" w:rsidP="005774DB">
      <w:pPr>
        <w:rPr>
          <w:rFonts w:cs="Times New Roman"/>
          <w:b/>
          <w:bCs/>
          <w:i/>
          <w:iCs/>
          <w:sz w:val="20"/>
          <w:szCs w:val="20"/>
        </w:rPr>
      </w:pPr>
    </w:p>
    <w:p w14:paraId="682BF735" w14:textId="77777777" w:rsidR="000B7923" w:rsidRPr="005C2F51" w:rsidRDefault="000B7923" w:rsidP="005774DB">
      <w:pPr>
        <w:rPr>
          <w:rStyle w:val="Hyperlink"/>
          <w:color w:val="000000" w:themeColor="text1"/>
          <w:sz w:val="20"/>
          <w:szCs w:val="20"/>
          <w:u w:val="none"/>
        </w:rPr>
      </w:pPr>
      <w:r w:rsidRPr="001B3C85">
        <w:rPr>
          <w:rFonts w:cs="Times New Roman"/>
          <w:i/>
          <w:sz w:val="20"/>
          <w:szCs w:val="20"/>
        </w:rPr>
        <w:t>Source:</w:t>
      </w:r>
      <w:r w:rsidRPr="001B3C85">
        <w:rPr>
          <w:rFonts w:cs="Times New Roman"/>
          <w:color w:val="000000"/>
          <w:sz w:val="20"/>
          <w:szCs w:val="20"/>
        </w:rPr>
        <w:t xml:space="preserve"> </w:t>
      </w:r>
      <w:hyperlink r:id="rId17" w:tgtFrame="_2110766665" w:history="1">
        <w:r w:rsidRPr="005C2F51">
          <w:rPr>
            <w:rStyle w:val="Hyperlink"/>
            <w:color w:val="000000" w:themeColor="text1"/>
            <w:sz w:val="20"/>
            <w:szCs w:val="20"/>
            <w:u w:val="none"/>
          </w:rPr>
          <w:t xml:space="preserve">Kaufmann D., A. Kraay, and M. Mastruzzi (2010), </w:t>
        </w:r>
        <w:r w:rsidRPr="005C2F51">
          <w:rPr>
            <w:rStyle w:val="Hyperlink"/>
            <w:i/>
            <w:color w:val="000000" w:themeColor="text1"/>
            <w:sz w:val="20"/>
            <w:szCs w:val="20"/>
            <w:u w:val="none"/>
          </w:rPr>
          <w:t>Worldwide Governance Indicators: Methodology and</w:t>
        </w:r>
        <w:r w:rsidRPr="005C2F51">
          <w:rPr>
            <w:rStyle w:val="Hyperlink"/>
            <w:color w:val="000000" w:themeColor="text1"/>
            <w:sz w:val="20"/>
            <w:szCs w:val="20"/>
            <w:u w:val="none"/>
          </w:rPr>
          <w:t xml:space="preserve"> </w:t>
        </w:r>
        <w:r w:rsidRPr="005C2F51">
          <w:rPr>
            <w:rStyle w:val="Hyperlink"/>
            <w:i/>
            <w:color w:val="000000" w:themeColor="text1"/>
            <w:sz w:val="20"/>
            <w:szCs w:val="20"/>
            <w:u w:val="none"/>
          </w:rPr>
          <w:t>Analytical Issues</w:t>
        </w:r>
        <w:r w:rsidRPr="005C2F51">
          <w:rPr>
            <w:rStyle w:val="Hyperlink"/>
            <w:color w:val="000000" w:themeColor="text1"/>
            <w:sz w:val="20"/>
            <w:szCs w:val="20"/>
            <w:u w:val="none"/>
          </w:rPr>
          <w:t xml:space="preserve">. </w:t>
        </w:r>
      </w:hyperlink>
      <w:hyperlink r:id="rId18" w:tgtFrame="_2110766665" w:history="1">
        <w:r w:rsidRPr="005C2F51">
          <w:rPr>
            <w:rStyle w:val="Hyperlink"/>
            <w:color w:val="000000" w:themeColor="text1"/>
            <w:sz w:val="20"/>
            <w:szCs w:val="20"/>
            <w:u w:val="none"/>
          </w:rPr>
          <w:t>www.govindicators.org</w:t>
        </w:r>
      </w:hyperlink>
    </w:p>
    <w:p w14:paraId="79B79A65" w14:textId="77777777" w:rsidR="000B7923" w:rsidRPr="005C2F51" w:rsidRDefault="000B7923" w:rsidP="005774DB">
      <w:pPr>
        <w:rPr>
          <w:rStyle w:val="Hyperlink"/>
          <w:color w:val="000000" w:themeColor="text1"/>
          <w:u w:val="none"/>
        </w:rPr>
      </w:pPr>
    </w:p>
    <w:p w14:paraId="13AB1559" w14:textId="063A39A3"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5C2F51">
        <w:rPr>
          <w:rFonts w:cs="Times New Roman"/>
          <w:b/>
          <w:bCs/>
          <w:color w:val="000000" w:themeColor="text1"/>
        </w:rPr>
        <w:t>Ukraine is per</w:t>
      </w:r>
      <w:r w:rsidRPr="002B1DFC">
        <w:rPr>
          <w:rFonts w:cs="Times New Roman"/>
          <w:b/>
          <w:bCs/>
        </w:rPr>
        <w:t xml:space="preserve">ceived as one of the most corrupt countries, ranking 142 out of 175 countries in the </w:t>
      </w:r>
      <w:r w:rsidR="003439CA">
        <w:rPr>
          <w:rFonts w:cs="Times New Roman"/>
          <w:b/>
          <w:bCs/>
        </w:rPr>
        <w:t xml:space="preserve">2014 </w:t>
      </w:r>
      <w:r w:rsidRPr="002B1DFC">
        <w:rPr>
          <w:rFonts w:cs="Times New Roman"/>
          <w:b/>
          <w:bCs/>
        </w:rPr>
        <w:t>Transparency International index</w:t>
      </w:r>
      <w:r w:rsidR="001E2BFB">
        <w:rPr>
          <w:rFonts w:cs="Times New Roman"/>
          <w:b/>
          <w:bCs/>
        </w:rPr>
        <w:t xml:space="preserve"> (Transparency International 2015)</w:t>
      </w:r>
      <w:r w:rsidRPr="002B1DFC">
        <w:rPr>
          <w:rFonts w:cs="Times New Roman"/>
          <w:b/>
          <w:bCs/>
        </w:rPr>
        <w:t>.</w:t>
      </w:r>
      <w:r w:rsidRPr="002B1DFC">
        <w:rPr>
          <w:rFonts w:cs="Times New Roman"/>
        </w:rPr>
        <w:t xml:space="preserve"> Corruption in Ukraine could be observed in many aspects of public life</w:t>
      </w:r>
      <w:r w:rsidR="0041197D">
        <w:rPr>
          <w:rFonts w:cs="Times New Roman"/>
        </w:rPr>
        <w:t>,</w:t>
      </w:r>
      <w:r w:rsidRPr="002B1DFC">
        <w:rPr>
          <w:rFonts w:cs="Times New Roman"/>
        </w:rPr>
        <w:t xml:space="preserve"> from procurement contracts to licenses and permits for small and medium-sized enterprises</w:t>
      </w:r>
      <w:r w:rsidR="001E2BFB">
        <w:rPr>
          <w:rFonts w:cs="Times New Roman"/>
        </w:rPr>
        <w:t xml:space="preserve"> (Government of Ukraine 2014)</w:t>
      </w:r>
      <w:r w:rsidRPr="002B1DFC">
        <w:rPr>
          <w:rFonts w:cs="Times New Roman"/>
        </w:rPr>
        <w:t>. Literature demonstrates that state authorities and civil society</w:t>
      </w:r>
      <w:r w:rsidR="003439CA">
        <w:rPr>
          <w:rFonts w:cs="Times New Roman"/>
        </w:rPr>
        <w:t xml:space="preserve"> developed a number of anti-corruption activities</w:t>
      </w:r>
      <w:r w:rsidRPr="002B1DFC">
        <w:rPr>
          <w:rFonts w:cs="Times New Roman"/>
        </w:rPr>
        <w:t>, and recently the Parliament of Ukraine approved the Anti-</w:t>
      </w:r>
      <w:r w:rsidR="003439CA">
        <w:rPr>
          <w:rFonts w:cs="Times New Roman"/>
        </w:rPr>
        <w:t>C</w:t>
      </w:r>
      <w:r w:rsidRPr="002B1DFC">
        <w:rPr>
          <w:rFonts w:cs="Times New Roman"/>
        </w:rPr>
        <w:t xml:space="preserve">orruption </w:t>
      </w:r>
      <w:r w:rsidR="003439CA">
        <w:rPr>
          <w:rFonts w:cs="Times New Roman"/>
        </w:rPr>
        <w:t>S</w:t>
      </w:r>
      <w:r w:rsidRPr="002B1DFC">
        <w:rPr>
          <w:rFonts w:cs="Times New Roman"/>
        </w:rPr>
        <w:t>trategy for 2014</w:t>
      </w:r>
      <w:r w:rsidR="0041197D">
        <w:rPr>
          <w:rFonts w:cs="Times New Roman"/>
        </w:rPr>
        <w:t>–</w:t>
      </w:r>
      <w:r w:rsidRPr="002B1DFC">
        <w:rPr>
          <w:rFonts w:cs="Times New Roman"/>
        </w:rPr>
        <w:t xml:space="preserve">2017. However, </w:t>
      </w:r>
      <w:r w:rsidR="00EF0A33">
        <w:rPr>
          <w:rFonts w:cs="Times New Roman"/>
        </w:rPr>
        <w:t xml:space="preserve">to date, </w:t>
      </w:r>
      <w:r w:rsidRPr="002B1DFC">
        <w:rPr>
          <w:rFonts w:cs="Times New Roman"/>
        </w:rPr>
        <w:t xml:space="preserve">many measures </w:t>
      </w:r>
      <w:r w:rsidR="00EF0A33">
        <w:rPr>
          <w:rFonts w:cs="Times New Roman"/>
        </w:rPr>
        <w:t>are</w:t>
      </w:r>
      <w:r w:rsidR="00EF0A33" w:rsidRPr="002B1DFC">
        <w:rPr>
          <w:rFonts w:cs="Times New Roman"/>
        </w:rPr>
        <w:t xml:space="preserve"> </w:t>
      </w:r>
      <w:r w:rsidRPr="002B1DFC">
        <w:rPr>
          <w:rFonts w:cs="Times New Roman"/>
        </w:rPr>
        <w:t xml:space="preserve">only on paper and have not been implemented. The </w:t>
      </w:r>
      <w:r w:rsidR="00A92E2F">
        <w:rPr>
          <w:rFonts w:cs="Times New Roman"/>
        </w:rPr>
        <w:t>Government of Ukraine (2014</w:t>
      </w:r>
      <w:r w:rsidR="005C2F51">
        <w:rPr>
          <w:rFonts w:cs="Times New Roman"/>
        </w:rPr>
        <w:t>) diagnostic</w:t>
      </w:r>
      <w:r w:rsidR="00A92E2F">
        <w:rPr>
          <w:rFonts w:cs="Times New Roman"/>
        </w:rPr>
        <w:t xml:space="preserve"> </w:t>
      </w:r>
      <w:r w:rsidR="00EF0A33">
        <w:rPr>
          <w:rFonts w:cs="Times New Roman"/>
        </w:rPr>
        <w:t>study</w:t>
      </w:r>
      <w:r w:rsidRPr="002B1DFC">
        <w:rPr>
          <w:rFonts w:cs="Times New Roman"/>
        </w:rPr>
        <w:t xml:space="preserve"> underlines that most laws are approved to advance of specific personal or business agendas rather than the priority of public good. That is why laws are repeatedly amended and do not agree with other legal acts. Ukraine uses a wide</w:t>
      </w:r>
      <w:r w:rsidR="003439CA">
        <w:rPr>
          <w:rFonts w:cs="Times New Roman"/>
        </w:rPr>
        <w:t xml:space="preserve"> </w:t>
      </w:r>
      <w:r w:rsidRPr="002B1DFC">
        <w:rPr>
          <w:rFonts w:cs="Times New Roman"/>
        </w:rPr>
        <w:t xml:space="preserve">range </w:t>
      </w:r>
      <w:r w:rsidR="003439CA">
        <w:rPr>
          <w:rFonts w:cs="Times New Roman"/>
        </w:rPr>
        <w:t xml:space="preserve">of </w:t>
      </w:r>
      <w:r w:rsidRPr="002B1DFC">
        <w:rPr>
          <w:rFonts w:cs="Times New Roman"/>
        </w:rPr>
        <w:t>support from international donors in improving the country’s policy and developing strategies and analys</w:t>
      </w:r>
      <w:r w:rsidR="003439CA">
        <w:rPr>
          <w:rFonts w:cs="Times New Roman"/>
        </w:rPr>
        <w:t>e</w:t>
      </w:r>
      <w:r w:rsidRPr="002B1DFC">
        <w:rPr>
          <w:rFonts w:cs="Times New Roman"/>
        </w:rPr>
        <w:t>s in environmental sphere</w:t>
      </w:r>
      <w:r w:rsidR="003439CA">
        <w:rPr>
          <w:rFonts w:cs="Times New Roman"/>
        </w:rPr>
        <w:t>. However,</w:t>
      </w:r>
      <w:r w:rsidRPr="002B1DFC">
        <w:rPr>
          <w:rFonts w:cs="Times New Roman"/>
        </w:rPr>
        <w:t xml:space="preserve"> internal efforts are needed to solve issues, such as appropriate collaboration and distribution of functions between the national and regional levels; integration of environmental issues at the sectoral policy level; and building the relationship between the state authority and civil society and enhancing transparency and broader public participation</w:t>
      </w:r>
      <w:r w:rsidR="00591FD4">
        <w:rPr>
          <w:rFonts w:cs="Times New Roman"/>
        </w:rPr>
        <w:t>,</w:t>
      </w:r>
      <w:r w:rsidRPr="002B1DFC">
        <w:rPr>
          <w:rFonts w:cs="Times New Roman"/>
        </w:rPr>
        <w:t xml:space="preserve"> </w:t>
      </w:r>
      <w:r w:rsidR="00591FD4">
        <w:rPr>
          <w:rFonts w:cs="Times New Roman"/>
        </w:rPr>
        <w:t>and so on</w:t>
      </w:r>
      <w:r w:rsidR="00111D56">
        <w:rPr>
          <w:rFonts w:cs="Times New Roman"/>
        </w:rPr>
        <w:t>.</w:t>
      </w:r>
    </w:p>
    <w:p w14:paraId="255EA62A" w14:textId="77777777" w:rsidR="000B7923" w:rsidRPr="002B1DFC" w:rsidRDefault="000B7923" w:rsidP="005774DB">
      <w:pPr>
        <w:rPr>
          <w:rFonts w:cs="Times New Roman"/>
        </w:rPr>
      </w:pPr>
    </w:p>
    <w:p w14:paraId="3B1960E4"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b/>
          <w:bCs/>
        </w:rPr>
        <w:lastRenderedPageBreak/>
        <w:t>Ukraine took a course towards European Union integration</w:t>
      </w:r>
      <w:r w:rsidRPr="002B1DFC">
        <w:rPr>
          <w:rFonts w:cs="Times New Roman"/>
        </w:rPr>
        <w:t xml:space="preserve">, and started to adopt legislative acts in line with the EU directives and norms. Thus, in </w:t>
      </w:r>
      <w:r w:rsidR="003439CA" w:rsidRPr="002B1DFC">
        <w:rPr>
          <w:rFonts w:cs="Times New Roman"/>
        </w:rPr>
        <w:t>2004,</w:t>
      </w:r>
      <w:r w:rsidRPr="002B1DFC">
        <w:rPr>
          <w:rFonts w:cs="Times New Roman"/>
        </w:rPr>
        <w:t xml:space="preserve"> the Parliament of Ukraine approved a law “On State Program for Adapting the Legislation of Ukraine to the Legislation of European Union”, and the Plans of Measures regarding the fulfillment of this Program were adopted by the CMU’s resolutions for 2011, 2012 and 2013 years. The key step on the road to EU integration was made on September 16, 2014</w:t>
      </w:r>
      <w:r w:rsidR="003439CA">
        <w:rPr>
          <w:rFonts w:cs="Times New Roman"/>
        </w:rPr>
        <w:t>,</w:t>
      </w:r>
      <w:r w:rsidRPr="002B1DFC">
        <w:rPr>
          <w:rFonts w:cs="Times New Roman"/>
        </w:rPr>
        <w:t xml:space="preserve"> by ratification </w:t>
      </w:r>
      <w:r w:rsidR="003439CA">
        <w:rPr>
          <w:rFonts w:cs="Times New Roman"/>
        </w:rPr>
        <w:t xml:space="preserve">of </w:t>
      </w:r>
      <w:r w:rsidRPr="002B1DFC">
        <w:rPr>
          <w:rFonts w:cs="Times New Roman"/>
        </w:rPr>
        <w:t xml:space="preserve">the Association Agreement between Ukraine and the European Union, which defined the further principles of cooperation in different spheres, including environmental protection and natural resources management. The Association Agreement, which will fully come </w:t>
      </w:r>
      <w:r w:rsidR="003439CA">
        <w:rPr>
          <w:rFonts w:cs="Times New Roman"/>
        </w:rPr>
        <w:t>into</w:t>
      </w:r>
      <w:r w:rsidRPr="002B1DFC">
        <w:rPr>
          <w:rFonts w:cs="Times New Roman"/>
        </w:rPr>
        <w:t xml:space="preserve"> force after the ratification by all EU member states, stipulates the timetable for the gradual approximation of Ukrainian legislation to EU directives. By February 2015, this Agreement was ratified by 14 EU member states. </w:t>
      </w:r>
    </w:p>
    <w:p w14:paraId="57A6D72E" w14:textId="77777777" w:rsidR="000B7923" w:rsidRPr="002B1DFC" w:rsidRDefault="000B7923" w:rsidP="00B35AC6">
      <w:pPr>
        <w:rPr>
          <w:rFonts w:cs="Times New Roman"/>
        </w:rPr>
      </w:pPr>
    </w:p>
    <w:p w14:paraId="3699DD13"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Another important step was made on November 21, 2014</w:t>
      </w:r>
      <w:r w:rsidR="003439CA">
        <w:rPr>
          <w:rFonts w:cs="Times New Roman"/>
        </w:rPr>
        <w:t>,</w:t>
      </w:r>
      <w:r w:rsidRPr="002B1DFC">
        <w:rPr>
          <w:rFonts w:cs="Times New Roman"/>
        </w:rPr>
        <w:t xml:space="preserve"> by </w:t>
      </w:r>
      <w:r w:rsidR="003439CA">
        <w:rPr>
          <w:rFonts w:cs="Times New Roman"/>
        </w:rPr>
        <w:t xml:space="preserve">the </w:t>
      </w:r>
      <w:r w:rsidRPr="002B1DFC">
        <w:rPr>
          <w:rFonts w:cs="Times New Roman"/>
        </w:rPr>
        <w:t>signing</w:t>
      </w:r>
      <w:r w:rsidR="003439CA">
        <w:rPr>
          <w:rFonts w:cs="Times New Roman"/>
        </w:rPr>
        <w:t xml:space="preserve"> of</w:t>
      </w:r>
      <w:r w:rsidRPr="002B1DFC">
        <w:rPr>
          <w:rFonts w:cs="Times New Roman"/>
        </w:rPr>
        <w:t xml:space="preserve"> the Coalition Agreement of Ukrainian Parliament’s Parties. This document includes a chapter “Environmental Management Reform and Integration of Environmental Policy to Other Sectoral Policies</w:t>
      </w:r>
      <w:r w:rsidR="003107BE">
        <w:rPr>
          <w:rFonts w:cs="Times New Roman"/>
        </w:rPr>
        <w:t>.</w:t>
      </w:r>
      <w:r w:rsidRPr="002B1DFC">
        <w:rPr>
          <w:rFonts w:cs="Times New Roman"/>
        </w:rPr>
        <w:t xml:space="preserve">” </w:t>
      </w:r>
    </w:p>
    <w:p w14:paraId="47C2E1D1" w14:textId="77777777" w:rsidR="000B7923" w:rsidRPr="002B1DFC" w:rsidRDefault="000B7923" w:rsidP="001B3C85">
      <w:pPr>
        <w:pStyle w:val="Heading2"/>
        <w:tabs>
          <w:tab w:val="clear" w:pos="576"/>
          <w:tab w:val="num" w:pos="540"/>
        </w:tabs>
      </w:pPr>
      <w:bookmarkStart w:id="63" w:name="_Toc440273956"/>
      <w:r w:rsidRPr="002B1DFC">
        <w:t>State Authority and Political Decision-Making Process</w:t>
      </w:r>
      <w:bookmarkEnd w:id="63"/>
    </w:p>
    <w:p w14:paraId="1A5DE672" w14:textId="77777777" w:rsidR="000B7923" w:rsidRPr="002B1DFC" w:rsidRDefault="000B7923" w:rsidP="00275839">
      <w:pPr>
        <w:rPr>
          <w:rFonts w:cs="Times New Roman"/>
        </w:rPr>
      </w:pPr>
    </w:p>
    <w:p w14:paraId="1F5E5CE3"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According to the Constitution of Ukraine, the country</w:t>
      </w:r>
      <w:r w:rsidR="003439CA">
        <w:rPr>
          <w:rFonts w:cs="Times New Roman"/>
        </w:rPr>
        <w:t>’s state authority</w:t>
      </w:r>
      <w:r w:rsidRPr="002B1DFC">
        <w:rPr>
          <w:rFonts w:cs="Times New Roman"/>
        </w:rPr>
        <w:t xml:space="preserve"> is divided into legislative, executive</w:t>
      </w:r>
      <w:r w:rsidR="003439CA">
        <w:rPr>
          <w:rFonts w:cs="Times New Roman"/>
        </w:rPr>
        <w:t>,</w:t>
      </w:r>
      <w:r w:rsidRPr="002B1DFC">
        <w:rPr>
          <w:rFonts w:cs="Times New Roman"/>
        </w:rPr>
        <w:t xml:space="preserve"> and judicial branches. </w:t>
      </w:r>
      <w:r w:rsidR="003439CA">
        <w:rPr>
          <w:rFonts w:cs="Times New Roman"/>
        </w:rPr>
        <w:t xml:space="preserve">The </w:t>
      </w:r>
      <w:r w:rsidRPr="003439CA">
        <w:rPr>
          <w:rFonts w:cs="Times New Roman"/>
          <w:i/>
        </w:rPr>
        <w:t>President of Ukraine</w:t>
      </w:r>
      <w:r w:rsidRPr="002B1DFC">
        <w:rPr>
          <w:rFonts w:cs="Times New Roman"/>
        </w:rPr>
        <w:t xml:space="preserve"> is </w:t>
      </w:r>
      <w:r w:rsidR="003439CA">
        <w:rPr>
          <w:rFonts w:cs="Times New Roman"/>
        </w:rPr>
        <w:t>the</w:t>
      </w:r>
      <w:r w:rsidRPr="002B1DFC">
        <w:rPr>
          <w:rFonts w:cs="Times New Roman"/>
        </w:rPr>
        <w:t xml:space="preserve"> Head of the State, and is the chief executive officer in the system of state authorities. Ukrainian citizens </w:t>
      </w:r>
      <w:r w:rsidR="003439CA">
        <w:rPr>
          <w:rFonts w:cs="Times New Roman"/>
        </w:rPr>
        <w:t>in a</w:t>
      </w:r>
      <w:r w:rsidR="003439CA" w:rsidRPr="002B1DFC">
        <w:rPr>
          <w:rFonts w:cs="Times New Roman"/>
        </w:rPr>
        <w:t xml:space="preserve"> </w:t>
      </w:r>
      <w:r w:rsidRPr="002B1DFC">
        <w:rPr>
          <w:rFonts w:cs="Times New Roman"/>
        </w:rPr>
        <w:t>secret vote</w:t>
      </w:r>
      <w:r w:rsidR="003439CA">
        <w:rPr>
          <w:rFonts w:cs="Times New Roman"/>
        </w:rPr>
        <w:t xml:space="preserve"> elect the President for a five-year term</w:t>
      </w:r>
      <w:r w:rsidRPr="002B1DFC">
        <w:rPr>
          <w:rFonts w:cs="Times New Roman"/>
        </w:rPr>
        <w:t xml:space="preserve">. The President does not lead or take part in any of the three branches of state authority, but embodies the country and state authority integrally. </w:t>
      </w:r>
    </w:p>
    <w:p w14:paraId="021E3028" w14:textId="77777777" w:rsidR="000B7923" w:rsidRPr="002B1DFC" w:rsidRDefault="000B7923" w:rsidP="00275839">
      <w:pPr>
        <w:rPr>
          <w:rFonts w:cs="Times New Roman"/>
        </w:rPr>
      </w:pPr>
    </w:p>
    <w:p w14:paraId="5B2A3124"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Based on the Constitution of Ukraine (Article 106) and Decree of the President </w:t>
      </w:r>
      <w:r w:rsidR="00591FD4">
        <w:rPr>
          <w:rFonts w:cs="Times New Roman"/>
        </w:rPr>
        <w:t>No.</w:t>
      </w:r>
      <w:r w:rsidRPr="002B1DFC">
        <w:rPr>
          <w:rFonts w:cs="Times New Roman"/>
        </w:rPr>
        <w:t xml:space="preserve"> 970/2006 dated April 15, 2008</w:t>
      </w:r>
      <w:r w:rsidR="003360F2">
        <w:rPr>
          <w:rFonts w:cs="Times New Roman"/>
        </w:rPr>
        <w:t>—</w:t>
      </w:r>
      <w:r w:rsidRPr="002B1DFC">
        <w:rPr>
          <w:rFonts w:cs="Times New Roman"/>
        </w:rPr>
        <w:t xml:space="preserve"> “Regulation about the procedure of preparation and introduction of drafts of the President’s decrees”</w:t>
      </w:r>
      <w:r w:rsidR="003360F2">
        <w:rPr>
          <w:rFonts w:cs="Times New Roman"/>
        </w:rPr>
        <w:t>—</w:t>
      </w:r>
      <w:r w:rsidRPr="002B1DFC">
        <w:rPr>
          <w:rFonts w:cs="Times New Roman"/>
        </w:rPr>
        <w:t xml:space="preserve">the President of Ukraine issues the decrees and directions within his jurisdiction, and their implementation is compulsory throughout the country’s territory. </w:t>
      </w:r>
    </w:p>
    <w:p w14:paraId="7CAC1E46" w14:textId="77777777" w:rsidR="000B7923" w:rsidRPr="002B1DFC" w:rsidRDefault="000B7923" w:rsidP="00275839">
      <w:pPr>
        <w:rPr>
          <w:rFonts w:cs="Times New Roman"/>
          <w:i/>
        </w:rPr>
      </w:pPr>
    </w:p>
    <w:p w14:paraId="72125F5C" w14:textId="53994624"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i/>
        </w:rPr>
        <w:t>Parliament of Ukraine</w:t>
      </w:r>
      <w:r w:rsidRPr="002B1DFC">
        <w:rPr>
          <w:rFonts w:cs="Times New Roman"/>
        </w:rPr>
        <w:t xml:space="preserve"> (</w:t>
      </w:r>
      <w:proofErr w:type="spellStart"/>
      <w:r w:rsidRPr="002B1DFC">
        <w:rPr>
          <w:rFonts w:cs="Times New Roman"/>
        </w:rPr>
        <w:t>Ver</w:t>
      </w:r>
      <w:r w:rsidR="00361CAA">
        <w:rPr>
          <w:rFonts w:cs="Times New Roman"/>
        </w:rPr>
        <w:t>k</w:t>
      </w:r>
      <w:r w:rsidRPr="002B1DFC">
        <w:rPr>
          <w:rFonts w:cs="Times New Roman"/>
        </w:rPr>
        <w:t>hovna</w:t>
      </w:r>
      <w:proofErr w:type="spellEnd"/>
      <w:r w:rsidRPr="002B1DFC">
        <w:rPr>
          <w:rFonts w:cs="Times New Roman"/>
        </w:rPr>
        <w:t xml:space="preserve"> Rada) is a single body of </w:t>
      </w:r>
      <w:r w:rsidRPr="002B1DFC">
        <w:rPr>
          <w:rFonts w:cs="Times New Roman"/>
          <w:i/>
        </w:rPr>
        <w:t>legislative authority</w:t>
      </w:r>
      <w:r w:rsidRPr="002B1DFC">
        <w:rPr>
          <w:rFonts w:cs="Times New Roman"/>
        </w:rPr>
        <w:t>. It consist</w:t>
      </w:r>
      <w:r w:rsidR="003360F2">
        <w:rPr>
          <w:rFonts w:cs="Times New Roman"/>
        </w:rPr>
        <w:t>s of</w:t>
      </w:r>
      <w:r w:rsidRPr="002B1DFC">
        <w:rPr>
          <w:rFonts w:cs="Times New Roman"/>
        </w:rPr>
        <w:t xml:space="preserve"> 450 deputies </w:t>
      </w:r>
      <w:r w:rsidR="003360F2">
        <w:rPr>
          <w:rFonts w:cs="Times New Roman"/>
        </w:rPr>
        <w:t xml:space="preserve">whom Ukrainian citizens in a </w:t>
      </w:r>
      <w:r w:rsidRPr="002B1DFC">
        <w:rPr>
          <w:rFonts w:cs="Times New Roman"/>
        </w:rPr>
        <w:t>secret vote</w:t>
      </w:r>
      <w:r w:rsidR="003360F2">
        <w:rPr>
          <w:rFonts w:cs="Times New Roman"/>
        </w:rPr>
        <w:t xml:space="preserve"> elect</w:t>
      </w:r>
      <w:r w:rsidRPr="002B1DFC">
        <w:rPr>
          <w:rFonts w:cs="Times New Roman"/>
        </w:rPr>
        <w:t xml:space="preserve"> for a four</w:t>
      </w:r>
      <w:r w:rsidR="003360F2">
        <w:rPr>
          <w:rFonts w:cs="Times New Roman"/>
        </w:rPr>
        <w:t>-</w:t>
      </w:r>
      <w:r w:rsidRPr="002B1DFC">
        <w:rPr>
          <w:rFonts w:cs="Times New Roman"/>
        </w:rPr>
        <w:t>year</w:t>
      </w:r>
      <w:r w:rsidR="003360F2">
        <w:rPr>
          <w:rFonts w:cs="Times New Roman"/>
        </w:rPr>
        <w:t xml:space="preserve"> term</w:t>
      </w:r>
      <w:r w:rsidRPr="002B1DFC">
        <w:rPr>
          <w:rFonts w:cs="Times New Roman"/>
        </w:rPr>
        <w:t>.</w:t>
      </w:r>
    </w:p>
    <w:p w14:paraId="45E1370B" w14:textId="77777777" w:rsidR="000B7923" w:rsidRPr="002B1DFC" w:rsidRDefault="000B7923" w:rsidP="00275839">
      <w:pPr>
        <w:rPr>
          <w:rFonts w:cs="Times New Roman"/>
          <w:color w:val="FF0000"/>
        </w:rPr>
      </w:pPr>
    </w:p>
    <w:p w14:paraId="6C098D1E" w14:textId="3A24BAB4" w:rsidR="000B7923" w:rsidRPr="00772403" w:rsidRDefault="000B7923" w:rsidP="00772403">
      <w:pPr>
        <w:pStyle w:val="ListParagraph"/>
        <w:numPr>
          <w:ilvl w:val="0"/>
          <w:numId w:val="68"/>
        </w:numPr>
        <w:tabs>
          <w:tab w:val="left" w:pos="360"/>
        </w:tabs>
        <w:spacing w:line="23" w:lineRule="atLeast"/>
        <w:ind w:left="0" w:firstLine="0"/>
        <w:rPr>
          <w:rFonts w:cs="Times New Roman"/>
        </w:rPr>
      </w:pPr>
      <w:r w:rsidRPr="00772403">
        <w:rPr>
          <w:rFonts w:cs="Times New Roman"/>
        </w:rPr>
        <w:t xml:space="preserve">The </w:t>
      </w:r>
      <w:proofErr w:type="spellStart"/>
      <w:r w:rsidRPr="00772403">
        <w:rPr>
          <w:rFonts w:cs="Times New Roman"/>
          <w:i/>
          <w:iCs/>
        </w:rPr>
        <w:t>Ver</w:t>
      </w:r>
      <w:r w:rsidR="00361CAA">
        <w:rPr>
          <w:rFonts w:cs="Times New Roman"/>
          <w:i/>
          <w:iCs/>
        </w:rPr>
        <w:t>k</w:t>
      </w:r>
      <w:r w:rsidRPr="00772403">
        <w:rPr>
          <w:rFonts w:cs="Times New Roman"/>
          <w:i/>
          <w:iCs/>
        </w:rPr>
        <w:t>hovna</w:t>
      </w:r>
      <w:proofErr w:type="spellEnd"/>
      <w:r w:rsidRPr="00772403">
        <w:rPr>
          <w:rFonts w:cs="Times New Roman"/>
          <w:i/>
          <w:iCs/>
        </w:rPr>
        <w:t xml:space="preserve"> Rada</w:t>
      </w:r>
      <w:r w:rsidRPr="00772403">
        <w:rPr>
          <w:rFonts w:cs="Times New Roman"/>
        </w:rPr>
        <w:t xml:space="preserve"> has the following key powers and tasks: </w:t>
      </w:r>
      <w:r w:rsidR="003360F2" w:rsidRPr="00772403">
        <w:rPr>
          <w:rFonts w:cs="Times New Roman"/>
        </w:rPr>
        <w:t>adopting</w:t>
      </w:r>
      <w:r w:rsidRPr="00772403">
        <w:rPr>
          <w:rFonts w:cs="Times New Roman"/>
        </w:rPr>
        <w:t xml:space="preserve"> laws; </w:t>
      </w:r>
      <w:r w:rsidR="003360F2" w:rsidRPr="00772403">
        <w:rPr>
          <w:rFonts w:cs="Times New Roman"/>
        </w:rPr>
        <w:t>defining</w:t>
      </w:r>
      <w:r w:rsidRPr="00772403">
        <w:rPr>
          <w:rFonts w:cs="Times New Roman"/>
        </w:rPr>
        <w:t xml:space="preserve"> internal and external policy; </w:t>
      </w:r>
      <w:r w:rsidR="003360F2" w:rsidRPr="00772403">
        <w:rPr>
          <w:rFonts w:cs="Times New Roman"/>
        </w:rPr>
        <w:t>introducing</w:t>
      </w:r>
      <w:r w:rsidRPr="00772403">
        <w:rPr>
          <w:rFonts w:cs="Times New Roman"/>
        </w:rPr>
        <w:t xml:space="preserve"> changes to the Constitution of Ukraine; </w:t>
      </w:r>
      <w:r w:rsidR="003360F2" w:rsidRPr="00772403">
        <w:rPr>
          <w:rFonts w:cs="Times New Roman"/>
        </w:rPr>
        <w:t>defining</w:t>
      </w:r>
      <w:r w:rsidRPr="00772403">
        <w:rPr>
          <w:rFonts w:cs="Times New Roman"/>
        </w:rPr>
        <w:t xml:space="preserve"> interrelations between Parliament and </w:t>
      </w:r>
      <w:r w:rsidR="003360F2" w:rsidRPr="00772403">
        <w:rPr>
          <w:rFonts w:cs="Times New Roman"/>
        </w:rPr>
        <w:t xml:space="preserve">the </w:t>
      </w:r>
      <w:r w:rsidRPr="00772403">
        <w:rPr>
          <w:rFonts w:cs="Times New Roman"/>
        </w:rPr>
        <w:t xml:space="preserve">President of Ukraine; </w:t>
      </w:r>
      <w:r w:rsidR="003360F2" w:rsidRPr="00772403">
        <w:rPr>
          <w:rFonts w:cs="Times New Roman"/>
        </w:rPr>
        <w:t>approving</w:t>
      </w:r>
      <w:r w:rsidRPr="00772403">
        <w:rPr>
          <w:rFonts w:cs="Times New Roman"/>
        </w:rPr>
        <w:t xml:space="preserve"> the state budget of Ukraine and </w:t>
      </w:r>
      <w:r w:rsidR="003360F2" w:rsidRPr="00772403">
        <w:rPr>
          <w:rFonts w:cs="Times New Roman"/>
        </w:rPr>
        <w:t>introducing</w:t>
      </w:r>
      <w:r w:rsidRPr="00772403">
        <w:rPr>
          <w:rFonts w:cs="Times New Roman"/>
        </w:rPr>
        <w:t xml:space="preserve"> changes to this budget; </w:t>
      </w:r>
      <w:r w:rsidR="003360F2" w:rsidRPr="00772403">
        <w:rPr>
          <w:rFonts w:cs="Times New Roman"/>
        </w:rPr>
        <w:t>assigning</w:t>
      </w:r>
      <w:r w:rsidRPr="00772403">
        <w:rPr>
          <w:rFonts w:cs="Times New Roman"/>
        </w:rPr>
        <w:t xml:space="preserve"> President</w:t>
      </w:r>
      <w:r w:rsidR="00FA5C8F" w:rsidRPr="00772403">
        <w:rPr>
          <w:rFonts w:cs="Times New Roman"/>
        </w:rPr>
        <w:t>ial</w:t>
      </w:r>
      <w:r w:rsidRPr="00772403">
        <w:rPr>
          <w:rFonts w:cs="Times New Roman"/>
        </w:rPr>
        <w:t xml:space="preserve"> elections and grant</w:t>
      </w:r>
      <w:r w:rsidR="003360F2" w:rsidRPr="00772403">
        <w:rPr>
          <w:rFonts w:cs="Times New Roman"/>
        </w:rPr>
        <w:t>ing</w:t>
      </w:r>
      <w:r w:rsidRPr="00772403">
        <w:rPr>
          <w:rFonts w:cs="Times New Roman"/>
        </w:rPr>
        <w:t xml:space="preserve"> consent regarding </w:t>
      </w:r>
      <w:r w:rsidR="003360F2" w:rsidRPr="00772403">
        <w:rPr>
          <w:rFonts w:cs="Times New Roman"/>
        </w:rPr>
        <w:t>the President’s selection of the</w:t>
      </w:r>
      <w:r w:rsidRPr="00772403">
        <w:rPr>
          <w:rFonts w:cs="Times New Roman"/>
        </w:rPr>
        <w:t xml:space="preserve"> Prime</w:t>
      </w:r>
      <w:r w:rsidR="003360F2" w:rsidRPr="00772403">
        <w:rPr>
          <w:rFonts w:cs="Times New Roman"/>
        </w:rPr>
        <w:t xml:space="preserve"> </w:t>
      </w:r>
      <w:r w:rsidRPr="00772403">
        <w:rPr>
          <w:rFonts w:cs="Times New Roman"/>
        </w:rPr>
        <w:t xml:space="preserve">Minister; </w:t>
      </w:r>
      <w:r w:rsidR="003360F2" w:rsidRPr="00772403">
        <w:rPr>
          <w:rFonts w:cs="Times New Roman"/>
        </w:rPr>
        <w:t>arranging the country’s</w:t>
      </w:r>
      <w:r w:rsidRPr="00772403">
        <w:rPr>
          <w:rFonts w:cs="Times New Roman"/>
        </w:rPr>
        <w:t xml:space="preserve"> administrative-territorial system; </w:t>
      </w:r>
      <w:r w:rsidR="003360F2" w:rsidRPr="00772403">
        <w:rPr>
          <w:rFonts w:cs="Times New Roman"/>
        </w:rPr>
        <w:t>and adopting</w:t>
      </w:r>
      <w:r w:rsidRPr="00772403">
        <w:rPr>
          <w:rFonts w:cs="Times New Roman"/>
        </w:rPr>
        <w:t xml:space="preserve"> national strategies and programs in economic, scientific</w:t>
      </w:r>
      <w:r w:rsidR="003360F2" w:rsidRPr="00772403">
        <w:rPr>
          <w:rFonts w:cs="Times New Roman"/>
        </w:rPr>
        <w:t>,</w:t>
      </w:r>
      <w:r w:rsidRPr="00772403">
        <w:rPr>
          <w:rFonts w:cs="Times New Roman"/>
        </w:rPr>
        <w:t xml:space="preserve"> technical, social</w:t>
      </w:r>
      <w:r w:rsidR="003360F2" w:rsidRPr="00772403">
        <w:rPr>
          <w:rFonts w:cs="Times New Roman"/>
        </w:rPr>
        <w:t>,</w:t>
      </w:r>
      <w:r w:rsidRPr="00772403">
        <w:rPr>
          <w:rFonts w:cs="Times New Roman"/>
        </w:rPr>
        <w:t xml:space="preserve"> and environmental domains. </w:t>
      </w:r>
    </w:p>
    <w:p w14:paraId="457795DC" w14:textId="77777777" w:rsidR="000B7923" w:rsidRPr="002B1DFC" w:rsidRDefault="000B7923" w:rsidP="00275839">
      <w:pPr>
        <w:rPr>
          <w:rFonts w:cs="Times New Roman"/>
        </w:rPr>
      </w:pPr>
    </w:p>
    <w:p w14:paraId="17BCEA5F" w14:textId="2E1B6D40"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The Committee of Environmental Policy, Nature Management</w:t>
      </w:r>
      <w:r w:rsidR="00EF0A33">
        <w:rPr>
          <w:rFonts w:cs="Times New Roman"/>
        </w:rPr>
        <w:t>,</w:t>
      </w:r>
      <w:r w:rsidRPr="002B1DFC">
        <w:rPr>
          <w:rFonts w:cs="Times New Roman"/>
        </w:rPr>
        <w:t xml:space="preserve"> and Elimination of the Consequences of </w:t>
      </w:r>
      <w:r w:rsidR="003360F2">
        <w:rPr>
          <w:rFonts w:cs="Times New Roman"/>
        </w:rPr>
        <w:t xml:space="preserve">the </w:t>
      </w:r>
      <w:r w:rsidRPr="002B1DFC">
        <w:rPr>
          <w:rFonts w:cs="Times New Roman"/>
        </w:rPr>
        <w:t xml:space="preserve">Chernobyl Disaster of the </w:t>
      </w:r>
      <w:proofErr w:type="spellStart"/>
      <w:r w:rsidRPr="002B1DFC">
        <w:rPr>
          <w:rFonts w:cs="Times New Roman"/>
        </w:rPr>
        <w:t>Ver</w:t>
      </w:r>
      <w:r w:rsidR="00361CAA">
        <w:rPr>
          <w:rFonts w:cs="Times New Roman"/>
        </w:rPr>
        <w:t>k</w:t>
      </w:r>
      <w:r w:rsidRPr="002B1DFC">
        <w:rPr>
          <w:rFonts w:cs="Times New Roman"/>
        </w:rPr>
        <w:t>hovna</w:t>
      </w:r>
      <w:proofErr w:type="spellEnd"/>
      <w:r w:rsidRPr="002B1DFC">
        <w:rPr>
          <w:rFonts w:cs="Times New Roman"/>
        </w:rPr>
        <w:t xml:space="preserve"> Rada is responsible for </w:t>
      </w:r>
      <w:r w:rsidR="00EF0A33">
        <w:rPr>
          <w:rFonts w:cs="Times New Roman"/>
        </w:rPr>
        <w:t>legislation on</w:t>
      </w:r>
      <w:r w:rsidRPr="002B1DFC">
        <w:rPr>
          <w:rFonts w:cs="Times New Roman"/>
        </w:rPr>
        <w:t xml:space="preserve"> environmental issues. The latest </w:t>
      </w:r>
      <w:r w:rsidR="00EF0A33">
        <w:rPr>
          <w:rFonts w:cs="Times New Roman"/>
        </w:rPr>
        <w:t>c</w:t>
      </w:r>
      <w:r w:rsidRPr="002B1DFC">
        <w:rPr>
          <w:rFonts w:cs="Times New Roman"/>
        </w:rPr>
        <w:t xml:space="preserve">ommittee was established in December 2014, following the 2014 Parliamentary elections. The committee consists of 15 deputies, and as of March 2015, the committee has reviewed 87 draft laws and is </w:t>
      </w:r>
      <w:r w:rsidR="00EF0A33">
        <w:rPr>
          <w:rFonts w:cs="Times New Roman"/>
        </w:rPr>
        <w:t xml:space="preserve">the </w:t>
      </w:r>
      <w:r w:rsidRPr="002B1DFC">
        <w:rPr>
          <w:rFonts w:cs="Times New Roman"/>
        </w:rPr>
        <w:t>proponent for 35 draft legal acts that are in approval stage</w:t>
      </w:r>
      <w:r w:rsidR="001E2BFB">
        <w:rPr>
          <w:rFonts w:cs="Times New Roman"/>
        </w:rPr>
        <w:t xml:space="preserve"> (Parliament of Ukraine 2015)</w:t>
      </w:r>
      <w:r w:rsidR="00EF0A33">
        <w:rPr>
          <w:rFonts w:cs="Times New Roman"/>
        </w:rPr>
        <w:t>.</w:t>
      </w:r>
      <w:r w:rsidRPr="002B1DFC">
        <w:rPr>
          <w:rFonts w:cs="Times New Roman"/>
        </w:rPr>
        <w:t xml:space="preserve"> </w:t>
      </w:r>
    </w:p>
    <w:p w14:paraId="457802FF" w14:textId="77777777" w:rsidR="000B7923" w:rsidRPr="002B1DFC" w:rsidRDefault="000B7923" w:rsidP="00275839">
      <w:pPr>
        <w:rPr>
          <w:rFonts w:cs="Times New Roman"/>
        </w:rPr>
      </w:pPr>
    </w:p>
    <w:p w14:paraId="2817CB3A"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The </w:t>
      </w:r>
      <w:r w:rsidRPr="002B1DFC">
        <w:rPr>
          <w:rFonts w:cs="Times New Roman"/>
          <w:i/>
        </w:rPr>
        <w:t>executive authority</w:t>
      </w:r>
      <w:r w:rsidRPr="002B1DFC">
        <w:rPr>
          <w:rFonts w:cs="Times New Roman"/>
        </w:rPr>
        <w:t xml:space="preserve"> consists of three levels:</w:t>
      </w:r>
    </w:p>
    <w:p w14:paraId="33DC3AB3" w14:textId="77777777" w:rsidR="000B7923" w:rsidRPr="002B1DFC" w:rsidRDefault="000B7923" w:rsidP="00275839">
      <w:pPr>
        <w:rPr>
          <w:rFonts w:cs="Times New Roman"/>
        </w:rPr>
      </w:pPr>
    </w:p>
    <w:p w14:paraId="22C4BB92" w14:textId="7536079E" w:rsidR="000B7923" w:rsidRPr="002B1DFC" w:rsidRDefault="00D832BC">
      <w:pPr>
        <w:numPr>
          <w:ilvl w:val="0"/>
          <w:numId w:val="5"/>
        </w:numPr>
        <w:ind w:left="720"/>
        <w:rPr>
          <w:rFonts w:cs="Times New Roman"/>
        </w:rPr>
      </w:pPr>
      <w:r>
        <w:rPr>
          <w:rFonts w:cs="Times New Roman"/>
        </w:rPr>
        <w:t xml:space="preserve">The </w:t>
      </w:r>
      <w:r w:rsidR="000B7923" w:rsidRPr="002B1DFC">
        <w:rPr>
          <w:rFonts w:cs="Times New Roman"/>
        </w:rPr>
        <w:t xml:space="preserve">Cabinet of Ministers coordinates the work of the ministries and other bodies of executive authority. It </w:t>
      </w:r>
      <w:r w:rsidRPr="002B1DFC">
        <w:rPr>
          <w:rFonts w:cs="Times New Roman"/>
        </w:rPr>
        <w:t>consists</w:t>
      </w:r>
      <w:r w:rsidR="000B7923" w:rsidRPr="002B1DFC">
        <w:rPr>
          <w:rFonts w:cs="Times New Roman"/>
        </w:rPr>
        <w:t xml:space="preserve"> of a Prime Minister, three Vice Prime Ministers</w:t>
      </w:r>
      <w:r>
        <w:rPr>
          <w:rFonts w:cs="Times New Roman"/>
        </w:rPr>
        <w:t>,</w:t>
      </w:r>
      <w:r w:rsidR="000B7923" w:rsidRPr="002B1DFC">
        <w:rPr>
          <w:rFonts w:cs="Times New Roman"/>
        </w:rPr>
        <w:t xml:space="preserve"> and 16 Ministers</w:t>
      </w:r>
      <w:r w:rsidR="001E2BFB">
        <w:rPr>
          <w:rFonts w:cs="Times New Roman"/>
        </w:rPr>
        <w:t xml:space="preserve"> (Cabinet of Ministers of Ukraine 2015)</w:t>
      </w:r>
      <w:r w:rsidR="00EF0A33">
        <w:rPr>
          <w:rFonts w:cs="Times New Roman"/>
        </w:rPr>
        <w:t>.</w:t>
      </w:r>
      <w:r w:rsidR="000B7923" w:rsidRPr="002B1DFC">
        <w:rPr>
          <w:rFonts w:cs="Times New Roman"/>
        </w:rPr>
        <w:t xml:space="preserve"> Government</w:t>
      </w:r>
      <w:r w:rsidR="00FA5C8F">
        <w:rPr>
          <w:rFonts w:cs="Times New Roman"/>
        </w:rPr>
        <w:t xml:space="preserve"> agencies</w:t>
      </w:r>
      <w:r w:rsidR="000B7923" w:rsidRPr="002B1DFC">
        <w:rPr>
          <w:rFonts w:cs="Times New Roman"/>
        </w:rPr>
        <w:t xml:space="preserve"> </w:t>
      </w:r>
      <w:r>
        <w:rPr>
          <w:rFonts w:cs="Times New Roman"/>
        </w:rPr>
        <w:t xml:space="preserve"> </w:t>
      </w:r>
      <w:r w:rsidR="000B7923" w:rsidRPr="002B1DFC">
        <w:rPr>
          <w:rFonts w:cs="Times New Roman"/>
        </w:rPr>
        <w:t>provides implementation of financial, pricing, investment</w:t>
      </w:r>
      <w:r>
        <w:rPr>
          <w:rFonts w:cs="Times New Roman"/>
        </w:rPr>
        <w:t>,</w:t>
      </w:r>
      <w:r w:rsidR="000B7923" w:rsidRPr="002B1DFC">
        <w:rPr>
          <w:rFonts w:cs="Times New Roman"/>
        </w:rPr>
        <w:t xml:space="preserve"> and tax policy</w:t>
      </w:r>
      <w:r>
        <w:rPr>
          <w:rFonts w:cs="Times New Roman"/>
        </w:rPr>
        <w:t>,</w:t>
      </w:r>
      <w:r w:rsidR="000B7923" w:rsidRPr="002B1DFC">
        <w:rPr>
          <w:rFonts w:cs="Times New Roman"/>
        </w:rPr>
        <w:t xml:space="preserve"> as well as policy in the areas of employment of the population, social protection, education, science and culture, environmental protection, ecological safety</w:t>
      </w:r>
      <w:r w:rsidR="00EF0A33">
        <w:rPr>
          <w:rFonts w:cs="Times New Roman"/>
        </w:rPr>
        <w:t>,</w:t>
      </w:r>
      <w:r w:rsidR="000B7923" w:rsidRPr="002B1DFC">
        <w:rPr>
          <w:rFonts w:cs="Times New Roman"/>
        </w:rPr>
        <w:t xml:space="preserve"> and nature </w:t>
      </w:r>
      <w:r w:rsidR="000B7923" w:rsidRPr="002B1DFC">
        <w:rPr>
          <w:rFonts w:cs="Times New Roman"/>
        </w:rPr>
        <w:lastRenderedPageBreak/>
        <w:t xml:space="preserve">management. Government </w:t>
      </w:r>
      <w:r w:rsidR="00E56023">
        <w:rPr>
          <w:rFonts w:cs="Times New Roman"/>
        </w:rPr>
        <w:t>agencies</w:t>
      </w:r>
      <w:r w:rsidR="00E56023" w:rsidRPr="002B1DFC">
        <w:rPr>
          <w:rFonts w:cs="Times New Roman"/>
        </w:rPr>
        <w:t xml:space="preserve"> </w:t>
      </w:r>
      <w:r w:rsidR="000B7923" w:rsidRPr="002B1DFC">
        <w:rPr>
          <w:rFonts w:cs="Times New Roman"/>
        </w:rPr>
        <w:t xml:space="preserve">formulate and implement state policy in relevant areas of competences according to the CMU’s strategy. </w:t>
      </w:r>
    </w:p>
    <w:p w14:paraId="705CA202" w14:textId="77777777" w:rsidR="000B7923" w:rsidRPr="002B1DFC" w:rsidRDefault="000B7923" w:rsidP="00772403">
      <w:pPr>
        <w:ind w:left="720"/>
        <w:rPr>
          <w:rFonts w:cs="Times New Roman"/>
        </w:rPr>
      </w:pPr>
    </w:p>
    <w:p w14:paraId="2CC01BFE" w14:textId="77777777" w:rsidR="000B7923" w:rsidRPr="002B1DFC" w:rsidRDefault="000B7923" w:rsidP="00772403">
      <w:pPr>
        <w:numPr>
          <w:ilvl w:val="0"/>
          <w:numId w:val="5"/>
        </w:numPr>
        <w:ind w:left="720"/>
        <w:rPr>
          <w:rFonts w:cs="Times New Roman"/>
        </w:rPr>
      </w:pPr>
      <w:r w:rsidRPr="002B1DFC">
        <w:rPr>
          <w:rFonts w:cs="Times New Roman"/>
        </w:rPr>
        <w:t xml:space="preserve">Central level – ministries, state committees, central bodies of executive authority equated to the state committees, and central bodies of executive authority with special status. </w:t>
      </w:r>
    </w:p>
    <w:p w14:paraId="60FE9D16" w14:textId="77777777" w:rsidR="000B7923" w:rsidRPr="002B1DFC" w:rsidRDefault="000B7923" w:rsidP="00772403">
      <w:pPr>
        <w:ind w:left="720"/>
        <w:rPr>
          <w:rFonts w:cs="Times New Roman"/>
        </w:rPr>
      </w:pPr>
    </w:p>
    <w:p w14:paraId="22DD4F94" w14:textId="77777777" w:rsidR="000B7923" w:rsidRPr="002B1DFC" w:rsidRDefault="000B7923" w:rsidP="00772403">
      <w:pPr>
        <w:numPr>
          <w:ilvl w:val="0"/>
          <w:numId w:val="5"/>
        </w:numPr>
        <w:ind w:left="720"/>
        <w:rPr>
          <w:rFonts w:cs="Times New Roman"/>
        </w:rPr>
      </w:pPr>
      <w:r w:rsidRPr="002B1DFC">
        <w:rPr>
          <w:rFonts w:cs="Times New Roman"/>
        </w:rPr>
        <w:t>Local or territorial level, where their activity provide:</w:t>
      </w:r>
    </w:p>
    <w:p w14:paraId="1F429A8A" w14:textId="5E2E11AC" w:rsidR="000B7923" w:rsidRPr="002B1DFC" w:rsidRDefault="000B7923" w:rsidP="00147937">
      <w:pPr>
        <w:numPr>
          <w:ilvl w:val="0"/>
          <w:numId w:val="28"/>
        </w:numPr>
        <w:ind w:left="1080"/>
        <w:rPr>
          <w:rFonts w:cs="Times New Roman"/>
        </w:rPr>
      </w:pPr>
      <w:r w:rsidRPr="002B1DFC">
        <w:rPr>
          <w:rFonts w:cs="Times New Roman"/>
        </w:rPr>
        <w:t>Regional executive authority of general competence;</w:t>
      </w:r>
    </w:p>
    <w:p w14:paraId="592F5555" w14:textId="77777777" w:rsidR="000B7923" w:rsidRPr="002B1DFC" w:rsidRDefault="000B7923" w:rsidP="00772403">
      <w:pPr>
        <w:numPr>
          <w:ilvl w:val="0"/>
          <w:numId w:val="28"/>
        </w:numPr>
        <w:ind w:left="1080"/>
        <w:rPr>
          <w:rFonts w:cs="Times New Roman"/>
        </w:rPr>
      </w:pPr>
      <w:r w:rsidRPr="002B1DFC">
        <w:rPr>
          <w:rFonts w:cs="Times New Roman"/>
        </w:rPr>
        <w:t xml:space="preserve">Sectoral authorities, which are subordinated to the central bodies of executive authority or are subordinated </w:t>
      </w:r>
      <w:r w:rsidR="00D832BC" w:rsidRPr="002B1DFC">
        <w:rPr>
          <w:rFonts w:cs="Times New Roman"/>
        </w:rPr>
        <w:t>both to central bodies of executive authority and to local</w:t>
      </w:r>
      <w:r w:rsidRPr="002B1DFC">
        <w:rPr>
          <w:rFonts w:cs="Times New Roman"/>
        </w:rPr>
        <w:t xml:space="preserve"> bodies. </w:t>
      </w:r>
    </w:p>
    <w:p w14:paraId="07E9765F" w14:textId="77777777" w:rsidR="000B7923" w:rsidRPr="002B1DFC" w:rsidRDefault="000B7923" w:rsidP="00275839">
      <w:pPr>
        <w:rPr>
          <w:rFonts w:cs="Times New Roman"/>
        </w:rPr>
      </w:pPr>
    </w:p>
    <w:p w14:paraId="226EE1D8" w14:textId="77777777" w:rsidR="000B7923" w:rsidRPr="002B1DFC" w:rsidRDefault="00D832BC" w:rsidP="00772403">
      <w:pPr>
        <w:pStyle w:val="ListParagraph"/>
        <w:numPr>
          <w:ilvl w:val="0"/>
          <w:numId w:val="68"/>
        </w:numPr>
        <w:tabs>
          <w:tab w:val="left" w:pos="360"/>
        </w:tabs>
        <w:spacing w:line="23" w:lineRule="atLeast"/>
        <w:ind w:left="0" w:firstLine="0"/>
        <w:rPr>
          <w:rFonts w:cs="Times New Roman"/>
        </w:rPr>
      </w:pPr>
      <w:r>
        <w:rPr>
          <w:rFonts w:cs="Times New Roman"/>
        </w:rPr>
        <w:t xml:space="preserve">The </w:t>
      </w:r>
      <w:r w:rsidR="005A1195">
        <w:rPr>
          <w:rFonts w:cs="Times New Roman"/>
        </w:rPr>
        <w:t>ministry</w:t>
      </w:r>
      <w:r w:rsidR="000B7923" w:rsidRPr="002B1DFC">
        <w:rPr>
          <w:rFonts w:cs="Times New Roman"/>
        </w:rPr>
        <w:t xml:space="preserve"> is a lead institution in the system of central bodies of executive authority, which provides an implementation of state policy in its specific field. Ministers are at the head of ministries and they are members of the Cabinet of Ministers of Ukraine. </w:t>
      </w:r>
    </w:p>
    <w:p w14:paraId="12DAF250" w14:textId="77777777" w:rsidR="000B7923" w:rsidRPr="002B1DFC" w:rsidRDefault="000B7923" w:rsidP="00275839">
      <w:pPr>
        <w:rPr>
          <w:rFonts w:cs="Times New Roman"/>
        </w:rPr>
      </w:pPr>
    </w:p>
    <w:p w14:paraId="748EAE8B"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Ministries and deputies of the CMU prepare draft legislation. Preparation and adoption of the environmental protection legal acts, decrees and resolutions (</w:t>
      </w:r>
      <w:proofErr w:type="spellStart"/>
      <w:r w:rsidRPr="002B1DFC">
        <w:rPr>
          <w:rFonts w:cs="Times New Roman"/>
          <w:i/>
          <w:iCs/>
        </w:rPr>
        <w:t>postanovy</w:t>
      </w:r>
      <w:proofErr w:type="spellEnd"/>
      <w:r w:rsidRPr="002B1DFC">
        <w:rPr>
          <w:rFonts w:cs="Times New Roman"/>
          <w:i/>
          <w:iCs/>
        </w:rPr>
        <w:t xml:space="preserve"> </w:t>
      </w:r>
      <w:r w:rsidRPr="001B3C85">
        <w:rPr>
          <w:rFonts w:cs="Times New Roman"/>
          <w:iCs/>
        </w:rPr>
        <w:t>and</w:t>
      </w:r>
      <w:r w:rsidRPr="002B1DFC">
        <w:rPr>
          <w:rFonts w:cs="Times New Roman"/>
          <w:i/>
          <w:iCs/>
        </w:rPr>
        <w:t xml:space="preserve"> </w:t>
      </w:r>
      <w:proofErr w:type="spellStart"/>
      <w:r w:rsidRPr="002B1DFC">
        <w:rPr>
          <w:rFonts w:cs="Times New Roman"/>
          <w:i/>
          <w:iCs/>
        </w:rPr>
        <w:t>rozporyadzhennya</w:t>
      </w:r>
      <w:proofErr w:type="spellEnd"/>
      <w:r w:rsidRPr="002B1DFC">
        <w:rPr>
          <w:rFonts w:cs="Times New Roman"/>
        </w:rPr>
        <w:t xml:space="preserve">), by the CMU is conducted in the following way: </w:t>
      </w:r>
    </w:p>
    <w:p w14:paraId="20CAEF47" w14:textId="77777777" w:rsidR="000B7923" w:rsidRPr="002B1DFC" w:rsidRDefault="000B7923" w:rsidP="005D64BA">
      <w:pPr>
        <w:rPr>
          <w:rFonts w:cs="Times New Roman"/>
        </w:rPr>
      </w:pPr>
    </w:p>
    <w:p w14:paraId="244A361C" w14:textId="77777777" w:rsidR="000B7923" w:rsidRPr="002B1DFC" w:rsidRDefault="00D832BC" w:rsidP="00B83095">
      <w:pPr>
        <w:pStyle w:val="ListParagraph"/>
        <w:numPr>
          <w:ilvl w:val="0"/>
          <w:numId w:val="39"/>
        </w:numPr>
        <w:rPr>
          <w:rFonts w:cs="Times New Roman"/>
        </w:rPr>
      </w:pPr>
      <w:r>
        <w:rPr>
          <w:rFonts w:cs="Times New Roman"/>
        </w:rPr>
        <w:t xml:space="preserve">The </w:t>
      </w:r>
      <w:r w:rsidR="005A1195">
        <w:rPr>
          <w:rFonts w:cs="Times New Roman"/>
        </w:rPr>
        <w:t>ministry</w:t>
      </w:r>
      <w:r w:rsidR="000B7923" w:rsidRPr="002B1DFC">
        <w:rPr>
          <w:rFonts w:cs="Times New Roman"/>
        </w:rPr>
        <w:t xml:space="preserve"> prepares a draft legal act and sends it for agreement to sectoral ministries, other central bodies of executive authority and interested organizations. </w:t>
      </w:r>
    </w:p>
    <w:p w14:paraId="4E0A964E" w14:textId="77777777" w:rsidR="000B7923" w:rsidRPr="002B1DFC" w:rsidRDefault="000B7923" w:rsidP="00B83095">
      <w:pPr>
        <w:pStyle w:val="ListParagraph"/>
        <w:numPr>
          <w:ilvl w:val="0"/>
          <w:numId w:val="39"/>
        </w:numPr>
        <w:rPr>
          <w:rFonts w:cs="Times New Roman"/>
        </w:rPr>
      </w:pPr>
      <w:r w:rsidRPr="002B1DFC">
        <w:rPr>
          <w:rFonts w:cs="Times New Roman"/>
        </w:rPr>
        <w:t xml:space="preserve">Within a timeframe of 30 calendar days, all stakeholders, should provide MENR their approval of the draft legal act or submit comments and suggestions for consideration. </w:t>
      </w:r>
    </w:p>
    <w:p w14:paraId="073508C7" w14:textId="77777777" w:rsidR="000B7923" w:rsidRPr="002B1DFC" w:rsidRDefault="000B7923" w:rsidP="00B83095">
      <w:pPr>
        <w:pStyle w:val="ListParagraph"/>
        <w:numPr>
          <w:ilvl w:val="0"/>
          <w:numId w:val="39"/>
        </w:numPr>
        <w:rPr>
          <w:rFonts w:cs="Times New Roman"/>
        </w:rPr>
      </w:pPr>
      <w:r w:rsidRPr="002B1DFC">
        <w:rPr>
          <w:rFonts w:cs="Times New Roman"/>
        </w:rPr>
        <w:t xml:space="preserve">The MENR updates relevant draft legal act and sends it again for concurrence. </w:t>
      </w:r>
    </w:p>
    <w:p w14:paraId="189E76FD" w14:textId="77777777" w:rsidR="000B7923" w:rsidRPr="002B1DFC" w:rsidRDefault="00D832BC" w:rsidP="00B83095">
      <w:pPr>
        <w:pStyle w:val="ListParagraph"/>
        <w:numPr>
          <w:ilvl w:val="0"/>
          <w:numId w:val="39"/>
        </w:numPr>
        <w:rPr>
          <w:rFonts w:cs="Times New Roman"/>
        </w:rPr>
      </w:pPr>
      <w:r>
        <w:rPr>
          <w:rFonts w:cs="Times New Roman"/>
        </w:rPr>
        <w:t xml:space="preserve">The </w:t>
      </w:r>
      <w:r w:rsidR="000B7923" w:rsidRPr="002B1DFC">
        <w:rPr>
          <w:rFonts w:cs="Times New Roman"/>
        </w:rPr>
        <w:t xml:space="preserve">MENR submits a draft legal act or regulation for further proceeding to the Cabinet of Ministers of Ukraine after final agreement with all stakeholders has been reached. </w:t>
      </w:r>
    </w:p>
    <w:p w14:paraId="12478056" w14:textId="77777777" w:rsidR="000B7923" w:rsidRPr="002B1DFC" w:rsidRDefault="000B7923" w:rsidP="00AA28C4">
      <w:pPr>
        <w:ind w:left="360"/>
        <w:rPr>
          <w:rFonts w:cs="Times New Roman"/>
        </w:rPr>
      </w:pPr>
    </w:p>
    <w:p w14:paraId="5C130E1A"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Based on the adopted legal acts and regulations by the CMU, the </w:t>
      </w:r>
      <w:r w:rsidR="005A1195">
        <w:rPr>
          <w:rFonts w:cs="Times New Roman"/>
        </w:rPr>
        <w:t>ministry</w:t>
      </w:r>
      <w:r w:rsidRPr="002B1DFC">
        <w:rPr>
          <w:rFonts w:cs="Times New Roman"/>
        </w:rPr>
        <w:t xml:space="preserve"> has a right to issue internal orders in the relevant sphere of competence. Various norms, rules, standards, guidance</w:t>
      </w:r>
      <w:r w:rsidR="00D832BC">
        <w:rPr>
          <w:rFonts w:cs="Times New Roman"/>
        </w:rPr>
        <w:t>,</w:t>
      </w:r>
      <w:r w:rsidRPr="002B1DFC">
        <w:rPr>
          <w:rFonts w:cs="Times New Roman"/>
        </w:rPr>
        <w:t xml:space="preserve"> and methodological recommendations</w:t>
      </w:r>
      <w:r w:rsidR="00D832BC">
        <w:rPr>
          <w:rFonts w:cs="Times New Roman"/>
        </w:rPr>
        <w:t>—</w:t>
      </w:r>
      <w:r w:rsidRPr="002B1DFC">
        <w:rPr>
          <w:rFonts w:cs="Times New Roman"/>
        </w:rPr>
        <w:t>jointly referred to as regulations (</w:t>
      </w:r>
      <w:proofErr w:type="spellStart"/>
      <w:r w:rsidRPr="001B3C85">
        <w:rPr>
          <w:rFonts w:cs="Times New Roman"/>
          <w:i/>
        </w:rPr>
        <w:t>normatyvno-pravovi</w:t>
      </w:r>
      <w:proofErr w:type="spellEnd"/>
      <w:r w:rsidRPr="001B3C85">
        <w:rPr>
          <w:rFonts w:cs="Times New Roman"/>
          <w:i/>
        </w:rPr>
        <w:t xml:space="preserve"> </w:t>
      </w:r>
      <w:proofErr w:type="spellStart"/>
      <w:r w:rsidRPr="001B3C85">
        <w:rPr>
          <w:rFonts w:cs="Times New Roman"/>
          <w:i/>
        </w:rPr>
        <w:t>akty</w:t>
      </w:r>
      <w:proofErr w:type="spellEnd"/>
      <w:r w:rsidRPr="002B1DFC">
        <w:rPr>
          <w:rFonts w:cs="Times New Roman"/>
        </w:rPr>
        <w:t>)</w:t>
      </w:r>
      <w:r w:rsidR="00D832BC">
        <w:rPr>
          <w:rFonts w:cs="Times New Roman"/>
        </w:rPr>
        <w:t>—</w:t>
      </w:r>
      <w:r w:rsidRPr="002B1DFC">
        <w:rPr>
          <w:rFonts w:cs="Times New Roman"/>
        </w:rPr>
        <w:t>are approved by the CMU’s decrees/resolutions and orders of the ministries. To become legal, each legislative document has to be registered with the Ministry of Justice of Ukraine.</w:t>
      </w:r>
    </w:p>
    <w:p w14:paraId="6210D163" w14:textId="77777777" w:rsidR="000B7923" w:rsidRPr="002B1DFC" w:rsidRDefault="000B7923" w:rsidP="00AD549F">
      <w:pPr>
        <w:pStyle w:val="Heading2"/>
      </w:pPr>
      <w:bookmarkStart w:id="64" w:name="_Toc440273957"/>
      <w:r w:rsidRPr="002B1DFC">
        <w:t>Environment and Sector Strategies and Plans</w:t>
      </w:r>
      <w:bookmarkEnd w:id="64"/>
    </w:p>
    <w:p w14:paraId="3A3DA9EB" w14:textId="77777777" w:rsidR="000B7923" w:rsidRPr="002B1DFC" w:rsidRDefault="000B7923" w:rsidP="00F33595">
      <w:pPr>
        <w:rPr>
          <w:rFonts w:cs="Times New Roman"/>
          <w:color w:val="FF0000"/>
        </w:rPr>
      </w:pPr>
    </w:p>
    <w:p w14:paraId="6AAC65E0"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The first document</w:t>
      </w:r>
      <w:r w:rsidR="00D832BC">
        <w:rPr>
          <w:rFonts w:cs="Times New Roman"/>
        </w:rPr>
        <w:t xml:space="preserve"> of environment and sector strategies and plans</w:t>
      </w:r>
      <w:r w:rsidRPr="002B1DFC">
        <w:rPr>
          <w:rFonts w:cs="Times New Roman"/>
        </w:rPr>
        <w:t xml:space="preserve">, which set the general background for national policy and actions for environmental protection and </w:t>
      </w:r>
      <w:r w:rsidR="00D832BC">
        <w:rPr>
          <w:rFonts w:cs="Times New Roman"/>
        </w:rPr>
        <w:t>their</w:t>
      </w:r>
      <w:r w:rsidRPr="002B1DFC">
        <w:rPr>
          <w:rFonts w:cs="Times New Roman"/>
        </w:rPr>
        <w:t xml:space="preserve"> integration into economic reforms in Ukraine, was “</w:t>
      </w:r>
      <w:r w:rsidRPr="002B1DFC">
        <w:rPr>
          <w:rFonts w:cs="Times New Roman"/>
          <w:b/>
          <w:bCs/>
        </w:rPr>
        <w:t>Main Directions of the National Policy of Ukraine for Environmental Protection, Natural Resource Use and Environmental Safety</w:t>
      </w:r>
      <w:r w:rsidRPr="002B1DFC">
        <w:rPr>
          <w:rFonts w:cs="Times New Roman"/>
        </w:rPr>
        <w:t>” (</w:t>
      </w:r>
      <w:r w:rsidR="001826FB">
        <w:rPr>
          <w:rFonts w:cs="Times New Roman"/>
        </w:rPr>
        <w:t>“</w:t>
      </w:r>
      <w:r w:rsidRPr="002B1DFC">
        <w:rPr>
          <w:rFonts w:cs="Times New Roman"/>
        </w:rPr>
        <w:t>Main Directions</w:t>
      </w:r>
      <w:r w:rsidR="001826FB">
        <w:rPr>
          <w:rFonts w:cs="Times New Roman"/>
        </w:rPr>
        <w:t>”</w:t>
      </w:r>
      <w:r w:rsidRPr="002B1DFC">
        <w:rPr>
          <w:rFonts w:cs="Times New Roman"/>
        </w:rPr>
        <w:t>)</w:t>
      </w:r>
      <w:r w:rsidR="001826FB">
        <w:rPr>
          <w:rFonts w:cs="Times New Roman"/>
        </w:rPr>
        <w:t>. This document was</w:t>
      </w:r>
      <w:r w:rsidRPr="002B1DFC">
        <w:rPr>
          <w:rFonts w:cs="Times New Roman"/>
        </w:rPr>
        <w:t xml:space="preserve"> adopted by the Parliament’s decree on March 5, 1998</w:t>
      </w:r>
      <w:r w:rsidR="001826FB">
        <w:rPr>
          <w:rFonts w:cs="Times New Roman"/>
        </w:rPr>
        <w:t>,</w:t>
      </w:r>
      <w:r w:rsidRPr="002B1DFC">
        <w:rPr>
          <w:rFonts w:cs="Times New Roman"/>
        </w:rPr>
        <w:t xml:space="preserve"> for the implementation of Article 16 of the Constitution of Ukraine and Law “On Environmental Protection” (1991). The Main Directions document established a foundation for the development of a number </w:t>
      </w:r>
      <w:r w:rsidR="0041197D">
        <w:rPr>
          <w:rFonts w:cs="Times New Roman"/>
        </w:rPr>
        <w:t xml:space="preserve">of </w:t>
      </w:r>
      <w:r w:rsidRPr="002B1DFC">
        <w:rPr>
          <w:rFonts w:cs="Times New Roman"/>
        </w:rPr>
        <w:t>state targeted programs that were adopted during 1999</w:t>
      </w:r>
      <w:r w:rsidR="0041197D">
        <w:rPr>
          <w:rFonts w:cs="Times New Roman"/>
        </w:rPr>
        <w:t>–</w:t>
      </w:r>
      <w:r w:rsidRPr="002B1DFC">
        <w:rPr>
          <w:rFonts w:cs="Times New Roman"/>
        </w:rPr>
        <w:t>2012</w:t>
      </w:r>
      <w:r w:rsidR="0041197D">
        <w:rPr>
          <w:rFonts w:cs="Times New Roman"/>
        </w:rPr>
        <w:t>. Following is a list of those programs</w:t>
      </w:r>
      <w:r w:rsidRPr="002B1DFC">
        <w:rPr>
          <w:rFonts w:cs="Times New Roman"/>
        </w:rPr>
        <w:t>:</w:t>
      </w:r>
    </w:p>
    <w:p w14:paraId="72CD237B" w14:textId="77777777" w:rsidR="000B7923" w:rsidRPr="002B1DFC" w:rsidRDefault="000B7923" w:rsidP="000A5AF6">
      <w:pPr>
        <w:rPr>
          <w:rFonts w:cs="Times New Roman"/>
        </w:rPr>
      </w:pPr>
    </w:p>
    <w:p w14:paraId="42D70F1C" w14:textId="77777777" w:rsidR="000B7923" w:rsidRPr="002B1DFC" w:rsidRDefault="000B7923" w:rsidP="00B83095">
      <w:pPr>
        <w:numPr>
          <w:ilvl w:val="0"/>
          <w:numId w:val="11"/>
        </w:numPr>
        <w:ind w:left="360"/>
        <w:rPr>
          <w:rFonts w:cs="Times New Roman"/>
        </w:rPr>
      </w:pPr>
      <w:r w:rsidRPr="002B1DFC">
        <w:rPr>
          <w:rFonts w:cs="Times New Roman"/>
        </w:rPr>
        <w:t>State Environmental Program on Crimea’s Development (“Environmentally Safe Crimea”) for 2011</w:t>
      </w:r>
      <w:r w:rsidR="0041197D">
        <w:rPr>
          <w:rFonts w:cs="Times New Roman"/>
        </w:rPr>
        <w:t>–</w:t>
      </w:r>
      <w:r w:rsidRPr="002B1DFC">
        <w:rPr>
          <w:rFonts w:cs="Times New Roman"/>
        </w:rPr>
        <w:t xml:space="preserve">2015 (2011); </w:t>
      </w:r>
    </w:p>
    <w:p w14:paraId="4F6B6E87" w14:textId="77777777" w:rsidR="000B7923" w:rsidRPr="002B1DFC" w:rsidRDefault="000B7923" w:rsidP="00B83095">
      <w:pPr>
        <w:numPr>
          <w:ilvl w:val="0"/>
          <w:numId w:val="11"/>
        </w:numPr>
        <w:ind w:left="360"/>
        <w:rPr>
          <w:rFonts w:cs="Times New Roman"/>
        </w:rPr>
      </w:pPr>
      <w:r w:rsidRPr="002B1DFC">
        <w:rPr>
          <w:rFonts w:cs="Times New Roman"/>
        </w:rPr>
        <w:t>State Program on the Development of Mineral &amp; Raw Materials in Ukraine till 2030 (2011);</w:t>
      </w:r>
    </w:p>
    <w:p w14:paraId="677C0436" w14:textId="77777777" w:rsidR="000B7923" w:rsidRPr="002B1DFC" w:rsidRDefault="000B7923" w:rsidP="00B83095">
      <w:pPr>
        <w:numPr>
          <w:ilvl w:val="0"/>
          <w:numId w:val="11"/>
        </w:numPr>
        <w:ind w:left="360"/>
        <w:rPr>
          <w:rFonts w:cs="Times New Roman"/>
        </w:rPr>
      </w:pPr>
      <w:r w:rsidRPr="002B1DFC">
        <w:rPr>
          <w:rFonts w:cs="Times New Roman"/>
        </w:rPr>
        <w:t>State Program “Forests of Ukraine” for 2010</w:t>
      </w:r>
      <w:r w:rsidR="0041197D">
        <w:rPr>
          <w:rFonts w:cs="Times New Roman"/>
        </w:rPr>
        <w:t>–</w:t>
      </w:r>
      <w:r w:rsidRPr="002B1DFC">
        <w:rPr>
          <w:rFonts w:cs="Times New Roman"/>
        </w:rPr>
        <w:t xml:space="preserve">2015 (2009); </w:t>
      </w:r>
    </w:p>
    <w:p w14:paraId="1BBA7D49" w14:textId="77777777" w:rsidR="000B7923" w:rsidRPr="002B1DFC" w:rsidRDefault="000B7923" w:rsidP="00B83095">
      <w:pPr>
        <w:numPr>
          <w:ilvl w:val="0"/>
          <w:numId w:val="11"/>
        </w:numPr>
        <w:ind w:left="360"/>
        <w:rPr>
          <w:rFonts w:cs="Times New Roman"/>
        </w:rPr>
      </w:pPr>
      <w:r w:rsidRPr="002B1DFC">
        <w:rPr>
          <w:rFonts w:cs="Times New Roman"/>
        </w:rPr>
        <w:t>State Ecological Program on the Implementation of Environmental Monitoring (2007);</w:t>
      </w:r>
    </w:p>
    <w:p w14:paraId="5C65220C" w14:textId="77777777" w:rsidR="000B7923" w:rsidRPr="002B1DFC" w:rsidRDefault="000B7923" w:rsidP="00B83095">
      <w:pPr>
        <w:numPr>
          <w:ilvl w:val="0"/>
          <w:numId w:val="11"/>
        </w:numPr>
        <w:ind w:left="360"/>
        <w:rPr>
          <w:rFonts w:cs="Times New Roman"/>
        </w:rPr>
      </w:pPr>
      <w:r w:rsidRPr="002B1DFC">
        <w:rPr>
          <w:rFonts w:cs="Times New Roman"/>
        </w:rPr>
        <w:t>State Program on the Development of Mineral &amp; Raw Materials in Ukraine till 2010 (2006);</w:t>
      </w:r>
    </w:p>
    <w:p w14:paraId="2ED81FF8" w14:textId="77777777" w:rsidR="000B7923" w:rsidRPr="002B1DFC" w:rsidRDefault="000B7923" w:rsidP="00B83095">
      <w:pPr>
        <w:numPr>
          <w:ilvl w:val="0"/>
          <w:numId w:val="11"/>
        </w:numPr>
        <w:ind w:left="360"/>
        <w:rPr>
          <w:rFonts w:cs="Times New Roman"/>
        </w:rPr>
      </w:pPr>
      <w:r w:rsidRPr="002B1DFC">
        <w:rPr>
          <w:rFonts w:cs="Times New Roman"/>
        </w:rPr>
        <w:lastRenderedPageBreak/>
        <w:t>State Program “Drinking Water of Ukraine” for 2011</w:t>
      </w:r>
      <w:r w:rsidR="0041197D">
        <w:rPr>
          <w:rFonts w:cs="Times New Roman"/>
        </w:rPr>
        <w:t>–</w:t>
      </w:r>
      <w:r w:rsidRPr="002B1DFC">
        <w:rPr>
          <w:rFonts w:cs="Times New Roman"/>
        </w:rPr>
        <w:t>2020 (2005);</w:t>
      </w:r>
    </w:p>
    <w:p w14:paraId="344F3F5E" w14:textId="77777777" w:rsidR="000B7923" w:rsidRPr="002B1DFC" w:rsidRDefault="000B7923" w:rsidP="00B83095">
      <w:pPr>
        <w:numPr>
          <w:ilvl w:val="0"/>
          <w:numId w:val="11"/>
        </w:numPr>
        <w:ind w:left="360"/>
        <w:rPr>
          <w:rFonts w:cs="Times New Roman"/>
        </w:rPr>
      </w:pPr>
      <w:r w:rsidRPr="002B1DFC">
        <w:rPr>
          <w:rFonts w:cs="Times New Roman"/>
        </w:rPr>
        <w:t>Program on Cessation of Production and Usage of Substances that Deplete the Ozone Layer for 2004</w:t>
      </w:r>
      <w:r w:rsidR="0041197D">
        <w:rPr>
          <w:rFonts w:cs="Times New Roman"/>
        </w:rPr>
        <w:t>–</w:t>
      </w:r>
      <w:r w:rsidRPr="002B1DFC">
        <w:rPr>
          <w:rFonts w:cs="Times New Roman"/>
        </w:rPr>
        <w:t>2030 (2004);</w:t>
      </w:r>
    </w:p>
    <w:p w14:paraId="5F3EBD8E" w14:textId="77777777" w:rsidR="000B7923" w:rsidRPr="002B1DFC" w:rsidRDefault="000B7923" w:rsidP="00B83095">
      <w:pPr>
        <w:numPr>
          <w:ilvl w:val="0"/>
          <w:numId w:val="11"/>
        </w:numPr>
        <w:ind w:left="360"/>
        <w:rPr>
          <w:rFonts w:cs="Times New Roman"/>
        </w:rPr>
      </w:pPr>
      <w:r w:rsidRPr="002B1DFC">
        <w:rPr>
          <w:rFonts w:cs="Times New Roman"/>
        </w:rPr>
        <w:t>Program on Landslide Control’s Measures for 2005</w:t>
      </w:r>
      <w:r w:rsidR="0041197D">
        <w:rPr>
          <w:rFonts w:cs="Times New Roman"/>
        </w:rPr>
        <w:t>–</w:t>
      </w:r>
      <w:r w:rsidRPr="002B1DFC">
        <w:rPr>
          <w:rFonts w:cs="Times New Roman"/>
        </w:rPr>
        <w:t>2014 (2004);</w:t>
      </w:r>
    </w:p>
    <w:p w14:paraId="04FAEA93" w14:textId="77777777" w:rsidR="000B7923" w:rsidRPr="002B1DFC" w:rsidRDefault="000B7923" w:rsidP="00B83095">
      <w:pPr>
        <w:numPr>
          <w:ilvl w:val="0"/>
          <w:numId w:val="11"/>
        </w:numPr>
        <w:ind w:left="360"/>
        <w:rPr>
          <w:rFonts w:cs="Times New Roman"/>
        </w:rPr>
      </w:pPr>
      <w:r w:rsidRPr="002B1DFC">
        <w:rPr>
          <w:rFonts w:cs="Times New Roman"/>
        </w:rPr>
        <w:t>Solid Household Waste Management Program (2004);</w:t>
      </w:r>
    </w:p>
    <w:p w14:paraId="2905B1CA" w14:textId="77777777" w:rsidR="000B7923" w:rsidRPr="002B1DFC" w:rsidRDefault="000B7923" w:rsidP="00B83095">
      <w:pPr>
        <w:numPr>
          <w:ilvl w:val="0"/>
          <w:numId w:val="11"/>
        </w:numPr>
        <w:ind w:left="360"/>
        <w:rPr>
          <w:rFonts w:cs="Times New Roman"/>
        </w:rPr>
      </w:pPr>
      <w:r w:rsidRPr="002B1DFC">
        <w:rPr>
          <w:rFonts w:cs="Times New Roman"/>
        </w:rPr>
        <w:t>Program on the Implementation at the National Level the Decisions Adopted at the World Summit of Sustainable Development for 2003</w:t>
      </w:r>
      <w:r w:rsidR="0041197D">
        <w:rPr>
          <w:rFonts w:cs="Times New Roman"/>
        </w:rPr>
        <w:t>–</w:t>
      </w:r>
      <w:r w:rsidRPr="002B1DFC">
        <w:rPr>
          <w:rFonts w:cs="Times New Roman"/>
        </w:rPr>
        <w:t>2015 (2003);</w:t>
      </w:r>
    </w:p>
    <w:p w14:paraId="5A82688D" w14:textId="2868CFA6" w:rsidR="000B7923" w:rsidRPr="002B1DFC" w:rsidRDefault="000B7923">
      <w:pPr>
        <w:numPr>
          <w:ilvl w:val="0"/>
          <w:numId w:val="11"/>
        </w:numPr>
        <w:ind w:left="360"/>
        <w:rPr>
          <w:rFonts w:cs="Times New Roman"/>
        </w:rPr>
      </w:pPr>
      <w:r w:rsidRPr="002B1DFC">
        <w:rPr>
          <w:rFonts w:cs="Times New Roman"/>
        </w:rPr>
        <w:t>State Research and Engineering Program for Development of Topography and Geodesy and of the National Cartography for 2003–2010 (2003);</w:t>
      </w:r>
    </w:p>
    <w:p w14:paraId="57F1BEB7" w14:textId="77777777" w:rsidR="000B7923" w:rsidRPr="002B1DFC" w:rsidRDefault="000B7923" w:rsidP="00B83095">
      <w:pPr>
        <w:numPr>
          <w:ilvl w:val="0"/>
          <w:numId w:val="11"/>
        </w:numPr>
        <w:ind w:left="360"/>
        <w:rPr>
          <w:rFonts w:cs="Times New Roman"/>
        </w:rPr>
      </w:pPr>
      <w:r w:rsidRPr="002B1DFC">
        <w:rPr>
          <w:rFonts w:cs="Times New Roman"/>
        </w:rPr>
        <w:t>National Program for the Protection and Rehabilitation of the Environment of the Black Sea and Sea of Azov (2001);</w:t>
      </w:r>
    </w:p>
    <w:p w14:paraId="702E55FC" w14:textId="77777777" w:rsidR="000B7923" w:rsidRPr="002B1DFC" w:rsidRDefault="000B7923" w:rsidP="00B83095">
      <w:pPr>
        <w:numPr>
          <w:ilvl w:val="0"/>
          <w:numId w:val="11"/>
        </w:numPr>
        <w:ind w:left="360"/>
        <w:rPr>
          <w:rFonts w:cs="Times New Roman"/>
        </w:rPr>
      </w:pPr>
      <w:r w:rsidRPr="002B1DFC">
        <w:rPr>
          <w:rFonts w:cs="Times New Roman"/>
        </w:rPr>
        <w:t>National Toxic Waste Management Program (2000);</w:t>
      </w:r>
    </w:p>
    <w:p w14:paraId="3CA586C7" w14:textId="77777777" w:rsidR="000B7923" w:rsidRPr="002B1DFC" w:rsidRDefault="000B7923" w:rsidP="00B83095">
      <w:pPr>
        <w:numPr>
          <w:ilvl w:val="0"/>
          <w:numId w:val="11"/>
        </w:numPr>
        <w:ind w:left="360"/>
        <w:rPr>
          <w:rFonts w:cs="Times New Roman"/>
        </w:rPr>
      </w:pPr>
      <w:r w:rsidRPr="002B1DFC">
        <w:rPr>
          <w:rFonts w:cs="Times New Roman"/>
        </w:rPr>
        <w:t>State Program for the Creation of National Ecological Network in Ukraine for 2000</w:t>
      </w:r>
      <w:r w:rsidR="0041197D">
        <w:rPr>
          <w:rFonts w:cs="Times New Roman"/>
        </w:rPr>
        <w:t>–</w:t>
      </w:r>
      <w:r w:rsidRPr="002B1DFC">
        <w:rPr>
          <w:rFonts w:cs="Times New Roman"/>
        </w:rPr>
        <w:t>2015 (2000);</w:t>
      </w:r>
    </w:p>
    <w:p w14:paraId="35305F3A" w14:textId="77777777" w:rsidR="000B7923" w:rsidRPr="005C2F51" w:rsidRDefault="000B7923" w:rsidP="00B83095">
      <w:pPr>
        <w:numPr>
          <w:ilvl w:val="0"/>
          <w:numId w:val="11"/>
        </w:numPr>
        <w:ind w:left="360"/>
        <w:rPr>
          <w:rFonts w:cs="Times New Roman"/>
          <w:color w:val="000000" w:themeColor="text1"/>
        </w:rPr>
      </w:pPr>
      <w:r w:rsidRPr="002B1DFC">
        <w:rPr>
          <w:rFonts w:cs="Times New Roman"/>
        </w:rPr>
        <w:t xml:space="preserve">Program on the Implementation of the Convention on the Prohibition of the Development, Production, </w:t>
      </w:r>
      <w:r w:rsidRPr="005C2F51">
        <w:rPr>
          <w:rFonts w:cs="Times New Roman"/>
          <w:color w:val="000000" w:themeColor="text1"/>
        </w:rPr>
        <w:t xml:space="preserve">Stockpiling and Use of Chemical Weapons and on their Destruction for </w:t>
      </w:r>
      <w:r w:rsidRPr="005C2F51">
        <w:rPr>
          <w:rFonts w:cs="Times New Roman"/>
          <w:color w:val="000000" w:themeColor="text1"/>
        </w:rPr>
        <w:br/>
        <w:t>1999</w:t>
      </w:r>
      <w:r w:rsidR="0041197D" w:rsidRPr="005C2F51">
        <w:rPr>
          <w:rFonts w:cs="Times New Roman"/>
          <w:color w:val="000000" w:themeColor="text1"/>
        </w:rPr>
        <w:t>–</w:t>
      </w:r>
      <w:r w:rsidRPr="005C2F51">
        <w:rPr>
          <w:rFonts w:cs="Times New Roman"/>
          <w:color w:val="000000" w:themeColor="text1"/>
        </w:rPr>
        <w:t>2008 (1999).</w:t>
      </w:r>
    </w:p>
    <w:p w14:paraId="1BC2133B" w14:textId="77777777" w:rsidR="000B7923" w:rsidRPr="005C2F51" w:rsidRDefault="000B7923" w:rsidP="00F33595">
      <w:pPr>
        <w:rPr>
          <w:rFonts w:cs="Times New Roman"/>
          <w:color w:val="000000" w:themeColor="text1"/>
        </w:rPr>
      </w:pPr>
    </w:p>
    <w:p w14:paraId="7F688C21" w14:textId="77777777" w:rsidR="000B7923" w:rsidRPr="005C2F51" w:rsidRDefault="000B7923" w:rsidP="00772403">
      <w:pPr>
        <w:pStyle w:val="ListParagraph"/>
        <w:numPr>
          <w:ilvl w:val="0"/>
          <w:numId w:val="68"/>
        </w:numPr>
        <w:tabs>
          <w:tab w:val="left" w:pos="360"/>
        </w:tabs>
        <w:spacing w:line="23" w:lineRule="atLeast"/>
        <w:ind w:left="0" w:firstLine="0"/>
        <w:rPr>
          <w:rFonts w:cs="Times New Roman"/>
          <w:color w:val="000000" w:themeColor="text1"/>
        </w:rPr>
      </w:pPr>
      <w:r w:rsidRPr="005C2F51">
        <w:rPr>
          <w:rFonts w:cs="Times New Roman"/>
          <w:bCs/>
          <w:iCs/>
          <w:color w:val="000000" w:themeColor="text1"/>
        </w:rPr>
        <w:t xml:space="preserve">To address its environmental challenges, Ukraine prepared its </w:t>
      </w:r>
      <w:r w:rsidRPr="005C2F51">
        <w:rPr>
          <w:rFonts w:cs="Times New Roman"/>
          <w:b/>
          <w:iCs/>
          <w:color w:val="000000" w:themeColor="text1"/>
        </w:rPr>
        <w:t>National Environment Strategy 2020 (NES)</w:t>
      </w:r>
      <w:r w:rsidRPr="005C2F51">
        <w:rPr>
          <w:rFonts w:cs="Times New Roman"/>
          <w:bCs/>
          <w:iCs/>
          <w:color w:val="000000" w:themeColor="text1"/>
        </w:rPr>
        <w:t xml:space="preserve"> which</w:t>
      </w:r>
      <w:r w:rsidRPr="005C2F51">
        <w:rPr>
          <w:rFonts w:cs="Times New Roman"/>
          <w:b/>
          <w:iCs/>
          <w:color w:val="000000" w:themeColor="text1"/>
        </w:rPr>
        <w:t xml:space="preserve"> </w:t>
      </w:r>
      <w:r w:rsidRPr="005C2F51">
        <w:rPr>
          <w:rFonts w:cs="Times New Roman"/>
          <w:bCs/>
          <w:iCs/>
          <w:color w:val="000000" w:themeColor="text1"/>
        </w:rPr>
        <w:t xml:space="preserve">was adopted by the Parliament in 2010. </w:t>
      </w:r>
      <w:r w:rsidRPr="005C2F51">
        <w:rPr>
          <w:rFonts w:cs="Times New Roman"/>
          <w:color w:val="000000" w:themeColor="text1"/>
        </w:rPr>
        <w:t xml:space="preserve">NES reflects the key environmental challenges facing Ukraine, and assigns priorities to air quality, water and land resources, forests and biodiversity, waste management and biosafety.  </w:t>
      </w:r>
      <w:r w:rsidRPr="005C2F51">
        <w:rPr>
          <w:rFonts w:cs="Times New Roman"/>
          <w:bCs/>
          <w:iCs/>
          <w:color w:val="000000" w:themeColor="text1"/>
        </w:rPr>
        <w:t>T</w:t>
      </w:r>
      <w:r w:rsidRPr="005C2F51">
        <w:rPr>
          <w:rFonts w:cs="Times New Roman"/>
          <w:color w:val="000000" w:themeColor="text1"/>
        </w:rPr>
        <w:t xml:space="preserve">he NES aims to achieve seven strategic goals, which include 104 strategic tasks: </w:t>
      </w:r>
    </w:p>
    <w:p w14:paraId="68D4DC0D" w14:textId="77777777" w:rsidR="000B7923" w:rsidRPr="002B1DFC" w:rsidRDefault="000B7923" w:rsidP="00CA2EF1">
      <w:pPr>
        <w:ind w:left="720" w:hanging="720"/>
        <w:rPr>
          <w:rFonts w:cs="Times New Roman"/>
          <w:bCs/>
        </w:rPr>
      </w:pPr>
    </w:p>
    <w:p w14:paraId="490AC78C" w14:textId="77777777" w:rsidR="000B7923" w:rsidRPr="002B1DFC" w:rsidRDefault="000B7923" w:rsidP="006C1F52">
      <w:pPr>
        <w:ind w:left="1440" w:hanging="720"/>
        <w:jc w:val="left"/>
        <w:rPr>
          <w:rFonts w:cs="Times New Roman"/>
          <w:bCs/>
        </w:rPr>
      </w:pPr>
      <w:r w:rsidRPr="002B1DFC">
        <w:rPr>
          <w:rFonts w:cs="Times New Roman"/>
          <w:bCs/>
        </w:rPr>
        <w:t xml:space="preserve">Goal 1. Promotion of public environmental awareness (16 strategic tasks); </w:t>
      </w:r>
    </w:p>
    <w:p w14:paraId="3D96241F" w14:textId="77777777" w:rsidR="000B7923" w:rsidRPr="002B1DFC" w:rsidRDefault="000B7923" w:rsidP="006C1F52">
      <w:pPr>
        <w:ind w:left="1440" w:hanging="720"/>
        <w:jc w:val="left"/>
        <w:rPr>
          <w:rFonts w:cs="Times New Roman"/>
          <w:bCs/>
        </w:rPr>
      </w:pPr>
      <w:r w:rsidRPr="002B1DFC">
        <w:rPr>
          <w:rFonts w:cs="Times New Roman"/>
          <w:bCs/>
        </w:rPr>
        <w:t xml:space="preserve">Goal 2. Improvement of ecological situation and promotion of environmental safety (34 tasks); </w:t>
      </w:r>
    </w:p>
    <w:p w14:paraId="43F48012" w14:textId="77777777" w:rsidR="000B7923" w:rsidRPr="002B1DFC" w:rsidRDefault="000B7923" w:rsidP="006C1F52">
      <w:pPr>
        <w:ind w:left="1440" w:hanging="720"/>
        <w:jc w:val="left"/>
        <w:rPr>
          <w:rFonts w:cs="Times New Roman"/>
          <w:bCs/>
        </w:rPr>
      </w:pPr>
      <w:r w:rsidRPr="002B1DFC">
        <w:rPr>
          <w:rFonts w:cs="Times New Roman"/>
          <w:bCs/>
        </w:rPr>
        <w:t xml:space="preserve">Goal 3. Achievement of safe level of environmental conditions for the population health (11 tasks); </w:t>
      </w:r>
    </w:p>
    <w:p w14:paraId="15E1FEF8" w14:textId="5ECD3E04" w:rsidR="000B7923" w:rsidRPr="002B1DFC" w:rsidRDefault="006C1F52" w:rsidP="006C1F52">
      <w:pPr>
        <w:ind w:left="1440" w:hanging="720"/>
        <w:jc w:val="left"/>
        <w:rPr>
          <w:rFonts w:cs="Times New Roman"/>
          <w:bCs/>
        </w:rPr>
      </w:pPr>
      <w:r>
        <w:rPr>
          <w:rFonts w:cs="Times New Roman"/>
          <w:bCs/>
        </w:rPr>
        <w:t xml:space="preserve">Goal </w:t>
      </w:r>
      <w:r w:rsidR="000B7923" w:rsidRPr="002B1DFC">
        <w:rPr>
          <w:rFonts w:cs="Times New Roman"/>
          <w:bCs/>
        </w:rPr>
        <w:t xml:space="preserve">4. Environmental policy’s integration and improvement of integrated environmental management’ system (17 tasks); </w:t>
      </w:r>
    </w:p>
    <w:p w14:paraId="19FF2E10" w14:textId="77777777" w:rsidR="000B7923" w:rsidRPr="002B1DFC" w:rsidRDefault="000B7923" w:rsidP="006C1F52">
      <w:pPr>
        <w:ind w:left="1440" w:hanging="720"/>
        <w:jc w:val="left"/>
        <w:rPr>
          <w:rFonts w:cs="Times New Roman"/>
          <w:bCs/>
        </w:rPr>
      </w:pPr>
      <w:r w:rsidRPr="002B1DFC">
        <w:rPr>
          <w:rFonts w:cs="Times New Roman"/>
          <w:bCs/>
        </w:rPr>
        <w:t xml:space="preserve">Goal 5. Cessation of losses of biological and landscape biodiversity, and creation of environmental network (8 strategic tasks); </w:t>
      </w:r>
    </w:p>
    <w:p w14:paraId="6D96D79A" w14:textId="77777777" w:rsidR="000B7923" w:rsidRPr="002B1DFC" w:rsidRDefault="000B7923" w:rsidP="006C1F52">
      <w:pPr>
        <w:ind w:left="1440" w:hanging="720"/>
        <w:jc w:val="left"/>
        <w:rPr>
          <w:rFonts w:cs="Times New Roman"/>
          <w:bCs/>
        </w:rPr>
      </w:pPr>
      <w:r w:rsidRPr="002B1DFC">
        <w:rPr>
          <w:rFonts w:cs="Times New Roman"/>
          <w:bCs/>
        </w:rPr>
        <w:t xml:space="preserve">Goal 6. Provision of environmentally balanced nature management (9 tasks); </w:t>
      </w:r>
      <w:r w:rsidR="00EF0A33">
        <w:rPr>
          <w:rFonts w:cs="Times New Roman"/>
          <w:bCs/>
        </w:rPr>
        <w:t>and</w:t>
      </w:r>
    </w:p>
    <w:p w14:paraId="4EDA2D33" w14:textId="77777777" w:rsidR="000B7923" w:rsidRPr="002B1DFC" w:rsidRDefault="000B7923" w:rsidP="006C1F52">
      <w:pPr>
        <w:ind w:left="1440" w:hanging="720"/>
        <w:jc w:val="left"/>
        <w:rPr>
          <w:rFonts w:cs="Times New Roman"/>
          <w:bCs/>
        </w:rPr>
      </w:pPr>
      <w:r w:rsidRPr="002B1DFC">
        <w:rPr>
          <w:rFonts w:cs="Times New Roman"/>
          <w:bCs/>
        </w:rPr>
        <w:t xml:space="preserve">Goal 7. Improvement of regional environmental policy (9 tasks). </w:t>
      </w:r>
    </w:p>
    <w:p w14:paraId="2304D9EB" w14:textId="77777777" w:rsidR="000B7923" w:rsidRPr="002B1DFC" w:rsidRDefault="000B7923" w:rsidP="00F33595">
      <w:pPr>
        <w:rPr>
          <w:rFonts w:cs="Times New Roman"/>
        </w:rPr>
      </w:pPr>
    </w:p>
    <w:p w14:paraId="0C28BE6D" w14:textId="6FC1C93A" w:rsidR="000B7923" w:rsidRPr="005C2F51" w:rsidRDefault="000B7923" w:rsidP="005C2F51">
      <w:pPr>
        <w:pStyle w:val="ListParagraph"/>
        <w:numPr>
          <w:ilvl w:val="0"/>
          <w:numId w:val="68"/>
        </w:numPr>
        <w:tabs>
          <w:tab w:val="left" w:pos="360"/>
        </w:tabs>
        <w:spacing w:line="23" w:lineRule="atLeast"/>
        <w:ind w:left="0" w:firstLine="0"/>
        <w:rPr>
          <w:rFonts w:cs="Times New Roman"/>
          <w:color w:val="000000" w:themeColor="text1"/>
        </w:rPr>
      </w:pPr>
      <w:r w:rsidRPr="005C2F51">
        <w:rPr>
          <w:rFonts w:cs="Times New Roman"/>
          <w:color w:val="000000" w:themeColor="text1"/>
        </w:rPr>
        <w:t>NES stipulates the following instruments for the implementation of environmental policy: inter-sectoral partnership; strategic environmental assessment; strengthening licensing system; environmental impact assessment; environmental audit, management, labelling</w:t>
      </w:r>
      <w:r w:rsidR="008357CD" w:rsidRPr="005C2F51">
        <w:rPr>
          <w:rFonts w:cs="Times New Roman"/>
          <w:color w:val="000000" w:themeColor="text1"/>
        </w:rPr>
        <w:t>,</w:t>
      </w:r>
      <w:r w:rsidRPr="005C2F51">
        <w:rPr>
          <w:rFonts w:cs="Times New Roman"/>
          <w:color w:val="000000" w:themeColor="text1"/>
        </w:rPr>
        <w:t xml:space="preserve"> and insurance; standardization and reporting; legislation; educational and scientific support; economic and financial mechanisms; environmental monitoring and control;</w:t>
      </w:r>
      <w:r w:rsidR="008357CD" w:rsidRPr="005C2F51">
        <w:rPr>
          <w:rFonts w:cs="Times New Roman"/>
          <w:color w:val="000000" w:themeColor="text1"/>
        </w:rPr>
        <w:t xml:space="preserve"> and</w:t>
      </w:r>
      <w:r w:rsidRPr="005C2F51">
        <w:rPr>
          <w:rFonts w:cs="Times New Roman"/>
          <w:color w:val="000000" w:themeColor="text1"/>
        </w:rPr>
        <w:t xml:space="preserve"> international collaboration.</w:t>
      </w:r>
    </w:p>
    <w:p w14:paraId="121E1BF7" w14:textId="77777777" w:rsidR="000B7923" w:rsidRPr="005C2F51" w:rsidRDefault="000B7923" w:rsidP="00CA2EF1">
      <w:pPr>
        <w:rPr>
          <w:rFonts w:cs="Times New Roman"/>
          <w:color w:val="000000" w:themeColor="text1"/>
        </w:rPr>
      </w:pPr>
    </w:p>
    <w:p w14:paraId="28238755" w14:textId="77777777" w:rsidR="000B7923" w:rsidRPr="005C2F51" w:rsidRDefault="000B7923" w:rsidP="00772403">
      <w:pPr>
        <w:pStyle w:val="ListParagraph"/>
        <w:numPr>
          <w:ilvl w:val="0"/>
          <w:numId w:val="68"/>
        </w:numPr>
        <w:tabs>
          <w:tab w:val="left" w:pos="360"/>
        </w:tabs>
        <w:spacing w:line="23" w:lineRule="atLeast"/>
        <w:ind w:left="0" w:firstLine="0"/>
        <w:rPr>
          <w:rFonts w:cs="Times New Roman"/>
          <w:color w:val="000000" w:themeColor="text1"/>
        </w:rPr>
      </w:pPr>
      <w:r w:rsidRPr="005C2F51">
        <w:rPr>
          <w:rFonts w:cs="Times New Roman"/>
          <w:color w:val="000000" w:themeColor="text1"/>
        </w:rPr>
        <w:t xml:space="preserve">NES plans to achieve its goal </w:t>
      </w:r>
      <w:r w:rsidR="001826FB" w:rsidRPr="005C2F51">
        <w:rPr>
          <w:rFonts w:cs="Times New Roman"/>
          <w:color w:val="000000" w:themeColor="text1"/>
        </w:rPr>
        <w:t xml:space="preserve">in </w:t>
      </w:r>
      <w:r w:rsidRPr="005C2F51">
        <w:rPr>
          <w:rFonts w:cs="Times New Roman"/>
          <w:color w:val="000000" w:themeColor="text1"/>
        </w:rPr>
        <w:t xml:space="preserve">two stages: </w:t>
      </w:r>
    </w:p>
    <w:p w14:paraId="760B8EFC" w14:textId="77777777" w:rsidR="000B7923" w:rsidRPr="005C2F51" w:rsidRDefault="000B7923" w:rsidP="00AD381C">
      <w:pPr>
        <w:rPr>
          <w:rFonts w:cs="Times New Roman"/>
          <w:color w:val="000000" w:themeColor="text1"/>
        </w:rPr>
      </w:pPr>
    </w:p>
    <w:p w14:paraId="347941D9" w14:textId="77777777" w:rsidR="000B7923" w:rsidRPr="002B1DFC" w:rsidRDefault="001826FB" w:rsidP="00772403">
      <w:pPr>
        <w:ind w:left="720"/>
        <w:rPr>
          <w:rFonts w:cs="Times New Roman"/>
        </w:rPr>
      </w:pPr>
      <w:r>
        <w:rPr>
          <w:rFonts w:cs="Times New Roman"/>
          <w:u w:val="single"/>
        </w:rPr>
        <w:t>For the</w:t>
      </w:r>
      <w:r w:rsidRPr="002B1DFC">
        <w:rPr>
          <w:rFonts w:cs="Times New Roman"/>
          <w:u w:val="single"/>
        </w:rPr>
        <w:t xml:space="preserve"> </w:t>
      </w:r>
      <w:r w:rsidR="000B7923" w:rsidRPr="002B1DFC">
        <w:rPr>
          <w:rFonts w:cs="Times New Roman"/>
          <w:u w:val="single"/>
        </w:rPr>
        <w:t>2011</w:t>
      </w:r>
      <w:r w:rsidR="0041197D">
        <w:rPr>
          <w:rFonts w:cs="Times New Roman"/>
          <w:u w:val="single"/>
        </w:rPr>
        <w:t>–</w:t>
      </w:r>
      <w:r w:rsidR="000B7923" w:rsidRPr="002B1DFC">
        <w:rPr>
          <w:rFonts w:cs="Times New Roman"/>
          <w:u w:val="single"/>
        </w:rPr>
        <w:t>2015</w:t>
      </w:r>
      <w:r>
        <w:rPr>
          <w:rFonts w:cs="Times New Roman"/>
          <w:u w:val="single"/>
        </w:rPr>
        <w:t xml:space="preserve"> period</w:t>
      </w:r>
      <w:r w:rsidR="000B7923" w:rsidRPr="002B1DFC">
        <w:rPr>
          <w:rFonts w:cs="Times New Roman"/>
          <w:u w:val="single"/>
        </w:rPr>
        <w:t>,</w:t>
      </w:r>
      <w:r w:rsidR="000B7923" w:rsidRPr="002B1DFC">
        <w:rPr>
          <w:rFonts w:cs="Times New Roman"/>
        </w:rPr>
        <w:t xml:space="preserve"> the NES envisage</w:t>
      </w:r>
      <w:r>
        <w:rPr>
          <w:rFonts w:cs="Times New Roman"/>
        </w:rPr>
        <w:t>d</w:t>
      </w:r>
      <w:r w:rsidR="000B7923" w:rsidRPr="002B1DFC">
        <w:rPr>
          <w:rFonts w:cs="Times New Roman"/>
        </w:rPr>
        <w:t xml:space="preserve"> stabiliz</w:t>
      </w:r>
      <w:r>
        <w:rPr>
          <w:rFonts w:cs="Times New Roman"/>
        </w:rPr>
        <w:t>ing</w:t>
      </w:r>
      <w:r w:rsidR="000B7923" w:rsidRPr="002B1DFC">
        <w:rPr>
          <w:rFonts w:cs="Times New Roman"/>
        </w:rPr>
        <w:t xml:space="preserve"> Ukraine’s ecological situation, slow</w:t>
      </w:r>
      <w:r>
        <w:rPr>
          <w:rFonts w:cs="Times New Roman"/>
        </w:rPr>
        <w:t>ing</w:t>
      </w:r>
      <w:r w:rsidR="000B7923" w:rsidRPr="002B1DFC">
        <w:rPr>
          <w:rFonts w:cs="Times New Roman"/>
        </w:rPr>
        <w:t xml:space="preserve"> down the increase of anthropogenic burden on </w:t>
      </w:r>
      <w:r>
        <w:rPr>
          <w:rFonts w:cs="Times New Roman"/>
        </w:rPr>
        <w:t xml:space="preserve">the </w:t>
      </w:r>
      <w:r w:rsidR="000B7923" w:rsidRPr="002B1DFC">
        <w:rPr>
          <w:rFonts w:cs="Times New Roman"/>
        </w:rPr>
        <w:t>environment, creat</w:t>
      </w:r>
      <w:r>
        <w:rPr>
          <w:rFonts w:cs="Times New Roman"/>
        </w:rPr>
        <w:t>ing</w:t>
      </w:r>
      <w:r w:rsidR="000B7923" w:rsidRPr="002B1DFC">
        <w:rPr>
          <w:rFonts w:cs="Times New Roman"/>
        </w:rPr>
        <w:t xml:space="preserve"> appropriate conditions to increase </w:t>
      </w:r>
      <w:r>
        <w:rPr>
          <w:rFonts w:cs="Times New Roman"/>
        </w:rPr>
        <w:t xml:space="preserve"> the population’s </w:t>
      </w:r>
      <w:r w:rsidR="000B7923" w:rsidRPr="002B1DFC">
        <w:rPr>
          <w:rFonts w:cs="Times New Roman"/>
        </w:rPr>
        <w:t>level of ecological safety, start</w:t>
      </w:r>
      <w:r>
        <w:rPr>
          <w:rFonts w:cs="Times New Roman"/>
        </w:rPr>
        <w:t xml:space="preserve">ing to transition </w:t>
      </w:r>
      <w:r w:rsidR="000B7923" w:rsidRPr="002B1DFC">
        <w:rPr>
          <w:rFonts w:cs="Times New Roman"/>
        </w:rPr>
        <w:t xml:space="preserve">to </w:t>
      </w:r>
      <w:r>
        <w:rPr>
          <w:rFonts w:cs="Times New Roman"/>
        </w:rPr>
        <w:t xml:space="preserve">the European Union’s </w:t>
      </w:r>
      <w:r w:rsidRPr="002B1DFC">
        <w:rPr>
          <w:rFonts w:cs="Times New Roman"/>
        </w:rPr>
        <w:t>environment</w:t>
      </w:r>
      <w:r>
        <w:rPr>
          <w:rFonts w:cs="Times New Roman"/>
        </w:rPr>
        <w:t xml:space="preserve">al </w:t>
      </w:r>
      <w:r w:rsidR="000B7923" w:rsidRPr="002B1DFC">
        <w:rPr>
          <w:rFonts w:cs="Times New Roman"/>
        </w:rPr>
        <w:t>protection standards, draft</w:t>
      </w:r>
      <w:r>
        <w:rPr>
          <w:rFonts w:cs="Times New Roman"/>
        </w:rPr>
        <w:t>ing</w:t>
      </w:r>
      <w:r w:rsidR="000B7923" w:rsidRPr="002B1DFC">
        <w:rPr>
          <w:rFonts w:cs="Times New Roman"/>
        </w:rPr>
        <w:t xml:space="preserve"> the respective laws and regulations, and improv</w:t>
      </w:r>
      <w:r>
        <w:rPr>
          <w:rFonts w:cs="Times New Roman"/>
        </w:rPr>
        <w:t>ing</w:t>
      </w:r>
      <w:r w:rsidR="000B7923" w:rsidRPr="002B1DFC">
        <w:rPr>
          <w:rFonts w:cs="Times New Roman"/>
        </w:rPr>
        <w:t xml:space="preserve"> public participation in environmental protection</w:t>
      </w:r>
      <w:r>
        <w:rPr>
          <w:rFonts w:cs="Times New Roman"/>
        </w:rPr>
        <w:t>.</w:t>
      </w:r>
    </w:p>
    <w:p w14:paraId="2ADFF5AE" w14:textId="77777777" w:rsidR="000B7923" w:rsidRPr="002B1DFC" w:rsidRDefault="000B7923" w:rsidP="00772403">
      <w:pPr>
        <w:ind w:left="720"/>
        <w:rPr>
          <w:rFonts w:cs="Times New Roman"/>
        </w:rPr>
      </w:pPr>
    </w:p>
    <w:p w14:paraId="6CE0D180" w14:textId="77777777" w:rsidR="000B7923" w:rsidRPr="002B1DFC" w:rsidRDefault="001826FB" w:rsidP="00772403">
      <w:pPr>
        <w:ind w:left="720"/>
        <w:rPr>
          <w:rFonts w:cs="Times New Roman"/>
        </w:rPr>
      </w:pPr>
      <w:r>
        <w:rPr>
          <w:rFonts w:cs="Times New Roman"/>
          <w:u w:val="single"/>
        </w:rPr>
        <w:t>For the</w:t>
      </w:r>
      <w:r w:rsidRPr="002B1DFC">
        <w:rPr>
          <w:rFonts w:cs="Times New Roman"/>
          <w:u w:val="single"/>
        </w:rPr>
        <w:t xml:space="preserve"> </w:t>
      </w:r>
      <w:r w:rsidR="000B7923" w:rsidRPr="002B1DFC">
        <w:rPr>
          <w:rFonts w:cs="Times New Roman"/>
          <w:u w:val="single"/>
        </w:rPr>
        <w:t>2016</w:t>
      </w:r>
      <w:r w:rsidR="0041197D">
        <w:rPr>
          <w:rFonts w:cs="Times New Roman"/>
          <w:u w:val="single"/>
        </w:rPr>
        <w:t>–</w:t>
      </w:r>
      <w:r w:rsidR="000B7923" w:rsidRPr="002B1DFC">
        <w:rPr>
          <w:rFonts w:cs="Times New Roman"/>
          <w:u w:val="single"/>
        </w:rPr>
        <w:t>2020</w:t>
      </w:r>
      <w:r>
        <w:rPr>
          <w:rFonts w:cs="Times New Roman"/>
          <w:u w:val="single"/>
        </w:rPr>
        <w:t xml:space="preserve"> period</w:t>
      </w:r>
      <w:r w:rsidR="000B7923" w:rsidRPr="002B1DFC">
        <w:rPr>
          <w:rFonts w:cs="Times New Roman"/>
          <w:u w:val="single"/>
        </w:rPr>
        <w:t>,</w:t>
      </w:r>
      <w:r w:rsidR="000B7923" w:rsidRPr="002B1DFC">
        <w:rPr>
          <w:rFonts w:cs="Times New Roman"/>
        </w:rPr>
        <w:t xml:space="preserve"> the NES foresees gradually unbundl</w:t>
      </w:r>
      <w:r>
        <w:rPr>
          <w:rFonts w:cs="Times New Roman"/>
        </w:rPr>
        <w:t>ing</w:t>
      </w:r>
      <w:r w:rsidR="000B7923" w:rsidRPr="002B1DFC">
        <w:rPr>
          <w:rFonts w:cs="Times New Roman"/>
        </w:rPr>
        <w:t xml:space="preserve"> the functions </w:t>
      </w:r>
      <w:r>
        <w:rPr>
          <w:rFonts w:cs="Times New Roman"/>
        </w:rPr>
        <w:t>of</w:t>
      </w:r>
      <w:r w:rsidRPr="002B1DFC">
        <w:rPr>
          <w:rFonts w:cs="Times New Roman"/>
        </w:rPr>
        <w:t xml:space="preserve"> </w:t>
      </w:r>
      <w:r w:rsidR="000B7923" w:rsidRPr="002B1DFC">
        <w:rPr>
          <w:rFonts w:cs="Times New Roman"/>
        </w:rPr>
        <w:t xml:space="preserve">environmental protection and economic activity related to </w:t>
      </w:r>
      <w:r w:rsidRPr="002B1DFC">
        <w:rPr>
          <w:rFonts w:cs="Times New Roman"/>
        </w:rPr>
        <w:t>us</w:t>
      </w:r>
      <w:r>
        <w:rPr>
          <w:rFonts w:cs="Times New Roman"/>
        </w:rPr>
        <w:t>e</w:t>
      </w:r>
      <w:r w:rsidRPr="002B1DFC">
        <w:rPr>
          <w:rFonts w:cs="Times New Roman"/>
        </w:rPr>
        <w:t xml:space="preserve"> </w:t>
      </w:r>
      <w:r w:rsidR="000B7923" w:rsidRPr="002B1DFC">
        <w:rPr>
          <w:rFonts w:cs="Times New Roman"/>
        </w:rPr>
        <w:t>of natural resources</w:t>
      </w:r>
      <w:r>
        <w:rPr>
          <w:rFonts w:cs="Times New Roman"/>
        </w:rPr>
        <w:t>;</w:t>
      </w:r>
      <w:r w:rsidR="000B7923" w:rsidRPr="002B1DFC">
        <w:rPr>
          <w:rFonts w:cs="Times New Roman"/>
        </w:rPr>
        <w:t xml:space="preserve"> implement</w:t>
      </w:r>
      <w:r>
        <w:rPr>
          <w:rFonts w:cs="Times New Roman"/>
        </w:rPr>
        <w:t>ing</w:t>
      </w:r>
      <w:r w:rsidR="000B7923" w:rsidRPr="002B1DFC">
        <w:rPr>
          <w:rFonts w:cs="Times New Roman"/>
        </w:rPr>
        <w:t xml:space="preserve"> European </w:t>
      </w:r>
      <w:r>
        <w:rPr>
          <w:rFonts w:cs="Times New Roman"/>
        </w:rPr>
        <w:t xml:space="preserve">Union </w:t>
      </w:r>
      <w:r w:rsidR="000B7923" w:rsidRPr="002B1DFC">
        <w:rPr>
          <w:rFonts w:cs="Times New Roman"/>
        </w:rPr>
        <w:lastRenderedPageBreak/>
        <w:t xml:space="preserve">ecological norms and standards, </w:t>
      </w:r>
      <w:r>
        <w:rPr>
          <w:rFonts w:cs="Times New Roman"/>
        </w:rPr>
        <w:t xml:space="preserve">and </w:t>
      </w:r>
      <w:r w:rsidR="000B7923" w:rsidRPr="002B1DFC">
        <w:rPr>
          <w:rFonts w:cs="Times New Roman"/>
        </w:rPr>
        <w:t>ecological and systemic planning</w:t>
      </w:r>
      <w:r>
        <w:rPr>
          <w:rFonts w:cs="Times New Roman"/>
        </w:rPr>
        <w:t>;</w:t>
      </w:r>
      <w:r w:rsidR="000B7923" w:rsidRPr="002B1DFC">
        <w:rPr>
          <w:rFonts w:cs="Times New Roman"/>
        </w:rPr>
        <w:t xml:space="preserve"> introduc</w:t>
      </w:r>
      <w:r>
        <w:rPr>
          <w:rFonts w:cs="Times New Roman"/>
        </w:rPr>
        <w:t>ing</w:t>
      </w:r>
      <w:r w:rsidR="000B7923" w:rsidRPr="002B1DFC">
        <w:rPr>
          <w:rFonts w:cs="Times New Roman"/>
        </w:rPr>
        <w:t xml:space="preserve"> economic mechanisms to stimulate ecologically oriented structural transformations</w:t>
      </w:r>
      <w:r>
        <w:rPr>
          <w:rFonts w:cs="Times New Roman"/>
        </w:rPr>
        <w:t>;</w:t>
      </w:r>
      <w:r w:rsidR="000B7923" w:rsidRPr="002B1DFC">
        <w:rPr>
          <w:rFonts w:cs="Times New Roman"/>
        </w:rPr>
        <w:t xml:space="preserve"> achiev</w:t>
      </w:r>
      <w:r>
        <w:rPr>
          <w:rFonts w:cs="Times New Roman"/>
        </w:rPr>
        <w:t>ing</w:t>
      </w:r>
      <w:r w:rsidR="000B7923" w:rsidRPr="002B1DFC">
        <w:rPr>
          <w:rFonts w:cs="Times New Roman"/>
        </w:rPr>
        <w:t xml:space="preserve"> </w:t>
      </w:r>
      <w:r>
        <w:rPr>
          <w:rFonts w:cs="Times New Roman"/>
        </w:rPr>
        <w:t>a</w:t>
      </w:r>
      <w:r w:rsidRPr="002B1DFC">
        <w:rPr>
          <w:rFonts w:cs="Times New Roman"/>
        </w:rPr>
        <w:t xml:space="preserve"> </w:t>
      </w:r>
      <w:r w:rsidR="000B7923" w:rsidRPr="002B1DFC">
        <w:rPr>
          <w:rFonts w:cs="Times New Roman"/>
        </w:rPr>
        <w:t>balance between social and economic needs</w:t>
      </w:r>
      <w:r>
        <w:rPr>
          <w:rFonts w:cs="Times New Roman"/>
        </w:rPr>
        <w:t>,</w:t>
      </w:r>
      <w:r w:rsidR="000B7923" w:rsidRPr="002B1DFC">
        <w:rPr>
          <w:rFonts w:cs="Times New Roman"/>
        </w:rPr>
        <w:t xml:space="preserve"> and tasks in the area of environmental conservation</w:t>
      </w:r>
      <w:r>
        <w:rPr>
          <w:rFonts w:cs="Times New Roman"/>
        </w:rPr>
        <w:t>;</w:t>
      </w:r>
      <w:r w:rsidR="000B7923" w:rsidRPr="002B1DFC">
        <w:rPr>
          <w:rFonts w:cs="Times New Roman"/>
        </w:rPr>
        <w:t xml:space="preserve"> ensur</w:t>
      </w:r>
      <w:r>
        <w:rPr>
          <w:rFonts w:cs="Times New Roman"/>
        </w:rPr>
        <w:t>ing</w:t>
      </w:r>
      <w:r w:rsidR="000B7923" w:rsidRPr="002B1DFC">
        <w:rPr>
          <w:rFonts w:cs="Times New Roman"/>
        </w:rPr>
        <w:t xml:space="preserve"> development of </w:t>
      </w:r>
      <w:r>
        <w:rPr>
          <w:rFonts w:cs="Times New Roman"/>
        </w:rPr>
        <w:t xml:space="preserve">an </w:t>
      </w:r>
      <w:r w:rsidR="000B7923" w:rsidRPr="002B1DFC">
        <w:rPr>
          <w:rFonts w:cs="Times New Roman"/>
        </w:rPr>
        <w:t xml:space="preserve">ecologically efficient partnership </w:t>
      </w:r>
      <w:r>
        <w:rPr>
          <w:rFonts w:cs="Times New Roman"/>
        </w:rPr>
        <w:t>of</w:t>
      </w:r>
      <w:r w:rsidRPr="002B1DFC">
        <w:rPr>
          <w:rFonts w:cs="Times New Roman"/>
        </w:rPr>
        <w:t xml:space="preserve"> </w:t>
      </w:r>
      <w:r w:rsidR="000B7923" w:rsidRPr="002B1DFC">
        <w:rPr>
          <w:rFonts w:cs="Times New Roman"/>
        </w:rPr>
        <w:t>the state, business entities</w:t>
      </w:r>
      <w:r>
        <w:rPr>
          <w:rFonts w:cs="Times New Roman"/>
        </w:rPr>
        <w:t>,</w:t>
      </w:r>
      <w:r w:rsidR="000B7923" w:rsidRPr="002B1DFC">
        <w:rPr>
          <w:rFonts w:cs="Times New Roman"/>
        </w:rPr>
        <w:t xml:space="preserve"> and </w:t>
      </w:r>
      <w:r>
        <w:rPr>
          <w:rFonts w:cs="Times New Roman"/>
        </w:rPr>
        <w:t xml:space="preserve">the </w:t>
      </w:r>
      <w:r w:rsidR="000B7923" w:rsidRPr="002B1DFC">
        <w:rPr>
          <w:rFonts w:cs="Times New Roman"/>
        </w:rPr>
        <w:t>public</w:t>
      </w:r>
      <w:r>
        <w:rPr>
          <w:rFonts w:cs="Times New Roman"/>
        </w:rPr>
        <w:t>;</w:t>
      </w:r>
      <w:r w:rsidR="000B7923" w:rsidRPr="002B1DFC">
        <w:rPr>
          <w:rFonts w:cs="Times New Roman"/>
        </w:rPr>
        <w:t xml:space="preserve"> and broadly disseminat</w:t>
      </w:r>
      <w:r>
        <w:rPr>
          <w:rFonts w:cs="Times New Roman"/>
        </w:rPr>
        <w:t>ing</w:t>
      </w:r>
      <w:r w:rsidR="000B7923" w:rsidRPr="002B1DFC">
        <w:rPr>
          <w:rFonts w:cs="Times New Roman"/>
        </w:rPr>
        <w:t xml:space="preserve"> ecological knowledge.</w:t>
      </w:r>
    </w:p>
    <w:p w14:paraId="07D20BAC" w14:textId="77777777" w:rsidR="000B7923" w:rsidRPr="002B1DFC" w:rsidRDefault="000B7923" w:rsidP="00387F2E">
      <w:pPr>
        <w:rPr>
          <w:rFonts w:cs="Times New Roman"/>
        </w:rPr>
      </w:pPr>
      <w:r w:rsidRPr="002B1DFC">
        <w:rPr>
          <w:rFonts w:cs="Times New Roman"/>
          <w:bCs/>
          <w:iCs/>
        </w:rPr>
        <w:t xml:space="preserve"> </w:t>
      </w:r>
    </w:p>
    <w:p w14:paraId="201675D1" w14:textId="77777777" w:rsidR="000B7923" w:rsidRPr="002B1DFC" w:rsidRDefault="001826FB" w:rsidP="00772403">
      <w:pPr>
        <w:pStyle w:val="ListParagraph"/>
        <w:numPr>
          <w:ilvl w:val="0"/>
          <w:numId w:val="68"/>
        </w:numPr>
        <w:tabs>
          <w:tab w:val="left" w:pos="360"/>
        </w:tabs>
        <w:spacing w:line="23" w:lineRule="atLeast"/>
        <w:ind w:left="0" w:firstLine="0"/>
        <w:rPr>
          <w:rFonts w:cs="Times New Roman"/>
        </w:rPr>
      </w:pPr>
      <w:r>
        <w:rPr>
          <w:rFonts w:cs="Times New Roman"/>
        </w:rPr>
        <w:t xml:space="preserve">The </w:t>
      </w:r>
      <w:r w:rsidR="000B7923" w:rsidRPr="002B1DFC">
        <w:rPr>
          <w:rFonts w:cs="Times New Roman"/>
        </w:rPr>
        <w:t xml:space="preserve">NES underlines several objectives for </w:t>
      </w:r>
      <w:r w:rsidR="000B7923" w:rsidRPr="002B1DFC">
        <w:rPr>
          <w:rFonts w:cs="Times New Roman"/>
          <w:b/>
          <w:bCs/>
        </w:rPr>
        <w:t>air protection</w:t>
      </w:r>
      <w:r w:rsidR="000B7923" w:rsidRPr="002B1DFC">
        <w:rPr>
          <w:rFonts w:cs="Times New Roman"/>
        </w:rPr>
        <w:t xml:space="preserve"> and foresees reduction of pollutants’ emissions into the air by stationary sources </w:t>
      </w:r>
      <w:r>
        <w:rPr>
          <w:rFonts w:cs="Times New Roman"/>
        </w:rPr>
        <w:t>of</w:t>
      </w:r>
      <w:r w:rsidR="000B7923" w:rsidRPr="002B1DFC">
        <w:rPr>
          <w:rFonts w:cs="Times New Roman"/>
        </w:rPr>
        <w:t xml:space="preserve"> 10% by 2015 and 25% by 2020. It also plans for the establishment of standards of pollution load in the discharge gases for mobile sources according to the standard Euro-4 by 2015, and Euro-5 by 2020.  NES also addresses some aspects of climate change and reduction of greenhouse gases (GHGs). Thus, it aims to optimize the energy sector structure by increasing the usage of energy sources with low level of carbon dioxide (CO</w:t>
      </w:r>
      <w:r w:rsidR="000B7923" w:rsidRPr="002B1DFC">
        <w:rPr>
          <w:rFonts w:cs="Times New Roman"/>
          <w:vertAlign w:val="subscript"/>
        </w:rPr>
        <w:t>2</w:t>
      </w:r>
      <w:r w:rsidR="000B7923" w:rsidRPr="002B1DFC">
        <w:rPr>
          <w:rFonts w:cs="Times New Roman"/>
        </w:rPr>
        <w:t xml:space="preserve">) emissions by 10% in 2015 and 20% by 2020. The Concept on Climate Change Adaptation and National Action Plan on Climate Change Mitigation </w:t>
      </w:r>
      <w:r w:rsidR="00BB0F37">
        <w:rPr>
          <w:rFonts w:cs="Times New Roman"/>
        </w:rPr>
        <w:t>up to</w:t>
      </w:r>
      <w:r w:rsidR="000B7923" w:rsidRPr="002B1DFC">
        <w:rPr>
          <w:rFonts w:cs="Times New Roman"/>
        </w:rPr>
        <w:t xml:space="preserve"> 2030 is also planned to be adopted by 2015. </w:t>
      </w:r>
    </w:p>
    <w:p w14:paraId="18B28C79" w14:textId="77777777" w:rsidR="000B7923" w:rsidRPr="002B1DFC" w:rsidRDefault="000B7923" w:rsidP="009F2514">
      <w:pPr>
        <w:rPr>
          <w:rFonts w:cs="Times New Roman"/>
        </w:rPr>
      </w:pPr>
    </w:p>
    <w:p w14:paraId="14C3C49E"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iCs/>
        </w:rPr>
      </w:pPr>
      <w:r w:rsidRPr="002B1DFC">
        <w:rPr>
          <w:rFonts w:cs="Times New Roman"/>
          <w:iCs/>
        </w:rPr>
        <w:t xml:space="preserve">NES foresees </w:t>
      </w:r>
      <w:r w:rsidRPr="00772403">
        <w:rPr>
          <w:rFonts w:cs="Times New Roman"/>
        </w:rPr>
        <w:t>several</w:t>
      </w:r>
      <w:r w:rsidRPr="002B1DFC">
        <w:rPr>
          <w:rFonts w:cs="Times New Roman"/>
          <w:iCs/>
        </w:rPr>
        <w:t xml:space="preserve"> provisions and objectives related to </w:t>
      </w:r>
      <w:r w:rsidRPr="002B1DFC">
        <w:rPr>
          <w:rFonts w:cs="Times New Roman"/>
          <w:b/>
          <w:bCs/>
          <w:iCs/>
        </w:rPr>
        <w:t>water resources</w:t>
      </w:r>
      <w:r w:rsidRPr="002B1DFC">
        <w:rPr>
          <w:rFonts w:cs="Times New Roman"/>
          <w:iCs/>
        </w:rPr>
        <w:t xml:space="preserve">: </w:t>
      </w:r>
    </w:p>
    <w:p w14:paraId="355A9FE4" w14:textId="77777777" w:rsidR="000B7923" w:rsidRPr="002B1DFC" w:rsidRDefault="000B7923" w:rsidP="00B83095">
      <w:pPr>
        <w:pStyle w:val="ListParagraph"/>
        <w:numPr>
          <w:ilvl w:val="0"/>
          <w:numId w:val="25"/>
        </w:numPr>
        <w:rPr>
          <w:rFonts w:cs="Times New Roman"/>
          <w:iCs/>
        </w:rPr>
      </w:pPr>
      <w:r w:rsidRPr="002B1DFC">
        <w:rPr>
          <w:rFonts w:cs="Times New Roman"/>
          <w:iCs/>
        </w:rPr>
        <w:t>Reform of state management system in the area of rationalization of water use through the implementation of integrated water resources management;</w:t>
      </w:r>
    </w:p>
    <w:p w14:paraId="70B4B409" w14:textId="77777777" w:rsidR="000B7923" w:rsidRPr="002B1DFC" w:rsidRDefault="000B7923" w:rsidP="00B83095">
      <w:pPr>
        <w:pStyle w:val="ListParagraph"/>
        <w:numPr>
          <w:ilvl w:val="0"/>
          <w:numId w:val="25"/>
        </w:numPr>
        <w:rPr>
          <w:rFonts w:cs="Times New Roman"/>
          <w:iCs/>
        </w:rPr>
      </w:pPr>
      <w:r w:rsidRPr="002B1DFC">
        <w:rPr>
          <w:rFonts w:cs="Times New Roman"/>
          <w:iCs/>
        </w:rPr>
        <w:t xml:space="preserve">Reconstruction of existing and construction of new municipal wastewater treatment facilities with the goal to reach 15% reduction of water pollution (in the first place, organic matters, nitrogen and phosphorus compounds) by 2020, and reduce the discharge of insufficiently treated wastewater by 20% by 2020; </w:t>
      </w:r>
    </w:p>
    <w:p w14:paraId="5F6B9EAD" w14:textId="77777777" w:rsidR="000B7923" w:rsidRPr="002B1DFC" w:rsidRDefault="000B7923" w:rsidP="00B83095">
      <w:pPr>
        <w:pStyle w:val="ListParagraph"/>
        <w:numPr>
          <w:ilvl w:val="0"/>
          <w:numId w:val="25"/>
        </w:numPr>
        <w:rPr>
          <w:rFonts w:cs="Times New Roman"/>
          <w:iCs/>
        </w:rPr>
      </w:pPr>
      <w:r w:rsidRPr="002B1DFC">
        <w:rPr>
          <w:rFonts w:cs="Times New Roman"/>
          <w:iCs/>
        </w:rPr>
        <w:t xml:space="preserve">Development and realization of measures regarding a reduction of pollution level of landlocked waters and territorial sea in order to restore ecosystems of Black and Azov Seas. </w:t>
      </w:r>
    </w:p>
    <w:p w14:paraId="3EB331C8" w14:textId="77777777" w:rsidR="000B7923" w:rsidRPr="002B1DFC" w:rsidRDefault="000B7923" w:rsidP="009F2514">
      <w:pPr>
        <w:rPr>
          <w:rFonts w:cs="Times New Roman"/>
          <w:iCs/>
        </w:rPr>
      </w:pPr>
    </w:p>
    <w:p w14:paraId="7B89A4D0" w14:textId="77777777" w:rsidR="000B7923" w:rsidRPr="00AA506E"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In the area of </w:t>
      </w:r>
      <w:r w:rsidRPr="002B1DFC">
        <w:rPr>
          <w:rFonts w:cs="Times New Roman"/>
          <w:b/>
          <w:bCs/>
        </w:rPr>
        <w:t>waste management</w:t>
      </w:r>
      <w:r w:rsidRPr="002B1DFC">
        <w:rPr>
          <w:rFonts w:cs="Times New Roman"/>
        </w:rPr>
        <w:t xml:space="preserve">, the NES </w:t>
      </w:r>
      <w:r w:rsidR="00FA5C8F">
        <w:rPr>
          <w:rFonts w:cs="Times New Roman"/>
        </w:rPr>
        <w:t>foresaw</w:t>
      </w:r>
      <w:r w:rsidR="00FA5C8F" w:rsidRPr="002B1DFC">
        <w:rPr>
          <w:rFonts w:cs="Times New Roman"/>
        </w:rPr>
        <w:t xml:space="preserve"> </w:t>
      </w:r>
      <w:r w:rsidRPr="002B1DFC">
        <w:rPr>
          <w:rFonts w:cs="Times New Roman"/>
        </w:rPr>
        <w:t>provid</w:t>
      </w:r>
      <w:r w:rsidR="001826FB">
        <w:rPr>
          <w:rFonts w:cs="Times New Roman"/>
        </w:rPr>
        <w:t>ing</w:t>
      </w:r>
      <w:r w:rsidRPr="002B1DFC">
        <w:rPr>
          <w:rFonts w:cs="Times New Roman"/>
        </w:rPr>
        <w:t xml:space="preserve"> storage for 70% </w:t>
      </w:r>
      <w:r w:rsidR="001826FB">
        <w:rPr>
          <w:rFonts w:cs="Times New Roman"/>
        </w:rPr>
        <w:t xml:space="preserve">of </w:t>
      </w:r>
      <w:r w:rsidRPr="002B1DFC">
        <w:rPr>
          <w:rFonts w:cs="Times New Roman"/>
        </w:rPr>
        <w:t>municipal solid waste by 2015 (for cities with population</w:t>
      </w:r>
      <w:r w:rsidR="001826FB">
        <w:rPr>
          <w:rFonts w:cs="Times New Roman"/>
        </w:rPr>
        <w:t>s greater</w:t>
      </w:r>
      <w:r w:rsidRPr="002B1DFC">
        <w:rPr>
          <w:rFonts w:cs="Times New Roman"/>
        </w:rPr>
        <w:t xml:space="preserve"> than 250 thousand) at the specialized environmentally safe landfills; to increase a volume of procurement and usage of waste in the capacity of secondary raw materials by 1.5 times by 2020; introduce new technology for waste recycling; and create a system for safe handling of medical waste by 2015.</w:t>
      </w:r>
      <w:r w:rsidR="001826FB">
        <w:rPr>
          <w:rFonts w:cs="Times New Roman"/>
        </w:rPr>
        <w:t xml:space="preserve"> </w:t>
      </w:r>
    </w:p>
    <w:p w14:paraId="6A84B3A0" w14:textId="77777777" w:rsidR="000B7923" w:rsidRPr="002B1DFC" w:rsidRDefault="000B7923" w:rsidP="00387F2E">
      <w:pPr>
        <w:rPr>
          <w:rFonts w:cs="Times New Roman"/>
          <w:bCs/>
          <w:iCs/>
        </w:rPr>
      </w:pPr>
    </w:p>
    <w:p w14:paraId="7FEBE8E6" w14:textId="77777777" w:rsidR="000B7923" w:rsidRPr="005C2F51" w:rsidRDefault="000B7923" w:rsidP="00772403">
      <w:pPr>
        <w:pStyle w:val="ListParagraph"/>
        <w:numPr>
          <w:ilvl w:val="0"/>
          <w:numId w:val="68"/>
        </w:numPr>
        <w:tabs>
          <w:tab w:val="left" w:pos="360"/>
        </w:tabs>
        <w:spacing w:line="23" w:lineRule="atLeast"/>
        <w:ind w:left="0" w:firstLine="0"/>
        <w:rPr>
          <w:rFonts w:cs="Times New Roman"/>
          <w:bCs/>
          <w:iCs/>
          <w:color w:val="000000" w:themeColor="text1"/>
        </w:rPr>
      </w:pPr>
      <w:r w:rsidRPr="005C2F51">
        <w:rPr>
          <w:rFonts w:cs="Times New Roman"/>
          <w:bCs/>
          <w:iCs/>
          <w:color w:val="000000" w:themeColor="text1"/>
        </w:rPr>
        <w:t xml:space="preserve">In 2011, the Government of Ukraine adopted the </w:t>
      </w:r>
      <w:r w:rsidRPr="005C2F51">
        <w:rPr>
          <w:rFonts w:cs="Times New Roman"/>
          <w:b/>
          <w:iCs/>
          <w:color w:val="000000" w:themeColor="text1"/>
        </w:rPr>
        <w:t>National Environmental Action Plan 2011</w:t>
      </w:r>
      <w:r w:rsidR="0041197D" w:rsidRPr="005C2F51">
        <w:rPr>
          <w:rFonts w:cs="Times New Roman"/>
          <w:b/>
          <w:iCs/>
          <w:color w:val="000000" w:themeColor="text1"/>
        </w:rPr>
        <w:t>–</w:t>
      </w:r>
      <w:r w:rsidRPr="005C2F51">
        <w:rPr>
          <w:rFonts w:cs="Times New Roman"/>
          <w:b/>
          <w:iCs/>
          <w:color w:val="000000" w:themeColor="text1"/>
        </w:rPr>
        <w:t>2015</w:t>
      </w:r>
      <w:r w:rsidRPr="005C2F51">
        <w:rPr>
          <w:rFonts w:cs="Times New Roman"/>
          <w:bCs/>
          <w:iCs/>
          <w:color w:val="000000" w:themeColor="text1"/>
        </w:rPr>
        <w:t xml:space="preserve"> (NEAP) to implement the objectives of the NES. The NEAP describes 278 measures for implementation during its </w:t>
      </w:r>
      <w:r w:rsidR="00AA506E" w:rsidRPr="005C2F51">
        <w:rPr>
          <w:rFonts w:cs="Times New Roman"/>
          <w:bCs/>
          <w:iCs/>
          <w:color w:val="000000" w:themeColor="text1"/>
        </w:rPr>
        <w:t>five-year</w:t>
      </w:r>
      <w:r w:rsidRPr="005C2F51">
        <w:rPr>
          <w:rFonts w:cs="Times New Roman"/>
          <w:bCs/>
          <w:iCs/>
          <w:color w:val="000000" w:themeColor="text1"/>
        </w:rPr>
        <w:t xml:space="preserve"> period. In 2015, a draft National Environmental Action Plan for 2016</w:t>
      </w:r>
      <w:r w:rsidR="0041197D" w:rsidRPr="005C2F51">
        <w:rPr>
          <w:rFonts w:cs="Times New Roman"/>
          <w:bCs/>
          <w:iCs/>
          <w:color w:val="000000" w:themeColor="text1"/>
        </w:rPr>
        <w:t>–</w:t>
      </w:r>
      <w:r w:rsidRPr="005C2F51">
        <w:rPr>
          <w:rFonts w:cs="Times New Roman"/>
          <w:bCs/>
          <w:iCs/>
          <w:color w:val="000000" w:themeColor="text1"/>
        </w:rPr>
        <w:t>2020 was also prepared.</w:t>
      </w:r>
    </w:p>
    <w:p w14:paraId="1852AF5A" w14:textId="77777777" w:rsidR="000B7923" w:rsidRPr="005C2F51" w:rsidRDefault="000B7923" w:rsidP="00F33595">
      <w:pPr>
        <w:rPr>
          <w:rFonts w:cs="Times New Roman"/>
          <w:color w:val="000000" w:themeColor="text1"/>
        </w:rPr>
      </w:pPr>
    </w:p>
    <w:p w14:paraId="371DC379" w14:textId="77777777" w:rsidR="000B7923" w:rsidRPr="005C2F51" w:rsidRDefault="000B7923" w:rsidP="00772403">
      <w:pPr>
        <w:pStyle w:val="ListParagraph"/>
        <w:numPr>
          <w:ilvl w:val="0"/>
          <w:numId w:val="68"/>
        </w:numPr>
        <w:tabs>
          <w:tab w:val="left" w:pos="360"/>
        </w:tabs>
        <w:spacing w:line="23" w:lineRule="atLeast"/>
        <w:ind w:left="0" w:firstLine="0"/>
        <w:rPr>
          <w:rFonts w:cs="Times New Roman"/>
          <w:color w:val="000000" w:themeColor="text1"/>
        </w:rPr>
      </w:pPr>
      <w:r w:rsidRPr="005C2F51">
        <w:rPr>
          <w:rFonts w:cs="Times New Roman"/>
          <w:color w:val="000000" w:themeColor="text1"/>
        </w:rPr>
        <w:t xml:space="preserve">A civil society review of the implementation progress of the NES showed that the most successful implementation of strategic tasks was achieved in the framework of Goal 7 “Improvement of regional </w:t>
      </w:r>
      <w:r w:rsidRPr="005C2F51">
        <w:rPr>
          <w:rFonts w:cs="Times New Roman"/>
          <w:bCs/>
          <w:iCs/>
          <w:color w:val="000000" w:themeColor="text1"/>
        </w:rPr>
        <w:t>environmental</w:t>
      </w:r>
      <w:r w:rsidRPr="005C2F51">
        <w:rPr>
          <w:rFonts w:cs="Times New Roman"/>
          <w:color w:val="000000" w:themeColor="text1"/>
        </w:rPr>
        <w:t xml:space="preserve"> policy” (effectiveness &gt;60%). Satisfactory results of the implementation of strategic tasks </w:t>
      </w:r>
      <w:r w:rsidR="0041197D" w:rsidRPr="005C2F51">
        <w:rPr>
          <w:rFonts w:cs="Times New Roman"/>
          <w:color w:val="000000" w:themeColor="text1"/>
        </w:rPr>
        <w:t xml:space="preserve">were </w:t>
      </w:r>
      <w:r w:rsidRPr="005C2F51">
        <w:rPr>
          <w:rFonts w:cs="Times New Roman"/>
          <w:color w:val="000000" w:themeColor="text1"/>
        </w:rPr>
        <w:t>demonstrated in the framework of Goal 1, Goal 2, Goal 4</w:t>
      </w:r>
      <w:r w:rsidR="0041197D" w:rsidRPr="005C2F51">
        <w:rPr>
          <w:rFonts w:cs="Times New Roman"/>
          <w:color w:val="000000" w:themeColor="text1"/>
        </w:rPr>
        <w:t>,</w:t>
      </w:r>
      <w:r w:rsidRPr="005C2F51">
        <w:rPr>
          <w:rFonts w:cs="Times New Roman"/>
          <w:color w:val="000000" w:themeColor="text1"/>
        </w:rPr>
        <w:t xml:space="preserve"> and Goal 5 (effectiveness 30</w:t>
      </w:r>
      <w:r w:rsidR="0041197D" w:rsidRPr="005C2F51">
        <w:rPr>
          <w:rFonts w:cs="Times New Roman"/>
          <w:color w:val="000000" w:themeColor="text1"/>
        </w:rPr>
        <w:t>–</w:t>
      </w:r>
      <w:r w:rsidRPr="005C2F51">
        <w:rPr>
          <w:rFonts w:cs="Times New Roman"/>
          <w:color w:val="000000" w:themeColor="text1"/>
        </w:rPr>
        <w:t xml:space="preserve">60%), and poor results were achieved in the framework of Goal 3 and Goal 6 (effectiveness &lt;30%). In general, </w:t>
      </w:r>
      <w:r w:rsidR="0041197D" w:rsidRPr="005C2F51">
        <w:rPr>
          <w:rFonts w:cs="Times New Roman"/>
          <w:color w:val="000000" w:themeColor="text1"/>
        </w:rPr>
        <w:t xml:space="preserve">the </w:t>
      </w:r>
      <w:r w:rsidRPr="005C2F51">
        <w:rPr>
          <w:rFonts w:cs="Times New Roman"/>
          <w:color w:val="000000" w:themeColor="text1"/>
        </w:rPr>
        <w:t xml:space="preserve">implementation effectiveness of </w:t>
      </w:r>
      <w:r w:rsidR="0041197D" w:rsidRPr="005C2F51">
        <w:rPr>
          <w:rFonts w:cs="Times New Roman"/>
          <w:color w:val="000000" w:themeColor="text1"/>
        </w:rPr>
        <w:t xml:space="preserve">the </w:t>
      </w:r>
      <w:r w:rsidRPr="005C2F51">
        <w:rPr>
          <w:rFonts w:cs="Times New Roman"/>
          <w:color w:val="000000" w:themeColor="text1"/>
        </w:rPr>
        <w:t>whole NES and NEAP was determined as satisfactory</w:t>
      </w:r>
      <w:r w:rsidR="0041197D" w:rsidRPr="005C2F51">
        <w:rPr>
          <w:rFonts w:cs="Times New Roman"/>
          <w:color w:val="000000" w:themeColor="text1"/>
        </w:rPr>
        <w:t>;</w:t>
      </w:r>
      <w:r w:rsidRPr="005C2F51">
        <w:rPr>
          <w:rFonts w:cs="Times New Roman"/>
          <w:color w:val="000000" w:themeColor="text1"/>
        </w:rPr>
        <w:t xml:space="preserve"> </w:t>
      </w:r>
      <w:r w:rsidR="00947945" w:rsidRPr="005C2F51">
        <w:rPr>
          <w:rFonts w:cs="Times New Roman"/>
          <w:color w:val="000000" w:themeColor="text1"/>
        </w:rPr>
        <w:t>however, it should be noted that the range for satisfactory is quite wide</w:t>
      </w:r>
      <w:r w:rsidR="0041197D" w:rsidRPr="005C2F51">
        <w:rPr>
          <w:rFonts w:cs="Times New Roman"/>
          <w:color w:val="000000" w:themeColor="text1"/>
        </w:rPr>
        <w:t>—</w:t>
      </w:r>
      <w:r w:rsidR="00947945" w:rsidRPr="005C2F51">
        <w:rPr>
          <w:rFonts w:cs="Times New Roman"/>
          <w:color w:val="000000" w:themeColor="text1"/>
        </w:rPr>
        <w:t xml:space="preserve">at between </w:t>
      </w:r>
      <w:r w:rsidRPr="005C2F51">
        <w:rPr>
          <w:rFonts w:cs="Times New Roman"/>
          <w:color w:val="000000" w:themeColor="text1"/>
        </w:rPr>
        <w:t>30%</w:t>
      </w:r>
      <w:r w:rsidR="0041197D" w:rsidRPr="005C2F51">
        <w:rPr>
          <w:rFonts w:cs="Times New Roman"/>
          <w:color w:val="000000" w:themeColor="text1"/>
        </w:rPr>
        <w:t>–</w:t>
      </w:r>
      <w:r w:rsidRPr="005C2F51">
        <w:rPr>
          <w:rFonts w:cs="Times New Roman"/>
          <w:color w:val="000000" w:themeColor="text1"/>
        </w:rPr>
        <w:t xml:space="preserve">60%. </w:t>
      </w:r>
    </w:p>
    <w:p w14:paraId="0BE0C024" w14:textId="77777777" w:rsidR="000B7923" w:rsidRPr="005C2F51" w:rsidRDefault="000B7923" w:rsidP="00F33595">
      <w:pPr>
        <w:rPr>
          <w:rFonts w:cs="Times New Roman"/>
          <w:color w:val="000000" w:themeColor="text1"/>
        </w:rPr>
      </w:pPr>
    </w:p>
    <w:p w14:paraId="4837EDFC"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bookmarkStart w:id="65" w:name="_Toc419281495"/>
      <w:bookmarkStart w:id="66" w:name="_Toc419281853"/>
      <w:bookmarkStart w:id="67" w:name="_Toc419903215"/>
      <w:bookmarkStart w:id="68" w:name="_Toc420502289"/>
      <w:bookmarkStart w:id="69" w:name="_Toc420575747"/>
      <w:bookmarkStart w:id="70" w:name="_Toc420593919"/>
      <w:bookmarkEnd w:id="65"/>
      <w:bookmarkEnd w:id="66"/>
      <w:bookmarkEnd w:id="67"/>
      <w:bookmarkEnd w:id="68"/>
      <w:bookmarkEnd w:id="69"/>
      <w:bookmarkEnd w:id="70"/>
      <w:r w:rsidRPr="005C2F51">
        <w:rPr>
          <w:rFonts w:cs="Times New Roman"/>
          <w:color w:val="000000" w:themeColor="text1"/>
        </w:rPr>
        <w:t xml:space="preserve">The </w:t>
      </w:r>
      <w:r w:rsidRPr="005C2F51">
        <w:rPr>
          <w:rFonts w:cs="Times New Roman"/>
          <w:bCs/>
          <w:iCs/>
          <w:color w:val="000000" w:themeColor="text1"/>
        </w:rPr>
        <w:t>NES</w:t>
      </w:r>
      <w:r w:rsidRPr="005C2F51">
        <w:rPr>
          <w:rFonts w:cs="Times New Roman"/>
          <w:color w:val="000000" w:themeColor="text1"/>
        </w:rPr>
        <w:t xml:space="preserve"> foresees the integration of environment into sectoral policies, particularly in the areas of energy </w:t>
      </w:r>
      <w:r w:rsidRPr="002B1DFC">
        <w:rPr>
          <w:rFonts w:cs="Times New Roman"/>
        </w:rPr>
        <w:t xml:space="preserve">and industry, transport, agriculture, and housing and utilities. Such integration requires close collaboration with competent ministries and organizations and detailed review of the legislatives and normative acts, which were prepared by different ministries and adopted by the </w:t>
      </w:r>
      <w:proofErr w:type="spellStart"/>
      <w:r w:rsidRPr="002B1DFC">
        <w:rPr>
          <w:rFonts w:cs="Times New Roman"/>
        </w:rPr>
        <w:t>GoU</w:t>
      </w:r>
      <w:proofErr w:type="spellEnd"/>
      <w:r w:rsidRPr="002B1DFC">
        <w:rPr>
          <w:rFonts w:cs="Times New Roman"/>
        </w:rPr>
        <w:t xml:space="preserve">. </w:t>
      </w:r>
    </w:p>
    <w:p w14:paraId="24B1AC46" w14:textId="77777777" w:rsidR="000B7923" w:rsidRPr="002B1DFC" w:rsidRDefault="000B7923" w:rsidP="00932501">
      <w:pPr>
        <w:rPr>
          <w:rFonts w:cs="Times New Roman"/>
        </w:rPr>
      </w:pPr>
    </w:p>
    <w:p w14:paraId="4F2AB718"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Key </w:t>
      </w:r>
      <w:r w:rsidRPr="00772403">
        <w:rPr>
          <w:rFonts w:cs="Times New Roman"/>
          <w:bCs/>
          <w:iCs/>
        </w:rPr>
        <w:t>sectoral</w:t>
      </w:r>
      <w:r w:rsidRPr="002B1DFC">
        <w:rPr>
          <w:rFonts w:cs="Times New Roman"/>
        </w:rPr>
        <w:t xml:space="preserve"> strategies and programs include</w:t>
      </w:r>
      <w:r w:rsidR="00AA506E">
        <w:rPr>
          <w:rFonts w:cs="Times New Roman"/>
        </w:rPr>
        <w:t xml:space="preserve"> the following</w:t>
      </w:r>
      <w:r w:rsidRPr="002B1DFC">
        <w:rPr>
          <w:rFonts w:cs="Times New Roman"/>
        </w:rPr>
        <w:t>:</w:t>
      </w:r>
    </w:p>
    <w:p w14:paraId="34BF005E" w14:textId="77777777" w:rsidR="000B7923" w:rsidRPr="002B1DFC" w:rsidRDefault="000B7923" w:rsidP="00932501">
      <w:pPr>
        <w:rPr>
          <w:rFonts w:cs="Times New Roman"/>
        </w:rPr>
      </w:pPr>
    </w:p>
    <w:p w14:paraId="1E7DD82A" w14:textId="77777777" w:rsidR="000B7923" w:rsidRPr="002B1DFC" w:rsidRDefault="000B7923" w:rsidP="00B83095">
      <w:pPr>
        <w:pStyle w:val="ListParagraph"/>
        <w:numPr>
          <w:ilvl w:val="0"/>
          <w:numId w:val="12"/>
        </w:numPr>
        <w:rPr>
          <w:rFonts w:cs="Times New Roman"/>
          <w:iCs/>
        </w:rPr>
      </w:pPr>
      <w:r w:rsidRPr="002B1DFC">
        <w:rPr>
          <w:rFonts w:cs="Times New Roman"/>
          <w:iCs/>
        </w:rPr>
        <w:lastRenderedPageBreak/>
        <w:t>Sustainable Development Strategy</w:t>
      </w:r>
      <w:r w:rsidR="00AA506E">
        <w:rPr>
          <w:rFonts w:cs="Times New Roman"/>
          <w:iCs/>
        </w:rPr>
        <w:t xml:space="preserve"> </w:t>
      </w:r>
      <w:r w:rsidRPr="002B1DFC">
        <w:rPr>
          <w:rFonts w:cs="Times New Roman"/>
          <w:iCs/>
        </w:rPr>
        <w:t>– 2020 (2015)</w:t>
      </w:r>
    </w:p>
    <w:p w14:paraId="5CDA77B5" w14:textId="77777777" w:rsidR="000B7923" w:rsidRPr="002B1DFC" w:rsidRDefault="000B7923" w:rsidP="00B83095">
      <w:pPr>
        <w:pStyle w:val="ListParagraph"/>
        <w:numPr>
          <w:ilvl w:val="0"/>
          <w:numId w:val="12"/>
        </w:numPr>
        <w:rPr>
          <w:rFonts w:cs="Times New Roman"/>
          <w:iCs/>
        </w:rPr>
      </w:pPr>
      <w:r w:rsidRPr="002B1DFC">
        <w:rPr>
          <w:rFonts w:cs="Times New Roman"/>
          <w:iCs/>
        </w:rPr>
        <w:t>National Action Plan on Renewable Energy – 2020 (2014)</w:t>
      </w:r>
    </w:p>
    <w:p w14:paraId="442F3A4A" w14:textId="77777777" w:rsidR="000B7923" w:rsidRPr="002B1DFC" w:rsidRDefault="000B7923" w:rsidP="00B83095">
      <w:pPr>
        <w:pStyle w:val="ListParagraph"/>
        <w:numPr>
          <w:ilvl w:val="0"/>
          <w:numId w:val="12"/>
        </w:numPr>
        <w:rPr>
          <w:rFonts w:cs="Times New Roman"/>
          <w:iCs/>
        </w:rPr>
      </w:pPr>
      <w:r w:rsidRPr="002B1DFC">
        <w:rPr>
          <w:rFonts w:cs="Times New Roman"/>
          <w:iCs/>
        </w:rPr>
        <w:t>National Strategy for Regional Development – 2020 (2014)</w:t>
      </w:r>
    </w:p>
    <w:p w14:paraId="62DBF30F" w14:textId="77777777" w:rsidR="000B7923" w:rsidRPr="002B1DFC" w:rsidRDefault="000B7923" w:rsidP="00B83095">
      <w:pPr>
        <w:pStyle w:val="ListParagraph"/>
        <w:numPr>
          <w:ilvl w:val="0"/>
          <w:numId w:val="12"/>
        </w:numPr>
        <w:rPr>
          <w:rFonts w:cs="Times New Roman"/>
          <w:iCs/>
        </w:rPr>
      </w:pPr>
      <w:r w:rsidRPr="002B1DFC">
        <w:rPr>
          <w:rFonts w:cs="Times New Roman"/>
          <w:iCs/>
        </w:rPr>
        <w:t xml:space="preserve">Concept of National Targeted Economic Program of the Industrial Development </w:t>
      </w:r>
      <w:r w:rsidR="00BB0F37">
        <w:rPr>
          <w:rFonts w:cs="Times New Roman"/>
          <w:iCs/>
        </w:rPr>
        <w:t>up to</w:t>
      </w:r>
      <w:r w:rsidR="00AA506E" w:rsidRPr="002B1DFC">
        <w:rPr>
          <w:rFonts w:cs="Times New Roman"/>
          <w:iCs/>
        </w:rPr>
        <w:t xml:space="preserve"> </w:t>
      </w:r>
      <w:r w:rsidRPr="002B1DFC">
        <w:rPr>
          <w:rFonts w:cs="Times New Roman"/>
          <w:iCs/>
        </w:rPr>
        <w:t>2020 (2013)</w:t>
      </w:r>
    </w:p>
    <w:p w14:paraId="2B087FE9" w14:textId="77777777" w:rsidR="000B7923" w:rsidRPr="002B1DFC" w:rsidRDefault="000B7923" w:rsidP="00B83095">
      <w:pPr>
        <w:pStyle w:val="ListParagraph"/>
        <w:numPr>
          <w:ilvl w:val="0"/>
          <w:numId w:val="12"/>
        </w:numPr>
        <w:rPr>
          <w:rFonts w:cs="Times New Roman"/>
          <w:iCs/>
        </w:rPr>
      </w:pPr>
      <w:r w:rsidRPr="002B1DFC">
        <w:rPr>
          <w:rFonts w:cs="Times New Roman"/>
          <w:iCs/>
        </w:rPr>
        <w:t>Energy Strategy – 2030 (2013)</w:t>
      </w:r>
    </w:p>
    <w:p w14:paraId="001FD1FC" w14:textId="77777777" w:rsidR="000B7923" w:rsidRPr="002B1DFC" w:rsidRDefault="000B7923" w:rsidP="00B83095">
      <w:pPr>
        <w:pStyle w:val="ListParagraph"/>
        <w:numPr>
          <w:ilvl w:val="0"/>
          <w:numId w:val="12"/>
        </w:numPr>
        <w:rPr>
          <w:rFonts w:cs="Times New Roman"/>
          <w:iCs/>
        </w:rPr>
      </w:pPr>
      <w:r w:rsidRPr="002B1DFC">
        <w:rPr>
          <w:rFonts w:cs="Times New Roman"/>
          <w:iCs/>
        </w:rPr>
        <w:t>Agriculture Sector Development Strategy – 2020 (2013)</w:t>
      </w:r>
    </w:p>
    <w:p w14:paraId="5FC756D5" w14:textId="77777777" w:rsidR="000B7923" w:rsidRPr="002B1DFC" w:rsidRDefault="000B7923" w:rsidP="00B83095">
      <w:pPr>
        <w:pStyle w:val="ListParagraph"/>
        <w:numPr>
          <w:ilvl w:val="0"/>
          <w:numId w:val="12"/>
        </w:numPr>
        <w:rPr>
          <w:rFonts w:cs="Times New Roman"/>
          <w:iCs/>
        </w:rPr>
      </w:pPr>
      <w:r w:rsidRPr="002B1DFC">
        <w:rPr>
          <w:rFonts w:cs="Times New Roman"/>
          <w:iCs/>
        </w:rPr>
        <w:t>National Program of Domestic Production (2011)</w:t>
      </w:r>
    </w:p>
    <w:p w14:paraId="7D5B229C" w14:textId="77777777" w:rsidR="000B7923" w:rsidRPr="002B1DFC" w:rsidRDefault="000B7923" w:rsidP="00B83095">
      <w:pPr>
        <w:pStyle w:val="ListParagraph"/>
        <w:numPr>
          <w:ilvl w:val="0"/>
          <w:numId w:val="12"/>
        </w:numPr>
        <w:rPr>
          <w:rFonts w:cs="Times New Roman"/>
          <w:iCs/>
        </w:rPr>
      </w:pPr>
      <w:r w:rsidRPr="002B1DFC">
        <w:rPr>
          <w:rFonts w:cs="Times New Roman"/>
          <w:iCs/>
        </w:rPr>
        <w:t>Transport Strategy – 2020 (2010)</w:t>
      </w:r>
    </w:p>
    <w:p w14:paraId="2C4BC537" w14:textId="77777777" w:rsidR="000B7923" w:rsidRPr="002B1DFC" w:rsidRDefault="000B7923" w:rsidP="00B83095">
      <w:pPr>
        <w:pStyle w:val="ListParagraph"/>
        <w:numPr>
          <w:ilvl w:val="0"/>
          <w:numId w:val="12"/>
        </w:numPr>
        <w:rPr>
          <w:rFonts w:cs="Times New Roman"/>
          <w:iCs/>
        </w:rPr>
      </w:pPr>
      <w:r w:rsidRPr="002B1DFC">
        <w:rPr>
          <w:rFonts w:cs="Times New Roman"/>
          <w:iCs/>
        </w:rPr>
        <w:t>National Action Plan on Settlements’ Improvement and their Adjacent Territories for 2010</w:t>
      </w:r>
      <w:r w:rsidR="0041197D">
        <w:rPr>
          <w:rFonts w:cs="Times New Roman"/>
          <w:iCs/>
        </w:rPr>
        <w:t>–</w:t>
      </w:r>
      <w:r w:rsidRPr="002B1DFC">
        <w:rPr>
          <w:rFonts w:cs="Times New Roman"/>
          <w:iCs/>
        </w:rPr>
        <w:t xml:space="preserve">2015 (2009) </w:t>
      </w:r>
    </w:p>
    <w:p w14:paraId="71D9A346" w14:textId="77777777" w:rsidR="000B7923" w:rsidRPr="002B1DFC" w:rsidRDefault="000B7923" w:rsidP="00B83095">
      <w:pPr>
        <w:pStyle w:val="ListParagraph"/>
        <w:numPr>
          <w:ilvl w:val="0"/>
          <w:numId w:val="12"/>
        </w:numPr>
        <w:rPr>
          <w:rFonts w:cs="Times New Roman"/>
          <w:iCs/>
        </w:rPr>
      </w:pPr>
      <w:r w:rsidRPr="002B1DFC">
        <w:rPr>
          <w:rFonts w:cs="Times New Roman"/>
          <w:iCs/>
        </w:rPr>
        <w:t xml:space="preserve">State Targeted Program on the Development of the Ukrainian Village </w:t>
      </w:r>
      <w:r w:rsidR="00BB0F37">
        <w:rPr>
          <w:rFonts w:cs="Times New Roman"/>
          <w:iCs/>
        </w:rPr>
        <w:t>up to</w:t>
      </w:r>
      <w:r w:rsidRPr="002B1DFC">
        <w:rPr>
          <w:rFonts w:cs="Times New Roman"/>
          <w:iCs/>
        </w:rPr>
        <w:t xml:space="preserve"> 2015 (2007) </w:t>
      </w:r>
    </w:p>
    <w:p w14:paraId="45599B88" w14:textId="77777777" w:rsidR="000B7923" w:rsidRPr="002B1DFC" w:rsidRDefault="000B7923" w:rsidP="00B83095">
      <w:pPr>
        <w:pStyle w:val="ListParagraph"/>
        <w:numPr>
          <w:ilvl w:val="0"/>
          <w:numId w:val="12"/>
        </w:numPr>
        <w:rPr>
          <w:rFonts w:cs="Times New Roman"/>
          <w:iCs/>
        </w:rPr>
      </w:pPr>
      <w:r w:rsidRPr="002B1DFC">
        <w:rPr>
          <w:rFonts w:cs="Times New Roman"/>
          <w:iCs/>
        </w:rPr>
        <w:t>National Security Strategy (2007)</w:t>
      </w:r>
    </w:p>
    <w:p w14:paraId="19B087DA" w14:textId="77777777" w:rsidR="000B7923" w:rsidRPr="002B1DFC" w:rsidRDefault="000B7923" w:rsidP="00B83095">
      <w:pPr>
        <w:pStyle w:val="ListParagraph"/>
        <w:numPr>
          <w:ilvl w:val="0"/>
          <w:numId w:val="12"/>
        </w:numPr>
        <w:rPr>
          <w:rFonts w:cs="Times New Roman"/>
          <w:iCs/>
        </w:rPr>
      </w:pPr>
      <w:r w:rsidRPr="002B1DFC">
        <w:rPr>
          <w:rFonts w:cs="Times New Roman"/>
          <w:iCs/>
        </w:rPr>
        <w:t>Main Provisions of State Agrarian Policy – 2015 (2005)</w:t>
      </w:r>
    </w:p>
    <w:p w14:paraId="245868B3" w14:textId="77777777" w:rsidR="000B7923" w:rsidRPr="002B1DFC" w:rsidRDefault="000B7923" w:rsidP="00B83095">
      <w:pPr>
        <w:pStyle w:val="ListParagraph"/>
        <w:numPr>
          <w:ilvl w:val="0"/>
          <w:numId w:val="12"/>
        </w:numPr>
        <w:rPr>
          <w:rFonts w:cs="Times New Roman"/>
          <w:iCs/>
        </w:rPr>
      </w:pPr>
      <w:r w:rsidRPr="002B1DFC">
        <w:rPr>
          <w:rFonts w:cs="Times New Roman"/>
          <w:iCs/>
        </w:rPr>
        <w:t>National Program for Reform and Development of Housing and Utility Services for 2009</w:t>
      </w:r>
      <w:r w:rsidR="0041197D">
        <w:rPr>
          <w:rFonts w:cs="Times New Roman"/>
          <w:iCs/>
        </w:rPr>
        <w:t>–</w:t>
      </w:r>
      <w:r w:rsidRPr="002B1DFC">
        <w:rPr>
          <w:rFonts w:cs="Times New Roman"/>
          <w:iCs/>
        </w:rPr>
        <w:t>2014 (2004)</w:t>
      </w:r>
    </w:p>
    <w:p w14:paraId="6EB55ED6" w14:textId="77777777" w:rsidR="000B7923" w:rsidRPr="002B1DFC" w:rsidRDefault="000B7923" w:rsidP="00B83095">
      <w:pPr>
        <w:pStyle w:val="ListParagraph"/>
        <w:numPr>
          <w:ilvl w:val="0"/>
          <w:numId w:val="12"/>
        </w:numPr>
        <w:rPr>
          <w:rFonts w:cs="Times New Roman"/>
          <w:iCs/>
        </w:rPr>
      </w:pPr>
      <w:r w:rsidRPr="002B1DFC">
        <w:rPr>
          <w:rFonts w:cs="Times New Roman"/>
          <w:iCs/>
        </w:rPr>
        <w:t xml:space="preserve">Ukraine Economic and Social Development Strategy by a </w:t>
      </w:r>
      <w:r w:rsidR="00AA506E">
        <w:rPr>
          <w:rFonts w:cs="Times New Roman"/>
          <w:iCs/>
        </w:rPr>
        <w:t>W</w:t>
      </w:r>
      <w:r w:rsidRPr="002B1DFC">
        <w:rPr>
          <w:rFonts w:cs="Times New Roman"/>
          <w:iCs/>
        </w:rPr>
        <w:t>ay of European Integration for 2004</w:t>
      </w:r>
      <w:r w:rsidR="0041197D">
        <w:rPr>
          <w:rFonts w:cs="Times New Roman"/>
          <w:iCs/>
        </w:rPr>
        <w:t>–</w:t>
      </w:r>
      <w:r w:rsidRPr="002B1DFC">
        <w:rPr>
          <w:rFonts w:cs="Times New Roman"/>
          <w:iCs/>
        </w:rPr>
        <w:t>2015 (2004)</w:t>
      </w:r>
    </w:p>
    <w:p w14:paraId="3F042058" w14:textId="77777777" w:rsidR="000B7923" w:rsidRPr="00772403" w:rsidRDefault="000B7923" w:rsidP="00F33595">
      <w:pPr>
        <w:rPr>
          <w:rFonts w:cs="Times New Roman"/>
          <w:i/>
        </w:rPr>
      </w:pPr>
    </w:p>
    <w:p w14:paraId="1C599953" w14:textId="77777777" w:rsidR="000B7923" w:rsidRPr="00772403" w:rsidRDefault="000B7923" w:rsidP="00772403">
      <w:pPr>
        <w:pStyle w:val="ListParagraph"/>
        <w:numPr>
          <w:ilvl w:val="0"/>
          <w:numId w:val="68"/>
        </w:numPr>
        <w:tabs>
          <w:tab w:val="left" w:pos="360"/>
        </w:tabs>
        <w:spacing w:line="23" w:lineRule="atLeast"/>
        <w:ind w:left="0" w:firstLine="0"/>
        <w:rPr>
          <w:rFonts w:cs="Times New Roman"/>
        </w:rPr>
      </w:pPr>
      <w:r w:rsidRPr="00772403">
        <w:rPr>
          <w:rFonts w:cs="Times New Roman"/>
        </w:rPr>
        <w:t xml:space="preserve">The </w:t>
      </w:r>
      <w:r w:rsidRPr="00772403">
        <w:rPr>
          <w:rFonts w:cs="Times New Roman"/>
          <w:i/>
          <w:iCs/>
        </w:rPr>
        <w:t>Strategy of Sustainable Development “Ukraine – 2020”</w:t>
      </w:r>
      <w:r w:rsidR="00AA506E" w:rsidRPr="00772403">
        <w:rPr>
          <w:rFonts w:cs="Times New Roman"/>
        </w:rPr>
        <w:t xml:space="preserve"> was</w:t>
      </w:r>
      <w:r w:rsidRPr="00772403">
        <w:rPr>
          <w:rFonts w:cs="Times New Roman"/>
        </w:rPr>
        <w:t xml:space="preserve"> approved in January 2015</w:t>
      </w:r>
      <w:r w:rsidR="00AA506E" w:rsidRPr="00772403">
        <w:rPr>
          <w:rFonts w:cs="Times New Roman"/>
        </w:rPr>
        <w:t>; it</w:t>
      </w:r>
      <w:r w:rsidRPr="00772403">
        <w:rPr>
          <w:rFonts w:cs="Times New Roman"/>
        </w:rPr>
        <w:t xml:space="preserve"> defines the goal, vectors, roadmap, and indicators for defense, socioeconomic, institutional, policy</w:t>
      </w:r>
      <w:r w:rsidR="0041197D" w:rsidRPr="00772403">
        <w:rPr>
          <w:rFonts w:cs="Times New Roman"/>
        </w:rPr>
        <w:t>,</w:t>
      </w:r>
      <w:r w:rsidRPr="00772403">
        <w:rPr>
          <w:rFonts w:cs="Times New Roman"/>
        </w:rPr>
        <w:t xml:space="preserve"> and legislation relevant to State development. The strategy identifies four key vectors: development, security, </w:t>
      </w:r>
      <w:r w:rsidRPr="00772403">
        <w:rPr>
          <w:rFonts w:cs="Times New Roman"/>
          <w:bCs/>
          <w:iCs/>
        </w:rPr>
        <w:t>responsibility</w:t>
      </w:r>
      <w:r w:rsidRPr="00772403">
        <w:rPr>
          <w:rFonts w:cs="Times New Roman"/>
        </w:rPr>
        <w:t xml:space="preserve"> and pride and 62 reforms and development programs within these vectors. Reform of the environment sector is identified under the </w:t>
      </w:r>
      <w:r w:rsidRPr="00772403">
        <w:rPr>
          <w:rFonts w:cs="Times New Roman"/>
          <w:b/>
          <w:bCs/>
        </w:rPr>
        <w:t>security vector</w:t>
      </w:r>
      <w:r w:rsidRPr="00772403">
        <w:rPr>
          <w:rFonts w:cs="Times New Roman"/>
        </w:rPr>
        <w:t xml:space="preserve"> that aims to guarantee the security of the state, the business and individuals, the protection of investments and private property, and calls for special attention to be paid to the safety of human life and health, through ensuring a safe environment, among others. A number of reforms that the strategy considers as top priority, will also have influence on the environmental institutions in Ukraine, for example: decentralization and public governance reform, upgrading the government and anti-corruption reform, and judicial reform.</w:t>
      </w:r>
    </w:p>
    <w:p w14:paraId="345BD853" w14:textId="77777777" w:rsidR="000B7923" w:rsidRPr="00772403" w:rsidRDefault="000B7923" w:rsidP="00984214">
      <w:pPr>
        <w:rPr>
          <w:rFonts w:cs="Times New Roman"/>
        </w:rPr>
      </w:pPr>
    </w:p>
    <w:p w14:paraId="4286B375" w14:textId="77777777" w:rsidR="000B7923" w:rsidRPr="005C2F51" w:rsidRDefault="000B7923" w:rsidP="00772403">
      <w:pPr>
        <w:pStyle w:val="ListParagraph"/>
        <w:numPr>
          <w:ilvl w:val="0"/>
          <w:numId w:val="68"/>
        </w:numPr>
        <w:tabs>
          <w:tab w:val="left" w:pos="360"/>
        </w:tabs>
        <w:spacing w:line="23" w:lineRule="atLeast"/>
        <w:ind w:left="0" w:firstLine="0"/>
        <w:rPr>
          <w:rFonts w:cs="Times New Roman"/>
          <w:color w:val="000000" w:themeColor="text1"/>
        </w:rPr>
      </w:pPr>
      <w:r w:rsidRPr="002B1DFC">
        <w:rPr>
          <w:rFonts w:cs="Times New Roman"/>
          <w:i/>
        </w:rPr>
        <w:t xml:space="preserve">Energy Strategy of Ukraine </w:t>
      </w:r>
      <w:r w:rsidR="00BB0F37">
        <w:rPr>
          <w:rFonts w:cs="Times New Roman"/>
          <w:i/>
        </w:rPr>
        <w:t>up to</w:t>
      </w:r>
      <w:r w:rsidRPr="002B1DFC">
        <w:rPr>
          <w:rFonts w:cs="Times New Roman"/>
          <w:i/>
        </w:rPr>
        <w:t xml:space="preserve"> 2030 </w:t>
      </w:r>
      <w:r w:rsidRPr="002B1DFC">
        <w:rPr>
          <w:rFonts w:cs="Times New Roman"/>
        </w:rPr>
        <w:t xml:space="preserve">was first adopted in 2006, revised in 2013, and is currently under review and update as the </w:t>
      </w:r>
      <w:r w:rsidRPr="002B1DFC">
        <w:rPr>
          <w:rFonts w:cs="Times New Roman"/>
          <w:i/>
          <w:iCs/>
        </w:rPr>
        <w:t xml:space="preserve">Energy Strategy </w:t>
      </w:r>
      <w:r w:rsidR="00EF0A33">
        <w:rPr>
          <w:rFonts w:cs="Times New Roman"/>
          <w:i/>
          <w:iCs/>
        </w:rPr>
        <w:t xml:space="preserve">up to </w:t>
      </w:r>
      <w:r w:rsidRPr="002B1DFC">
        <w:rPr>
          <w:rFonts w:cs="Times New Roman"/>
          <w:i/>
          <w:iCs/>
        </w:rPr>
        <w:t>2035</w:t>
      </w:r>
      <w:r w:rsidRPr="002B1DFC">
        <w:rPr>
          <w:rFonts w:cs="Times New Roman"/>
        </w:rPr>
        <w:t xml:space="preserve">. However, there are still discussions between </w:t>
      </w:r>
      <w:r w:rsidRPr="005C2F51">
        <w:rPr>
          <w:rFonts w:cs="Times New Roman"/>
          <w:color w:val="000000" w:themeColor="text1"/>
        </w:rPr>
        <w:t xml:space="preserve">experts and public regarding the relevance of the new Energy Strategy to other sectoral programs, including NES. The draft Energy Strategy </w:t>
      </w:r>
      <w:r w:rsidR="00BB0F37" w:rsidRPr="005C2F51">
        <w:rPr>
          <w:rFonts w:cs="Times New Roman"/>
          <w:color w:val="000000" w:themeColor="text1"/>
        </w:rPr>
        <w:t>up to</w:t>
      </w:r>
      <w:r w:rsidRPr="005C2F51">
        <w:rPr>
          <w:rFonts w:cs="Times New Roman"/>
          <w:color w:val="000000" w:themeColor="text1"/>
        </w:rPr>
        <w:t xml:space="preserve"> 2035 was published on the </w:t>
      </w:r>
      <w:r w:rsidR="00591FD4" w:rsidRPr="005C2F51">
        <w:rPr>
          <w:rFonts w:cs="Times New Roman"/>
          <w:color w:val="000000" w:themeColor="text1"/>
        </w:rPr>
        <w:t>Web site</w:t>
      </w:r>
      <w:r w:rsidRPr="005C2F51">
        <w:rPr>
          <w:rFonts w:cs="Times New Roman"/>
          <w:color w:val="000000" w:themeColor="text1"/>
        </w:rPr>
        <w:t xml:space="preserve"> of National Institute for Strategic Studies of the President of Ukraine on January 15, 2015 for public consultation, and will be adopted after the agreement between all stakeholders</w:t>
      </w:r>
      <w:r w:rsidR="001E2BFB" w:rsidRPr="005C2F51">
        <w:rPr>
          <w:rFonts w:cs="Times New Roman"/>
          <w:color w:val="000000" w:themeColor="text1"/>
        </w:rPr>
        <w:t xml:space="preserve"> (NISS 2015)</w:t>
      </w:r>
      <w:r w:rsidR="008357CD" w:rsidRPr="005C2F51">
        <w:rPr>
          <w:rFonts w:cs="Times New Roman"/>
          <w:color w:val="000000" w:themeColor="text1"/>
        </w:rPr>
        <w:t>.</w:t>
      </w:r>
    </w:p>
    <w:p w14:paraId="449F5809" w14:textId="77777777" w:rsidR="000B7923" w:rsidRPr="005C2F51" w:rsidRDefault="000B7923" w:rsidP="00F33595">
      <w:pPr>
        <w:rPr>
          <w:rFonts w:cs="Times New Roman"/>
          <w:color w:val="000000" w:themeColor="text1"/>
        </w:rPr>
      </w:pPr>
    </w:p>
    <w:p w14:paraId="30012484" w14:textId="77777777" w:rsidR="000B7923" w:rsidRPr="005C2F51" w:rsidRDefault="000B7923" w:rsidP="00772403">
      <w:pPr>
        <w:pStyle w:val="ListParagraph"/>
        <w:numPr>
          <w:ilvl w:val="0"/>
          <w:numId w:val="68"/>
        </w:numPr>
        <w:tabs>
          <w:tab w:val="left" w:pos="360"/>
        </w:tabs>
        <w:spacing w:line="23" w:lineRule="atLeast"/>
        <w:ind w:left="0" w:firstLine="0"/>
        <w:rPr>
          <w:rFonts w:cs="Times New Roman"/>
          <w:color w:val="000000" w:themeColor="text1"/>
        </w:rPr>
      </w:pPr>
      <w:r w:rsidRPr="005C2F51">
        <w:rPr>
          <w:rFonts w:cs="Times New Roman"/>
          <w:color w:val="000000" w:themeColor="text1"/>
        </w:rPr>
        <w:t xml:space="preserve">The implementation of the </w:t>
      </w:r>
      <w:r w:rsidRPr="005C2F51">
        <w:rPr>
          <w:rFonts w:cs="Times New Roman"/>
          <w:i/>
          <w:iCs/>
          <w:color w:val="000000" w:themeColor="text1"/>
        </w:rPr>
        <w:t xml:space="preserve">National Strategy for Regional Development till 2020 </w:t>
      </w:r>
      <w:r w:rsidRPr="005C2F51">
        <w:rPr>
          <w:rFonts w:cs="Times New Roman"/>
          <w:color w:val="000000" w:themeColor="text1"/>
        </w:rPr>
        <w:t>(2014), may have far reaching influence on environmental institutions as it calls for enhancing regional competitiveness; territorial socioeconomic integration and spatial development; and effective governance of regional development.</w:t>
      </w:r>
    </w:p>
    <w:p w14:paraId="36E2AE3A" w14:textId="77777777" w:rsidR="000B7923" w:rsidRPr="005C2F51" w:rsidRDefault="000B7923" w:rsidP="00F33595">
      <w:pPr>
        <w:rPr>
          <w:rFonts w:cs="Times New Roman"/>
          <w:color w:val="000000" w:themeColor="text1"/>
        </w:rPr>
      </w:pPr>
    </w:p>
    <w:p w14:paraId="3142AB7B" w14:textId="77777777" w:rsidR="000B7923" w:rsidRPr="005C2F51" w:rsidRDefault="000B7923" w:rsidP="00772403">
      <w:pPr>
        <w:pStyle w:val="ListParagraph"/>
        <w:numPr>
          <w:ilvl w:val="0"/>
          <w:numId w:val="68"/>
        </w:numPr>
        <w:tabs>
          <w:tab w:val="left" w:pos="360"/>
        </w:tabs>
        <w:spacing w:line="23" w:lineRule="atLeast"/>
        <w:ind w:left="0" w:firstLine="0"/>
        <w:rPr>
          <w:rFonts w:cs="Times New Roman"/>
          <w:color w:val="000000" w:themeColor="text1"/>
        </w:rPr>
      </w:pPr>
      <w:r w:rsidRPr="005C2F51">
        <w:rPr>
          <w:rFonts w:cs="Times New Roman"/>
          <w:iCs/>
          <w:color w:val="000000" w:themeColor="text1"/>
        </w:rPr>
        <w:t xml:space="preserve">The </w:t>
      </w:r>
      <w:r w:rsidRPr="005C2F51">
        <w:rPr>
          <w:rFonts w:cs="Times New Roman"/>
          <w:i/>
          <w:color w:val="000000" w:themeColor="text1"/>
        </w:rPr>
        <w:t>National Program of Domestic Production (2011)</w:t>
      </w:r>
      <w:r w:rsidRPr="005C2F51">
        <w:rPr>
          <w:rFonts w:cs="Times New Roman"/>
          <w:color w:val="000000" w:themeColor="text1"/>
        </w:rPr>
        <w:t xml:space="preserve"> for the first time took into consideration environmental aspects of manufacturing. The Action Plan for its implementation calls for incentives for industries that use and implement new technologies and renewable energy sources; foster the implementation of energy management and audit and monitoring of measures’ effectiveness. However, this Action Plan did not provide clear financial allocation for the implementation of the measures. </w:t>
      </w:r>
    </w:p>
    <w:p w14:paraId="65B9614D" w14:textId="77777777" w:rsidR="000B7923" w:rsidRPr="005C2F51" w:rsidRDefault="000B7923" w:rsidP="00F33595">
      <w:pPr>
        <w:rPr>
          <w:rFonts w:cs="Times New Roman"/>
          <w:color w:val="000000" w:themeColor="text1"/>
        </w:rPr>
      </w:pPr>
    </w:p>
    <w:p w14:paraId="13D6BC17"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5C2F51">
        <w:rPr>
          <w:rFonts w:cs="Times New Roman"/>
          <w:color w:val="000000" w:themeColor="text1"/>
        </w:rPr>
        <w:t xml:space="preserve">The </w:t>
      </w:r>
      <w:r w:rsidRPr="005C2F51">
        <w:rPr>
          <w:rFonts w:cs="Times New Roman"/>
          <w:i/>
          <w:color w:val="000000" w:themeColor="text1"/>
        </w:rPr>
        <w:t xml:space="preserve">Targeted </w:t>
      </w:r>
      <w:r w:rsidRPr="002B1DFC">
        <w:rPr>
          <w:rFonts w:cs="Times New Roman"/>
          <w:i/>
        </w:rPr>
        <w:t>Program for the Development of Agrarian Sector (2007)</w:t>
      </w:r>
      <w:r w:rsidRPr="002B1DFC">
        <w:rPr>
          <w:rFonts w:cs="Times New Roman"/>
        </w:rPr>
        <w:t xml:space="preserve"> includes some environmental aspects</w:t>
      </w:r>
      <w:r w:rsidR="00AA506E">
        <w:rPr>
          <w:rFonts w:cs="Times New Roman"/>
        </w:rPr>
        <w:t>—</w:t>
      </w:r>
      <w:r w:rsidRPr="002B1DFC">
        <w:rPr>
          <w:rFonts w:cs="Times New Roman"/>
        </w:rPr>
        <w:t xml:space="preserve">for instance, the implementation of </w:t>
      </w:r>
      <w:r w:rsidR="00AA506E">
        <w:rPr>
          <w:rFonts w:cs="Times New Roman"/>
        </w:rPr>
        <w:t xml:space="preserve">an </w:t>
      </w:r>
      <w:r w:rsidRPr="002B1DFC">
        <w:rPr>
          <w:rFonts w:cs="Times New Roman"/>
        </w:rPr>
        <w:t>effective system of soil fertility, soil monitoring, environmentally friendly technologies</w:t>
      </w:r>
      <w:r w:rsidR="00AA506E">
        <w:rPr>
          <w:rFonts w:cs="Times New Roman"/>
        </w:rPr>
        <w:t>,</w:t>
      </w:r>
      <w:r w:rsidRPr="002B1DFC">
        <w:rPr>
          <w:rFonts w:cs="Times New Roman"/>
        </w:rPr>
        <w:t xml:space="preserve"> and production of organic products</w:t>
      </w:r>
      <w:r w:rsidR="00AA506E">
        <w:rPr>
          <w:rFonts w:cs="Times New Roman"/>
        </w:rPr>
        <w:t>. H</w:t>
      </w:r>
      <w:r w:rsidRPr="002B1DFC">
        <w:rPr>
          <w:rFonts w:cs="Times New Roman"/>
        </w:rPr>
        <w:t xml:space="preserve">owever, most of these </w:t>
      </w:r>
      <w:r w:rsidRPr="002B1DFC">
        <w:rPr>
          <w:rFonts w:cs="Times New Roman"/>
        </w:rPr>
        <w:lastRenderedPageBreak/>
        <w:t xml:space="preserve">measures were not implemented in practice. Moreover, the strategy does not address climate change adaptation in </w:t>
      </w:r>
      <w:r w:rsidR="00AA506E">
        <w:rPr>
          <w:rFonts w:cs="Times New Roman"/>
        </w:rPr>
        <w:t xml:space="preserve">the </w:t>
      </w:r>
      <w:r w:rsidRPr="002B1DFC">
        <w:rPr>
          <w:rFonts w:cs="Times New Roman"/>
        </w:rPr>
        <w:t>agricultural sector</w:t>
      </w:r>
      <w:r w:rsidR="00AA506E">
        <w:rPr>
          <w:rFonts w:cs="Times New Roman"/>
        </w:rPr>
        <w:t xml:space="preserve">, nor does it address </w:t>
      </w:r>
      <w:r w:rsidRPr="002B1DFC">
        <w:rPr>
          <w:rFonts w:cs="Times New Roman"/>
        </w:rPr>
        <w:t xml:space="preserve">assessment of risks from extreme weather events. </w:t>
      </w:r>
    </w:p>
    <w:p w14:paraId="2FFA6E29" w14:textId="77777777" w:rsidR="000B7923" w:rsidRPr="002B1DFC" w:rsidRDefault="000B7923" w:rsidP="00CF63A1">
      <w:pPr>
        <w:rPr>
          <w:rFonts w:cs="Times New Roman"/>
        </w:rPr>
      </w:pPr>
    </w:p>
    <w:p w14:paraId="3560F064" w14:textId="77777777" w:rsidR="000B7923" w:rsidRPr="002B1DFC" w:rsidRDefault="000B7923" w:rsidP="00772403">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The following key gaps are identified in Ukraine’s strategy documents in the area of environment: </w:t>
      </w:r>
    </w:p>
    <w:p w14:paraId="62F2E978" w14:textId="77777777" w:rsidR="000B7923" w:rsidRPr="002B1DFC" w:rsidRDefault="000B7923" w:rsidP="009A3729">
      <w:pPr>
        <w:rPr>
          <w:rFonts w:cs="Times New Roman"/>
        </w:rPr>
      </w:pPr>
    </w:p>
    <w:p w14:paraId="1BF382D4" w14:textId="77777777" w:rsidR="000B7923" w:rsidRPr="002B1DFC" w:rsidRDefault="000B7923" w:rsidP="00B83095">
      <w:pPr>
        <w:numPr>
          <w:ilvl w:val="0"/>
          <w:numId w:val="10"/>
        </w:numPr>
        <w:ind w:left="360"/>
        <w:rPr>
          <w:rFonts w:cs="Times New Roman"/>
        </w:rPr>
      </w:pPr>
      <w:r w:rsidRPr="002B1DFC">
        <w:rPr>
          <w:rFonts w:cs="Times New Roman"/>
          <w:b/>
          <w:bCs/>
        </w:rPr>
        <w:t>Lack of clear prioritization among the different goals for achieving the NES goals and its action plan.</w:t>
      </w:r>
      <w:r w:rsidRPr="002B1DFC">
        <w:rPr>
          <w:rFonts w:cs="Times New Roman"/>
        </w:rPr>
        <w:t xml:space="preserve"> Taking into consideration the financial and human resources</w:t>
      </w:r>
      <w:r w:rsidR="00B454F7">
        <w:rPr>
          <w:rFonts w:cs="Times New Roman"/>
        </w:rPr>
        <w:t xml:space="preserve"> scarcity</w:t>
      </w:r>
      <w:r w:rsidRPr="002B1DFC">
        <w:rPr>
          <w:rFonts w:cs="Times New Roman"/>
        </w:rPr>
        <w:t xml:space="preserve">, it is essential that priorities are identified to ensure their implementation, moreover, there is lack of clarity on role of non-government actors in the achieving the NES goals. </w:t>
      </w:r>
    </w:p>
    <w:p w14:paraId="67EEB782" w14:textId="77777777" w:rsidR="000B7923" w:rsidRPr="002B1DFC" w:rsidRDefault="000B7923" w:rsidP="006345D2">
      <w:pPr>
        <w:ind w:left="360"/>
        <w:rPr>
          <w:rFonts w:cs="Times New Roman"/>
        </w:rPr>
      </w:pPr>
    </w:p>
    <w:p w14:paraId="4C02F4C8" w14:textId="77777777" w:rsidR="000B7923" w:rsidRPr="002B1DFC" w:rsidRDefault="000B7923" w:rsidP="00B83095">
      <w:pPr>
        <w:numPr>
          <w:ilvl w:val="0"/>
          <w:numId w:val="10"/>
        </w:numPr>
        <w:ind w:left="360"/>
        <w:rPr>
          <w:rFonts w:cs="Times New Roman"/>
        </w:rPr>
      </w:pPr>
      <w:r w:rsidRPr="002B1DFC">
        <w:rPr>
          <w:rFonts w:cs="Times New Roman"/>
          <w:b/>
          <w:bCs/>
        </w:rPr>
        <w:t>Lack of a clear baseline and realistic target indicators</w:t>
      </w:r>
      <w:r w:rsidRPr="002B1DFC">
        <w:rPr>
          <w:rFonts w:cs="Times New Roman"/>
        </w:rPr>
        <w:t xml:space="preserve">. For example, the NES refers to the baseline as a comparison for reduction of air emissions, discharges to water bodies and reduction of waste. However, the NES does not provide the baseline year, nor it provides a baseline. The indicators are mostly qualitative description and quantitative performance is not pointed out, which makes monitoring of implemented measures quite difficult. Most indicators in NES are quite ambitious, and would be difficult to achieve. </w:t>
      </w:r>
    </w:p>
    <w:p w14:paraId="28756E7B" w14:textId="77777777" w:rsidR="000B7923" w:rsidRPr="002B1DFC" w:rsidRDefault="000B7923" w:rsidP="00723499">
      <w:pPr>
        <w:pStyle w:val="ListParagraph"/>
        <w:rPr>
          <w:rFonts w:cs="Times New Roman"/>
        </w:rPr>
      </w:pPr>
    </w:p>
    <w:p w14:paraId="3C1C25A6" w14:textId="77777777" w:rsidR="000B7923" w:rsidRPr="002B1DFC" w:rsidRDefault="000B7923" w:rsidP="00B83095">
      <w:pPr>
        <w:numPr>
          <w:ilvl w:val="0"/>
          <w:numId w:val="10"/>
        </w:numPr>
        <w:ind w:left="360"/>
        <w:rPr>
          <w:rFonts w:cs="Times New Roman"/>
        </w:rPr>
      </w:pPr>
      <w:r w:rsidRPr="002B1DFC">
        <w:rPr>
          <w:rFonts w:cs="Times New Roman"/>
          <w:b/>
          <w:bCs/>
        </w:rPr>
        <w:t>Lack of clear time frames in the national plans of measures</w:t>
      </w:r>
      <w:r w:rsidRPr="002B1DFC">
        <w:rPr>
          <w:rFonts w:cs="Times New Roman"/>
        </w:rPr>
        <w:t>, within which the aims and indicators should be achieved (for instance, Plan of Measures for the Implementation of the Stockholm Convention on Persistent Organic Pollutants);</w:t>
      </w:r>
    </w:p>
    <w:p w14:paraId="1EDD174A" w14:textId="77777777" w:rsidR="000B7923" w:rsidRPr="002B1DFC" w:rsidRDefault="000B7923" w:rsidP="009A3729">
      <w:pPr>
        <w:rPr>
          <w:rFonts w:cs="Times New Roman"/>
        </w:rPr>
      </w:pPr>
    </w:p>
    <w:p w14:paraId="22D33E63" w14:textId="77777777" w:rsidR="000B7923" w:rsidRPr="002B1DFC" w:rsidRDefault="000B7923" w:rsidP="00B83095">
      <w:pPr>
        <w:numPr>
          <w:ilvl w:val="0"/>
          <w:numId w:val="10"/>
        </w:numPr>
        <w:ind w:left="360"/>
        <w:rPr>
          <w:rFonts w:cs="Times New Roman"/>
        </w:rPr>
      </w:pPr>
      <w:r w:rsidRPr="002B1DFC">
        <w:rPr>
          <w:rFonts w:cs="Times New Roman"/>
          <w:b/>
          <w:bCs/>
        </w:rPr>
        <w:t>Lack of sufficient provisions regarding military operations in the NES 2020</w:t>
      </w:r>
      <w:r w:rsidRPr="002B1DFC">
        <w:rPr>
          <w:rFonts w:cs="Times New Roman"/>
        </w:rPr>
        <w:t xml:space="preserve">. </w:t>
      </w:r>
      <w:r w:rsidR="0041197D">
        <w:rPr>
          <w:rFonts w:cs="Times New Roman"/>
        </w:rPr>
        <w:t>The L</w:t>
      </w:r>
      <w:r w:rsidRPr="002B1DFC">
        <w:rPr>
          <w:rFonts w:cs="Times New Roman"/>
        </w:rPr>
        <w:t>egal document “Main Directions of the National Policy of Ukraine for Environmental Protection, Natural Resource Use and Environmental Safety</w:t>
      </w:r>
      <w:r w:rsidR="0041197D">
        <w:rPr>
          <w:rFonts w:cs="Times New Roman"/>
        </w:rPr>
        <w:t>,</w:t>
      </w:r>
      <w:r w:rsidRPr="002B1DFC">
        <w:rPr>
          <w:rFonts w:cs="Times New Roman"/>
        </w:rPr>
        <w:t>” adopted by the Parliament in 1998, had a chapter “Military Activity and Conversion of Military-Industrial Complex</w:t>
      </w:r>
      <w:r w:rsidR="0041197D">
        <w:rPr>
          <w:rFonts w:cs="Times New Roman"/>
        </w:rPr>
        <w:t>.</w:t>
      </w:r>
      <w:r w:rsidRPr="002B1DFC">
        <w:rPr>
          <w:rFonts w:cs="Times New Roman"/>
        </w:rPr>
        <w:t xml:space="preserve">” NES has some clauses regarding </w:t>
      </w:r>
      <w:r w:rsidR="0041197D">
        <w:rPr>
          <w:rFonts w:cs="Times New Roman"/>
        </w:rPr>
        <w:t xml:space="preserve">the </w:t>
      </w:r>
      <w:r w:rsidRPr="002B1DFC">
        <w:rPr>
          <w:rFonts w:cs="Times New Roman"/>
        </w:rPr>
        <w:t xml:space="preserve">military-defense field, but </w:t>
      </w:r>
      <w:r w:rsidR="0041197D">
        <w:rPr>
          <w:rFonts w:cs="Times New Roman"/>
        </w:rPr>
        <w:t>this topic</w:t>
      </w:r>
      <w:r w:rsidR="0041197D" w:rsidRPr="002B1DFC">
        <w:rPr>
          <w:rFonts w:cs="Times New Roman"/>
        </w:rPr>
        <w:t xml:space="preserve"> </w:t>
      </w:r>
      <w:r w:rsidRPr="002B1DFC">
        <w:rPr>
          <w:rFonts w:cs="Times New Roman"/>
        </w:rPr>
        <w:t>is not addressed in sufficient detail</w:t>
      </w:r>
      <w:r w:rsidR="0041197D">
        <w:rPr>
          <w:rFonts w:cs="Times New Roman"/>
        </w:rPr>
        <w:t>,</w:t>
      </w:r>
      <w:r w:rsidRPr="002B1DFC">
        <w:rPr>
          <w:rFonts w:cs="Times New Roman"/>
        </w:rPr>
        <w:t xml:space="preserve"> and there are no appropriate mechanisms and measures</w:t>
      </w:r>
      <w:r w:rsidR="0041197D">
        <w:rPr>
          <w:rFonts w:cs="Times New Roman"/>
        </w:rPr>
        <w:t xml:space="preserve"> that</w:t>
      </w:r>
      <w:r w:rsidRPr="002B1DFC">
        <w:rPr>
          <w:rFonts w:cs="Times New Roman"/>
        </w:rPr>
        <w:t xml:space="preserve"> could be applied</w:t>
      </w:r>
      <w:r w:rsidR="0041197D">
        <w:rPr>
          <w:rFonts w:cs="Times New Roman"/>
        </w:rPr>
        <w:t>,</w:t>
      </w:r>
      <w:r w:rsidRPr="002B1DFC">
        <w:rPr>
          <w:rFonts w:cs="Times New Roman"/>
        </w:rPr>
        <w:t xml:space="preserve"> for instance</w:t>
      </w:r>
      <w:r w:rsidR="0041197D">
        <w:rPr>
          <w:rFonts w:cs="Times New Roman"/>
        </w:rPr>
        <w:t>,</w:t>
      </w:r>
      <w:r w:rsidRPr="002B1DFC">
        <w:rPr>
          <w:rFonts w:cs="Times New Roman"/>
        </w:rPr>
        <w:t xml:space="preserve"> to the military activity in the eastern part of the country;</w:t>
      </w:r>
    </w:p>
    <w:p w14:paraId="1D0D20E7" w14:textId="77777777" w:rsidR="000B7923" w:rsidRPr="002B1DFC" w:rsidRDefault="000B7923" w:rsidP="009A3729">
      <w:pPr>
        <w:rPr>
          <w:rFonts w:cs="Times New Roman"/>
        </w:rPr>
      </w:pPr>
    </w:p>
    <w:p w14:paraId="1BB3F598" w14:textId="77777777" w:rsidR="000B7923" w:rsidRPr="002B1DFC" w:rsidRDefault="000B7923" w:rsidP="00B83095">
      <w:pPr>
        <w:numPr>
          <w:ilvl w:val="0"/>
          <w:numId w:val="10"/>
        </w:numPr>
        <w:ind w:left="360"/>
        <w:rPr>
          <w:rFonts w:cs="Times New Roman"/>
        </w:rPr>
      </w:pPr>
      <w:r w:rsidRPr="002B1DFC">
        <w:rPr>
          <w:rFonts w:cs="Times New Roman"/>
        </w:rPr>
        <w:t xml:space="preserve">The NES has two stages of </w:t>
      </w:r>
      <w:r w:rsidR="00AA506E">
        <w:rPr>
          <w:rFonts w:cs="Times New Roman"/>
        </w:rPr>
        <w:t xml:space="preserve">implementation for </w:t>
      </w:r>
      <w:r w:rsidRPr="002B1DFC">
        <w:rPr>
          <w:rFonts w:cs="Times New Roman"/>
        </w:rPr>
        <w:t xml:space="preserve">national environmental policy. During the first stage of implementation (by the end of 2015), the Government of Ukraine emphasized providing the stabilization of ecological situation; decrease anthropogenic load on the environment and create conditions for increasing environmental safety’s level for all population. </w:t>
      </w:r>
      <w:r w:rsidR="00AA506E" w:rsidRPr="002B1DFC">
        <w:rPr>
          <w:rFonts w:cs="Times New Roman"/>
        </w:rPr>
        <w:t>Only</w:t>
      </w:r>
      <w:r w:rsidRPr="002B1DFC">
        <w:rPr>
          <w:rFonts w:cs="Times New Roman"/>
        </w:rPr>
        <w:t xml:space="preserve"> during the second stage of implementation (2016</w:t>
      </w:r>
      <w:r w:rsidR="0041197D">
        <w:rPr>
          <w:rFonts w:cs="Times New Roman"/>
        </w:rPr>
        <w:t>–</w:t>
      </w:r>
      <w:r w:rsidRPr="002B1DFC">
        <w:rPr>
          <w:rFonts w:cs="Times New Roman"/>
        </w:rPr>
        <w:t xml:space="preserve">2020), Ukraine is going to implement functions’ differentiation in the sphere of environmental protection and economic activity for natural resources usage, and economic mechanisms and effective partnership between the state, business and community. </w:t>
      </w:r>
      <w:r w:rsidRPr="002B1DFC">
        <w:rPr>
          <w:rFonts w:cs="Times New Roman"/>
          <w:b/>
          <w:bCs/>
        </w:rPr>
        <w:t xml:space="preserve">This approach does not demonstrate effective environmental management and reforms, </w:t>
      </w:r>
      <w:r w:rsidRPr="002B1DFC">
        <w:rPr>
          <w:rFonts w:cs="Times New Roman"/>
        </w:rPr>
        <w:t>because it is difficult to stabilize the ecological situation and create environmental safety conditions, if there is no initially clear differentiation of functions, responsibilities, economic mechanisms and appropriate collaboration between all stakeholders</w:t>
      </w:r>
      <w:r w:rsidRPr="002B1DFC">
        <w:rPr>
          <w:rFonts w:cs="Times New Roman"/>
          <w:b/>
          <w:bCs/>
        </w:rPr>
        <w:t>;</w:t>
      </w:r>
    </w:p>
    <w:p w14:paraId="61E17A1F" w14:textId="77777777" w:rsidR="000B7923" w:rsidRPr="002B1DFC" w:rsidRDefault="000B7923" w:rsidP="009A3729">
      <w:pPr>
        <w:rPr>
          <w:rFonts w:cs="Times New Roman"/>
        </w:rPr>
      </w:pPr>
    </w:p>
    <w:p w14:paraId="2216D00E" w14:textId="77777777" w:rsidR="000B7923" w:rsidRPr="002B1DFC" w:rsidRDefault="000B7923" w:rsidP="00B83095">
      <w:pPr>
        <w:numPr>
          <w:ilvl w:val="0"/>
          <w:numId w:val="10"/>
        </w:numPr>
        <w:ind w:left="360"/>
        <w:rPr>
          <w:rFonts w:cs="Times New Roman"/>
        </w:rPr>
      </w:pPr>
      <w:r w:rsidRPr="002B1DFC">
        <w:rPr>
          <w:rFonts w:cs="Times New Roman"/>
          <w:b/>
          <w:bCs/>
        </w:rPr>
        <w:t>Weak integration of environment into sectoral strategies, programs</w:t>
      </w:r>
      <w:r w:rsidR="00EF0A33">
        <w:rPr>
          <w:rFonts w:cs="Times New Roman"/>
          <w:b/>
          <w:bCs/>
        </w:rPr>
        <w:t>,</w:t>
      </w:r>
      <w:r w:rsidRPr="002B1DFC">
        <w:rPr>
          <w:rFonts w:cs="Times New Roman"/>
          <w:b/>
          <w:bCs/>
        </w:rPr>
        <w:t xml:space="preserve"> and activities.</w:t>
      </w:r>
      <w:r w:rsidRPr="002B1DFC">
        <w:rPr>
          <w:rFonts w:cs="Times New Roman"/>
        </w:rPr>
        <w:t xml:space="preserve"> Such approach does not follow the principles of sustainable development and implementation of international agreements. For example, the adoption of the </w:t>
      </w:r>
      <w:r w:rsidRPr="002B1DFC">
        <w:rPr>
          <w:rFonts w:cs="Times New Roman"/>
          <w:i/>
          <w:iCs/>
        </w:rPr>
        <w:t>Strategy of Sustainable Development “Ukraine – 2020”</w:t>
      </w:r>
      <w:r w:rsidRPr="002B1DFC">
        <w:rPr>
          <w:rFonts w:cs="Times New Roman"/>
        </w:rPr>
        <w:t xml:space="preserve"> was an important and long-expected step for Ukraine. The Strategy mentions environmental issues under the security vector, however, it does not go further to detail  any environmental aspects in the list of first-priority reforms and programs as well as in strategic indicators of implementation of the Strategy; </w:t>
      </w:r>
    </w:p>
    <w:p w14:paraId="603865ED" w14:textId="77777777" w:rsidR="000B7923" w:rsidRPr="002B1DFC" w:rsidRDefault="000B7923" w:rsidP="00EB1E25">
      <w:pPr>
        <w:pStyle w:val="ListParagraph"/>
        <w:rPr>
          <w:rFonts w:cs="Times New Roman"/>
        </w:rPr>
      </w:pPr>
    </w:p>
    <w:p w14:paraId="6EAB21D1" w14:textId="77777777" w:rsidR="000B7923" w:rsidRPr="002B1DFC" w:rsidRDefault="000B7923" w:rsidP="00723499">
      <w:pPr>
        <w:ind w:left="360"/>
        <w:rPr>
          <w:rFonts w:cs="Times New Roman"/>
        </w:rPr>
      </w:pPr>
      <w:r w:rsidRPr="002B1DFC">
        <w:rPr>
          <w:rFonts w:cs="Times New Roman"/>
        </w:rPr>
        <w:t xml:space="preserve">Similarly, the </w:t>
      </w:r>
      <w:r w:rsidRPr="002B1DFC">
        <w:rPr>
          <w:rFonts w:cs="Times New Roman"/>
          <w:i/>
          <w:iCs/>
        </w:rPr>
        <w:t xml:space="preserve">National Strategy of Regional Development </w:t>
      </w:r>
      <w:r w:rsidR="00BB0F37">
        <w:rPr>
          <w:rFonts w:cs="Times New Roman"/>
          <w:i/>
          <w:iCs/>
        </w:rPr>
        <w:t>up to</w:t>
      </w:r>
      <w:r w:rsidRPr="002B1DFC">
        <w:rPr>
          <w:rFonts w:cs="Times New Roman"/>
          <w:i/>
          <w:iCs/>
        </w:rPr>
        <w:t xml:space="preserve"> 2020</w:t>
      </w:r>
      <w:r w:rsidRPr="002B1DFC">
        <w:rPr>
          <w:rFonts w:cs="Times New Roman"/>
          <w:b/>
          <w:bCs/>
        </w:rPr>
        <w:t xml:space="preserve"> </w:t>
      </w:r>
      <w:r w:rsidRPr="002B1DFC">
        <w:rPr>
          <w:rFonts w:cs="Times New Roman"/>
        </w:rPr>
        <w:t xml:space="preserve">refers to sustainable development principles for the regions, but it focuses on socioeconomic development of Ukrainian regions without </w:t>
      </w:r>
      <w:r w:rsidRPr="002B1DFC">
        <w:rPr>
          <w:rFonts w:cs="Times New Roman"/>
        </w:rPr>
        <w:lastRenderedPageBreak/>
        <w:t>consideration for environmental protection and natural resources management. Strategic indicators do not cover environmental issues, only the unit weight of waste recovery to total volume of waste is included. It should be highlighted that while the Strategy was developed taking into account the latest changes and decentralization reforms, and one of the main tasks is the integration of various strategies and plans at national, regional and local levels as well as determining clear responsibilities between local authorities. However, in the list of priorities, the environmental aspects are not considered, although the latest changes resulted in liquidation of MENR’s regional departments and transfer of their functions to territorial</w:t>
      </w:r>
      <w:r w:rsidR="003A69CA">
        <w:rPr>
          <w:rFonts w:cs="Times New Roman"/>
        </w:rPr>
        <w:t>-</w:t>
      </w:r>
      <w:r w:rsidRPr="002B1DFC">
        <w:rPr>
          <w:rFonts w:cs="Times New Roman"/>
        </w:rPr>
        <w:t>level authorities.</w:t>
      </w:r>
    </w:p>
    <w:p w14:paraId="363D3E45" w14:textId="77777777" w:rsidR="000B7923" w:rsidRPr="002B1DFC" w:rsidRDefault="000B7923" w:rsidP="00F53C60">
      <w:pPr>
        <w:pStyle w:val="Heading2"/>
      </w:pPr>
      <w:bookmarkStart w:id="71" w:name="_Toc440273958"/>
      <w:r w:rsidRPr="002B1DFC">
        <w:t>Environmental Legislation</w:t>
      </w:r>
      <w:bookmarkEnd w:id="71"/>
      <w:r w:rsidRPr="002B1DFC">
        <w:t xml:space="preserve"> </w:t>
      </w:r>
      <w:bookmarkEnd w:id="60"/>
    </w:p>
    <w:p w14:paraId="668AB3E8" w14:textId="77777777" w:rsidR="000B7923" w:rsidRPr="005C2F51" w:rsidRDefault="000B7923" w:rsidP="00F33595">
      <w:pPr>
        <w:rPr>
          <w:rFonts w:cs="Times New Roman"/>
          <w:color w:val="000000" w:themeColor="text1"/>
        </w:rPr>
      </w:pPr>
    </w:p>
    <w:p w14:paraId="7224B920" w14:textId="77777777" w:rsidR="000B7923" w:rsidRPr="00772403" w:rsidRDefault="000B7923" w:rsidP="00772403">
      <w:pPr>
        <w:pStyle w:val="ListParagraph"/>
        <w:numPr>
          <w:ilvl w:val="0"/>
          <w:numId w:val="68"/>
        </w:numPr>
        <w:tabs>
          <w:tab w:val="left" w:pos="360"/>
        </w:tabs>
        <w:spacing w:line="23" w:lineRule="atLeast"/>
        <w:ind w:left="0" w:firstLine="0"/>
        <w:rPr>
          <w:rFonts w:cs="Times New Roman"/>
        </w:rPr>
      </w:pPr>
      <w:r w:rsidRPr="00772403">
        <w:rPr>
          <w:rFonts w:cs="Times New Roman"/>
        </w:rPr>
        <w:t>Ukraine achieved important steps in developing its environmental legislation, became signatory to environmental and sustainable development international conventions, and adopted a wide</w:t>
      </w:r>
      <w:r w:rsidR="0041197D" w:rsidRPr="00772403">
        <w:rPr>
          <w:rFonts w:cs="Times New Roman"/>
        </w:rPr>
        <w:t xml:space="preserve"> </w:t>
      </w:r>
      <w:r w:rsidRPr="00772403">
        <w:rPr>
          <w:rFonts w:cs="Times New Roman"/>
        </w:rPr>
        <w:t>range of legal acts and programs. The country’s progress in environmental policy is reflected in different evaluation reports and analysis made by European Commission, UNDP, UNCTAD, and the International Center for Policy Studies and public reports (</w:t>
      </w:r>
      <w:proofErr w:type="spellStart"/>
      <w:r w:rsidRPr="00772403">
        <w:rPr>
          <w:rFonts w:cs="Times New Roman"/>
        </w:rPr>
        <w:t>Melnychuk</w:t>
      </w:r>
      <w:proofErr w:type="spellEnd"/>
      <w:r w:rsidRPr="00772403">
        <w:rPr>
          <w:rFonts w:cs="Times New Roman"/>
        </w:rPr>
        <w:t xml:space="preserve"> et al</w:t>
      </w:r>
      <w:r w:rsidR="00AA506E" w:rsidRPr="00772403">
        <w:rPr>
          <w:rFonts w:cs="Times New Roman"/>
        </w:rPr>
        <w:t>.</w:t>
      </w:r>
      <w:r w:rsidRPr="00772403">
        <w:rPr>
          <w:rFonts w:cs="Times New Roman"/>
        </w:rPr>
        <w:t xml:space="preserve"> 2012</w:t>
      </w:r>
      <w:r w:rsidR="00AA506E" w:rsidRPr="00772403">
        <w:rPr>
          <w:rFonts w:cs="Times New Roman"/>
        </w:rPr>
        <w:t>;</w:t>
      </w:r>
      <w:r w:rsidRPr="00772403">
        <w:rPr>
          <w:rFonts w:cs="Times New Roman"/>
        </w:rPr>
        <w:t xml:space="preserve"> </w:t>
      </w:r>
      <w:proofErr w:type="spellStart"/>
      <w:r w:rsidRPr="00772403">
        <w:rPr>
          <w:rFonts w:cs="Times New Roman"/>
        </w:rPr>
        <w:t>Ageeva</w:t>
      </w:r>
      <w:proofErr w:type="spellEnd"/>
      <w:r w:rsidRPr="00772403">
        <w:rPr>
          <w:rFonts w:cs="Times New Roman"/>
        </w:rPr>
        <w:t xml:space="preserve"> et al</w:t>
      </w:r>
      <w:r w:rsidR="00AA506E" w:rsidRPr="00772403">
        <w:rPr>
          <w:rFonts w:cs="Times New Roman"/>
        </w:rPr>
        <w:t>.</w:t>
      </w:r>
      <w:r w:rsidRPr="00772403">
        <w:rPr>
          <w:rFonts w:cs="Times New Roman"/>
        </w:rPr>
        <w:t xml:space="preserve"> 2013</w:t>
      </w:r>
      <w:r w:rsidR="00AA506E" w:rsidRPr="00772403">
        <w:rPr>
          <w:rFonts w:cs="Times New Roman"/>
        </w:rPr>
        <w:t>;</w:t>
      </w:r>
      <w:r w:rsidRPr="00772403">
        <w:rPr>
          <w:rFonts w:cs="Times New Roman"/>
        </w:rPr>
        <w:t xml:space="preserve"> </w:t>
      </w:r>
      <w:r w:rsidR="001E2BFB" w:rsidRPr="00772403">
        <w:rPr>
          <w:rFonts w:cs="Times New Roman"/>
        </w:rPr>
        <w:t xml:space="preserve">UNDP 2007a; </w:t>
      </w:r>
      <w:r w:rsidRPr="00772403">
        <w:rPr>
          <w:rFonts w:cs="Times New Roman"/>
        </w:rPr>
        <w:t>UNDP 2007</w:t>
      </w:r>
      <w:r w:rsidR="001E2BFB" w:rsidRPr="00772403">
        <w:rPr>
          <w:rFonts w:cs="Times New Roman"/>
        </w:rPr>
        <w:t>b</w:t>
      </w:r>
      <w:r w:rsidR="00AA506E" w:rsidRPr="00772403">
        <w:rPr>
          <w:rFonts w:cs="Times New Roman"/>
        </w:rPr>
        <w:t>;</w:t>
      </w:r>
      <w:r w:rsidRPr="00772403">
        <w:rPr>
          <w:rFonts w:cs="Times New Roman"/>
        </w:rPr>
        <w:t xml:space="preserve"> ICPS 2000</w:t>
      </w:r>
      <w:r w:rsidR="00AA506E" w:rsidRPr="00772403">
        <w:rPr>
          <w:rFonts w:cs="Times New Roman"/>
        </w:rPr>
        <w:t>;</w:t>
      </w:r>
      <w:r w:rsidRPr="00772403">
        <w:rPr>
          <w:rFonts w:cs="Times New Roman"/>
        </w:rPr>
        <w:t xml:space="preserve"> UNCTAD 2013</w:t>
      </w:r>
      <w:r w:rsidR="00AA506E" w:rsidRPr="00772403">
        <w:rPr>
          <w:rFonts w:cs="Times New Roman"/>
        </w:rPr>
        <w:t>;</w:t>
      </w:r>
      <w:r w:rsidRPr="00772403">
        <w:rPr>
          <w:rFonts w:cs="Times New Roman"/>
        </w:rPr>
        <w:t xml:space="preserve"> and Economic Commission for Europe 2007)</w:t>
      </w:r>
      <w:r w:rsidR="00AA506E" w:rsidRPr="00772403">
        <w:rPr>
          <w:rFonts w:cs="Times New Roman"/>
        </w:rPr>
        <w:t>.</w:t>
      </w:r>
    </w:p>
    <w:p w14:paraId="05DEE568" w14:textId="77777777" w:rsidR="000B7923" w:rsidRPr="002B1DFC" w:rsidRDefault="000B7923" w:rsidP="00D8738E">
      <w:pPr>
        <w:rPr>
          <w:rFonts w:cs="Times New Roman"/>
        </w:rPr>
      </w:pPr>
    </w:p>
    <w:p w14:paraId="2F0C3337" w14:textId="1668170A"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b/>
          <w:bCs/>
        </w:rPr>
        <w:t xml:space="preserve">The scope of Ukrainian environmental legislation is quite broad and comprehensive (more than 300 legal acts) and covers most areas of environmental protection and natural resources management. </w:t>
      </w:r>
      <w:r w:rsidRPr="002B1DFC">
        <w:rPr>
          <w:rFonts w:cs="Times New Roman"/>
        </w:rPr>
        <w:t>However, the environmental legislation faces a number of weaknesses:</w:t>
      </w:r>
    </w:p>
    <w:p w14:paraId="02159F6C" w14:textId="77777777" w:rsidR="000B7923" w:rsidRPr="002B1DFC" w:rsidRDefault="000B7923" w:rsidP="00B83095">
      <w:pPr>
        <w:pStyle w:val="ListParagraph"/>
        <w:numPr>
          <w:ilvl w:val="0"/>
          <w:numId w:val="37"/>
        </w:numPr>
        <w:rPr>
          <w:rFonts w:cs="Times New Roman"/>
        </w:rPr>
      </w:pPr>
      <w:r w:rsidRPr="002B1DFC">
        <w:rPr>
          <w:rFonts w:cs="Times New Roman"/>
        </w:rPr>
        <w:t>The environmental legislation is largely declaratory in nature and does not have all the essential enforcement mechanisms for the implementation of legal acts and international agreements;</w:t>
      </w:r>
    </w:p>
    <w:p w14:paraId="1291AEEE" w14:textId="77777777" w:rsidR="000B7923" w:rsidRPr="002B1DFC" w:rsidRDefault="000B7923" w:rsidP="00B83095">
      <w:pPr>
        <w:pStyle w:val="ListParagraph"/>
        <w:numPr>
          <w:ilvl w:val="0"/>
          <w:numId w:val="37"/>
        </w:numPr>
        <w:rPr>
          <w:rFonts w:cs="Times New Roman"/>
        </w:rPr>
      </w:pPr>
      <w:r w:rsidRPr="002B1DFC">
        <w:rPr>
          <w:rFonts w:cs="Times New Roman"/>
        </w:rPr>
        <w:t>Many of the acts are not coordinated with each other;</w:t>
      </w:r>
      <w:r w:rsidR="00EF0A33">
        <w:rPr>
          <w:rFonts w:cs="Times New Roman"/>
        </w:rPr>
        <w:t xml:space="preserve"> and</w:t>
      </w:r>
    </w:p>
    <w:p w14:paraId="79F098E2" w14:textId="77777777" w:rsidR="000B7923" w:rsidRPr="002B1DFC" w:rsidRDefault="000B7923" w:rsidP="00B83095">
      <w:pPr>
        <w:pStyle w:val="ListParagraph"/>
        <w:numPr>
          <w:ilvl w:val="0"/>
          <w:numId w:val="37"/>
        </w:numPr>
        <w:rPr>
          <w:rFonts w:cs="Times New Roman"/>
        </w:rPr>
      </w:pPr>
      <w:r w:rsidRPr="002B1DFC">
        <w:rPr>
          <w:rFonts w:cs="Times New Roman"/>
        </w:rPr>
        <w:t>Legislation undergoes limited analysis of its impact</w:t>
      </w:r>
      <w:r w:rsidR="003A69CA">
        <w:rPr>
          <w:rFonts w:cs="Times New Roman"/>
        </w:rPr>
        <w:t>—</w:t>
      </w:r>
      <w:r w:rsidRPr="002B1DFC">
        <w:rPr>
          <w:rFonts w:cs="Times New Roman"/>
        </w:rPr>
        <w:t xml:space="preserve">for example, no in-depth analysis such as Regulatory Impact Analysis is conducted for proposed pieces of legislation. </w:t>
      </w:r>
    </w:p>
    <w:p w14:paraId="1E25FE54" w14:textId="77777777" w:rsidR="000B7923" w:rsidRPr="002B1DFC" w:rsidRDefault="000B7923" w:rsidP="00FE452B">
      <w:pPr>
        <w:rPr>
          <w:rFonts w:cs="Times New Roman"/>
        </w:rPr>
      </w:pPr>
    </w:p>
    <w:p w14:paraId="329AA978"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The following factors are expected to further shape Ukraine’s environmental legislation: </w:t>
      </w:r>
      <w:r w:rsidR="00AA506E">
        <w:rPr>
          <w:rFonts w:cs="Times New Roman"/>
        </w:rPr>
        <w:t>T</w:t>
      </w:r>
      <w:r w:rsidRPr="002B1DFC">
        <w:rPr>
          <w:rFonts w:cs="Times New Roman"/>
        </w:rPr>
        <w:t xml:space="preserve">he ongoing decentralization reform that at minimum will reshape the broader environmental management responsibilities between national and territorial authorities; and the approximation of Ukraine’s legislation to that of the EU in line with the Association Agreement signed in 2014 between Ukraine and the EU. Following the ratification the Association Agreement between Ukraine and the European Union in 2014, a </w:t>
      </w:r>
      <w:r w:rsidRPr="002B1DFC">
        <w:rPr>
          <w:rFonts w:cs="Times New Roman"/>
          <w:b/>
          <w:bCs/>
        </w:rPr>
        <w:t>Coalition Agreement of Ukrainian Parliament’s Parties was signed</w:t>
      </w:r>
      <w:r w:rsidRPr="002B1DFC">
        <w:rPr>
          <w:rFonts w:cs="Times New Roman"/>
        </w:rPr>
        <w:t>, which includes a chapter on Environmental Management Reform and Integration of Environmental Policy to Other Sectoral Policies</w:t>
      </w:r>
      <w:r w:rsidR="00FD25E4">
        <w:rPr>
          <w:rFonts w:cs="Times New Roman"/>
        </w:rPr>
        <w:t xml:space="preserve"> (Agreement on a Coalition of Parliamentary Factions “European Ukraine” 2014)</w:t>
      </w:r>
      <w:r w:rsidR="003107BE">
        <w:rPr>
          <w:rFonts w:cs="Times New Roman"/>
        </w:rPr>
        <w:t>.</w:t>
      </w:r>
      <w:r w:rsidRPr="002B1DFC">
        <w:rPr>
          <w:rFonts w:cs="Times New Roman"/>
        </w:rPr>
        <w:t xml:space="preserve">  </w:t>
      </w:r>
    </w:p>
    <w:p w14:paraId="726428F9" w14:textId="77777777" w:rsidR="000B7923" w:rsidRPr="002B1DFC" w:rsidRDefault="000B7923" w:rsidP="000468FE">
      <w:pPr>
        <w:rPr>
          <w:rFonts w:cs="Times New Roman"/>
        </w:rPr>
      </w:pPr>
    </w:p>
    <w:p w14:paraId="0784C422"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Below is </w:t>
      </w:r>
      <w:r w:rsidR="003A69CA">
        <w:rPr>
          <w:rFonts w:cs="Times New Roman"/>
        </w:rPr>
        <w:t>a summary</w:t>
      </w:r>
      <w:r w:rsidRPr="002B1DFC">
        <w:rPr>
          <w:rFonts w:cs="Times New Roman"/>
        </w:rPr>
        <w:t xml:space="preserve"> of the key legislation pertaining to air quality, water</w:t>
      </w:r>
      <w:r w:rsidR="003A69CA">
        <w:rPr>
          <w:rFonts w:cs="Times New Roman"/>
        </w:rPr>
        <w:t>,</w:t>
      </w:r>
      <w:r w:rsidRPr="002B1DFC">
        <w:rPr>
          <w:rFonts w:cs="Times New Roman"/>
        </w:rPr>
        <w:t xml:space="preserve"> and solid waste: </w:t>
      </w:r>
    </w:p>
    <w:p w14:paraId="0B650095" w14:textId="77777777" w:rsidR="000B7923" w:rsidRPr="002B1DFC" w:rsidRDefault="000B7923" w:rsidP="00FE452B">
      <w:pPr>
        <w:rPr>
          <w:rFonts w:cs="Times New Roman"/>
        </w:rPr>
      </w:pPr>
    </w:p>
    <w:p w14:paraId="3CD3F865" w14:textId="77777777" w:rsidR="000B7923" w:rsidRPr="002B1DFC" w:rsidRDefault="000B7923" w:rsidP="00FE452B">
      <w:pPr>
        <w:rPr>
          <w:u w:val="single"/>
        </w:rPr>
      </w:pPr>
      <w:r w:rsidRPr="002B1DFC">
        <w:rPr>
          <w:u w:val="single"/>
        </w:rPr>
        <w:t>Air Quality</w:t>
      </w:r>
    </w:p>
    <w:p w14:paraId="2AED113C" w14:textId="77777777" w:rsidR="000B7923" w:rsidRPr="002B1DFC" w:rsidRDefault="000B7923" w:rsidP="00F14946">
      <w:pPr>
        <w:rPr>
          <w:rFonts w:cs="Times New Roman"/>
        </w:rPr>
      </w:pPr>
    </w:p>
    <w:p w14:paraId="63BAFCC4"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Ukraine is </w:t>
      </w:r>
      <w:r w:rsidR="003A69CA">
        <w:rPr>
          <w:rFonts w:cs="Times New Roman"/>
        </w:rPr>
        <w:t>a p</w:t>
      </w:r>
      <w:r w:rsidRPr="002B1DFC">
        <w:rPr>
          <w:rFonts w:cs="Times New Roman"/>
        </w:rPr>
        <w:t>arty to the Convention on Long-Range Transboundary Air Pollution, which was ratified in 1980. In response, Ukraine adopted several program documents, which define the national policy for reduction of air emissions. These include</w:t>
      </w:r>
      <w:r w:rsidR="00EF0A33">
        <w:rPr>
          <w:rFonts w:cs="Times New Roman"/>
        </w:rPr>
        <w:t xml:space="preserve"> the following</w:t>
      </w:r>
      <w:r w:rsidRPr="002B1DFC">
        <w:rPr>
          <w:rFonts w:cs="Times New Roman"/>
        </w:rPr>
        <w:t>:</w:t>
      </w:r>
    </w:p>
    <w:p w14:paraId="177FE078" w14:textId="77777777" w:rsidR="000B7923" w:rsidRPr="002B1DFC" w:rsidRDefault="006020B3" w:rsidP="00B83095">
      <w:pPr>
        <w:pStyle w:val="ListParagraph"/>
        <w:numPr>
          <w:ilvl w:val="0"/>
          <w:numId w:val="21"/>
        </w:numPr>
        <w:rPr>
          <w:rFonts w:cs="Times New Roman"/>
        </w:rPr>
      </w:pPr>
      <w:r>
        <w:rPr>
          <w:rFonts w:cs="Times New Roman"/>
        </w:rPr>
        <w:t>CMU Decree</w:t>
      </w:r>
      <w:r w:rsidR="000B7923" w:rsidRPr="002B1DFC">
        <w:rPr>
          <w:rFonts w:cs="Times New Roman"/>
        </w:rPr>
        <w:t xml:space="preserve"> on “Program on Phased Cessation of Ethylated Gasoline’s Usage in Ukraine” (1999)</w:t>
      </w:r>
      <w:r w:rsidR="003A69CA">
        <w:rPr>
          <w:rFonts w:cs="Times New Roman"/>
        </w:rPr>
        <w:t>.</w:t>
      </w:r>
    </w:p>
    <w:p w14:paraId="1FD31956" w14:textId="77777777" w:rsidR="000B7923" w:rsidRPr="002B1DFC" w:rsidRDefault="000B7923" w:rsidP="00B83095">
      <w:pPr>
        <w:pStyle w:val="ListParagraph"/>
        <w:numPr>
          <w:ilvl w:val="0"/>
          <w:numId w:val="21"/>
        </w:numPr>
        <w:rPr>
          <w:rFonts w:cs="Times New Roman"/>
        </w:rPr>
      </w:pPr>
      <w:r w:rsidRPr="002B1DFC">
        <w:rPr>
          <w:rFonts w:cs="Times New Roman"/>
        </w:rPr>
        <w:t xml:space="preserve">Law “On Prohibition of Import and Sale of Ethylated Gasoline and Lead Additive to the Gasoline on the Territory of Ukraine” (2001). </w:t>
      </w:r>
    </w:p>
    <w:p w14:paraId="007FC57F" w14:textId="77777777" w:rsidR="000B7923" w:rsidRPr="002B1DFC" w:rsidRDefault="000B7923" w:rsidP="00B83095">
      <w:pPr>
        <w:pStyle w:val="ListParagraph"/>
        <w:numPr>
          <w:ilvl w:val="0"/>
          <w:numId w:val="21"/>
        </w:numPr>
        <w:rPr>
          <w:rFonts w:cs="Times New Roman"/>
        </w:rPr>
      </w:pPr>
      <w:r w:rsidRPr="002B1DFC">
        <w:rPr>
          <w:rFonts w:cs="Times New Roman"/>
        </w:rPr>
        <w:t xml:space="preserve">“Concept on the Reduction of Heavy Metals’ Emissions into the Atmospheric Air” (2002), which stipulated the following main tasks: </w:t>
      </w:r>
    </w:p>
    <w:p w14:paraId="40C85707" w14:textId="77777777" w:rsidR="000B7923" w:rsidRPr="002B1DFC" w:rsidRDefault="000B7923" w:rsidP="00B83095">
      <w:pPr>
        <w:pStyle w:val="ListParagraph"/>
        <w:numPr>
          <w:ilvl w:val="0"/>
          <w:numId w:val="22"/>
        </w:numPr>
        <w:rPr>
          <w:rFonts w:cs="Times New Roman"/>
        </w:rPr>
      </w:pPr>
      <w:r w:rsidRPr="002B1DFC">
        <w:rPr>
          <w:rFonts w:cs="Times New Roman"/>
        </w:rPr>
        <w:t xml:space="preserve">Adoption of legal acts </w:t>
      </w:r>
      <w:r w:rsidR="00EF0A33">
        <w:rPr>
          <w:rFonts w:cs="Times New Roman"/>
        </w:rPr>
        <w:t>to reduce</w:t>
      </w:r>
      <w:r w:rsidRPr="002B1DFC">
        <w:rPr>
          <w:rFonts w:cs="Times New Roman"/>
        </w:rPr>
        <w:t xml:space="preserve"> </w:t>
      </w:r>
      <w:r w:rsidR="00EF0A33">
        <w:rPr>
          <w:rFonts w:cs="Times New Roman"/>
        </w:rPr>
        <w:t xml:space="preserve">emissions of </w:t>
      </w:r>
      <w:r w:rsidRPr="002B1DFC">
        <w:rPr>
          <w:rFonts w:cs="Times New Roman"/>
        </w:rPr>
        <w:t xml:space="preserve">heavy metals; </w:t>
      </w:r>
    </w:p>
    <w:p w14:paraId="60BF82BB" w14:textId="77777777" w:rsidR="000B7923" w:rsidRPr="002B1DFC" w:rsidRDefault="000B7923" w:rsidP="00B83095">
      <w:pPr>
        <w:pStyle w:val="ListParagraph"/>
        <w:numPr>
          <w:ilvl w:val="0"/>
          <w:numId w:val="22"/>
        </w:numPr>
        <w:rPr>
          <w:rFonts w:cs="Times New Roman"/>
        </w:rPr>
      </w:pPr>
      <w:r w:rsidRPr="002B1DFC">
        <w:rPr>
          <w:rFonts w:cs="Times New Roman"/>
        </w:rPr>
        <w:t xml:space="preserve">Reduction of </w:t>
      </w:r>
      <w:r w:rsidR="00EF0A33">
        <w:rPr>
          <w:rFonts w:cs="Times New Roman"/>
        </w:rPr>
        <w:t xml:space="preserve">emissions of </w:t>
      </w:r>
      <w:r w:rsidRPr="002B1DFC">
        <w:rPr>
          <w:rFonts w:cs="Times New Roman"/>
        </w:rPr>
        <w:t xml:space="preserve">heavy metals by industrial companies; </w:t>
      </w:r>
    </w:p>
    <w:p w14:paraId="2E072769" w14:textId="77777777" w:rsidR="000B7923" w:rsidRPr="002B1DFC" w:rsidRDefault="000B7923" w:rsidP="00B83095">
      <w:pPr>
        <w:pStyle w:val="ListParagraph"/>
        <w:numPr>
          <w:ilvl w:val="0"/>
          <w:numId w:val="22"/>
        </w:numPr>
        <w:rPr>
          <w:rFonts w:cs="Times New Roman"/>
        </w:rPr>
      </w:pPr>
      <w:r w:rsidRPr="002B1DFC">
        <w:rPr>
          <w:rFonts w:cs="Times New Roman"/>
        </w:rPr>
        <w:lastRenderedPageBreak/>
        <w:t xml:space="preserve">Development of norms and standards regarding heavy metals according to international requirements; </w:t>
      </w:r>
      <w:r w:rsidR="003A69CA">
        <w:rPr>
          <w:rFonts w:cs="Times New Roman"/>
        </w:rPr>
        <w:t>and</w:t>
      </w:r>
    </w:p>
    <w:p w14:paraId="637FBB10" w14:textId="77777777" w:rsidR="000B7923" w:rsidRPr="002B1DFC" w:rsidRDefault="000B7923" w:rsidP="00B83095">
      <w:pPr>
        <w:pStyle w:val="ListParagraph"/>
        <w:numPr>
          <w:ilvl w:val="0"/>
          <w:numId w:val="22"/>
        </w:numPr>
        <w:rPr>
          <w:rFonts w:cs="Times New Roman"/>
        </w:rPr>
      </w:pPr>
      <w:r w:rsidRPr="002B1DFC">
        <w:rPr>
          <w:rFonts w:cs="Times New Roman"/>
        </w:rPr>
        <w:t xml:space="preserve">Conducting </w:t>
      </w:r>
      <w:r w:rsidR="00EF0A33">
        <w:rPr>
          <w:rFonts w:cs="Times New Roman"/>
        </w:rPr>
        <w:t>an</w:t>
      </w:r>
      <w:r w:rsidR="00EF0A33" w:rsidRPr="002B1DFC">
        <w:rPr>
          <w:rFonts w:cs="Times New Roman"/>
        </w:rPr>
        <w:t xml:space="preserve"> </w:t>
      </w:r>
      <w:r w:rsidRPr="002B1DFC">
        <w:rPr>
          <w:rFonts w:cs="Times New Roman"/>
        </w:rPr>
        <w:t xml:space="preserve">inventory of </w:t>
      </w:r>
      <w:r w:rsidR="00EF0A33">
        <w:rPr>
          <w:rFonts w:cs="Times New Roman"/>
        </w:rPr>
        <w:t xml:space="preserve">emissions of </w:t>
      </w:r>
      <w:r w:rsidRPr="002B1DFC">
        <w:rPr>
          <w:rFonts w:cs="Times New Roman"/>
        </w:rPr>
        <w:t xml:space="preserve">heavy metals. </w:t>
      </w:r>
    </w:p>
    <w:p w14:paraId="36383F70" w14:textId="7C84CA23" w:rsidR="000B7923" w:rsidRPr="002B1DFC" w:rsidRDefault="006020B3">
      <w:pPr>
        <w:pStyle w:val="ListParagraph"/>
        <w:numPr>
          <w:ilvl w:val="0"/>
          <w:numId w:val="21"/>
        </w:numPr>
        <w:rPr>
          <w:rFonts w:cs="Times New Roman"/>
        </w:rPr>
      </w:pPr>
      <w:r>
        <w:rPr>
          <w:rFonts w:cs="Times New Roman"/>
        </w:rPr>
        <w:t>CMU Decree</w:t>
      </w:r>
      <w:r w:rsidR="000B7923" w:rsidRPr="002B1DFC">
        <w:rPr>
          <w:rFonts w:cs="Times New Roman"/>
        </w:rPr>
        <w:t xml:space="preserve"> “State Program for Upgrading the Equipment of the </w:t>
      </w:r>
      <w:proofErr w:type="spellStart"/>
      <w:r w:rsidR="000B7923" w:rsidRPr="002B1DFC">
        <w:rPr>
          <w:rFonts w:cs="Times New Roman"/>
        </w:rPr>
        <w:t>Hydrometeorological</w:t>
      </w:r>
      <w:proofErr w:type="spellEnd"/>
      <w:r w:rsidR="000B7923" w:rsidRPr="002B1DFC">
        <w:rPr>
          <w:rFonts w:cs="Times New Roman"/>
        </w:rPr>
        <w:t xml:space="preserve"> Survey System and the Ambient Environmental Pollution Survey System” (2001)</w:t>
      </w:r>
      <w:r w:rsidR="003A69CA">
        <w:rPr>
          <w:rFonts w:cs="Times New Roman"/>
        </w:rPr>
        <w:t>,</w:t>
      </w:r>
      <w:r w:rsidR="000B7923" w:rsidRPr="002B1DFC">
        <w:rPr>
          <w:rFonts w:cs="Times New Roman"/>
        </w:rPr>
        <w:t xml:space="preserve"> which stipulates air pollution monitoring, including transboundary level</w:t>
      </w:r>
      <w:r w:rsidR="003A69CA">
        <w:rPr>
          <w:rFonts w:cs="Times New Roman"/>
        </w:rPr>
        <w:t>s</w:t>
      </w:r>
      <w:r w:rsidR="000B7923" w:rsidRPr="002B1DFC">
        <w:rPr>
          <w:rFonts w:cs="Times New Roman"/>
        </w:rPr>
        <w:t xml:space="preserve">. </w:t>
      </w:r>
    </w:p>
    <w:p w14:paraId="26E6715F" w14:textId="36E7F79E" w:rsidR="000B7923" w:rsidRPr="002B1DFC" w:rsidRDefault="006020B3" w:rsidP="00B83095">
      <w:pPr>
        <w:pStyle w:val="ListParagraph"/>
        <w:numPr>
          <w:ilvl w:val="0"/>
          <w:numId w:val="21"/>
        </w:numPr>
        <w:rPr>
          <w:rFonts w:cs="Times New Roman"/>
        </w:rPr>
      </w:pPr>
      <w:r>
        <w:rPr>
          <w:rFonts w:cs="Times New Roman"/>
        </w:rPr>
        <w:t>CMU Decree</w:t>
      </w:r>
      <w:r w:rsidR="000B7923" w:rsidRPr="002B1DFC">
        <w:rPr>
          <w:rFonts w:cs="Times New Roman"/>
        </w:rPr>
        <w:t xml:space="preserve"> “Concept of State Policy’s Implementation regarding Reduction of Pollutants’ Emissions into the Atmospheric Air, which Caused Acidification, Eutrophication and Formation of Ground Ozone” (2003) </w:t>
      </w:r>
      <w:r w:rsidR="0041197D">
        <w:rPr>
          <w:rFonts w:cs="Times New Roman"/>
        </w:rPr>
        <w:t>–</w:t>
      </w:r>
      <w:r w:rsidR="000B7923" w:rsidRPr="002B1DFC">
        <w:rPr>
          <w:rFonts w:cs="Times New Roman"/>
        </w:rPr>
        <w:t xml:space="preserve"> aims to introduce </w:t>
      </w:r>
      <w:r w:rsidR="003107BE">
        <w:rPr>
          <w:rFonts w:cs="Times New Roman"/>
        </w:rPr>
        <w:t xml:space="preserve">a </w:t>
      </w:r>
      <w:r w:rsidR="000B7923" w:rsidRPr="002B1DFC">
        <w:rPr>
          <w:rFonts w:cs="Times New Roman"/>
        </w:rPr>
        <w:t>state control system on air pollutants’ emissions, harmoniz</w:t>
      </w:r>
      <w:r w:rsidR="003107BE">
        <w:rPr>
          <w:rFonts w:cs="Times New Roman"/>
        </w:rPr>
        <w:t>e</w:t>
      </w:r>
      <w:r w:rsidR="000B7923" w:rsidRPr="002B1DFC">
        <w:rPr>
          <w:rFonts w:cs="Times New Roman"/>
        </w:rPr>
        <w:t xml:space="preserve"> environmental legislation with EU directives</w:t>
      </w:r>
      <w:r w:rsidR="003107BE">
        <w:rPr>
          <w:rFonts w:cs="Times New Roman"/>
        </w:rPr>
        <w:t>,</w:t>
      </w:r>
      <w:r w:rsidR="000B7923" w:rsidRPr="002B1DFC">
        <w:rPr>
          <w:rFonts w:cs="Times New Roman"/>
        </w:rPr>
        <w:t xml:space="preserve"> and introduc</w:t>
      </w:r>
      <w:r w:rsidR="00361CAA">
        <w:rPr>
          <w:rFonts w:cs="Times New Roman"/>
        </w:rPr>
        <w:t>e</w:t>
      </w:r>
      <w:r w:rsidR="000B7923" w:rsidRPr="002B1DFC">
        <w:rPr>
          <w:rFonts w:cs="Times New Roman"/>
        </w:rPr>
        <w:t xml:space="preserve"> modern technological and gas-cleaning equipment.</w:t>
      </w:r>
    </w:p>
    <w:p w14:paraId="71982080" w14:textId="77777777" w:rsidR="000B7923" w:rsidRPr="002B1DFC" w:rsidRDefault="000B7923" w:rsidP="009E3C3E">
      <w:pPr>
        <w:rPr>
          <w:rFonts w:cs="Times New Roman"/>
        </w:rPr>
      </w:pPr>
    </w:p>
    <w:p w14:paraId="7423CA47"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Ukraine is also </w:t>
      </w:r>
      <w:r w:rsidR="003A69CA">
        <w:rPr>
          <w:rFonts w:cs="Times New Roman"/>
        </w:rPr>
        <w:t xml:space="preserve">a </w:t>
      </w:r>
      <w:r w:rsidRPr="002B1DFC">
        <w:rPr>
          <w:rFonts w:cs="Times New Roman"/>
        </w:rPr>
        <w:t xml:space="preserve">party to the Stockholm Convention on Persistent Organic Pollutants, ratified in 2007. For the implementation of this convention, the CMU approved a Plan of Measures for its implementation in a resolution in 2012. This Plan foresees </w:t>
      </w:r>
    </w:p>
    <w:p w14:paraId="1C1408B2" w14:textId="77777777" w:rsidR="000B7923" w:rsidRPr="002B1DFC" w:rsidRDefault="000B7923" w:rsidP="00B83095">
      <w:pPr>
        <w:pStyle w:val="ListParagraph"/>
        <w:numPr>
          <w:ilvl w:val="0"/>
          <w:numId w:val="21"/>
        </w:numPr>
        <w:rPr>
          <w:rFonts w:cs="Times New Roman"/>
        </w:rPr>
      </w:pPr>
      <w:r w:rsidRPr="002B1DFC">
        <w:rPr>
          <w:rFonts w:cs="Times New Roman"/>
        </w:rPr>
        <w:t xml:space="preserve">development of the register of stationary sources of pollutants’ emissions; </w:t>
      </w:r>
    </w:p>
    <w:p w14:paraId="479E54BA" w14:textId="77777777" w:rsidR="000B7923" w:rsidRPr="002B1DFC" w:rsidRDefault="000B7923" w:rsidP="00B83095">
      <w:pPr>
        <w:pStyle w:val="ListParagraph"/>
        <w:numPr>
          <w:ilvl w:val="0"/>
          <w:numId w:val="21"/>
        </w:numPr>
        <w:rPr>
          <w:rFonts w:cs="Times New Roman"/>
        </w:rPr>
      </w:pPr>
      <w:r w:rsidRPr="002B1DFC">
        <w:rPr>
          <w:rFonts w:cs="Times New Roman"/>
        </w:rPr>
        <w:t>organization of analyses conduct</w:t>
      </w:r>
      <w:r w:rsidR="003A69CA">
        <w:rPr>
          <w:rFonts w:cs="Times New Roman"/>
        </w:rPr>
        <w:t>ed</w:t>
      </w:r>
      <w:r w:rsidRPr="002B1DFC">
        <w:rPr>
          <w:rFonts w:cs="Times New Roman"/>
        </w:rPr>
        <w:t xml:space="preserve"> for specification of quantitative emission factors; </w:t>
      </w:r>
    </w:p>
    <w:p w14:paraId="20254907" w14:textId="77777777" w:rsidR="000B7923" w:rsidRPr="002B1DFC" w:rsidRDefault="000B7923" w:rsidP="00B83095">
      <w:pPr>
        <w:pStyle w:val="ListParagraph"/>
        <w:numPr>
          <w:ilvl w:val="0"/>
          <w:numId w:val="21"/>
        </w:numPr>
        <w:rPr>
          <w:rFonts w:cs="Times New Roman"/>
        </w:rPr>
      </w:pPr>
      <w:r w:rsidRPr="002B1DFC">
        <w:rPr>
          <w:rFonts w:cs="Times New Roman"/>
        </w:rPr>
        <w:t xml:space="preserve">organization of </w:t>
      </w:r>
      <w:r w:rsidR="003A69CA">
        <w:rPr>
          <w:rFonts w:cs="Times New Roman"/>
        </w:rPr>
        <w:t xml:space="preserve">a </w:t>
      </w:r>
      <w:r w:rsidRPr="002B1DFC">
        <w:rPr>
          <w:rFonts w:cs="Times New Roman"/>
        </w:rPr>
        <w:t xml:space="preserve">monitoring system </w:t>
      </w:r>
      <w:r w:rsidR="003A69CA">
        <w:rPr>
          <w:rFonts w:cs="Times New Roman"/>
        </w:rPr>
        <w:t>of</w:t>
      </w:r>
      <w:r w:rsidRPr="002B1DFC">
        <w:rPr>
          <w:rFonts w:cs="Times New Roman"/>
        </w:rPr>
        <w:t xml:space="preserve"> emissions’ sources; </w:t>
      </w:r>
      <w:r w:rsidR="003A69CA">
        <w:rPr>
          <w:rFonts w:cs="Times New Roman"/>
        </w:rPr>
        <w:t>and</w:t>
      </w:r>
    </w:p>
    <w:p w14:paraId="516F42C5" w14:textId="77777777" w:rsidR="000B7923" w:rsidRPr="002B1DFC" w:rsidRDefault="000B7923" w:rsidP="00B83095">
      <w:pPr>
        <w:pStyle w:val="ListParagraph"/>
        <w:numPr>
          <w:ilvl w:val="0"/>
          <w:numId w:val="21"/>
        </w:numPr>
        <w:rPr>
          <w:rFonts w:cs="Times New Roman"/>
        </w:rPr>
      </w:pPr>
      <w:proofErr w:type="gramStart"/>
      <w:r w:rsidRPr="002B1DFC">
        <w:rPr>
          <w:rFonts w:cs="Times New Roman"/>
        </w:rPr>
        <w:t>development</w:t>
      </w:r>
      <w:proofErr w:type="gramEnd"/>
      <w:r w:rsidRPr="002B1DFC">
        <w:rPr>
          <w:rFonts w:cs="Times New Roman"/>
        </w:rPr>
        <w:t xml:space="preserve"> of </w:t>
      </w:r>
      <w:r w:rsidR="003A69CA">
        <w:rPr>
          <w:rFonts w:cs="Times New Roman"/>
        </w:rPr>
        <w:t xml:space="preserve">a </w:t>
      </w:r>
      <w:r w:rsidRPr="002B1DFC">
        <w:rPr>
          <w:rFonts w:cs="Times New Roman"/>
        </w:rPr>
        <w:t xml:space="preserve">legislative framework and establishment of </w:t>
      </w:r>
      <w:r w:rsidR="003A69CA">
        <w:rPr>
          <w:rFonts w:cs="Times New Roman"/>
        </w:rPr>
        <w:t xml:space="preserve">a </w:t>
      </w:r>
      <w:r w:rsidRPr="002B1DFC">
        <w:rPr>
          <w:rFonts w:cs="Times New Roman"/>
        </w:rPr>
        <w:t>regulatory system, which will stipulate the implementation of best</w:t>
      </w:r>
      <w:r w:rsidR="003A69CA">
        <w:rPr>
          <w:rFonts w:cs="Times New Roman"/>
        </w:rPr>
        <w:t>-</w:t>
      </w:r>
      <w:r w:rsidRPr="002B1DFC">
        <w:rPr>
          <w:rFonts w:cs="Times New Roman"/>
        </w:rPr>
        <w:t xml:space="preserve">available techniques at new and redesign facilities. </w:t>
      </w:r>
    </w:p>
    <w:p w14:paraId="3461665E" w14:textId="77777777" w:rsidR="000B7923" w:rsidRPr="002B1DFC" w:rsidRDefault="000B7923" w:rsidP="009E3C3E">
      <w:pPr>
        <w:rPr>
          <w:rFonts w:cs="Times New Roman"/>
        </w:rPr>
      </w:pPr>
    </w:p>
    <w:p w14:paraId="17A10615"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A review of this Plan may be warranted to clarify</w:t>
      </w:r>
      <w:r w:rsidR="003A69CA">
        <w:rPr>
          <w:rFonts w:cs="Times New Roman"/>
        </w:rPr>
        <w:t xml:space="preserve"> the</w:t>
      </w:r>
      <w:r w:rsidRPr="002B1DFC">
        <w:rPr>
          <w:rFonts w:cs="Times New Roman"/>
        </w:rPr>
        <w:t xml:space="preserve"> timeframe for the achievement of aims and indicators.</w:t>
      </w:r>
    </w:p>
    <w:p w14:paraId="1773169E" w14:textId="77777777" w:rsidR="000B7923" w:rsidRPr="002B1DFC" w:rsidRDefault="000B7923" w:rsidP="007B31DC">
      <w:pPr>
        <w:rPr>
          <w:rFonts w:cs="Times New Roman"/>
        </w:rPr>
      </w:pPr>
    </w:p>
    <w:p w14:paraId="35376DB6" w14:textId="77777777" w:rsidR="000B7923" w:rsidRPr="002B1DFC" w:rsidRDefault="003A69CA" w:rsidP="00907895">
      <w:pPr>
        <w:pStyle w:val="ListParagraph"/>
        <w:numPr>
          <w:ilvl w:val="0"/>
          <w:numId w:val="68"/>
        </w:numPr>
        <w:tabs>
          <w:tab w:val="left" w:pos="360"/>
        </w:tabs>
        <w:spacing w:line="23" w:lineRule="atLeast"/>
        <w:ind w:left="0" w:firstLine="0"/>
        <w:rPr>
          <w:rFonts w:cs="Times New Roman"/>
        </w:rPr>
      </w:pPr>
      <w:r>
        <w:rPr>
          <w:rFonts w:cs="Times New Roman"/>
        </w:rPr>
        <w:t>T</w:t>
      </w:r>
      <w:r w:rsidR="000B7923" w:rsidRPr="001B3C85">
        <w:rPr>
          <w:rFonts w:cs="Times New Roman"/>
        </w:rPr>
        <w:t>he</w:t>
      </w:r>
      <w:r w:rsidR="000B7923" w:rsidRPr="002B1DFC">
        <w:rPr>
          <w:rFonts w:cs="Times New Roman"/>
          <w:i/>
        </w:rPr>
        <w:t xml:space="preserve"> Law “On Atmospheric Air Protection”</w:t>
      </w:r>
      <w:r w:rsidR="000B7923" w:rsidRPr="002B1DFC">
        <w:rPr>
          <w:rFonts w:cs="Times New Roman"/>
        </w:rPr>
        <w:t xml:space="preserve"> in 1992</w:t>
      </w:r>
      <w:r>
        <w:rPr>
          <w:rFonts w:cs="Times New Roman"/>
        </w:rPr>
        <w:t xml:space="preserve"> established the main requirements for air protection in Ukraine</w:t>
      </w:r>
      <w:r w:rsidR="000B7923" w:rsidRPr="002B1DFC">
        <w:rPr>
          <w:rFonts w:cs="Times New Roman"/>
        </w:rPr>
        <w:t xml:space="preserve">. This law provides for the mandatory standardization and normalization for air protection; compliance with the requirements during design, building and reconstruction of enterprises and other facilities that may </w:t>
      </w:r>
      <w:r w:rsidRPr="002B1DFC">
        <w:rPr>
          <w:rFonts w:cs="Times New Roman"/>
        </w:rPr>
        <w:t>affect</w:t>
      </w:r>
      <w:r w:rsidR="000B7923" w:rsidRPr="002B1DFC">
        <w:rPr>
          <w:rFonts w:cs="Times New Roman"/>
        </w:rPr>
        <w:t xml:space="preserve"> air quality; state reporting and air quality monitoring. Several legal acts were adopted for the implementation of this law: </w:t>
      </w:r>
    </w:p>
    <w:p w14:paraId="2A78AF71" w14:textId="77777777" w:rsidR="000B7923" w:rsidRPr="002B1DFC" w:rsidRDefault="000B7923" w:rsidP="00F14946">
      <w:pPr>
        <w:rPr>
          <w:rFonts w:cs="Times New Roman"/>
          <w:i/>
        </w:rPr>
      </w:pPr>
    </w:p>
    <w:p w14:paraId="72EF5119" w14:textId="77777777" w:rsidR="000B7923" w:rsidRPr="002B1DFC" w:rsidRDefault="003A69CA" w:rsidP="00B83095">
      <w:pPr>
        <w:pStyle w:val="ListParagraph"/>
        <w:numPr>
          <w:ilvl w:val="0"/>
          <w:numId w:val="23"/>
        </w:numPr>
        <w:ind w:left="360"/>
        <w:rPr>
          <w:rFonts w:cs="Times New Roman"/>
        </w:rPr>
      </w:pPr>
      <w:r>
        <w:rPr>
          <w:rFonts w:cs="Times New Roman"/>
        </w:rPr>
        <w:t xml:space="preserve">The </w:t>
      </w:r>
      <w:r w:rsidR="000B7923" w:rsidRPr="001B3C85">
        <w:rPr>
          <w:rFonts w:cs="Times New Roman"/>
        </w:rPr>
        <w:t>“</w:t>
      </w:r>
      <w:r w:rsidR="000B7923" w:rsidRPr="002B1DFC">
        <w:rPr>
          <w:rFonts w:cs="Times New Roman"/>
          <w:i/>
        </w:rPr>
        <w:t>Procedure for Organizing and Conducting Air Protection Monitoring</w:t>
      </w:r>
      <w:r w:rsidR="000B7923" w:rsidRPr="001B3C85">
        <w:rPr>
          <w:rFonts w:cs="Times New Roman"/>
        </w:rPr>
        <w:t>”</w:t>
      </w:r>
      <w:r w:rsidR="000B7923" w:rsidRPr="0041197D">
        <w:rPr>
          <w:rFonts w:cs="Times New Roman"/>
        </w:rPr>
        <w:t xml:space="preserve"> </w:t>
      </w:r>
      <w:r w:rsidR="000B7923" w:rsidRPr="002B1DFC">
        <w:rPr>
          <w:rFonts w:cs="Times New Roman"/>
        </w:rPr>
        <w:t>was adopted by the CMU of Ukraine in 1999</w:t>
      </w:r>
      <w:r>
        <w:rPr>
          <w:rFonts w:cs="Times New Roman"/>
        </w:rPr>
        <w:t>.</w:t>
      </w:r>
    </w:p>
    <w:p w14:paraId="62071E1F" w14:textId="77777777" w:rsidR="000B7923" w:rsidRPr="002B1DFC" w:rsidRDefault="000B7923" w:rsidP="00F14946">
      <w:pPr>
        <w:rPr>
          <w:rFonts w:cs="Times New Roman"/>
        </w:rPr>
      </w:pPr>
    </w:p>
    <w:p w14:paraId="461B76C9" w14:textId="77777777" w:rsidR="000B7923" w:rsidRPr="002B1DFC" w:rsidRDefault="003A69CA" w:rsidP="00B83095">
      <w:pPr>
        <w:pStyle w:val="ListParagraph"/>
        <w:numPr>
          <w:ilvl w:val="0"/>
          <w:numId w:val="23"/>
        </w:numPr>
        <w:ind w:left="360"/>
        <w:rPr>
          <w:rFonts w:cs="Times New Roman"/>
        </w:rPr>
      </w:pPr>
      <w:r>
        <w:rPr>
          <w:rFonts w:cs="Times New Roman"/>
        </w:rPr>
        <w:t xml:space="preserve">The </w:t>
      </w:r>
      <w:r w:rsidR="000B7923" w:rsidRPr="001B3C85">
        <w:rPr>
          <w:rFonts w:cs="Times New Roman"/>
        </w:rPr>
        <w:t>“</w:t>
      </w:r>
      <w:r w:rsidR="000B7923" w:rsidRPr="002B1DFC">
        <w:rPr>
          <w:rFonts w:cs="Times New Roman"/>
          <w:i/>
        </w:rPr>
        <w:t>Procedure of State Record-Keeping in the Area of Atmospheric Air Protection</w:t>
      </w:r>
      <w:r w:rsidR="000B7923" w:rsidRPr="001B3C85">
        <w:rPr>
          <w:rFonts w:cs="Times New Roman"/>
        </w:rPr>
        <w:t>”</w:t>
      </w:r>
      <w:r w:rsidR="000B7923" w:rsidRPr="0041197D">
        <w:rPr>
          <w:rFonts w:cs="Times New Roman"/>
        </w:rPr>
        <w:t xml:space="preserve"> </w:t>
      </w:r>
      <w:r w:rsidR="000B7923" w:rsidRPr="002B1DFC">
        <w:rPr>
          <w:rFonts w:cs="Times New Roman"/>
        </w:rPr>
        <w:t>was approved by the CMU in 2001. This Procedure determines the uniform system for record-keeping of state facilities that may have negative impact on air quality and human health, record-keeping of types and amount of pollutants emissions as well as impact’s scale of physical and biological factors on the atmospheric air conditions</w:t>
      </w:r>
      <w:r>
        <w:rPr>
          <w:rFonts w:cs="Times New Roman"/>
        </w:rPr>
        <w:t>.</w:t>
      </w:r>
    </w:p>
    <w:p w14:paraId="26A8C999" w14:textId="77777777" w:rsidR="000B7923" w:rsidRPr="002B1DFC" w:rsidRDefault="000B7923" w:rsidP="00F14946">
      <w:pPr>
        <w:tabs>
          <w:tab w:val="left" w:pos="2295"/>
        </w:tabs>
        <w:rPr>
          <w:rFonts w:cs="Times New Roman"/>
          <w:i/>
        </w:rPr>
      </w:pPr>
    </w:p>
    <w:p w14:paraId="344ABE7C" w14:textId="77777777" w:rsidR="000B7923" w:rsidRPr="002B1DFC" w:rsidRDefault="003A69CA" w:rsidP="00B83095">
      <w:pPr>
        <w:pStyle w:val="ListParagraph"/>
        <w:numPr>
          <w:ilvl w:val="0"/>
          <w:numId w:val="23"/>
        </w:numPr>
        <w:ind w:left="360"/>
        <w:rPr>
          <w:rFonts w:cs="Times New Roman"/>
        </w:rPr>
      </w:pPr>
      <w:r>
        <w:rPr>
          <w:rFonts w:cs="Times New Roman"/>
        </w:rPr>
        <w:t xml:space="preserve">The </w:t>
      </w:r>
      <w:r w:rsidR="000B7923" w:rsidRPr="001B3C85">
        <w:rPr>
          <w:rFonts w:cs="Times New Roman"/>
        </w:rPr>
        <w:t>“</w:t>
      </w:r>
      <w:r w:rsidR="000B7923" w:rsidRPr="002B1DFC">
        <w:rPr>
          <w:rFonts w:cs="Times New Roman"/>
          <w:i/>
        </w:rPr>
        <w:t>List of Most Widespread and Dangerous Substances, Emissions of which are Subject to Control</w:t>
      </w:r>
      <w:r w:rsidR="000B7923" w:rsidRPr="001B3C85">
        <w:rPr>
          <w:rFonts w:cs="Times New Roman"/>
        </w:rPr>
        <w:t>”</w:t>
      </w:r>
      <w:r w:rsidR="000B7923" w:rsidRPr="002B1DFC">
        <w:rPr>
          <w:rFonts w:cs="Times New Roman"/>
        </w:rPr>
        <w:t xml:space="preserve"> was adopted by the CMU in 2001. It relates mostly to nitrogen oxides, sulfur dioxide</w:t>
      </w:r>
      <w:r>
        <w:rPr>
          <w:rFonts w:cs="Times New Roman"/>
        </w:rPr>
        <w:t>,</w:t>
      </w:r>
      <w:r w:rsidR="000B7923" w:rsidRPr="002B1DFC">
        <w:rPr>
          <w:rFonts w:cs="Times New Roman"/>
        </w:rPr>
        <w:t xml:space="preserve"> and sulfur compounds, carbon oxide, lead</w:t>
      </w:r>
      <w:r>
        <w:rPr>
          <w:rFonts w:cs="Times New Roman"/>
        </w:rPr>
        <w:t>,</w:t>
      </w:r>
      <w:r w:rsidR="000B7923" w:rsidRPr="002B1DFC">
        <w:rPr>
          <w:rFonts w:cs="Times New Roman"/>
        </w:rPr>
        <w:t xml:space="preserve"> and its compounds</w:t>
      </w:r>
      <w:r>
        <w:rPr>
          <w:rFonts w:cs="Times New Roman"/>
        </w:rPr>
        <w:t>.</w:t>
      </w:r>
      <w:r w:rsidR="000B7923" w:rsidRPr="002B1DFC">
        <w:rPr>
          <w:rFonts w:cs="Times New Roman"/>
        </w:rPr>
        <w:tab/>
      </w:r>
    </w:p>
    <w:p w14:paraId="327A74F6" w14:textId="77777777" w:rsidR="000B7923" w:rsidRPr="002B1DFC" w:rsidRDefault="000B7923" w:rsidP="00F14946">
      <w:pPr>
        <w:rPr>
          <w:rFonts w:cs="Times New Roman"/>
          <w:i/>
        </w:rPr>
      </w:pPr>
    </w:p>
    <w:p w14:paraId="1EE5DA02" w14:textId="77777777" w:rsidR="000B7923" w:rsidRPr="002B1DFC" w:rsidRDefault="003A69CA" w:rsidP="00B83095">
      <w:pPr>
        <w:pStyle w:val="ListParagraph"/>
        <w:numPr>
          <w:ilvl w:val="0"/>
          <w:numId w:val="23"/>
        </w:numPr>
        <w:ind w:left="360"/>
        <w:rPr>
          <w:rFonts w:cs="Times New Roman"/>
        </w:rPr>
      </w:pPr>
      <w:r>
        <w:rPr>
          <w:rFonts w:cs="Times New Roman"/>
        </w:rPr>
        <w:t xml:space="preserve">The </w:t>
      </w:r>
      <w:r w:rsidR="000B7923" w:rsidRPr="001B3C85">
        <w:rPr>
          <w:rFonts w:cs="Times New Roman"/>
        </w:rPr>
        <w:t>“</w:t>
      </w:r>
      <w:r w:rsidR="000B7923" w:rsidRPr="002B1DFC">
        <w:rPr>
          <w:rFonts w:cs="Times New Roman"/>
          <w:i/>
        </w:rPr>
        <w:t>Manual on Providing Inventory of Heavy Metals’ Emissions into the Atmospheric Air</w:t>
      </w:r>
      <w:r w:rsidR="000B7923" w:rsidRPr="001B3C85">
        <w:rPr>
          <w:rFonts w:cs="Times New Roman"/>
        </w:rPr>
        <w:t>”</w:t>
      </w:r>
      <w:r w:rsidR="000B7923" w:rsidRPr="002B1DFC">
        <w:rPr>
          <w:rFonts w:cs="Times New Roman"/>
        </w:rPr>
        <w:t xml:space="preserve"> was issued by the MENR in 2001. This document established the requirements for the procedure </w:t>
      </w:r>
      <w:r>
        <w:rPr>
          <w:rFonts w:cs="Times New Roman"/>
        </w:rPr>
        <w:t>for</w:t>
      </w:r>
      <w:r w:rsidR="000B7923" w:rsidRPr="002B1DFC">
        <w:rPr>
          <w:rFonts w:cs="Times New Roman"/>
        </w:rPr>
        <w:t xml:space="preserve"> inventory</w:t>
      </w:r>
      <w:r>
        <w:rPr>
          <w:rFonts w:cs="Times New Roman"/>
        </w:rPr>
        <w:t>ing</w:t>
      </w:r>
      <w:r w:rsidR="000B7923" w:rsidRPr="002B1DFC">
        <w:rPr>
          <w:rFonts w:cs="Times New Roman"/>
        </w:rPr>
        <w:t xml:space="preserve"> heavy metals’ emissions from stationary sources in order to </w:t>
      </w:r>
      <w:r>
        <w:rPr>
          <w:rFonts w:cs="Times New Roman"/>
        </w:rPr>
        <w:t>maintain</w:t>
      </w:r>
      <w:r w:rsidR="000B7923" w:rsidRPr="002B1DFC">
        <w:rPr>
          <w:rFonts w:cs="Times New Roman"/>
        </w:rPr>
        <w:t xml:space="preserve"> records and minimize impact</w:t>
      </w:r>
      <w:r>
        <w:rPr>
          <w:rFonts w:cs="Times New Roman"/>
        </w:rPr>
        <w:t>s</w:t>
      </w:r>
      <w:r w:rsidR="000B7923" w:rsidRPr="002B1DFC">
        <w:rPr>
          <w:rFonts w:cs="Times New Roman"/>
        </w:rPr>
        <w:t xml:space="preserve"> on human health, natural resources and environment</w:t>
      </w:r>
      <w:r>
        <w:rPr>
          <w:rFonts w:cs="Times New Roman"/>
        </w:rPr>
        <w:t>.</w:t>
      </w:r>
    </w:p>
    <w:p w14:paraId="72E953FE" w14:textId="77777777" w:rsidR="000B7923" w:rsidRPr="002B1DFC" w:rsidRDefault="000B7923" w:rsidP="00F14946">
      <w:pPr>
        <w:rPr>
          <w:rFonts w:cs="Times New Roman"/>
          <w:i/>
        </w:rPr>
      </w:pPr>
    </w:p>
    <w:p w14:paraId="7C482C3C" w14:textId="77777777" w:rsidR="000B7923" w:rsidRPr="002B1DFC" w:rsidRDefault="003A69CA" w:rsidP="00B83095">
      <w:pPr>
        <w:pStyle w:val="ListParagraph"/>
        <w:numPr>
          <w:ilvl w:val="0"/>
          <w:numId w:val="23"/>
        </w:numPr>
        <w:ind w:left="360"/>
        <w:rPr>
          <w:rFonts w:cs="Times New Roman"/>
        </w:rPr>
      </w:pPr>
      <w:r>
        <w:rPr>
          <w:rFonts w:cs="Times New Roman"/>
        </w:rPr>
        <w:t xml:space="preserve">The </w:t>
      </w:r>
      <w:r w:rsidR="000B7923" w:rsidRPr="001B3C85">
        <w:rPr>
          <w:rFonts w:cs="Times New Roman"/>
        </w:rPr>
        <w:t>“</w:t>
      </w:r>
      <w:r w:rsidR="000B7923" w:rsidRPr="002B1DFC">
        <w:rPr>
          <w:rFonts w:cs="Times New Roman"/>
          <w:i/>
        </w:rPr>
        <w:t xml:space="preserve">Procedure on Conducting and Payment of Works, which Relate to the </w:t>
      </w:r>
      <w:r>
        <w:rPr>
          <w:rFonts w:cs="Times New Roman"/>
          <w:i/>
        </w:rPr>
        <w:t xml:space="preserve">Issuance of </w:t>
      </w:r>
      <w:r w:rsidR="000B7923" w:rsidRPr="002B1DFC">
        <w:rPr>
          <w:rFonts w:cs="Times New Roman"/>
          <w:i/>
        </w:rPr>
        <w:t>Permits</w:t>
      </w:r>
      <w:r>
        <w:rPr>
          <w:rFonts w:cs="Times New Roman"/>
          <w:i/>
        </w:rPr>
        <w:t xml:space="preserve"> </w:t>
      </w:r>
      <w:r w:rsidR="000B7923" w:rsidRPr="002B1DFC">
        <w:rPr>
          <w:rFonts w:cs="Times New Roman"/>
          <w:i/>
        </w:rPr>
        <w:t xml:space="preserve">for Pollutants’ Emissions into the Atmospheric Air by Stationary Sources, </w:t>
      </w:r>
      <w:r>
        <w:rPr>
          <w:rFonts w:cs="Times New Roman"/>
          <w:i/>
        </w:rPr>
        <w:t xml:space="preserve">and </w:t>
      </w:r>
      <w:r w:rsidR="000B7923" w:rsidRPr="002B1DFC">
        <w:rPr>
          <w:rFonts w:cs="Times New Roman"/>
          <w:i/>
        </w:rPr>
        <w:t xml:space="preserve">Keeping Records </w:t>
      </w:r>
      <w:r>
        <w:rPr>
          <w:rFonts w:cs="Times New Roman"/>
          <w:i/>
        </w:rPr>
        <w:t>on</w:t>
      </w:r>
      <w:r w:rsidRPr="002B1DFC">
        <w:rPr>
          <w:rFonts w:cs="Times New Roman"/>
          <w:i/>
        </w:rPr>
        <w:t xml:space="preserve"> </w:t>
      </w:r>
      <w:r w:rsidR="000B7923" w:rsidRPr="002B1DFC">
        <w:rPr>
          <w:rFonts w:cs="Times New Roman"/>
          <w:i/>
        </w:rPr>
        <w:t xml:space="preserve">a </w:t>
      </w:r>
      <w:r w:rsidR="000B7923" w:rsidRPr="002B1DFC">
        <w:rPr>
          <w:rFonts w:cs="Times New Roman"/>
          <w:i/>
        </w:rPr>
        <w:lastRenderedPageBreak/>
        <w:t>Number of Enterprises, Organizations</w:t>
      </w:r>
      <w:r>
        <w:rPr>
          <w:rFonts w:cs="Times New Roman"/>
          <w:i/>
        </w:rPr>
        <w:t>,</w:t>
      </w:r>
      <w:r w:rsidR="000B7923" w:rsidRPr="002B1DFC">
        <w:rPr>
          <w:rFonts w:cs="Times New Roman"/>
          <w:i/>
        </w:rPr>
        <w:t xml:space="preserve"> and Businessmen, which Received Such Permits</w:t>
      </w:r>
      <w:r w:rsidR="000B7923" w:rsidRPr="001B3C85">
        <w:rPr>
          <w:rFonts w:cs="Times New Roman"/>
        </w:rPr>
        <w:t>”</w:t>
      </w:r>
      <w:r w:rsidR="000B7923" w:rsidRPr="002B1DFC">
        <w:rPr>
          <w:rFonts w:cs="Times New Roman"/>
        </w:rPr>
        <w:t xml:space="preserve"> was adopted by the CMU of Ukraine in 2002, and </w:t>
      </w:r>
      <w:r>
        <w:rPr>
          <w:rFonts w:cs="Times New Roman"/>
        </w:rPr>
        <w:t>this Procedure</w:t>
      </w:r>
      <w:r w:rsidRPr="002B1DFC">
        <w:rPr>
          <w:rFonts w:cs="Times New Roman"/>
        </w:rPr>
        <w:t xml:space="preserve"> </w:t>
      </w:r>
      <w:r w:rsidR="000B7923" w:rsidRPr="002B1DFC">
        <w:rPr>
          <w:rFonts w:cs="Times New Roman"/>
        </w:rPr>
        <w:t>established a single mechanism for issuance of permits and payment execution;</w:t>
      </w:r>
    </w:p>
    <w:p w14:paraId="77D5E876" w14:textId="77777777" w:rsidR="000B7923" w:rsidRPr="002B1DFC" w:rsidRDefault="000B7923" w:rsidP="00F14946">
      <w:pPr>
        <w:rPr>
          <w:rFonts w:cs="Times New Roman"/>
        </w:rPr>
      </w:pPr>
    </w:p>
    <w:p w14:paraId="64440202" w14:textId="77777777" w:rsidR="000B7923" w:rsidRPr="002B1DFC" w:rsidRDefault="000B7923" w:rsidP="00B83095">
      <w:pPr>
        <w:pStyle w:val="ListParagraph"/>
        <w:numPr>
          <w:ilvl w:val="0"/>
          <w:numId w:val="23"/>
        </w:numPr>
        <w:ind w:left="360"/>
        <w:rPr>
          <w:rFonts w:cs="Times New Roman"/>
        </w:rPr>
      </w:pPr>
      <w:r w:rsidRPr="002B1DFC">
        <w:rPr>
          <w:rFonts w:cs="Times New Roman"/>
        </w:rPr>
        <w:t>The same year</w:t>
      </w:r>
      <w:r w:rsidR="003A69CA">
        <w:rPr>
          <w:rFonts w:cs="Times New Roman"/>
        </w:rPr>
        <w:t>,</w:t>
      </w:r>
      <w:r w:rsidRPr="002B1DFC">
        <w:rPr>
          <w:rFonts w:cs="Times New Roman"/>
        </w:rPr>
        <w:t xml:space="preserve"> MENR approved </w:t>
      </w:r>
      <w:r w:rsidR="003A69CA">
        <w:rPr>
          <w:rFonts w:cs="Times New Roman"/>
        </w:rPr>
        <w:t xml:space="preserve">the </w:t>
      </w:r>
      <w:r w:rsidRPr="00183A7A">
        <w:rPr>
          <w:rFonts w:cs="Times New Roman"/>
        </w:rPr>
        <w:t>“</w:t>
      </w:r>
      <w:r w:rsidRPr="002B1DFC">
        <w:rPr>
          <w:rFonts w:cs="Times New Roman"/>
          <w:i/>
        </w:rPr>
        <w:t xml:space="preserve">Manual on Procedure and Criteria for </w:t>
      </w:r>
      <w:r w:rsidR="003A69CA">
        <w:rPr>
          <w:rFonts w:cs="Times New Roman"/>
          <w:i/>
        </w:rPr>
        <w:t xml:space="preserve">a </w:t>
      </w:r>
      <w:r w:rsidRPr="002B1DFC">
        <w:rPr>
          <w:rFonts w:cs="Times New Roman"/>
          <w:i/>
        </w:rPr>
        <w:t>State Record of Facilities</w:t>
      </w:r>
      <w:r w:rsidR="003A69CA">
        <w:rPr>
          <w:rFonts w:cs="Times New Roman"/>
          <w:i/>
        </w:rPr>
        <w:t xml:space="preserve"> that</w:t>
      </w:r>
      <w:r w:rsidRPr="002B1DFC">
        <w:rPr>
          <w:rFonts w:cs="Times New Roman"/>
          <w:i/>
        </w:rPr>
        <w:t xml:space="preserve"> have Negative Impact on Human Health and Atmospheric Air Conditions</w:t>
      </w:r>
      <w:r w:rsidR="003A69CA">
        <w:rPr>
          <w:rFonts w:cs="Times New Roman"/>
          <w:i/>
        </w:rPr>
        <w:t>.</w:t>
      </w:r>
      <w:r w:rsidRPr="00183A7A">
        <w:rPr>
          <w:rFonts w:cs="Times New Roman"/>
        </w:rPr>
        <w:t>”</w:t>
      </w:r>
      <w:r w:rsidRPr="0041197D">
        <w:rPr>
          <w:rFonts w:cs="Times New Roman"/>
        </w:rPr>
        <w:t xml:space="preserve"> </w:t>
      </w:r>
      <w:r w:rsidRPr="002B1DFC">
        <w:rPr>
          <w:rFonts w:cs="Times New Roman"/>
        </w:rPr>
        <w:t xml:space="preserve">MENR </w:t>
      </w:r>
      <w:r w:rsidR="003A69CA">
        <w:rPr>
          <w:rFonts w:cs="Times New Roman"/>
        </w:rPr>
        <w:t xml:space="preserve">took an important step </w:t>
      </w:r>
      <w:r w:rsidRPr="002B1DFC">
        <w:rPr>
          <w:rFonts w:cs="Times New Roman"/>
        </w:rPr>
        <w:t xml:space="preserve">in 2006, when standards </w:t>
      </w:r>
      <w:r w:rsidR="003A69CA">
        <w:rPr>
          <w:rFonts w:cs="Times New Roman"/>
        </w:rPr>
        <w:t>for</w:t>
      </w:r>
      <w:r w:rsidRPr="002B1DFC">
        <w:rPr>
          <w:rFonts w:cs="Times New Roman"/>
        </w:rPr>
        <w:t xml:space="preserve"> pollutants’ emissions limits from stationary sources were adopted. </w:t>
      </w:r>
    </w:p>
    <w:p w14:paraId="200DEC68" w14:textId="77777777" w:rsidR="000B7923" w:rsidRPr="002B1DFC" w:rsidRDefault="000B7923" w:rsidP="007646F8">
      <w:pPr>
        <w:rPr>
          <w:rFonts w:cs="Times New Roman"/>
        </w:rPr>
      </w:pPr>
    </w:p>
    <w:p w14:paraId="513317EA"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In </w:t>
      </w:r>
      <w:r w:rsidR="003A69CA" w:rsidRPr="002B1DFC">
        <w:rPr>
          <w:rFonts w:cs="Times New Roman"/>
        </w:rPr>
        <w:t>2010,</w:t>
      </w:r>
      <w:r w:rsidRPr="002B1DFC">
        <w:rPr>
          <w:rFonts w:cs="Times New Roman"/>
        </w:rPr>
        <w:t xml:space="preserve"> Ukraine ratified a Protocol about joining to the Agreement regarding Foundation of Energy Community. According to the provisions of this treaty, the country should implement the Directive 2001/80/EC on the limitation of emissions of certain pollutants into the air from large combustion plants by January 1, 2018. </w:t>
      </w:r>
    </w:p>
    <w:p w14:paraId="30294673" w14:textId="77777777" w:rsidR="000B7923" w:rsidRPr="002B1DFC" w:rsidRDefault="000B7923" w:rsidP="00F14946">
      <w:pPr>
        <w:rPr>
          <w:rFonts w:cs="Times New Roman"/>
        </w:rPr>
      </w:pPr>
    </w:p>
    <w:p w14:paraId="3A806678"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During 2011</w:t>
      </w:r>
      <w:r w:rsidR="0041197D">
        <w:rPr>
          <w:rFonts w:cs="Times New Roman"/>
        </w:rPr>
        <w:t>–</w:t>
      </w:r>
      <w:r w:rsidRPr="002B1DFC">
        <w:rPr>
          <w:rFonts w:cs="Times New Roman"/>
        </w:rPr>
        <w:t xml:space="preserve">2014, the European Commission funded </w:t>
      </w:r>
      <w:r w:rsidR="003A69CA">
        <w:rPr>
          <w:rFonts w:cs="Times New Roman"/>
        </w:rPr>
        <w:t>the</w:t>
      </w:r>
      <w:r w:rsidRPr="002B1DFC">
        <w:rPr>
          <w:rFonts w:cs="Times New Roman"/>
        </w:rPr>
        <w:t xml:space="preserve"> project “Air Quality Governance in ENPI East Countries</w:t>
      </w:r>
      <w:r w:rsidR="003A69CA">
        <w:rPr>
          <w:rFonts w:cs="Times New Roman"/>
        </w:rPr>
        <w:t>,</w:t>
      </w:r>
      <w:r w:rsidRPr="002B1DFC">
        <w:rPr>
          <w:rFonts w:cs="Times New Roman"/>
        </w:rPr>
        <w:t>” which provided support to Ukraine for compliance with international commitments under the Convention on Long-Range Transboundary Air Pollution and its protocols. Additionally, study tour, seminars, trainings</w:t>
      </w:r>
      <w:r w:rsidR="003A69CA">
        <w:rPr>
          <w:rFonts w:cs="Times New Roman"/>
        </w:rPr>
        <w:t>,</w:t>
      </w:r>
      <w:r w:rsidRPr="002B1DFC">
        <w:rPr>
          <w:rFonts w:cs="Times New Roman"/>
        </w:rPr>
        <w:t xml:space="preserve"> and workshops on </w:t>
      </w:r>
      <w:r w:rsidR="003A69CA">
        <w:rPr>
          <w:rFonts w:cs="Times New Roman"/>
        </w:rPr>
        <w:t xml:space="preserve">inventorying </w:t>
      </w:r>
      <w:r w:rsidRPr="002B1DFC">
        <w:rPr>
          <w:rFonts w:cs="Times New Roman"/>
        </w:rPr>
        <w:t xml:space="preserve">emissions, COPERT 4 software (for </w:t>
      </w:r>
      <w:r w:rsidR="003A69CA">
        <w:rPr>
          <w:rFonts w:cs="Times New Roman"/>
        </w:rPr>
        <w:t xml:space="preserve">calculating </w:t>
      </w:r>
      <w:r w:rsidRPr="002B1DFC">
        <w:rPr>
          <w:rFonts w:cs="Times New Roman"/>
        </w:rPr>
        <w:t>emissions</w:t>
      </w:r>
      <w:r w:rsidR="003A69CA">
        <w:rPr>
          <w:rFonts w:cs="Times New Roman"/>
        </w:rPr>
        <w:t xml:space="preserve"> </w:t>
      </w:r>
      <w:r w:rsidRPr="002B1DFC">
        <w:rPr>
          <w:rFonts w:cs="Times New Roman"/>
        </w:rPr>
        <w:t>from road transport), data collection</w:t>
      </w:r>
      <w:r w:rsidR="003A69CA">
        <w:rPr>
          <w:rFonts w:cs="Times New Roman"/>
        </w:rPr>
        <w:t>,</w:t>
      </w:r>
      <w:r w:rsidRPr="002B1DFC">
        <w:rPr>
          <w:rFonts w:cs="Times New Roman"/>
        </w:rPr>
        <w:t xml:space="preserve"> and air pollution modelling were provided</w:t>
      </w:r>
      <w:r w:rsidR="003107BE">
        <w:rPr>
          <w:rFonts w:cs="Times New Roman"/>
        </w:rPr>
        <w:t>.</w:t>
      </w:r>
      <w:r w:rsidRPr="002B1DFC">
        <w:rPr>
          <w:rStyle w:val="FootnoteReference"/>
        </w:rPr>
        <w:footnoteReference w:id="1"/>
      </w:r>
      <w:r w:rsidRPr="002B1DFC">
        <w:rPr>
          <w:rFonts w:cs="Times New Roman"/>
        </w:rPr>
        <w:t xml:space="preserve"> Ukraine also received the Recommendations for Development of </w:t>
      </w:r>
      <w:r w:rsidR="003A69CA">
        <w:rPr>
          <w:rFonts w:cs="Times New Roman"/>
        </w:rPr>
        <w:t xml:space="preserve">a </w:t>
      </w:r>
      <w:r w:rsidRPr="002B1DFC">
        <w:rPr>
          <w:rFonts w:cs="Times New Roman"/>
        </w:rPr>
        <w:t>National BAT Guidance Framework for the implementation of Directive 2010/75/EU on Industrial Emissions (integrated pollution prevention and control).</w:t>
      </w:r>
    </w:p>
    <w:p w14:paraId="6AE7E860" w14:textId="77777777" w:rsidR="000B7923" w:rsidRPr="002B1DFC" w:rsidRDefault="000B7923" w:rsidP="00F14946">
      <w:pPr>
        <w:rPr>
          <w:rFonts w:cs="Times New Roman"/>
        </w:rPr>
      </w:pPr>
    </w:p>
    <w:p w14:paraId="5DCAA276" w14:textId="77777777" w:rsidR="000B7923" w:rsidRPr="002B1DFC" w:rsidRDefault="000B7923" w:rsidP="00FE452B">
      <w:pPr>
        <w:rPr>
          <w:u w:val="single"/>
        </w:rPr>
      </w:pPr>
      <w:r w:rsidRPr="002B1DFC">
        <w:rPr>
          <w:u w:val="single"/>
        </w:rPr>
        <w:t>Water Resources</w:t>
      </w:r>
    </w:p>
    <w:p w14:paraId="41C75ECF" w14:textId="77777777" w:rsidR="000B7923" w:rsidRPr="005C2F51" w:rsidRDefault="000B7923" w:rsidP="00602DEE">
      <w:pPr>
        <w:rPr>
          <w:rFonts w:cs="Times New Roman"/>
          <w:b/>
          <w:iCs/>
          <w:color w:val="000000" w:themeColor="text1"/>
        </w:rPr>
      </w:pPr>
    </w:p>
    <w:p w14:paraId="188D1227" w14:textId="77777777" w:rsidR="000B7923" w:rsidRPr="005C2F51" w:rsidRDefault="000B7923" w:rsidP="00907895">
      <w:pPr>
        <w:pStyle w:val="ListParagraph"/>
        <w:numPr>
          <w:ilvl w:val="0"/>
          <w:numId w:val="68"/>
        </w:numPr>
        <w:tabs>
          <w:tab w:val="left" w:pos="360"/>
        </w:tabs>
        <w:spacing w:line="23" w:lineRule="atLeast"/>
        <w:ind w:left="0" w:firstLine="0"/>
        <w:rPr>
          <w:rFonts w:cs="Times New Roman"/>
          <w:iCs/>
          <w:color w:val="000000" w:themeColor="text1"/>
        </w:rPr>
      </w:pPr>
      <w:r w:rsidRPr="005C2F51">
        <w:rPr>
          <w:rFonts w:cs="Times New Roman"/>
          <w:iCs/>
          <w:color w:val="000000" w:themeColor="text1"/>
        </w:rPr>
        <w:t xml:space="preserve">Ukraine is Party to the Convention on the Prevention of Marine Pollution by Dumping of Wastes and Other </w:t>
      </w:r>
      <w:r w:rsidRPr="005C2F51">
        <w:rPr>
          <w:rFonts w:cs="Times New Roman"/>
          <w:color w:val="000000" w:themeColor="text1"/>
        </w:rPr>
        <w:t>Matter</w:t>
      </w:r>
      <w:r w:rsidRPr="005C2F51">
        <w:rPr>
          <w:rFonts w:cs="Times New Roman"/>
          <w:iCs/>
          <w:color w:val="000000" w:themeColor="text1"/>
        </w:rPr>
        <w:t xml:space="preserve"> (ratified in 1976), Convention on the Protection of the Black Sea against Pollution (ratified in 1994), Convention on the Protection and Use of Transboundary Watercourses and International Lakes (ratified in 1999) and Danube River Protection Convention (2002). </w:t>
      </w:r>
    </w:p>
    <w:p w14:paraId="76FE2BAB" w14:textId="77777777" w:rsidR="000B7923" w:rsidRPr="005C2F51" w:rsidRDefault="000B7923" w:rsidP="00602DEE">
      <w:pPr>
        <w:rPr>
          <w:rFonts w:cs="Times New Roman"/>
          <w:b/>
          <w:iCs/>
          <w:color w:val="000000" w:themeColor="text1"/>
        </w:rPr>
      </w:pPr>
    </w:p>
    <w:p w14:paraId="0FDE4698"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iCs/>
        </w:rPr>
      </w:pPr>
      <w:r w:rsidRPr="005C2F51">
        <w:rPr>
          <w:rFonts w:cs="Times New Roman"/>
          <w:iCs/>
          <w:color w:val="000000" w:themeColor="text1"/>
        </w:rPr>
        <w:t xml:space="preserve">For the fulfillment of these international treaties, the parliament of Ukraine adopted its key legislation </w:t>
      </w:r>
      <w:r w:rsidRPr="002B1DFC">
        <w:rPr>
          <w:rFonts w:cs="Times New Roman"/>
          <w:iCs/>
        </w:rPr>
        <w:t xml:space="preserve">for the </w:t>
      </w:r>
      <w:r w:rsidRPr="00907895">
        <w:rPr>
          <w:rFonts w:cs="Times New Roman"/>
        </w:rPr>
        <w:t>protection</w:t>
      </w:r>
      <w:r w:rsidRPr="002B1DFC">
        <w:rPr>
          <w:rFonts w:cs="Times New Roman"/>
          <w:iCs/>
        </w:rPr>
        <w:t xml:space="preserve"> of water resources and water management</w:t>
      </w:r>
      <w:r w:rsidR="0041197D">
        <w:rPr>
          <w:rFonts w:cs="Times New Roman"/>
          <w:iCs/>
        </w:rPr>
        <w:t>—</w:t>
      </w:r>
      <w:r w:rsidRPr="002B1DFC">
        <w:rPr>
          <w:rFonts w:cs="Times New Roman"/>
          <w:iCs/>
        </w:rPr>
        <w:t>the Water Code</w:t>
      </w:r>
      <w:r w:rsidR="0041197D">
        <w:rPr>
          <w:rFonts w:cs="Times New Roman"/>
          <w:iCs/>
        </w:rPr>
        <w:t>—</w:t>
      </w:r>
      <w:r w:rsidRPr="002B1DFC">
        <w:rPr>
          <w:rFonts w:cs="Times New Roman"/>
          <w:iCs/>
        </w:rPr>
        <w:t>first adopted in 1995 and update late in January 2015. The Water Code regulates water conservation; rational water use; protection of water resources from pollution, contamination</w:t>
      </w:r>
      <w:r w:rsidR="003A69CA">
        <w:rPr>
          <w:rFonts w:cs="Times New Roman"/>
          <w:iCs/>
        </w:rPr>
        <w:t>,</w:t>
      </w:r>
      <w:r w:rsidRPr="002B1DFC">
        <w:rPr>
          <w:rFonts w:cs="Times New Roman"/>
          <w:iCs/>
        </w:rPr>
        <w:t xml:space="preserve"> and depletion; improvement of ecologic conditions of water bodies</w:t>
      </w:r>
      <w:r w:rsidR="003A69CA">
        <w:rPr>
          <w:rFonts w:cs="Times New Roman"/>
          <w:iCs/>
        </w:rPr>
        <w:t>;</w:t>
      </w:r>
      <w:r w:rsidRPr="002B1DFC">
        <w:rPr>
          <w:rFonts w:cs="Times New Roman"/>
          <w:iCs/>
        </w:rPr>
        <w:t xml:space="preserve"> and protection of water user's rights.</w:t>
      </w:r>
    </w:p>
    <w:p w14:paraId="5D46F847" w14:textId="77777777" w:rsidR="000B7923" w:rsidRPr="002B1DFC" w:rsidRDefault="000B7923" w:rsidP="00602DEE">
      <w:pPr>
        <w:rPr>
          <w:rFonts w:cs="Times New Roman"/>
          <w:iCs/>
        </w:rPr>
      </w:pPr>
    </w:p>
    <w:p w14:paraId="06AFAB71"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iCs/>
        </w:rPr>
      </w:pPr>
      <w:r w:rsidRPr="002B1DFC">
        <w:rPr>
          <w:rFonts w:cs="Times New Roman"/>
          <w:iCs/>
        </w:rPr>
        <w:t xml:space="preserve">The </w:t>
      </w:r>
      <w:r w:rsidRPr="00907895">
        <w:rPr>
          <w:rFonts w:cs="Times New Roman"/>
        </w:rPr>
        <w:t>Water</w:t>
      </w:r>
      <w:r w:rsidRPr="002B1DFC">
        <w:rPr>
          <w:rFonts w:cs="Times New Roman"/>
          <w:iCs/>
        </w:rPr>
        <w:t xml:space="preserve"> Code provides a background for the development of state targeted programs, regional programs, water </w:t>
      </w:r>
      <w:proofErr w:type="spellStart"/>
      <w:r w:rsidRPr="002B1DFC">
        <w:rPr>
          <w:rFonts w:cs="Times New Roman"/>
          <w:iCs/>
        </w:rPr>
        <w:t>cadastre</w:t>
      </w:r>
      <w:proofErr w:type="spellEnd"/>
      <w:r w:rsidRPr="002B1DFC">
        <w:rPr>
          <w:rFonts w:cs="Times New Roman"/>
          <w:iCs/>
        </w:rPr>
        <w:t xml:space="preserve"> and various legal acts. It foresees conducting ecological expertize during modernization and building the facilities related to water use; conducting a state recording of water consumption and sewage discharge; conducting standardization in the area of water protection and usage; and implementation of state monitoring of water resources. </w:t>
      </w:r>
    </w:p>
    <w:p w14:paraId="1C50B3E4" w14:textId="77777777" w:rsidR="000B7923" w:rsidRPr="002B1DFC" w:rsidRDefault="000B7923" w:rsidP="00602DEE">
      <w:pPr>
        <w:rPr>
          <w:rFonts w:cs="Times New Roman"/>
          <w:iCs/>
        </w:rPr>
      </w:pPr>
    </w:p>
    <w:p w14:paraId="5F120140"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iCs/>
        </w:rPr>
      </w:pPr>
      <w:r w:rsidRPr="002B1DFC">
        <w:rPr>
          <w:rFonts w:cs="Times New Roman"/>
          <w:iCs/>
        </w:rPr>
        <w:t xml:space="preserve">The </w:t>
      </w:r>
      <w:r w:rsidRPr="00907895">
        <w:rPr>
          <w:rFonts w:cs="Times New Roman"/>
        </w:rPr>
        <w:t>key</w:t>
      </w:r>
      <w:r w:rsidRPr="002B1DFC">
        <w:rPr>
          <w:rFonts w:cs="Times New Roman"/>
          <w:iCs/>
        </w:rPr>
        <w:t xml:space="preserve"> legal acts and regulations pertaining to water resources management include the following:</w:t>
      </w:r>
    </w:p>
    <w:p w14:paraId="50C6E2C5" w14:textId="77777777" w:rsidR="000B7923" w:rsidRPr="002B1DFC" w:rsidRDefault="000B7923" w:rsidP="00B83095">
      <w:pPr>
        <w:pStyle w:val="ListParagraph"/>
        <w:numPr>
          <w:ilvl w:val="0"/>
          <w:numId w:val="25"/>
        </w:numPr>
        <w:rPr>
          <w:rFonts w:cs="Times New Roman"/>
          <w:iCs/>
        </w:rPr>
      </w:pPr>
      <w:r w:rsidRPr="002B1DFC">
        <w:rPr>
          <w:rFonts w:cs="Times New Roman"/>
          <w:iCs/>
        </w:rPr>
        <w:t xml:space="preserve">Law on “Approval of State-Targeted Program of Development of Water Industry and Ecological Sanitation of Dnipro River’s Basin </w:t>
      </w:r>
      <w:r w:rsidR="00BB0F37">
        <w:rPr>
          <w:rFonts w:cs="Times New Roman"/>
          <w:iCs/>
        </w:rPr>
        <w:t>up to</w:t>
      </w:r>
      <w:r w:rsidR="003A69CA" w:rsidRPr="002B1DFC">
        <w:rPr>
          <w:rFonts w:cs="Times New Roman"/>
          <w:iCs/>
        </w:rPr>
        <w:t xml:space="preserve"> </w:t>
      </w:r>
      <w:r w:rsidRPr="002B1DFC">
        <w:rPr>
          <w:rFonts w:cs="Times New Roman"/>
          <w:iCs/>
        </w:rPr>
        <w:t>2021”;</w:t>
      </w:r>
    </w:p>
    <w:p w14:paraId="78F67655" w14:textId="77777777" w:rsidR="000B7923" w:rsidRPr="002B1DFC" w:rsidRDefault="000B7923" w:rsidP="00B83095">
      <w:pPr>
        <w:pStyle w:val="ListParagraph"/>
        <w:numPr>
          <w:ilvl w:val="0"/>
          <w:numId w:val="25"/>
        </w:numPr>
        <w:rPr>
          <w:rFonts w:cs="Times New Roman"/>
          <w:iCs/>
        </w:rPr>
      </w:pPr>
      <w:r w:rsidRPr="002B1DFC">
        <w:rPr>
          <w:rFonts w:cs="Times New Roman"/>
          <w:iCs/>
        </w:rPr>
        <w:t xml:space="preserve">Parliament </w:t>
      </w:r>
      <w:r w:rsidR="006020B3">
        <w:rPr>
          <w:rFonts w:cs="Times New Roman"/>
          <w:iCs/>
        </w:rPr>
        <w:t>R</w:t>
      </w:r>
      <w:r w:rsidRPr="002B1DFC">
        <w:rPr>
          <w:rFonts w:cs="Times New Roman"/>
          <w:iCs/>
        </w:rPr>
        <w:t xml:space="preserve">esolution on “State Program </w:t>
      </w:r>
      <w:r w:rsidR="003A69CA">
        <w:rPr>
          <w:rFonts w:cs="Times New Roman"/>
          <w:iCs/>
        </w:rPr>
        <w:t>‘</w:t>
      </w:r>
      <w:r w:rsidRPr="002B1DFC">
        <w:rPr>
          <w:rFonts w:cs="Times New Roman"/>
          <w:iCs/>
        </w:rPr>
        <w:t>Drinking Water of Ukraine</w:t>
      </w:r>
      <w:r w:rsidR="003A69CA">
        <w:rPr>
          <w:rFonts w:cs="Times New Roman"/>
          <w:iCs/>
        </w:rPr>
        <w:t>’</w:t>
      </w:r>
      <w:r w:rsidRPr="002B1DFC">
        <w:rPr>
          <w:rFonts w:cs="Times New Roman"/>
          <w:iCs/>
        </w:rPr>
        <w:t xml:space="preserve"> for 2011</w:t>
      </w:r>
      <w:r w:rsidR="006E6172">
        <w:rPr>
          <w:rFonts w:cs="Times New Roman"/>
          <w:iCs/>
        </w:rPr>
        <w:t>–</w:t>
      </w:r>
      <w:r w:rsidRPr="002B1DFC">
        <w:rPr>
          <w:rFonts w:cs="Times New Roman"/>
          <w:iCs/>
        </w:rPr>
        <w:t>2020”;</w:t>
      </w:r>
    </w:p>
    <w:p w14:paraId="222681C2" w14:textId="77777777" w:rsidR="000B7923" w:rsidRPr="002B1DFC" w:rsidRDefault="006020B3" w:rsidP="00B83095">
      <w:pPr>
        <w:pStyle w:val="ListParagraph"/>
        <w:numPr>
          <w:ilvl w:val="0"/>
          <w:numId w:val="25"/>
        </w:numPr>
        <w:rPr>
          <w:rFonts w:cs="Times New Roman"/>
          <w:iCs/>
        </w:rPr>
      </w:pPr>
      <w:r>
        <w:rPr>
          <w:rFonts w:cs="Times New Roman"/>
          <w:iCs/>
        </w:rPr>
        <w:t>CMU Decree</w:t>
      </w:r>
      <w:r w:rsidR="000B7923" w:rsidRPr="002B1DFC">
        <w:rPr>
          <w:rFonts w:cs="Times New Roman"/>
          <w:iCs/>
        </w:rPr>
        <w:t xml:space="preserve"> “Procedure for Implementation of State Water Monitoring”;</w:t>
      </w:r>
    </w:p>
    <w:p w14:paraId="3A4CB217" w14:textId="77777777" w:rsidR="000B7923" w:rsidRPr="002B1DFC" w:rsidRDefault="006020B3" w:rsidP="00B83095">
      <w:pPr>
        <w:pStyle w:val="ListParagraph"/>
        <w:numPr>
          <w:ilvl w:val="0"/>
          <w:numId w:val="25"/>
        </w:numPr>
        <w:rPr>
          <w:rFonts w:cs="Times New Roman"/>
          <w:iCs/>
        </w:rPr>
      </w:pPr>
      <w:r>
        <w:rPr>
          <w:rFonts w:cs="Times New Roman"/>
          <w:iCs/>
        </w:rPr>
        <w:t>CMU Decree</w:t>
      </w:r>
      <w:r w:rsidR="000B7923" w:rsidRPr="002B1DFC">
        <w:rPr>
          <w:rFonts w:cs="Times New Roman"/>
          <w:iCs/>
        </w:rPr>
        <w:t xml:space="preserve"> “Procedure </w:t>
      </w:r>
      <w:r w:rsidR="003A69CA">
        <w:rPr>
          <w:rFonts w:cs="Times New Roman"/>
          <w:iCs/>
        </w:rPr>
        <w:t>for</w:t>
      </w:r>
      <w:r w:rsidR="000B7923" w:rsidRPr="002B1DFC">
        <w:rPr>
          <w:rFonts w:cs="Times New Roman"/>
          <w:iCs/>
        </w:rPr>
        <w:t xml:space="preserve"> Approval and Obtaining Permits for Special Water Use”;</w:t>
      </w:r>
    </w:p>
    <w:p w14:paraId="2B58E231" w14:textId="77777777" w:rsidR="000B7923" w:rsidRPr="002B1DFC" w:rsidRDefault="006020B3" w:rsidP="00B83095">
      <w:pPr>
        <w:pStyle w:val="ListParagraph"/>
        <w:numPr>
          <w:ilvl w:val="0"/>
          <w:numId w:val="25"/>
        </w:numPr>
        <w:rPr>
          <w:rFonts w:cs="Times New Roman"/>
          <w:iCs/>
        </w:rPr>
      </w:pPr>
      <w:r>
        <w:rPr>
          <w:rFonts w:cs="Times New Roman"/>
          <w:iCs/>
        </w:rPr>
        <w:lastRenderedPageBreak/>
        <w:t>CMU Decree</w:t>
      </w:r>
      <w:r w:rsidR="003A69CA">
        <w:rPr>
          <w:rFonts w:cs="Times New Roman"/>
          <w:iCs/>
        </w:rPr>
        <w:t xml:space="preserve"> </w:t>
      </w:r>
      <w:r w:rsidR="000B7923" w:rsidRPr="002B1DFC">
        <w:rPr>
          <w:rFonts w:cs="Times New Roman"/>
          <w:iCs/>
        </w:rPr>
        <w:t>“On Approval of the Rules of the Protection of Surface Waters from Pollution by the Return Waters”;</w:t>
      </w:r>
    </w:p>
    <w:p w14:paraId="0BEA305F" w14:textId="77777777" w:rsidR="000B7923" w:rsidRPr="002B1DFC" w:rsidRDefault="006020B3" w:rsidP="00B83095">
      <w:pPr>
        <w:pStyle w:val="ListParagraph"/>
        <w:numPr>
          <w:ilvl w:val="0"/>
          <w:numId w:val="25"/>
        </w:numPr>
        <w:rPr>
          <w:rFonts w:cs="Times New Roman"/>
          <w:iCs/>
        </w:rPr>
      </w:pPr>
      <w:r>
        <w:rPr>
          <w:rFonts w:cs="Times New Roman"/>
          <w:iCs/>
        </w:rPr>
        <w:t>CMU Decree</w:t>
      </w:r>
      <w:r w:rsidR="000B7923" w:rsidRPr="002B1DFC">
        <w:rPr>
          <w:rFonts w:cs="Times New Roman"/>
          <w:iCs/>
        </w:rPr>
        <w:t xml:space="preserve"> “Procedure of Development and Approval of Pollution Discharge Limits and the List of Polluting Substances, for which the Discharge Limits are Set”; </w:t>
      </w:r>
      <w:r w:rsidR="003A69CA">
        <w:rPr>
          <w:rFonts w:cs="Times New Roman"/>
          <w:iCs/>
        </w:rPr>
        <w:t>and</w:t>
      </w:r>
    </w:p>
    <w:p w14:paraId="324E5353" w14:textId="77777777" w:rsidR="000B7923" w:rsidRPr="002B1DFC" w:rsidRDefault="000B7923" w:rsidP="00B83095">
      <w:pPr>
        <w:pStyle w:val="ListParagraph"/>
        <w:numPr>
          <w:ilvl w:val="0"/>
          <w:numId w:val="25"/>
        </w:numPr>
        <w:rPr>
          <w:rFonts w:cs="Times New Roman"/>
          <w:iCs/>
        </w:rPr>
      </w:pPr>
      <w:r w:rsidRPr="002B1DFC">
        <w:rPr>
          <w:rFonts w:cs="Times New Roman"/>
          <w:iCs/>
        </w:rPr>
        <w:t xml:space="preserve">Order of the Ministry of Environment and Nuclear Safety of Ukraine “Guidance on the Procedure for Developing and Setting the Discharge Limit Values for Polluting Substances Released into Surface Waters with Effluent Discharges”. </w:t>
      </w:r>
    </w:p>
    <w:p w14:paraId="01DF7471" w14:textId="77777777" w:rsidR="000B7923" w:rsidRPr="005C2F51" w:rsidRDefault="000B7923" w:rsidP="00602DEE">
      <w:pPr>
        <w:rPr>
          <w:rFonts w:cs="Times New Roman"/>
          <w:iCs/>
          <w:color w:val="000000" w:themeColor="text1"/>
        </w:rPr>
      </w:pPr>
    </w:p>
    <w:p w14:paraId="7482CBFE" w14:textId="77777777" w:rsidR="000B7923" w:rsidRPr="005C2F51" w:rsidRDefault="000B7923" w:rsidP="00907895">
      <w:pPr>
        <w:pStyle w:val="ListParagraph"/>
        <w:numPr>
          <w:ilvl w:val="0"/>
          <w:numId w:val="68"/>
        </w:numPr>
        <w:tabs>
          <w:tab w:val="left" w:pos="360"/>
        </w:tabs>
        <w:spacing w:line="23" w:lineRule="atLeast"/>
        <w:ind w:left="0" w:firstLine="0"/>
        <w:rPr>
          <w:rFonts w:cs="Times New Roman"/>
          <w:iCs/>
          <w:color w:val="000000" w:themeColor="text1"/>
        </w:rPr>
      </w:pPr>
      <w:r w:rsidRPr="005C2F51">
        <w:rPr>
          <w:rFonts w:cs="Times New Roman"/>
          <w:iCs/>
          <w:color w:val="000000" w:themeColor="text1"/>
        </w:rPr>
        <w:t xml:space="preserve">The </w:t>
      </w:r>
      <w:r w:rsidRPr="005C2F51">
        <w:rPr>
          <w:rFonts w:cs="Times New Roman"/>
          <w:color w:val="000000" w:themeColor="text1"/>
        </w:rPr>
        <w:t>legal</w:t>
      </w:r>
      <w:r w:rsidRPr="005C2F51">
        <w:rPr>
          <w:rFonts w:cs="Times New Roman"/>
          <w:iCs/>
          <w:color w:val="000000" w:themeColor="text1"/>
        </w:rPr>
        <w:t xml:space="preserve"> basis for marine protection, including the Black Sea, </w:t>
      </w:r>
      <w:r w:rsidR="00EF0A33" w:rsidRPr="005C2F51">
        <w:rPr>
          <w:rFonts w:cs="Times New Roman"/>
          <w:iCs/>
          <w:color w:val="000000" w:themeColor="text1"/>
        </w:rPr>
        <w:t xml:space="preserve">is </w:t>
      </w:r>
      <w:r w:rsidRPr="005C2F51">
        <w:rPr>
          <w:rFonts w:cs="Times New Roman"/>
          <w:iCs/>
          <w:color w:val="000000" w:themeColor="text1"/>
        </w:rPr>
        <w:t>foreseen in the following laws:</w:t>
      </w:r>
    </w:p>
    <w:p w14:paraId="58D8D146" w14:textId="77777777" w:rsidR="000B7923" w:rsidRPr="005C2F51" w:rsidRDefault="000B7923" w:rsidP="00B83095">
      <w:pPr>
        <w:pStyle w:val="ListParagraph"/>
        <w:numPr>
          <w:ilvl w:val="0"/>
          <w:numId w:val="25"/>
        </w:numPr>
        <w:rPr>
          <w:rFonts w:cs="Times New Roman"/>
          <w:iCs/>
          <w:color w:val="000000" w:themeColor="text1"/>
        </w:rPr>
      </w:pPr>
      <w:r w:rsidRPr="005C2F51">
        <w:rPr>
          <w:rFonts w:cs="Times New Roman"/>
          <w:iCs/>
          <w:color w:val="000000" w:themeColor="text1"/>
        </w:rPr>
        <w:t xml:space="preserve">Water Code; </w:t>
      </w:r>
    </w:p>
    <w:p w14:paraId="10E160E5" w14:textId="77777777" w:rsidR="000B7923" w:rsidRPr="005C2F51" w:rsidRDefault="000B7923" w:rsidP="00B83095">
      <w:pPr>
        <w:pStyle w:val="ListParagraph"/>
        <w:numPr>
          <w:ilvl w:val="0"/>
          <w:numId w:val="25"/>
        </w:numPr>
        <w:rPr>
          <w:rFonts w:cs="Times New Roman"/>
          <w:iCs/>
          <w:color w:val="000000" w:themeColor="text1"/>
        </w:rPr>
      </w:pPr>
      <w:r w:rsidRPr="005C2F51">
        <w:rPr>
          <w:rFonts w:cs="Times New Roman"/>
          <w:iCs/>
          <w:color w:val="000000" w:themeColor="text1"/>
        </w:rPr>
        <w:t>Land Code;</w:t>
      </w:r>
    </w:p>
    <w:p w14:paraId="314EEB56" w14:textId="77777777" w:rsidR="000B7923" w:rsidRPr="005C2F51" w:rsidRDefault="000B7923" w:rsidP="00B83095">
      <w:pPr>
        <w:pStyle w:val="ListParagraph"/>
        <w:numPr>
          <w:ilvl w:val="0"/>
          <w:numId w:val="25"/>
        </w:numPr>
        <w:rPr>
          <w:rFonts w:cs="Times New Roman"/>
          <w:iCs/>
          <w:color w:val="000000" w:themeColor="text1"/>
        </w:rPr>
      </w:pPr>
      <w:r w:rsidRPr="005C2F51">
        <w:rPr>
          <w:rFonts w:cs="Times New Roman"/>
          <w:iCs/>
          <w:color w:val="000000" w:themeColor="text1"/>
        </w:rPr>
        <w:t>Environmental Protection Law;</w:t>
      </w:r>
    </w:p>
    <w:p w14:paraId="3BA71A49" w14:textId="77777777" w:rsidR="000B7923" w:rsidRPr="005C2F51" w:rsidRDefault="000B7923" w:rsidP="00B83095">
      <w:pPr>
        <w:pStyle w:val="ListParagraph"/>
        <w:numPr>
          <w:ilvl w:val="0"/>
          <w:numId w:val="25"/>
        </w:numPr>
        <w:rPr>
          <w:rFonts w:cs="Times New Roman"/>
          <w:iCs/>
          <w:color w:val="000000" w:themeColor="text1"/>
        </w:rPr>
      </w:pPr>
      <w:r w:rsidRPr="005C2F51">
        <w:rPr>
          <w:rFonts w:cs="Times New Roman"/>
          <w:iCs/>
          <w:color w:val="000000" w:themeColor="text1"/>
        </w:rPr>
        <w:t>Nature-Protected Areas Law;</w:t>
      </w:r>
    </w:p>
    <w:p w14:paraId="14A82668" w14:textId="77777777" w:rsidR="000B7923" w:rsidRPr="005C2F51" w:rsidRDefault="000B7923" w:rsidP="00B83095">
      <w:pPr>
        <w:pStyle w:val="ListParagraph"/>
        <w:numPr>
          <w:ilvl w:val="0"/>
          <w:numId w:val="25"/>
        </w:numPr>
        <w:rPr>
          <w:rFonts w:cs="Times New Roman"/>
          <w:iCs/>
          <w:color w:val="000000" w:themeColor="text1"/>
        </w:rPr>
      </w:pPr>
      <w:r w:rsidRPr="005C2F51">
        <w:rPr>
          <w:rFonts w:cs="Times New Roman"/>
          <w:iCs/>
          <w:color w:val="000000" w:themeColor="text1"/>
        </w:rPr>
        <w:t>Law on Fauna;</w:t>
      </w:r>
    </w:p>
    <w:p w14:paraId="11D62CFD" w14:textId="77777777" w:rsidR="000B7923" w:rsidRPr="005C2F51" w:rsidRDefault="000B7923" w:rsidP="00B83095">
      <w:pPr>
        <w:pStyle w:val="ListParagraph"/>
        <w:numPr>
          <w:ilvl w:val="0"/>
          <w:numId w:val="25"/>
        </w:numPr>
        <w:rPr>
          <w:rFonts w:cs="Times New Roman"/>
          <w:iCs/>
          <w:color w:val="000000" w:themeColor="text1"/>
        </w:rPr>
      </w:pPr>
      <w:r w:rsidRPr="005C2F51">
        <w:rPr>
          <w:rFonts w:cs="Times New Roman"/>
          <w:iCs/>
          <w:color w:val="000000" w:themeColor="text1"/>
        </w:rPr>
        <w:t>Law on Flora;</w:t>
      </w:r>
      <w:r w:rsidR="003A69CA" w:rsidRPr="005C2F51">
        <w:rPr>
          <w:rFonts w:cs="Times New Roman"/>
          <w:iCs/>
          <w:color w:val="000000" w:themeColor="text1"/>
        </w:rPr>
        <w:t xml:space="preserve"> and</w:t>
      </w:r>
    </w:p>
    <w:p w14:paraId="6088AB24" w14:textId="77777777" w:rsidR="000B7923" w:rsidRPr="005C2F51" w:rsidRDefault="000B7923" w:rsidP="00B83095">
      <w:pPr>
        <w:pStyle w:val="ListParagraph"/>
        <w:numPr>
          <w:ilvl w:val="0"/>
          <w:numId w:val="25"/>
        </w:numPr>
        <w:rPr>
          <w:rFonts w:cs="Times New Roman"/>
          <w:iCs/>
          <w:color w:val="000000" w:themeColor="text1"/>
        </w:rPr>
      </w:pPr>
      <w:r w:rsidRPr="005C2F51">
        <w:rPr>
          <w:rFonts w:cs="Times New Roman"/>
          <w:iCs/>
          <w:color w:val="000000" w:themeColor="text1"/>
        </w:rPr>
        <w:t>Law on Special (Sea) Economic Zone of Ukraine.</w:t>
      </w:r>
    </w:p>
    <w:p w14:paraId="761A7DFC" w14:textId="77777777" w:rsidR="000B7923" w:rsidRPr="005C2F51" w:rsidRDefault="000B7923" w:rsidP="00602DEE">
      <w:pPr>
        <w:rPr>
          <w:rFonts w:cs="Times New Roman"/>
          <w:iCs/>
          <w:color w:val="000000" w:themeColor="text1"/>
        </w:rPr>
      </w:pPr>
    </w:p>
    <w:p w14:paraId="71601AB0" w14:textId="77777777" w:rsidR="000B7923" w:rsidRPr="005C2F51" w:rsidRDefault="003A69CA" w:rsidP="00907895">
      <w:pPr>
        <w:pStyle w:val="ListParagraph"/>
        <w:numPr>
          <w:ilvl w:val="0"/>
          <w:numId w:val="68"/>
        </w:numPr>
        <w:tabs>
          <w:tab w:val="left" w:pos="360"/>
        </w:tabs>
        <w:spacing w:line="23" w:lineRule="atLeast"/>
        <w:ind w:left="0" w:firstLine="0"/>
        <w:rPr>
          <w:rFonts w:cs="Times New Roman"/>
          <w:color w:val="000000" w:themeColor="text1"/>
        </w:rPr>
      </w:pPr>
      <w:r w:rsidRPr="005C2F51">
        <w:rPr>
          <w:rFonts w:cs="Times New Roman"/>
          <w:color w:val="000000" w:themeColor="text1"/>
        </w:rPr>
        <w:t>M</w:t>
      </w:r>
      <w:r w:rsidR="000B7923" w:rsidRPr="005C2F51">
        <w:rPr>
          <w:rFonts w:cs="Times New Roman"/>
          <w:color w:val="000000" w:themeColor="text1"/>
        </w:rPr>
        <w:t xml:space="preserve">ethodologies of hydrographic and waterworks zoning of Ukraine were developed, which identified the areas of main river basins. </w:t>
      </w:r>
      <w:r w:rsidRPr="005C2F51">
        <w:rPr>
          <w:rFonts w:cs="Times New Roman"/>
          <w:color w:val="000000" w:themeColor="text1"/>
        </w:rPr>
        <w:t xml:space="preserve">This development took place in the framework of the project “UNDP-GEF Dnipro Basin Environment Program” and EU project “Complementary Support to the Ministry of Ecology and Natural Resources of Ukraine for the Sector Budget Support Implementation.” </w:t>
      </w:r>
      <w:r w:rsidR="000B7923" w:rsidRPr="005C2F51">
        <w:rPr>
          <w:rFonts w:cs="Times New Roman"/>
          <w:color w:val="000000" w:themeColor="text1"/>
        </w:rPr>
        <w:t xml:space="preserve">This new approach aims to improve water management system in Ukraine by introducing integrated river basin management according to EU Water Framework Directive 2000/60/EU. The </w:t>
      </w:r>
      <w:r w:rsidRPr="005C2F51">
        <w:rPr>
          <w:rFonts w:cs="Times New Roman"/>
          <w:color w:val="000000" w:themeColor="text1"/>
        </w:rPr>
        <w:t xml:space="preserve">updated Water Code also considered </w:t>
      </w:r>
      <w:r w:rsidR="000B7923" w:rsidRPr="005C2F51">
        <w:rPr>
          <w:rFonts w:cs="Times New Roman"/>
          <w:color w:val="000000" w:themeColor="text1"/>
        </w:rPr>
        <w:t xml:space="preserve">integrated river basin management. </w:t>
      </w:r>
    </w:p>
    <w:p w14:paraId="0EECD2BE" w14:textId="77777777" w:rsidR="000B7923" w:rsidRPr="005C2F51" w:rsidRDefault="000B7923" w:rsidP="00602DEE">
      <w:pPr>
        <w:rPr>
          <w:rFonts w:cs="Times New Roman"/>
          <w:color w:val="000000" w:themeColor="text1"/>
        </w:rPr>
      </w:pPr>
    </w:p>
    <w:p w14:paraId="2E5D7FCB" w14:textId="77777777" w:rsidR="000B7923" w:rsidRPr="005C2F51" w:rsidRDefault="000B7923" w:rsidP="00FE452B">
      <w:pPr>
        <w:rPr>
          <w:color w:val="000000" w:themeColor="text1"/>
          <w:u w:val="single"/>
        </w:rPr>
      </w:pPr>
      <w:r w:rsidRPr="005C2F51">
        <w:rPr>
          <w:color w:val="000000" w:themeColor="text1"/>
          <w:u w:val="single"/>
        </w:rPr>
        <w:t>Solid and Hazardous Waste</w:t>
      </w:r>
    </w:p>
    <w:p w14:paraId="53FC4E22" w14:textId="77777777" w:rsidR="000B7923" w:rsidRPr="005C2F51" w:rsidRDefault="000B7923" w:rsidP="00C57B01">
      <w:pPr>
        <w:rPr>
          <w:rFonts w:cs="Times New Roman"/>
          <w:b/>
          <w:i/>
          <w:color w:val="000000" w:themeColor="text1"/>
        </w:rPr>
      </w:pPr>
    </w:p>
    <w:p w14:paraId="114E61D2"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Ukraine is Party of the Basel Convention on the Control of Transboundary Movements of Hazardous Wastes and their Disposal (ratified in 1999). Before joining this Convention, the Ukrainian Parliament had already adopted a </w:t>
      </w:r>
      <w:r w:rsidRPr="002B1DFC">
        <w:rPr>
          <w:rFonts w:cs="Times New Roman"/>
          <w:iCs/>
        </w:rPr>
        <w:t xml:space="preserve">Law on Waste </w:t>
      </w:r>
      <w:r w:rsidRPr="002B1DFC">
        <w:rPr>
          <w:rFonts w:cs="Times New Roman"/>
        </w:rPr>
        <w:t xml:space="preserve">in 1998. However, after the ratification of the above international treaty, the law was modified. In 2000, the CMU approved Regulation on Control for Transboundary Movements of Hazardous Wastes and their utilization and disposal. This document defines the procedure for state control and operations, which could be made for waste disposal and utilization, and adopts Yellow and Green lists of wastes based on the requirements of Basel Convention. </w:t>
      </w:r>
    </w:p>
    <w:p w14:paraId="070B653F" w14:textId="77777777" w:rsidR="000B7923" w:rsidRPr="002B1DFC" w:rsidRDefault="000B7923" w:rsidP="00C57B01">
      <w:pPr>
        <w:rPr>
          <w:rFonts w:cs="Times New Roman"/>
        </w:rPr>
      </w:pPr>
    </w:p>
    <w:p w14:paraId="5B37DEF4"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Generally, the key </w:t>
      </w:r>
      <w:r w:rsidR="003A69CA">
        <w:rPr>
          <w:rFonts w:cs="Times New Roman"/>
        </w:rPr>
        <w:t xml:space="preserve">items of </w:t>
      </w:r>
      <w:r w:rsidRPr="002B1DFC">
        <w:rPr>
          <w:rFonts w:cs="Times New Roman"/>
        </w:rPr>
        <w:t>legislation that regulates waste management in Ukraine are:</w:t>
      </w:r>
    </w:p>
    <w:p w14:paraId="097111E8" w14:textId="77777777" w:rsidR="000B7923" w:rsidRPr="002B1DFC" w:rsidRDefault="000B7923" w:rsidP="00B83095">
      <w:pPr>
        <w:pStyle w:val="ListParagraph"/>
        <w:numPr>
          <w:ilvl w:val="0"/>
          <w:numId w:val="24"/>
        </w:numPr>
        <w:rPr>
          <w:rFonts w:cs="Times New Roman"/>
        </w:rPr>
      </w:pPr>
      <w:r w:rsidRPr="002B1DFC">
        <w:rPr>
          <w:rFonts w:cs="Times New Roman"/>
          <w:i/>
        </w:rPr>
        <w:t xml:space="preserve">Law of Ukraine “On Environmental </w:t>
      </w:r>
      <w:r w:rsidR="003A69CA">
        <w:rPr>
          <w:rFonts w:cs="Times New Roman"/>
          <w:i/>
        </w:rPr>
        <w:t>P</w:t>
      </w:r>
      <w:r w:rsidRPr="002B1DFC">
        <w:rPr>
          <w:rFonts w:cs="Times New Roman"/>
          <w:i/>
        </w:rPr>
        <w:t>rotection”</w:t>
      </w:r>
      <w:r w:rsidRPr="002B1DFC">
        <w:rPr>
          <w:rFonts w:cs="Times New Roman"/>
        </w:rPr>
        <w:t xml:space="preserve"> (1992). This Law provides a general provision for the environmental protection by preventing pollution with waste. It also requires obtaining permits for waste disposal, and stipulates waste’s reuse and recovery;</w:t>
      </w:r>
    </w:p>
    <w:p w14:paraId="51C8ADE6" w14:textId="77777777" w:rsidR="000B7923" w:rsidRPr="002B1DFC" w:rsidRDefault="000B7923" w:rsidP="00B83095">
      <w:pPr>
        <w:pStyle w:val="ListParagraph"/>
        <w:numPr>
          <w:ilvl w:val="0"/>
          <w:numId w:val="24"/>
        </w:numPr>
        <w:rPr>
          <w:rFonts w:cs="Times New Roman"/>
        </w:rPr>
      </w:pPr>
      <w:r w:rsidRPr="002B1DFC">
        <w:rPr>
          <w:rFonts w:cs="Times New Roman"/>
          <w:i/>
        </w:rPr>
        <w:t>Law of Ukraine “On Sanitary and Epidemiological Well-Being of the Population”</w:t>
      </w:r>
      <w:r w:rsidRPr="002B1DFC">
        <w:rPr>
          <w:rFonts w:cs="Times New Roman"/>
        </w:rPr>
        <w:t xml:space="preserve"> (1994). This Law introduced the State sanitary norms and rules for maintenance of territories of settlements, rules for urban planning, </w:t>
      </w:r>
      <w:r w:rsidR="00591FD4">
        <w:rPr>
          <w:rFonts w:cs="Times New Roman"/>
        </w:rPr>
        <w:t>and so on</w:t>
      </w:r>
      <w:r w:rsidRPr="002B1DFC">
        <w:rPr>
          <w:rFonts w:cs="Times New Roman"/>
        </w:rPr>
        <w:t xml:space="preserve">; </w:t>
      </w:r>
    </w:p>
    <w:p w14:paraId="1AC42860" w14:textId="7A6C93DE" w:rsidR="000B7923" w:rsidRPr="002B1DFC" w:rsidRDefault="000B7923">
      <w:pPr>
        <w:pStyle w:val="ListParagraph"/>
        <w:numPr>
          <w:ilvl w:val="0"/>
          <w:numId w:val="24"/>
        </w:numPr>
        <w:rPr>
          <w:rFonts w:cs="Times New Roman"/>
        </w:rPr>
      </w:pPr>
      <w:r w:rsidRPr="002B1DFC">
        <w:rPr>
          <w:rFonts w:cs="Times New Roman"/>
          <w:i/>
        </w:rPr>
        <w:t>Law of Ukraine “On Local Government”</w:t>
      </w:r>
      <w:r w:rsidRPr="002B1DFC">
        <w:rPr>
          <w:rFonts w:cs="Times New Roman"/>
        </w:rPr>
        <w:t xml:space="preserve"> (1997). This Law defines responsibilities of local government, including elected (councils) and executive (administrations) bodies; </w:t>
      </w:r>
    </w:p>
    <w:p w14:paraId="724D99DA" w14:textId="77777777" w:rsidR="000B7923" w:rsidRPr="002B1DFC" w:rsidRDefault="000B7923" w:rsidP="00B83095">
      <w:pPr>
        <w:pStyle w:val="ListParagraph"/>
        <w:numPr>
          <w:ilvl w:val="0"/>
          <w:numId w:val="24"/>
        </w:numPr>
        <w:rPr>
          <w:rFonts w:cs="Times New Roman"/>
        </w:rPr>
      </w:pPr>
      <w:r w:rsidRPr="002B1DFC">
        <w:rPr>
          <w:rFonts w:cs="Times New Roman"/>
          <w:i/>
        </w:rPr>
        <w:t>Law of Ukraine “On Housing and Communal Services”</w:t>
      </w:r>
      <w:r w:rsidRPr="002B1DFC">
        <w:rPr>
          <w:rFonts w:cs="Times New Roman"/>
        </w:rPr>
        <w:t xml:space="preserve"> (2004). This Law establishes the principles of state policy for the provision of housing and communal services. It includes principles of equal access, reasonable pricing, saving resources, </w:t>
      </w:r>
      <w:r w:rsidR="00591FD4">
        <w:rPr>
          <w:rFonts w:cs="Times New Roman"/>
        </w:rPr>
        <w:t>and so on.</w:t>
      </w:r>
      <w:r w:rsidRPr="002B1DFC">
        <w:rPr>
          <w:rFonts w:cs="Times New Roman"/>
        </w:rPr>
        <w:t xml:space="preserve"> The law regulates transactions between bodies of executive authority, householders and stakeholders, who provide communal services (water, heat, waste management, </w:t>
      </w:r>
      <w:r w:rsidR="00591FD4">
        <w:rPr>
          <w:rFonts w:cs="Times New Roman"/>
        </w:rPr>
        <w:t>and so on</w:t>
      </w:r>
      <w:r w:rsidRPr="002B1DFC">
        <w:rPr>
          <w:rFonts w:cs="Times New Roman"/>
        </w:rPr>
        <w:t xml:space="preserve">) as well tariffs’ regulation. </w:t>
      </w:r>
    </w:p>
    <w:p w14:paraId="26143C21" w14:textId="77777777" w:rsidR="000B7923" w:rsidRPr="002B1DFC" w:rsidRDefault="000B7923" w:rsidP="00C57B01">
      <w:pPr>
        <w:rPr>
          <w:rFonts w:cs="Times New Roman"/>
        </w:rPr>
      </w:pPr>
    </w:p>
    <w:p w14:paraId="7153823F"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lastRenderedPageBreak/>
        <w:t xml:space="preserve">In 2010, the State Statistics Committee of Ukraine updated the statistical reporting on waste management (statistical form </w:t>
      </w:r>
      <w:r w:rsidR="00591FD4">
        <w:rPr>
          <w:rFonts w:cs="Times New Roman"/>
        </w:rPr>
        <w:t>No.</w:t>
      </w:r>
      <w:r w:rsidRPr="002B1DFC">
        <w:rPr>
          <w:rFonts w:cs="Times New Roman"/>
        </w:rPr>
        <w:t xml:space="preserve"> 1 “Waste Management”). This form was unified and harmonized with international reporting standards (Eurostat) on waste generation and management, and assumes obtaining information from enterprises annually and based on the territory where manufacturing takes place.</w:t>
      </w:r>
    </w:p>
    <w:p w14:paraId="2BB896EF" w14:textId="77777777" w:rsidR="000B7923" w:rsidRPr="002B1DFC" w:rsidRDefault="000B7923" w:rsidP="00C57B01">
      <w:pPr>
        <w:rPr>
          <w:rFonts w:cs="Times New Roman"/>
        </w:rPr>
      </w:pPr>
    </w:p>
    <w:p w14:paraId="638325F7"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In 2011, for the implementation of the Law of Ukraine “On Sanitary and Epidemiological Well-Being of the Population”, the Ministry of Health of Ukraine approved </w:t>
      </w:r>
      <w:r w:rsidRPr="00183A7A">
        <w:rPr>
          <w:rFonts w:cs="Times New Roman"/>
        </w:rPr>
        <w:t>“</w:t>
      </w:r>
      <w:r w:rsidRPr="002B1DFC">
        <w:rPr>
          <w:rFonts w:cs="Times New Roman"/>
          <w:i/>
        </w:rPr>
        <w:t>State Sanitary Norms and Rules for Maintenance of Populated Areas</w:t>
      </w:r>
      <w:r w:rsidR="003A69CA">
        <w:rPr>
          <w:rFonts w:cs="Times New Roman"/>
          <w:i/>
        </w:rPr>
        <w:t>.</w:t>
      </w:r>
      <w:r w:rsidRPr="00183A7A">
        <w:rPr>
          <w:rFonts w:cs="Times New Roman"/>
        </w:rPr>
        <w:t>”</w:t>
      </w:r>
      <w:r w:rsidRPr="002B1DFC">
        <w:rPr>
          <w:rFonts w:cs="Times New Roman"/>
        </w:rPr>
        <w:t xml:space="preserve"> This document established the requirements for sanitary cleaning of populated areas, and rules of work on proper cleaning of municipal sites and state sanitary and epidemiological supervision of public welfare and waste management. </w:t>
      </w:r>
      <w:r w:rsidR="003A69CA">
        <w:rPr>
          <w:rFonts w:cs="Times New Roman"/>
        </w:rPr>
        <w:t>Holders of waste carry out s</w:t>
      </w:r>
      <w:r w:rsidRPr="002B1DFC">
        <w:rPr>
          <w:rFonts w:cs="Times New Roman"/>
        </w:rPr>
        <w:t xml:space="preserve">eparate collection of waste, including hazardous waste in its composition, in accordance with the legislation on waste and sanitary requirements. </w:t>
      </w:r>
    </w:p>
    <w:p w14:paraId="39545816" w14:textId="77777777" w:rsidR="000B7923" w:rsidRPr="002B1DFC" w:rsidRDefault="000B7923" w:rsidP="002923BC">
      <w:pPr>
        <w:rPr>
          <w:rFonts w:cs="Times New Roman"/>
        </w:rPr>
      </w:pPr>
    </w:p>
    <w:p w14:paraId="73C41849"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That same year, the CMU approved a resolution on </w:t>
      </w:r>
      <w:r w:rsidR="003A69CA">
        <w:rPr>
          <w:rFonts w:cs="Times New Roman"/>
        </w:rPr>
        <w:t>“</w:t>
      </w:r>
      <w:r w:rsidRPr="00183A7A">
        <w:rPr>
          <w:rFonts w:cs="Times New Roman"/>
        </w:rPr>
        <w:t>Some Issues on Providing of Household Waste Removal Services</w:t>
      </w:r>
      <w:r w:rsidR="003A69CA" w:rsidRPr="00183A7A">
        <w:rPr>
          <w:rFonts w:cs="Times New Roman"/>
        </w:rPr>
        <w:t>,</w:t>
      </w:r>
      <w:r w:rsidR="003A69CA" w:rsidRPr="006020B3">
        <w:rPr>
          <w:rFonts w:cs="Times New Roman"/>
        </w:rPr>
        <w:t>”</w:t>
      </w:r>
      <w:r w:rsidRPr="006020B3">
        <w:rPr>
          <w:rFonts w:cs="Times New Roman"/>
        </w:rPr>
        <w:t xml:space="preserve"> </w:t>
      </w:r>
      <w:r w:rsidRPr="002B1DFC">
        <w:rPr>
          <w:rFonts w:cs="Times New Roman"/>
        </w:rPr>
        <w:t>which specifies the rules of tendering contracts for waste collection services.</w:t>
      </w:r>
    </w:p>
    <w:p w14:paraId="44E48F9F" w14:textId="77777777" w:rsidR="000B7923" w:rsidRPr="002B1DFC" w:rsidRDefault="000B7923" w:rsidP="00C57B01">
      <w:pPr>
        <w:rPr>
          <w:rFonts w:cs="Times New Roman"/>
        </w:rPr>
      </w:pPr>
    </w:p>
    <w:p w14:paraId="0F669E35"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Another important step</w:t>
      </w:r>
      <w:r w:rsidR="003A69CA">
        <w:rPr>
          <w:rFonts w:cs="Times New Roman"/>
        </w:rPr>
        <w:t>,</w:t>
      </w:r>
      <w:r w:rsidRPr="002B1DFC">
        <w:rPr>
          <w:rFonts w:cs="Times New Roman"/>
        </w:rPr>
        <w:t xml:space="preserve"> made in 2013, </w:t>
      </w:r>
      <w:r w:rsidR="003A69CA">
        <w:rPr>
          <w:rFonts w:cs="Times New Roman"/>
        </w:rPr>
        <w:t>was</w:t>
      </w:r>
      <w:r w:rsidRPr="002B1DFC">
        <w:rPr>
          <w:rFonts w:cs="Times New Roman"/>
        </w:rPr>
        <w:t xml:space="preserve"> CMU</w:t>
      </w:r>
      <w:r w:rsidR="003A69CA">
        <w:rPr>
          <w:rFonts w:cs="Times New Roman"/>
        </w:rPr>
        <w:t>’s adoption of</w:t>
      </w:r>
      <w:r w:rsidRPr="002B1DFC">
        <w:rPr>
          <w:rFonts w:cs="Times New Roman"/>
        </w:rPr>
        <w:t xml:space="preserve"> </w:t>
      </w:r>
      <w:r w:rsidR="003A69CA">
        <w:rPr>
          <w:rFonts w:cs="Times New Roman"/>
          <w:i/>
        </w:rPr>
        <w:t>“</w:t>
      </w:r>
      <w:r w:rsidRPr="002B1DFC">
        <w:rPr>
          <w:rFonts w:cs="Times New Roman"/>
          <w:i/>
        </w:rPr>
        <w:t xml:space="preserve">The Concept of the National Waste </w:t>
      </w:r>
      <w:r w:rsidRPr="00907895">
        <w:rPr>
          <w:rFonts w:cs="Times New Roman"/>
        </w:rPr>
        <w:t>Management</w:t>
      </w:r>
      <w:r w:rsidRPr="002B1DFC">
        <w:rPr>
          <w:rFonts w:cs="Times New Roman"/>
          <w:i/>
        </w:rPr>
        <w:t xml:space="preserve"> Program for the Period of 2013</w:t>
      </w:r>
      <w:r w:rsidR="006E6172">
        <w:rPr>
          <w:rFonts w:cs="Times New Roman"/>
          <w:i/>
        </w:rPr>
        <w:t>–</w:t>
      </w:r>
      <w:r w:rsidRPr="002B1DFC">
        <w:rPr>
          <w:rFonts w:cs="Times New Roman"/>
          <w:i/>
        </w:rPr>
        <w:t>2020</w:t>
      </w:r>
      <w:r w:rsidR="003A69CA">
        <w:rPr>
          <w:rFonts w:cs="Times New Roman"/>
          <w:i/>
        </w:rPr>
        <w:t>.</w:t>
      </w:r>
      <w:r w:rsidRPr="00183A7A">
        <w:rPr>
          <w:rFonts w:cs="Times New Roman"/>
        </w:rPr>
        <w:t>”</w:t>
      </w:r>
      <w:r w:rsidRPr="002B1DFC">
        <w:rPr>
          <w:rFonts w:cs="Times New Roman"/>
        </w:rPr>
        <w:t xml:space="preserve"> </w:t>
      </w:r>
      <w:r w:rsidR="003A69CA">
        <w:rPr>
          <w:rFonts w:cs="Times New Roman"/>
        </w:rPr>
        <w:t>T</w:t>
      </w:r>
      <w:r w:rsidRPr="002B1DFC">
        <w:rPr>
          <w:rFonts w:cs="Times New Roman"/>
        </w:rPr>
        <w:t>he law “On Waste”</w:t>
      </w:r>
      <w:r w:rsidR="003A69CA">
        <w:rPr>
          <w:rFonts w:cs="Times New Roman"/>
        </w:rPr>
        <w:t xml:space="preserve"> prohibits the </w:t>
      </w:r>
      <w:r w:rsidRPr="002B1DFC">
        <w:rPr>
          <w:rFonts w:cs="Times New Roman"/>
        </w:rPr>
        <w:t xml:space="preserve">transfer </w:t>
      </w:r>
      <w:r w:rsidR="003A69CA">
        <w:rPr>
          <w:rFonts w:cs="Times New Roman"/>
        </w:rPr>
        <w:t xml:space="preserve">of </w:t>
      </w:r>
      <w:r w:rsidRPr="002B1DFC">
        <w:rPr>
          <w:rFonts w:cs="Times New Roman"/>
        </w:rPr>
        <w:t xml:space="preserve">unsorted waste to </w:t>
      </w:r>
      <w:r w:rsidR="003A69CA" w:rsidRPr="002B1DFC">
        <w:rPr>
          <w:rFonts w:cs="Times New Roman"/>
        </w:rPr>
        <w:t>landfill</w:t>
      </w:r>
      <w:r w:rsidR="003A69CA">
        <w:rPr>
          <w:rFonts w:cs="Times New Roman"/>
        </w:rPr>
        <w:t>s, effective January 2018,</w:t>
      </w:r>
    </w:p>
    <w:p w14:paraId="6ED009C1" w14:textId="77777777" w:rsidR="000B7923" w:rsidRPr="002B1DFC" w:rsidRDefault="000B7923" w:rsidP="00C57B01">
      <w:pPr>
        <w:rPr>
          <w:rFonts w:cs="Times New Roman"/>
        </w:rPr>
      </w:pPr>
    </w:p>
    <w:p w14:paraId="3E131B4A"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In the framework of EU project “Complementary Support to the Ministry of Ecology and Natural Resources of Ukraine for the Sector Budget Support Implementation</w:t>
      </w:r>
      <w:r w:rsidR="003A69CA">
        <w:rPr>
          <w:rFonts w:cs="Times New Roman"/>
        </w:rPr>
        <w:t>,</w:t>
      </w:r>
      <w:r w:rsidRPr="002B1DFC">
        <w:rPr>
          <w:rFonts w:cs="Times New Roman"/>
        </w:rPr>
        <w:t xml:space="preserve">” analysis was carried out </w:t>
      </w:r>
      <w:r w:rsidR="003A69CA">
        <w:rPr>
          <w:rFonts w:cs="Times New Roman"/>
        </w:rPr>
        <w:t>on</w:t>
      </w:r>
      <w:r w:rsidR="003A69CA" w:rsidRPr="002B1DFC">
        <w:rPr>
          <w:rFonts w:cs="Times New Roman"/>
        </w:rPr>
        <w:t xml:space="preserve"> </w:t>
      </w:r>
      <w:r w:rsidRPr="002B1DFC">
        <w:rPr>
          <w:rFonts w:cs="Times New Roman"/>
        </w:rPr>
        <w:t xml:space="preserve">the development of </w:t>
      </w:r>
      <w:r w:rsidR="003A69CA">
        <w:rPr>
          <w:rFonts w:cs="Times New Roman"/>
        </w:rPr>
        <w:t xml:space="preserve">the </w:t>
      </w:r>
      <w:r w:rsidRPr="002B1DFC">
        <w:rPr>
          <w:rFonts w:cs="Times New Roman"/>
        </w:rPr>
        <w:t xml:space="preserve">waste management system in Ukraine on the way forward to EU integration, and </w:t>
      </w:r>
      <w:r w:rsidR="003A69CA">
        <w:rPr>
          <w:rFonts w:cs="Times New Roman"/>
        </w:rPr>
        <w:t xml:space="preserve">to </w:t>
      </w:r>
      <w:r w:rsidRPr="002B1DFC">
        <w:rPr>
          <w:rFonts w:cs="Times New Roman"/>
        </w:rPr>
        <w:t>adoption and implementation of three main directives</w:t>
      </w:r>
      <w:r w:rsidR="003A69CA">
        <w:rPr>
          <w:rFonts w:cs="Times New Roman"/>
        </w:rPr>
        <w:t>. These are</w:t>
      </w:r>
      <w:r w:rsidRPr="002B1DFC">
        <w:rPr>
          <w:rFonts w:cs="Times New Roman"/>
        </w:rPr>
        <w:t xml:space="preserve"> Directive 2008/98/EC on Waste (Waste Framework Directive), Directive 1999/31/EC on the Landfill of Waste</w:t>
      </w:r>
      <w:r w:rsidR="003A69CA">
        <w:rPr>
          <w:rFonts w:cs="Times New Roman"/>
        </w:rPr>
        <w:t>,</w:t>
      </w:r>
      <w:r w:rsidRPr="002B1DFC">
        <w:rPr>
          <w:rFonts w:cs="Times New Roman"/>
        </w:rPr>
        <w:t xml:space="preserve"> and Directive 2006/21/EC on the Management of Waste from the Extractive Industry. </w:t>
      </w:r>
    </w:p>
    <w:p w14:paraId="7E0AA831" w14:textId="77777777" w:rsidR="000B7923" w:rsidRPr="002B1DFC" w:rsidRDefault="000B7923" w:rsidP="00183A7A">
      <w:pPr>
        <w:pStyle w:val="Heading2"/>
        <w:tabs>
          <w:tab w:val="clear" w:pos="576"/>
        </w:tabs>
        <w:ind w:left="360" w:hanging="360"/>
      </w:pPr>
      <w:bookmarkStart w:id="72" w:name="_Toc440273959"/>
      <w:r w:rsidRPr="002B1DFC">
        <w:t>Recommendations</w:t>
      </w:r>
      <w:bookmarkEnd w:id="72"/>
    </w:p>
    <w:p w14:paraId="43E2EC48" w14:textId="77777777" w:rsidR="008648EE" w:rsidRDefault="008648EE" w:rsidP="00B76BDA">
      <w:pPr>
        <w:rPr>
          <w:rFonts w:cs="Times New Roman"/>
          <w:color w:val="000000"/>
        </w:rPr>
      </w:pPr>
    </w:p>
    <w:p w14:paraId="01D9F3B3" w14:textId="77777777" w:rsidR="00C320FA" w:rsidRDefault="00C320FA" w:rsidP="00C320FA">
      <w:pPr>
        <w:numPr>
          <w:ilvl w:val="0"/>
          <w:numId w:val="47"/>
        </w:numPr>
        <w:rPr>
          <w:rFonts w:cs="Times New Roman"/>
          <w:color w:val="000000"/>
        </w:rPr>
      </w:pPr>
      <w:r w:rsidRPr="00ED662A">
        <w:rPr>
          <w:rFonts w:cs="Times New Roman"/>
          <w:color w:val="000000"/>
        </w:rPr>
        <w:t>Develop a regulatory framework that supports sustainable development objectives across sectors. A full assessment of laws and regulations should be undertaken to assess the environmental, social, and developmental impacts of the proposed regulations.</w:t>
      </w:r>
    </w:p>
    <w:p w14:paraId="2166CF27" w14:textId="77777777" w:rsidR="00C320FA" w:rsidRDefault="00C320FA" w:rsidP="00C320FA">
      <w:pPr>
        <w:ind w:left="720"/>
        <w:rPr>
          <w:rFonts w:cs="Times New Roman"/>
          <w:color w:val="000000"/>
        </w:rPr>
      </w:pPr>
    </w:p>
    <w:p w14:paraId="0025DCB2" w14:textId="77777777" w:rsidR="00C320FA" w:rsidRPr="00A53F4F" w:rsidRDefault="00C320FA" w:rsidP="00C320FA">
      <w:pPr>
        <w:numPr>
          <w:ilvl w:val="1"/>
          <w:numId w:val="47"/>
        </w:numPr>
        <w:rPr>
          <w:rFonts w:cs="Times New Roman"/>
          <w:color w:val="000000"/>
        </w:rPr>
      </w:pPr>
      <w:r w:rsidRPr="00A53F4F">
        <w:rPr>
          <w:rFonts w:cs="Times New Roman"/>
          <w:color w:val="000000"/>
        </w:rPr>
        <w:t xml:space="preserve">Carry out legislative review to identify the key legal acts that need to be revised and the regulations that need to be adopted. </w:t>
      </w:r>
    </w:p>
    <w:p w14:paraId="479054C2" w14:textId="77777777" w:rsidR="00C320FA" w:rsidRDefault="00C320FA" w:rsidP="00C320FA">
      <w:pPr>
        <w:ind w:left="1440"/>
        <w:rPr>
          <w:rFonts w:cs="Times New Roman"/>
          <w:color w:val="000000"/>
        </w:rPr>
      </w:pPr>
    </w:p>
    <w:p w14:paraId="071063E2" w14:textId="77777777" w:rsidR="00C320FA" w:rsidRPr="00A53F4F" w:rsidRDefault="00C320FA" w:rsidP="00C320FA">
      <w:pPr>
        <w:numPr>
          <w:ilvl w:val="1"/>
          <w:numId w:val="47"/>
        </w:numPr>
        <w:rPr>
          <w:rFonts w:cs="Times New Roman"/>
          <w:color w:val="000000"/>
        </w:rPr>
      </w:pPr>
      <w:r w:rsidRPr="00A53F4F">
        <w:rPr>
          <w:rFonts w:cs="Times New Roman"/>
          <w:color w:val="000000"/>
        </w:rPr>
        <w:t>Adopt necessary legislative and regulatory changes taking into account Ukraine's commitments under EU–Ukraine Agreement and in line with the agreed schedule of implementation.</w:t>
      </w:r>
    </w:p>
    <w:p w14:paraId="1AD488F4" w14:textId="77777777" w:rsidR="00C320FA" w:rsidRDefault="00C320FA" w:rsidP="00C320FA">
      <w:pPr>
        <w:ind w:left="1440"/>
        <w:rPr>
          <w:rFonts w:cs="Times New Roman"/>
          <w:color w:val="000000"/>
        </w:rPr>
      </w:pPr>
    </w:p>
    <w:p w14:paraId="6696C6CA" w14:textId="77777777" w:rsidR="00C320FA" w:rsidRPr="00A53F4F" w:rsidRDefault="00C320FA" w:rsidP="00C320FA">
      <w:pPr>
        <w:numPr>
          <w:ilvl w:val="1"/>
          <w:numId w:val="47"/>
        </w:numPr>
        <w:rPr>
          <w:rFonts w:cs="Times New Roman"/>
          <w:color w:val="000000"/>
        </w:rPr>
      </w:pPr>
      <w:r w:rsidRPr="00A53F4F">
        <w:rPr>
          <w:rFonts w:cs="Times New Roman"/>
          <w:color w:val="000000"/>
        </w:rPr>
        <w:t>Establish a system for in-depth analysis, such as regulatory impact analysis for proposed pieces of legislation.</w:t>
      </w:r>
    </w:p>
    <w:p w14:paraId="41551E88" w14:textId="77777777" w:rsidR="00C320FA" w:rsidRDefault="00C320FA" w:rsidP="00C320FA">
      <w:pPr>
        <w:ind w:left="1440"/>
        <w:rPr>
          <w:rFonts w:cs="Times New Roman"/>
          <w:color w:val="000000"/>
        </w:rPr>
      </w:pPr>
    </w:p>
    <w:p w14:paraId="79811780" w14:textId="77777777" w:rsidR="00C320FA" w:rsidRPr="00A53F4F" w:rsidRDefault="00C320FA" w:rsidP="00C320FA">
      <w:pPr>
        <w:numPr>
          <w:ilvl w:val="1"/>
          <w:numId w:val="47"/>
        </w:numPr>
        <w:rPr>
          <w:rFonts w:cs="Times New Roman"/>
          <w:color w:val="000000"/>
        </w:rPr>
      </w:pPr>
      <w:r w:rsidRPr="00A53F4F">
        <w:rPr>
          <w:rFonts w:cs="Times New Roman"/>
          <w:color w:val="000000"/>
        </w:rPr>
        <w:t>Since changes to legislation and regulations will significantly affect the environment and environmental governance, these changes should undergo strategic environmental assessment—not in accordance with the SEA law, which does not yet exist, but in accordance with the spirit of SEA.</w:t>
      </w:r>
    </w:p>
    <w:p w14:paraId="686F905E" w14:textId="77777777" w:rsidR="00C320FA" w:rsidRDefault="00C320FA" w:rsidP="00C320FA">
      <w:pPr>
        <w:ind w:left="1440"/>
        <w:rPr>
          <w:rFonts w:cs="Times New Roman"/>
          <w:color w:val="000000"/>
        </w:rPr>
      </w:pPr>
    </w:p>
    <w:p w14:paraId="1B02648E" w14:textId="77777777" w:rsidR="00C320FA" w:rsidRPr="00A53F4F" w:rsidRDefault="00C320FA" w:rsidP="00C320FA">
      <w:pPr>
        <w:numPr>
          <w:ilvl w:val="1"/>
          <w:numId w:val="47"/>
        </w:numPr>
        <w:rPr>
          <w:rFonts w:cs="Times New Roman"/>
          <w:color w:val="000000"/>
        </w:rPr>
      </w:pPr>
      <w:r w:rsidRPr="00A53F4F">
        <w:rPr>
          <w:rFonts w:cs="Times New Roman"/>
          <w:color w:val="000000"/>
        </w:rPr>
        <w:t>Carry out SEA of the proposed changes to legislation and policies and regulations</w:t>
      </w:r>
    </w:p>
    <w:p w14:paraId="2A8D17E2" w14:textId="77777777" w:rsidR="00C320FA" w:rsidRDefault="00C320FA" w:rsidP="00B76BDA">
      <w:pPr>
        <w:ind w:left="720"/>
        <w:rPr>
          <w:rFonts w:cs="Times New Roman"/>
          <w:color w:val="000000"/>
        </w:rPr>
      </w:pPr>
    </w:p>
    <w:p w14:paraId="79E3567C" w14:textId="6DD29D21" w:rsidR="00A05970" w:rsidRPr="008648EE" w:rsidRDefault="00A05970" w:rsidP="00B76BDA">
      <w:pPr>
        <w:numPr>
          <w:ilvl w:val="0"/>
          <w:numId w:val="47"/>
        </w:numPr>
        <w:rPr>
          <w:rFonts w:cs="Times New Roman"/>
          <w:color w:val="000000"/>
        </w:rPr>
      </w:pPr>
      <w:r w:rsidRPr="008648EE">
        <w:rPr>
          <w:rFonts w:cs="Times New Roman"/>
          <w:color w:val="000000"/>
        </w:rPr>
        <w:lastRenderedPageBreak/>
        <w:t xml:space="preserve">Put in </w:t>
      </w:r>
      <w:r w:rsidRPr="008648EE">
        <w:rPr>
          <w:rFonts w:cs="Times New Roman"/>
        </w:rPr>
        <w:t>place</w:t>
      </w:r>
      <w:r w:rsidRPr="008648EE">
        <w:rPr>
          <w:rFonts w:cs="Times New Roman"/>
          <w:color w:val="000000"/>
        </w:rPr>
        <w:t xml:space="preserve"> a system for setting environmental priorities at the national and sub-national levels that </w:t>
      </w:r>
      <w:r w:rsidR="00A37D5C" w:rsidRPr="008648EE">
        <w:rPr>
          <w:rFonts w:cs="Times New Roman"/>
          <w:color w:val="000000"/>
        </w:rPr>
        <w:t xml:space="preserve">is </w:t>
      </w:r>
      <w:r w:rsidRPr="008648EE">
        <w:rPr>
          <w:rFonts w:cs="Times New Roman"/>
          <w:color w:val="000000"/>
        </w:rPr>
        <w:t xml:space="preserve">linked to Ukraine’s economic growth and development priorities and </w:t>
      </w:r>
      <w:r w:rsidR="00A37D5C" w:rsidRPr="008648EE">
        <w:rPr>
          <w:rFonts w:cs="Times New Roman"/>
          <w:color w:val="000000"/>
        </w:rPr>
        <w:t>places</w:t>
      </w:r>
      <w:r w:rsidRPr="008648EE">
        <w:rPr>
          <w:rFonts w:cs="Times New Roman"/>
          <w:color w:val="000000"/>
        </w:rPr>
        <w:t xml:space="preserve"> the country on the path to green inclusive growth.</w:t>
      </w:r>
      <w:r w:rsidR="00B204A7" w:rsidRPr="008648EE">
        <w:rPr>
          <w:rFonts w:cs="Times New Roman"/>
          <w:color w:val="000000"/>
        </w:rPr>
        <w:t xml:space="preserve"> An important input into setting priorities is the cost of environmental degradation study (COED): the COED estimates in monetary terms the impacts of major environmental problems in Ukraine. The COED may be combined with statistical tools such as distributional surveys to determine the priorities that are linked to poverty.  </w:t>
      </w:r>
    </w:p>
    <w:p w14:paraId="7281A453" w14:textId="77777777" w:rsidR="00F53FEA" w:rsidRDefault="00F53FEA" w:rsidP="00B76BDA">
      <w:pPr>
        <w:ind w:left="720"/>
        <w:rPr>
          <w:rFonts w:cs="Times New Roman"/>
          <w:color w:val="000000"/>
        </w:rPr>
      </w:pPr>
    </w:p>
    <w:p w14:paraId="1A68D327" w14:textId="77777777" w:rsidR="008648EE" w:rsidRPr="008648EE" w:rsidRDefault="008648EE" w:rsidP="00B76BDA">
      <w:pPr>
        <w:numPr>
          <w:ilvl w:val="0"/>
          <w:numId w:val="47"/>
        </w:numPr>
        <w:rPr>
          <w:rFonts w:cs="Times New Roman"/>
          <w:color w:val="000000"/>
        </w:rPr>
      </w:pPr>
      <w:r w:rsidRPr="008648EE">
        <w:rPr>
          <w:rFonts w:cs="Times New Roman"/>
          <w:color w:val="000000"/>
        </w:rPr>
        <w:t>Ensure integration of National Environmental Strategy goals in sectoral and regional plans.</w:t>
      </w:r>
    </w:p>
    <w:p w14:paraId="7289FA50" w14:textId="77777777" w:rsidR="00F53FEA" w:rsidRDefault="00F53FEA" w:rsidP="00B76BDA">
      <w:pPr>
        <w:ind w:left="720"/>
        <w:rPr>
          <w:rFonts w:cs="Times New Roman"/>
          <w:color w:val="000000"/>
        </w:rPr>
      </w:pPr>
    </w:p>
    <w:p w14:paraId="4279448D" w14:textId="77777777" w:rsidR="008648EE" w:rsidRDefault="008648EE" w:rsidP="00B76BDA">
      <w:pPr>
        <w:numPr>
          <w:ilvl w:val="0"/>
          <w:numId w:val="47"/>
        </w:numPr>
        <w:rPr>
          <w:rFonts w:cs="Times New Roman"/>
          <w:color w:val="000000"/>
        </w:rPr>
      </w:pPr>
      <w:r w:rsidRPr="008648EE">
        <w:rPr>
          <w:rFonts w:cs="Times New Roman"/>
          <w:color w:val="000000"/>
        </w:rPr>
        <w:t>Ensure the next National Environmental Strategy following year 2020 is prepared in full consultation with key stakeholders, and has clear targets and quantitative indicators.</w:t>
      </w:r>
    </w:p>
    <w:p w14:paraId="650478A3" w14:textId="77777777" w:rsidR="00F53FEA" w:rsidRDefault="00F53FEA" w:rsidP="00B76BDA">
      <w:pPr>
        <w:pStyle w:val="ListParagraph"/>
        <w:rPr>
          <w:rFonts w:cs="Times New Roman"/>
          <w:color w:val="000000"/>
        </w:rPr>
      </w:pPr>
    </w:p>
    <w:p w14:paraId="6498F9BD" w14:textId="2A0347C2" w:rsidR="00A05970" w:rsidRDefault="00A05970" w:rsidP="00B76BDA">
      <w:pPr>
        <w:numPr>
          <w:ilvl w:val="0"/>
          <w:numId w:val="47"/>
        </w:numPr>
        <w:rPr>
          <w:rFonts w:cs="Times New Roman"/>
          <w:color w:val="000000"/>
        </w:rPr>
      </w:pPr>
      <w:r w:rsidRPr="002B1DFC">
        <w:rPr>
          <w:rFonts w:cs="Times New Roman"/>
          <w:color w:val="000000"/>
        </w:rPr>
        <w:t>Periodically review the impact of economic policy on the environment</w:t>
      </w:r>
      <w:r>
        <w:rPr>
          <w:rFonts w:cs="Times New Roman"/>
          <w:color w:val="000000"/>
        </w:rPr>
        <w:t xml:space="preserve"> as well as the economic impact of environmental policies</w:t>
      </w:r>
      <w:r w:rsidRPr="002B1DFC">
        <w:rPr>
          <w:rFonts w:cs="Times New Roman"/>
          <w:color w:val="000000"/>
        </w:rPr>
        <w:t xml:space="preserve"> in order to mitigate the negative aspects in a timely manner.</w:t>
      </w:r>
    </w:p>
    <w:p w14:paraId="56685891" w14:textId="77777777" w:rsidR="00C26464" w:rsidRDefault="00C26464">
      <w:pPr>
        <w:rPr>
          <w:rFonts w:cs="Times New Roman"/>
          <w:color w:val="000000"/>
        </w:rPr>
      </w:pPr>
    </w:p>
    <w:p w14:paraId="4B2A5388" w14:textId="77777777" w:rsidR="00D23D0C" w:rsidRDefault="00D23D0C" w:rsidP="001557B4">
      <w:pPr>
        <w:rPr>
          <w:rFonts w:cs="Times New Roman"/>
          <w:color w:val="000000"/>
        </w:rPr>
      </w:pPr>
    </w:p>
    <w:p w14:paraId="31D3732E" w14:textId="77777777" w:rsidR="000B7923" w:rsidRPr="002B1DFC" w:rsidRDefault="000B7923" w:rsidP="001557B4">
      <w:pPr>
        <w:pStyle w:val="ListParagraph"/>
        <w:rPr>
          <w:rFonts w:eastAsia="Times New Roman" w:cs="Times New Roman"/>
          <w:b/>
          <w:bCs/>
          <w:smallCaps/>
          <w:color w:val="365F91"/>
          <w:sz w:val="28"/>
          <w:szCs w:val="28"/>
        </w:rPr>
      </w:pPr>
      <w:bookmarkStart w:id="73" w:name="_Toc403738255"/>
      <w:r w:rsidRPr="002B1DFC">
        <w:br w:type="page"/>
      </w:r>
    </w:p>
    <w:p w14:paraId="658A5B66" w14:textId="76088716" w:rsidR="001D3BC4" w:rsidRDefault="001D3BC4">
      <w:pPr>
        <w:jc w:val="left"/>
        <w:rPr>
          <w:rFonts w:cs="Times New Roman"/>
          <w:b/>
          <w:bCs/>
          <w:smallCaps/>
          <w:color w:val="365F91"/>
          <w:sz w:val="28"/>
          <w:szCs w:val="28"/>
        </w:rPr>
      </w:pPr>
    </w:p>
    <w:p w14:paraId="5A438B78" w14:textId="77777777" w:rsidR="00991FA8" w:rsidRDefault="00991FA8">
      <w:pPr>
        <w:jc w:val="left"/>
        <w:rPr>
          <w:rFonts w:cs="Times New Roman"/>
          <w:b/>
          <w:bCs/>
          <w:smallCaps/>
          <w:color w:val="365F91"/>
          <w:sz w:val="28"/>
          <w:szCs w:val="28"/>
        </w:rPr>
      </w:pPr>
      <w:r>
        <w:br w:type="page"/>
      </w:r>
    </w:p>
    <w:p w14:paraId="17F67F55" w14:textId="6098A01E" w:rsidR="000B7923" w:rsidRPr="002B1DFC" w:rsidRDefault="000B7923" w:rsidP="00183A7A">
      <w:pPr>
        <w:pStyle w:val="Heading1"/>
        <w:tabs>
          <w:tab w:val="clear" w:pos="720"/>
          <w:tab w:val="left" w:pos="360"/>
        </w:tabs>
        <w:spacing w:before="0"/>
      </w:pPr>
      <w:bookmarkStart w:id="74" w:name="_Toc440273960"/>
      <w:r w:rsidRPr="002B1DFC">
        <w:lastRenderedPageBreak/>
        <w:t xml:space="preserve">Key Organizations for Environmental Management </w:t>
      </w:r>
      <w:bookmarkEnd w:id="73"/>
      <w:r w:rsidRPr="002B1DFC">
        <w:t>at the Central Level</w:t>
      </w:r>
      <w:bookmarkEnd w:id="74"/>
    </w:p>
    <w:p w14:paraId="667FAEA0" w14:textId="77777777" w:rsidR="000B7923" w:rsidRPr="002B1DFC" w:rsidRDefault="000B7923" w:rsidP="00FC644A"/>
    <w:p w14:paraId="4B5B2CA8" w14:textId="572A5088" w:rsidR="000B7923" w:rsidRDefault="000B7923" w:rsidP="00B76BDA">
      <w:pPr>
        <w:pStyle w:val="ListParagraph"/>
        <w:numPr>
          <w:ilvl w:val="0"/>
          <w:numId w:val="68"/>
        </w:numPr>
        <w:tabs>
          <w:tab w:val="left" w:pos="360"/>
        </w:tabs>
        <w:spacing w:line="23" w:lineRule="atLeast"/>
        <w:ind w:left="0" w:firstLine="0"/>
      </w:pPr>
      <w:r w:rsidRPr="002B1DFC">
        <w:t xml:space="preserve">This section provides an overview of the key agencies tasked with environmental management in Ukraine at the </w:t>
      </w:r>
      <w:r w:rsidR="00B759E2">
        <w:t>central</w:t>
      </w:r>
      <w:r w:rsidR="00B759E2" w:rsidRPr="002B1DFC">
        <w:t xml:space="preserve"> </w:t>
      </w:r>
      <w:r w:rsidRPr="002B1DFC">
        <w:t>level.</w:t>
      </w:r>
    </w:p>
    <w:p w14:paraId="03CCFE87" w14:textId="77777777" w:rsidR="000D5F54" w:rsidRPr="002B1DFC" w:rsidRDefault="000D5F54" w:rsidP="007A6522"/>
    <w:p w14:paraId="6A4D3E2F" w14:textId="77777777" w:rsidR="000B7923" w:rsidRPr="002B1DFC" w:rsidRDefault="000B7923" w:rsidP="000D5F54">
      <w:pPr>
        <w:pStyle w:val="Heading2"/>
      </w:pPr>
      <w:bookmarkStart w:id="75" w:name="_Toc440273961"/>
      <w:r w:rsidRPr="002B1DFC">
        <w:t>Ministry of Ecology and Natural Resources</w:t>
      </w:r>
      <w:bookmarkEnd w:id="75"/>
      <w:r w:rsidRPr="002B1DFC">
        <w:t xml:space="preserve"> </w:t>
      </w:r>
    </w:p>
    <w:p w14:paraId="3057734E" w14:textId="77777777" w:rsidR="000B7923" w:rsidRPr="002B1DFC" w:rsidRDefault="000B7923" w:rsidP="00571647">
      <w:pPr>
        <w:pStyle w:val="ListParagraph"/>
        <w:ind w:left="0"/>
        <w:rPr>
          <w:rFonts w:cs="Times New Roman"/>
          <w:b/>
          <w:i/>
        </w:rPr>
      </w:pPr>
    </w:p>
    <w:p w14:paraId="25EF5632" w14:textId="77777777" w:rsidR="000B7923" w:rsidRPr="00907895" w:rsidRDefault="000B7923" w:rsidP="00907895">
      <w:pPr>
        <w:pStyle w:val="ListParagraph"/>
        <w:numPr>
          <w:ilvl w:val="0"/>
          <w:numId w:val="68"/>
        </w:numPr>
        <w:tabs>
          <w:tab w:val="left" w:pos="360"/>
        </w:tabs>
        <w:spacing w:line="23" w:lineRule="atLeast"/>
        <w:ind w:left="0" w:firstLine="0"/>
        <w:rPr>
          <w:rFonts w:cs="Times New Roman"/>
          <w:iCs/>
        </w:rPr>
      </w:pPr>
      <w:r w:rsidRPr="00907895">
        <w:rPr>
          <w:rFonts w:cs="Times New Roman"/>
          <w:bCs/>
          <w:iCs/>
        </w:rPr>
        <w:t xml:space="preserve">The </w:t>
      </w:r>
      <w:r w:rsidRPr="00907895">
        <w:rPr>
          <w:rFonts w:cs="Times New Roman"/>
          <w:b/>
          <w:iCs/>
        </w:rPr>
        <w:t>Ministry of Ecology and Natural Resources (MENR)</w:t>
      </w:r>
      <w:r w:rsidRPr="00907895">
        <w:rPr>
          <w:rFonts w:cs="Times New Roman"/>
          <w:iCs/>
        </w:rPr>
        <w:t xml:space="preserve"> is the main state authority tasked with the key role to develop and ensure implementation of environmental policy. For the performance of its duties and functions in environmental management, MENR collaborates with Parliament’s Committee o</w:t>
      </w:r>
      <w:r w:rsidR="00EF0A33" w:rsidRPr="00907895">
        <w:rPr>
          <w:rFonts w:cs="Times New Roman"/>
          <w:iCs/>
        </w:rPr>
        <w:t xml:space="preserve">n </w:t>
      </w:r>
      <w:r w:rsidRPr="00907895">
        <w:rPr>
          <w:rFonts w:cs="Times New Roman"/>
          <w:iCs/>
        </w:rPr>
        <w:t xml:space="preserve">Environmental Policy, Nature Management </w:t>
      </w:r>
      <w:r w:rsidR="00EF0A33" w:rsidRPr="00907895">
        <w:rPr>
          <w:rFonts w:cs="Times New Roman"/>
          <w:iCs/>
        </w:rPr>
        <w:t>,</w:t>
      </w:r>
      <w:r w:rsidRPr="00907895">
        <w:rPr>
          <w:rFonts w:cs="Times New Roman"/>
          <w:iCs/>
        </w:rPr>
        <w:t xml:space="preserve">and Elimination of the Consequences of Chernobyl Disaster; CMU’s </w:t>
      </w:r>
      <w:r w:rsidRPr="00907895">
        <w:rPr>
          <w:iCs/>
        </w:rPr>
        <w:t>Committee</w:t>
      </w:r>
      <w:r w:rsidRPr="00907895">
        <w:rPr>
          <w:rFonts w:cs="Times New Roman"/>
          <w:iCs/>
        </w:rPr>
        <w:t xml:space="preserve"> o</w:t>
      </w:r>
      <w:r w:rsidR="00EF0A33" w:rsidRPr="00907895">
        <w:rPr>
          <w:rFonts w:cs="Times New Roman"/>
          <w:iCs/>
        </w:rPr>
        <w:t>n</w:t>
      </w:r>
      <w:r w:rsidRPr="00907895">
        <w:rPr>
          <w:rFonts w:cs="Times New Roman"/>
          <w:iCs/>
        </w:rPr>
        <w:t xml:space="preserve"> Infrastructure Development and Environmental Policy</w:t>
      </w:r>
      <w:r w:rsidR="00EF0A33" w:rsidRPr="00907895">
        <w:rPr>
          <w:rFonts w:cs="Times New Roman"/>
          <w:iCs/>
        </w:rPr>
        <w:t>,</w:t>
      </w:r>
      <w:r w:rsidRPr="00907895">
        <w:rPr>
          <w:rFonts w:cs="Times New Roman"/>
          <w:iCs/>
        </w:rPr>
        <w:t xml:space="preserve"> as well as the Ministry of Energy and Coal Industry; Ministry of Agrarian Policy and Food; Ministry of Regional Development, Construction, Housing</w:t>
      </w:r>
      <w:r w:rsidR="00EF0A33" w:rsidRPr="00907895">
        <w:rPr>
          <w:rFonts w:cs="Times New Roman"/>
          <w:iCs/>
        </w:rPr>
        <w:t>,</w:t>
      </w:r>
      <w:r w:rsidRPr="00907895">
        <w:rPr>
          <w:rFonts w:cs="Times New Roman"/>
          <w:iCs/>
        </w:rPr>
        <w:t xml:space="preserve"> and Communal Services; Ministry of Infrastructure</w:t>
      </w:r>
      <w:r w:rsidR="00EF0A33" w:rsidRPr="00907895">
        <w:rPr>
          <w:rFonts w:cs="Times New Roman"/>
          <w:iCs/>
        </w:rPr>
        <w:t>;</w:t>
      </w:r>
      <w:r w:rsidRPr="00907895">
        <w:rPr>
          <w:rFonts w:cs="Times New Roman"/>
          <w:iCs/>
        </w:rPr>
        <w:t xml:space="preserve"> and other ministries and organizations. </w:t>
      </w:r>
    </w:p>
    <w:p w14:paraId="69CA945A" w14:textId="77777777" w:rsidR="000B7923" w:rsidRPr="002B1DFC" w:rsidRDefault="000B7923" w:rsidP="00F7799A">
      <w:pPr>
        <w:rPr>
          <w:rFonts w:cs="Times New Roman"/>
        </w:rPr>
      </w:pPr>
    </w:p>
    <w:p w14:paraId="1BAA38E2"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The MENR’s structure and responsibility have been undergoing significant and continuous change over the past 25 </w:t>
      </w:r>
      <w:r w:rsidRPr="00907895">
        <w:rPr>
          <w:rFonts w:cs="Times New Roman"/>
          <w:iCs/>
        </w:rPr>
        <w:t>years</w:t>
      </w:r>
      <w:r w:rsidRPr="002B1DFC">
        <w:rPr>
          <w:rFonts w:cs="Times New Roman"/>
        </w:rPr>
        <w:t xml:space="preserve">. During this period, the ministry was headed by 17 different ministers, which lead to frequent reorganizations, renaming the </w:t>
      </w:r>
      <w:r w:rsidR="005A1195">
        <w:rPr>
          <w:rFonts w:cs="Times New Roman"/>
        </w:rPr>
        <w:t>ministry</w:t>
      </w:r>
      <w:r w:rsidRPr="002B1DFC">
        <w:rPr>
          <w:rFonts w:cs="Times New Roman"/>
        </w:rPr>
        <w:t xml:space="preserve"> and its subordinated agencies/committees, and organization restructuring. The last significant organizational changes were made in 2006, when the State </w:t>
      </w:r>
      <w:proofErr w:type="spellStart"/>
      <w:r w:rsidRPr="002B1DFC">
        <w:rPr>
          <w:rFonts w:cs="Times New Roman"/>
        </w:rPr>
        <w:t>Hydrometeorological</w:t>
      </w:r>
      <w:proofErr w:type="spellEnd"/>
      <w:r w:rsidRPr="002B1DFC">
        <w:rPr>
          <w:rFonts w:cs="Times New Roman"/>
        </w:rPr>
        <w:t xml:space="preserve"> Service was transferred to the administration of the Ministry of Emergency Situations (now </w:t>
      </w:r>
      <w:r w:rsidR="00EF0A33">
        <w:rPr>
          <w:rFonts w:cs="Times New Roman"/>
        </w:rPr>
        <w:t xml:space="preserve">the </w:t>
      </w:r>
      <w:r w:rsidRPr="002B1DFC">
        <w:rPr>
          <w:rFonts w:cs="Times New Roman"/>
        </w:rPr>
        <w:t>State Service o</w:t>
      </w:r>
      <w:r w:rsidR="00EF0A33">
        <w:rPr>
          <w:rFonts w:cs="Times New Roman"/>
        </w:rPr>
        <w:t>n</w:t>
      </w:r>
      <w:r w:rsidRPr="002B1DFC">
        <w:rPr>
          <w:rFonts w:cs="Times New Roman"/>
        </w:rPr>
        <w:t xml:space="preserve"> Emergency Situation under the Ministry of Defense of Ukraine</w:t>
      </w:r>
      <w:r w:rsidR="00EF0A33" w:rsidRPr="002B1DFC">
        <w:rPr>
          <w:rFonts w:cs="Times New Roman"/>
        </w:rPr>
        <w:t>)</w:t>
      </w:r>
      <w:r w:rsidR="00EF0A33">
        <w:rPr>
          <w:rFonts w:cs="Times New Roman"/>
        </w:rPr>
        <w:t>. Another significant organizational change was made</w:t>
      </w:r>
      <w:r w:rsidR="00EF0A33" w:rsidRPr="002B1DFC">
        <w:rPr>
          <w:rFonts w:cs="Times New Roman"/>
        </w:rPr>
        <w:t xml:space="preserve"> </w:t>
      </w:r>
      <w:r w:rsidRPr="002B1DFC">
        <w:rPr>
          <w:rFonts w:cs="Times New Roman"/>
        </w:rPr>
        <w:t xml:space="preserve">in 2011, when </w:t>
      </w:r>
      <w:r w:rsidR="00EF0A33">
        <w:rPr>
          <w:rFonts w:cs="Times New Roman"/>
        </w:rPr>
        <w:t xml:space="preserve">the </w:t>
      </w:r>
      <w:r w:rsidRPr="002B1DFC">
        <w:rPr>
          <w:rFonts w:cs="Times New Roman"/>
        </w:rPr>
        <w:t>State Committee o</w:t>
      </w:r>
      <w:r w:rsidR="00EF0A33">
        <w:rPr>
          <w:rFonts w:cs="Times New Roman"/>
        </w:rPr>
        <w:t>n</w:t>
      </w:r>
      <w:r w:rsidRPr="002B1DFC">
        <w:rPr>
          <w:rFonts w:cs="Times New Roman"/>
        </w:rPr>
        <w:t xml:space="preserve"> Forest Resources (now </w:t>
      </w:r>
      <w:r w:rsidR="00EF0A33">
        <w:rPr>
          <w:rFonts w:cs="Times New Roman"/>
        </w:rPr>
        <w:t xml:space="preserve">the </w:t>
      </w:r>
      <w:r w:rsidRPr="002B1DFC">
        <w:rPr>
          <w:rFonts w:cs="Times New Roman"/>
        </w:rPr>
        <w:t xml:space="preserve">State Agency of Forest Resources) and </w:t>
      </w:r>
      <w:r w:rsidR="00EF0A33">
        <w:rPr>
          <w:rFonts w:cs="Times New Roman"/>
        </w:rPr>
        <w:t xml:space="preserve">the </w:t>
      </w:r>
      <w:r w:rsidRPr="002B1DFC">
        <w:rPr>
          <w:rFonts w:cs="Times New Roman"/>
        </w:rPr>
        <w:t xml:space="preserve">State Committee of Land Resources (now </w:t>
      </w:r>
      <w:r w:rsidR="00EF0A33">
        <w:rPr>
          <w:rFonts w:cs="Times New Roman"/>
        </w:rPr>
        <w:t xml:space="preserve">the </w:t>
      </w:r>
      <w:r w:rsidRPr="002B1DFC">
        <w:rPr>
          <w:rFonts w:cs="Times New Roman"/>
        </w:rPr>
        <w:t>State Service of Ukraine for Geodesy, Cartography</w:t>
      </w:r>
      <w:r w:rsidR="00EF0A33">
        <w:rPr>
          <w:rFonts w:cs="Times New Roman"/>
        </w:rPr>
        <w:t>,</w:t>
      </w:r>
      <w:r w:rsidRPr="002B1DFC">
        <w:rPr>
          <w:rFonts w:cs="Times New Roman"/>
        </w:rPr>
        <w:t xml:space="preserve"> and Cadaster) were transferred to the administration of the Ministry of Agrarian Policy and Food</w:t>
      </w:r>
      <w:r w:rsidR="00EF0A33">
        <w:rPr>
          <w:rFonts w:cs="Times New Roman"/>
        </w:rPr>
        <w:t xml:space="preserve">. Still another change came </w:t>
      </w:r>
      <w:r w:rsidRPr="002B1DFC">
        <w:rPr>
          <w:rFonts w:cs="Times New Roman"/>
        </w:rPr>
        <w:t xml:space="preserve">in 2013, when the State Environmental Investment Agency responsible for the implementation of the United Nations Framework Convention on Climate Change and Kyoto Protocol was abolished. </w:t>
      </w:r>
    </w:p>
    <w:p w14:paraId="6C54F710" w14:textId="77777777" w:rsidR="000B7923" w:rsidRPr="005C2F51" w:rsidRDefault="000B7923" w:rsidP="00F33595">
      <w:pPr>
        <w:rPr>
          <w:rFonts w:cs="Times New Roman"/>
          <w:color w:val="000000" w:themeColor="text1"/>
        </w:rPr>
      </w:pPr>
    </w:p>
    <w:p w14:paraId="12970D29"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The number of staff at the MENR also </w:t>
      </w:r>
      <w:r w:rsidR="00EF0A33">
        <w:rPr>
          <w:rFonts w:cs="Times New Roman"/>
        </w:rPr>
        <w:t>varied</w:t>
      </w:r>
      <w:r w:rsidRPr="002B1DFC">
        <w:rPr>
          <w:rFonts w:cs="Times New Roman"/>
        </w:rPr>
        <w:t xml:space="preserve"> over the years. </w:t>
      </w:r>
      <w:r w:rsidR="00BF2034">
        <w:rPr>
          <w:rFonts w:cs="Times New Roman"/>
        </w:rPr>
        <w:t>I</w:t>
      </w:r>
      <w:r w:rsidRPr="002B1DFC">
        <w:rPr>
          <w:rFonts w:cs="Times New Roman"/>
        </w:rPr>
        <w:t>n 1999</w:t>
      </w:r>
      <w:r w:rsidR="00EF0A33">
        <w:rPr>
          <w:rFonts w:cs="Times New Roman"/>
        </w:rPr>
        <w:t>,</w:t>
      </w:r>
      <w:r w:rsidRPr="002B1DFC">
        <w:rPr>
          <w:rFonts w:cs="Times New Roman"/>
        </w:rPr>
        <w:t xml:space="preserve"> the </w:t>
      </w:r>
      <w:r w:rsidR="005A1195">
        <w:rPr>
          <w:rFonts w:cs="Times New Roman"/>
        </w:rPr>
        <w:t>ministry</w:t>
      </w:r>
      <w:r w:rsidRPr="002B1DFC">
        <w:rPr>
          <w:rFonts w:cs="Times New Roman"/>
        </w:rPr>
        <w:t xml:space="preserve">’s central apparatus had 170 </w:t>
      </w:r>
      <w:r w:rsidRPr="00907895">
        <w:rPr>
          <w:rFonts w:cs="Times New Roman"/>
          <w:iCs/>
        </w:rPr>
        <w:t>staff</w:t>
      </w:r>
      <w:r w:rsidRPr="002B1DFC">
        <w:rPr>
          <w:rFonts w:cs="Times New Roman"/>
        </w:rPr>
        <w:t xml:space="preserve"> members, in 2012 there were 234 staff members</w:t>
      </w:r>
      <w:r w:rsidR="00BF2034">
        <w:rPr>
          <w:rFonts w:cs="Times New Roman"/>
        </w:rPr>
        <w:t>,</w:t>
      </w:r>
      <w:r w:rsidRPr="002B1DFC">
        <w:rPr>
          <w:rFonts w:cs="Times New Roman"/>
        </w:rPr>
        <w:t xml:space="preserve"> and now the </w:t>
      </w:r>
      <w:r w:rsidR="005A1195">
        <w:rPr>
          <w:rFonts w:cs="Times New Roman"/>
        </w:rPr>
        <w:t>ministry</w:t>
      </w:r>
      <w:r w:rsidRPr="002B1DFC">
        <w:rPr>
          <w:rFonts w:cs="Times New Roman"/>
        </w:rPr>
        <w:t xml:space="preserve"> has 211 staff members. Table </w:t>
      </w:r>
      <w:r w:rsidR="005060F5">
        <w:rPr>
          <w:rFonts w:cs="Times New Roman"/>
        </w:rPr>
        <w:t>6</w:t>
      </w:r>
      <w:r w:rsidRPr="002B1DFC">
        <w:rPr>
          <w:rFonts w:cs="Times New Roman"/>
        </w:rPr>
        <w:t xml:space="preserve"> pr</w:t>
      </w:r>
      <w:r w:rsidR="00EF0A33">
        <w:rPr>
          <w:rFonts w:cs="Times New Roman"/>
        </w:rPr>
        <w:t>esent</w:t>
      </w:r>
      <w:r w:rsidRPr="002B1DFC">
        <w:rPr>
          <w:rFonts w:cs="Times New Roman"/>
        </w:rPr>
        <w:t xml:space="preserve">s the organizational structure and number </w:t>
      </w:r>
      <w:r w:rsidR="00EF0A33">
        <w:rPr>
          <w:rFonts w:cs="Times New Roman"/>
        </w:rPr>
        <w:t xml:space="preserve">of staff </w:t>
      </w:r>
      <w:r w:rsidRPr="002B1DFC">
        <w:rPr>
          <w:rFonts w:cs="Times New Roman"/>
        </w:rPr>
        <w:t xml:space="preserve">for the MENR as of </w:t>
      </w:r>
      <w:r w:rsidR="00EF0A33">
        <w:rPr>
          <w:rFonts w:cs="Times New Roman"/>
        </w:rPr>
        <w:t xml:space="preserve">the </w:t>
      </w:r>
      <w:r w:rsidRPr="002B1DFC">
        <w:rPr>
          <w:rFonts w:cs="Times New Roman"/>
        </w:rPr>
        <w:t xml:space="preserve">beginning of 2015. </w:t>
      </w:r>
    </w:p>
    <w:p w14:paraId="47E0AA8C" w14:textId="77777777" w:rsidR="000B7923" w:rsidRDefault="000B7923" w:rsidP="00F33595">
      <w:pPr>
        <w:rPr>
          <w:rFonts w:cs="Times New Roman"/>
        </w:rPr>
      </w:pPr>
    </w:p>
    <w:p w14:paraId="10FB8FBC" w14:textId="0D6043FB" w:rsidR="003F03B0" w:rsidRPr="002B1DFC" w:rsidRDefault="003F03B0" w:rsidP="00B76BDA">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MENR’s central apparatus fulfils its duties and functions directly and through special authorized executive bodies. The </w:t>
      </w:r>
      <w:r>
        <w:rPr>
          <w:rFonts w:cs="Times New Roman"/>
        </w:rPr>
        <w:t>ministry</w:t>
      </w:r>
      <w:r w:rsidRPr="002B1DFC">
        <w:rPr>
          <w:rFonts w:cs="Times New Roman"/>
        </w:rPr>
        <w:t xml:space="preserve"> coordinates the State Ecological </w:t>
      </w:r>
      <w:r w:rsidR="00A80CE6">
        <w:rPr>
          <w:rFonts w:cs="Times New Roman"/>
        </w:rPr>
        <w:t>Inspectorate</w:t>
      </w:r>
      <w:r w:rsidRPr="002B1DFC">
        <w:rPr>
          <w:rFonts w:cs="Times New Roman"/>
        </w:rPr>
        <w:t>, State Agency of Water Resources, State Service of Geology and Mineral Resources and State Agency of Ukraine on Exclusion Zone Management. MENR also supervises three research institutes and nine state enterprises</w:t>
      </w:r>
      <w:r w:rsidRPr="002B1DFC">
        <w:rPr>
          <w:rStyle w:val="FootnoteReference"/>
        </w:rPr>
        <w:footnoteReference w:id="2"/>
      </w:r>
      <w:r w:rsidRPr="002B1DFC">
        <w:rPr>
          <w:rFonts w:cs="Times New Roman"/>
        </w:rPr>
        <w:t xml:space="preserve">. According to the National </w:t>
      </w:r>
      <w:r w:rsidRPr="00907895">
        <w:rPr>
          <w:rFonts w:cs="Times New Roman"/>
          <w:iCs/>
        </w:rPr>
        <w:t>Environmental</w:t>
      </w:r>
      <w:r w:rsidRPr="002B1DFC">
        <w:rPr>
          <w:rFonts w:cs="Times New Roman"/>
        </w:rPr>
        <w:t xml:space="preserve"> Action Plan for 2011</w:t>
      </w:r>
      <w:r>
        <w:rPr>
          <w:rFonts w:cs="Times New Roman"/>
        </w:rPr>
        <w:t>–</w:t>
      </w:r>
      <w:r w:rsidRPr="002B1DFC">
        <w:rPr>
          <w:rFonts w:cs="Times New Roman"/>
        </w:rPr>
        <w:t>2015, MENR together with public organizations has foreseen a preparation of the Plan of Enhancement of the Institutional Capacity of the MENR during 2011</w:t>
      </w:r>
      <w:r>
        <w:rPr>
          <w:rFonts w:cs="Times New Roman"/>
        </w:rPr>
        <w:t>–</w:t>
      </w:r>
      <w:r w:rsidRPr="002B1DFC">
        <w:rPr>
          <w:rFonts w:cs="Times New Roman"/>
        </w:rPr>
        <w:t xml:space="preserve">2013. However, the plan was not prepared in time due to shortage in budget. </w:t>
      </w:r>
    </w:p>
    <w:p w14:paraId="1DC5CEBB" w14:textId="77777777" w:rsidR="003F03B0" w:rsidRPr="002B1DFC" w:rsidRDefault="003F03B0" w:rsidP="00F33595">
      <w:pPr>
        <w:rPr>
          <w:rFonts w:cs="Times New Roman"/>
        </w:rPr>
      </w:pPr>
    </w:p>
    <w:p w14:paraId="48988E96" w14:textId="77777777" w:rsidR="000B7923" w:rsidRPr="002B1DFC" w:rsidRDefault="00FC456E" w:rsidP="00FD25E4">
      <w:pPr>
        <w:pStyle w:val="Caption"/>
        <w:rPr>
          <w:noProof w:val="0"/>
          <w:lang w:val="en-US"/>
        </w:rPr>
      </w:pPr>
      <w:r>
        <w:rPr>
          <w:noProof w:val="0"/>
          <w:lang w:val="en-US"/>
        </w:rPr>
        <w:br w:type="page"/>
      </w:r>
      <w:bookmarkStart w:id="76" w:name="_Toc440273998"/>
      <w:r w:rsidR="000B7923" w:rsidRPr="002B1DFC">
        <w:rPr>
          <w:noProof w:val="0"/>
          <w:lang w:val="en-US"/>
        </w:rPr>
        <w:lastRenderedPageBreak/>
        <w:t xml:space="preserve">Table </w:t>
      </w:r>
      <w:r w:rsidR="000B7923" w:rsidRPr="002B1DFC">
        <w:rPr>
          <w:noProof w:val="0"/>
          <w:lang w:val="en-US"/>
        </w:rPr>
        <w:fldChar w:fldCharType="begin"/>
      </w:r>
      <w:r w:rsidR="000B7923" w:rsidRPr="002B1DFC">
        <w:rPr>
          <w:noProof w:val="0"/>
          <w:lang w:val="en-US"/>
        </w:rPr>
        <w:instrText xml:space="preserve"> SEQ Table \* ARABIC </w:instrText>
      </w:r>
      <w:r w:rsidR="000B7923" w:rsidRPr="002B1DFC">
        <w:rPr>
          <w:noProof w:val="0"/>
          <w:lang w:val="en-US"/>
        </w:rPr>
        <w:fldChar w:fldCharType="separate"/>
      </w:r>
      <w:r w:rsidR="00356D5F">
        <w:rPr>
          <w:lang w:val="en-US"/>
        </w:rPr>
        <w:t>6</w:t>
      </w:r>
      <w:r w:rsidR="000B7923" w:rsidRPr="002B1DFC">
        <w:rPr>
          <w:noProof w:val="0"/>
          <w:lang w:val="en-US"/>
        </w:rPr>
        <w:fldChar w:fldCharType="end"/>
      </w:r>
      <w:r w:rsidR="000B7923" w:rsidRPr="002B1DFC">
        <w:rPr>
          <w:noProof w:val="0"/>
          <w:lang w:val="en-US"/>
        </w:rPr>
        <w:t xml:space="preserve">. </w:t>
      </w:r>
      <w:r w:rsidR="000B7923" w:rsidRPr="002B1DFC">
        <w:rPr>
          <w:b w:val="0"/>
          <w:noProof w:val="0"/>
          <w:lang w:val="en-US"/>
        </w:rPr>
        <w:t>S</w:t>
      </w:r>
      <w:r w:rsidR="000B7923" w:rsidRPr="002B1DFC">
        <w:rPr>
          <w:noProof w:val="0"/>
          <w:lang w:val="en-US"/>
        </w:rPr>
        <w:t xml:space="preserve">tructure of the MENR’s </w:t>
      </w:r>
      <w:r w:rsidR="00C66939">
        <w:rPr>
          <w:noProof w:val="0"/>
          <w:lang w:val="en-US"/>
        </w:rPr>
        <w:t>C</w:t>
      </w:r>
      <w:r w:rsidR="000B7923" w:rsidRPr="002B1DFC">
        <w:rPr>
          <w:noProof w:val="0"/>
          <w:lang w:val="en-US"/>
        </w:rPr>
        <w:t xml:space="preserve">entral </w:t>
      </w:r>
      <w:r w:rsidR="00C66939">
        <w:rPr>
          <w:noProof w:val="0"/>
          <w:lang w:val="en-US"/>
        </w:rPr>
        <w:t>A</w:t>
      </w:r>
      <w:r w:rsidR="000B7923" w:rsidRPr="002B1DFC">
        <w:rPr>
          <w:noProof w:val="0"/>
          <w:lang w:val="en-US"/>
        </w:rPr>
        <w:t>pparatus, January 2015</w:t>
      </w:r>
      <w:bookmarkEnd w:id="76"/>
    </w:p>
    <w:tbl>
      <w:tblPr>
        <w:tblW w:w="5000" w:type="pct"/>
        <w:tblInd w:w="108" w:type="dxa"/>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577"/>
        <w:gridCol w:w="7170"/>
        <w:gridCol w:w="1603"/>
      </w:tblGrid>
      <w:tr w:rsidR="000B7923" w:rsidRPr="002B1DFC" w14:paraId="774B615C" w14:textId="77777777" w:rsidTr="00183A7A">
        <w:trPr>
          <w:trHeight w:val="305"/>
        </w:trPr>
        <w:tc>
          <w:tcPr>
            <w:tcW w:w="309" w:type="pct"/>
            <w:tcBorders>
              <w:top w:val="single" w:sz="4" w:space="0" w:color="4F81BD"/>
              <w:left w:val="single" w:sz="4" w:space="0" w:color="4F81BD"/>
              <w:bottom w:val="nil"/>
              <w:right w:val="nil"/>
            </w:tcBorders>
            <w:shd w:val="clear" w:color="auto" w:fill="4F81BD"/>
          </w:tcPr>
          <w:p w14:paraId="1FA2E23E" w14:textId="77777777" w:rsidR="000B7923" w:rsidRPr="002B1DFC" w:rsidRDefault="000B7923" w:rsidP="00F33595">
            <w:pPr>
              <w:rPr>
                <w:rFonts w:eastAsia="Times New Roman" w:cs="Times New Roman"/>
                <w:b/>
                <w:bCs/>
                <w:color w:val="FFFFFF"/>
              </w:rPr>
            </w:pPr>
            <w:r w:rsidRPr="002B1DFC">
              <w:rPr>
                <w:rFonts w:eastAsia="Times New Roman" w:cs="Times New Roman"/>
                <w:b/>
                <w:color w:val="FFFFFF"/>
              </w:rPr>
              <w:t>No</w:t>
            </w:r>
          </w:p>
        </w:tc>
        <w:tc>
          <w:tcPr>
            <w:tcW w:w="3833" w:type="pct"/>
            <w:tcBorders>
              <w:top w:val="single" w:sz="4" w:space="0" w:color="4F81BD"/>
            </w:tcBorders>
            <w:shd w:val="clear" w:color="auto" w:fill="4F81BD"/>
          </w:tcPr>
          <w:p w14:paraId="46CE1E85" w14:textId="77777777" w:rsidR="000B7923" w:rsidRPr="002B1DFC" w:rsidRDefault="000B7923" w:rsidP="00F33595">
            <w:pPr>
              <w:rPr>
                <w:rFonts w:eastAsia="Times New Roman" w:cs="Times New Roman"/>
                <w:b/>
                <w:bCs/>
                <w:color w:val="FFFFFF"/>
              </w:rPr>
            </w:pPr>
            <w:r w:rsidRPr="002B1DFC">
              <w:rPr>
                <w:rFonts w:eastAsia="Times New Roman" w:cs="Times New Roman"/>
                <w:b/>
                <w:color w:val="FFFFFF"/>
              </w:rPr>
              <w:t>Structural Units</w:t>
            </w:r>
          </w:p>
        </w:tc>
        <w:tc>
          <w:tcPr>
            <w:tcW w:w="857" w:type="pct"/>
            <w:tcBorders>
              <w:top w:val="single" w:sz="4" w:space="0" w:color="4F81BD"/>
              <w:right w:val="single" w:sz="4" w:space="0" w:color="4F81BD"/>
            </w:tcBorders>
            <w:shd w:val="clear" w:color="auto" w:fill="4F81BD"/>
          </w:tcPr>
          <w:p w14:paraId="6C759E6B" w14:textId="77777777" w:rsidR="000B7923" w:rsidRPr="002B1DFC" w:rsidRDefault="00C66939" w:rsidP="00F33595">
            <w:pPr>
              <w:rPr>
                <w:rFonts w:eastAsia="Times New Roman" w:cs="Times New Roman"/>
                <w:b/>
                <w:bCs/>
                <w:color w:val="FFFFFF"/>
              </w:rPr>
            </w:pPr>
            <w:r>
              <w:rPr>
                <w:rFonts w:eastAsia="Times New Roman" w:cs="Times New Roman"/>
                <w:b/>
                <w:color w:val="FFFFFF"/>
              </w:rPr>
              <w:t>#</w:t>
            </w:r>
            <w:r w:rsidRPr="002B1DFC">
              <w:rPr>
                <w:rFonts w:eastAsia="Times New Roman" w:cs="Times New Roman"/>
                <w:b/>
                <w:color w:val="FFFFFF"/>
              </w:rPr>
              <w:t xml:space="preserve"> </w:t>
            </w:r>
            <w:r w:rsidR="000B7923" w:rsidRPr="002B1DFC">
              <w:rPr>
                <w:rFonts w:eastAsia="Times New Roman" w:cs="Times New Roman"/>
                <w:b/>
                <w:color w:val="FFFFFF"/>
              </w:rPr>
              <w:t>of Staff</w:t>
            </w:r>
          </w:p>
        </w:tc>
      </w:tr>
      <w:tr w:rsidR="000B7923" w:rsidRPr="002B1DFC" w14:paraId="4CFC367D" w14:textId="77777777">
        <w:tc>
          <w:tcPr>
            <w:tcW w:w="309" w:type="pct"/>
            <w:tcBorders>
              <w:top w:val="single" w:sz="4" w:space="0" w:color="4F81BD"/>
              <w:left w:val="single" w:sz="4" w:space="0" w:color="4F81BD"/>
              <w:bottom w:val="single" w:sz="4" w:space="0" w:color="4F81BD"/>
              <w:right w:val="nil"/>
            </w:tcBorders>
            <w:shd w:val="clear" w:color="auto" w:fill="FFFFFF"/>
          </w:tcPr>
          <w:p w14:paraId="21E2F53E" w14:textId="77777777" w:rsidR="000B7923" w:rsidRPr="002B1DFC" w:rsidRDefault="000B7923" w:rsidP="00F33595">
            <w:pPr>
              <w:rPr>
                <w:rFonts w:eastAsia="Times New Roman" w:cs="Times New Roman"/>
                <w:b/>
                <w:bCs/>
              </w:rPr>
            </w:pPr>
            <w:r w:rsidRPr="002B1DFC">
              <w:rPr>
                <w:rFonts w:eastAsia="Times New Roman" w:cs="Times New Roman"/>
                <w:b/>
                <w:bCs/>
              </w:rPr>
              <w:t>1</w:t>
            </w:r>
          </w:p>
          <w:p w14:paraId="1AE717E1" w14:textId="77777777" w:rsidR="000B7923" w:rsidRPr="002B1DFC" w:rsidRDefault="000B7923" w:rsidP="00F33595">
            <w:pPr>
              <w:rPr>
                <w:rFonts w:eastAsia="Times New Roman" w:cs="Times New Roman"/>
                <w:b/>
                <w:bCs/>
              </w:rPr>
            </w:pPr>
          </w:p>
          <w:p w14:paraId="2E8BC9BD" w14:textId="77777777" w:rsidR="000B7923" w:rsidRPr="002B1DFC" w:rsidRDefault="000B7923" w:rsidP="00F33595">
            <w:pPr>
              <w:rPr>
                <w:rFonts w:eastAsia="Times New Roman" w:cs="Times New Roman"/>
                <w:b/>
                <w:bCs/>
              </w:rPr>
            </w:pPr>
          </w:p>
          <w:p w14:paraId="43C71793" w14:textId="77777777" w:rsidR="000B7923" w:rsidRPr="002B1DFC" w:rsidRDefault="000B7923" w:rsidP="00F33595">
            <w:pPr>
              <w:rPr>
                <w:rFonts w:eastAsia="Times New Roman" w:cs="Times New Roman"/>
                <w:b/>
                <w:bCs/>
              </w:rPr>
            </w:pPr>
          </w:p>
          <w:p w14:paraId="47E039EB" w14:textId="77777777" w:rsidR="000B7923" w:rsidRPr="002B1DFC" w:rsidRDefault="000B7923" w:rsidP="00F33595">
            <w:pPr>
              <w:rPr>
                <w:rFonts w:eastAsia="Times New Roman" w:cs="Times New Roman"/>
                <w:b/>
                <w:bCs/>
              </w:rPr>
            </w:pPr>
          </w:p>
          <w:p w14:paraId="001ACC35" w14:textId="77777777" w:rsidR="000B7923" w:rsidRPr="002B1DFC" w:rsidRDefault="000B7923" w:rsidP="00F33595">
            <w:pPr>
              <w:rPr>
                <w:rFonts w:eastAsia="Times New Roman" w:cs="Times New Roman"/>
                <w:b/>
                <w:bCs/>
              </w:rPr>
            </w:pPr>
          </w:p>
        </w:tc>
        <w:tc>
          <w:tcPr>
            <w:tcW w:w="3833" w:type="pct"/>
            <w:tcBorders>
              <w:top w:val="single" w:sz="4" w:space="0" w:color="4F81BD"/>
              <w:bottom w:val="single" w:sz="4" w:space="0" w:color="4F81BD"/>
            </w:tcBorders>
          </w:tcPr>
          <w:p w14:paraId="1F18CCF2" w14:textId="77777777" w:rsidR="000B7923" w:rsidRPr="002B1DFC" w:rsidRDefault="000B7923" w:rsidP="00F33595">
            <w:pPr>
              <w:rPr>
                <w:rFonts w:eastAsia="Times New Roman" w:cs="Times New Roman"/>
                <w:b/>
              </w:rPr>
            </w:pPr>
            <w:r w:rsidRPr="002B1DFC">
              <w:rPr>
                <w:rFonts w:eastAsia="Times New Roman" w:cs="Times New Roman"/>
                <w:b/>
              </w:rPr>
              <w:t>Administration</w:t>
            </w:r>
          </w:p>
          <w:p w14:paraId="157B2288" w14:textId="77777777" w:rsidR="000B7923" w:rsidRPr="002B1DFC" w:rsidRDefault="000B7923" w:rsidP="00F33595">
            <w:pPr>
              <w:rPr>
                <w:rFonts w:eastAsia="Times New Roman" w:cs="Times New Roman"/>
              </w:rPr>
            </w:pPr>
            <w:r w:rsidRPr="002B1DFC">
              <w:rPr>
                <w:rFonts w:eastAsia="Times New Roman" w:cs="Times New Roman"/>
              </w:rPr>
              <w:t>Minister</w:t>
            </w:r>
          </w:p>
          <w:p w14:paraId="2FE86944" w14:textId="77777777" w:rsidR="000B7923" w:rsidRPr="002B1DFC" w:rsidRDefault="000B7923" w:rsidP="00F33595">
            <w:pPr>
              <w:rPr>
                <w:rFonts w:eastAsia="Times New Roman" w:cs="Times New Roman"/>
              </w:rPr>
            </w:pPr>
            <w:r w:rsidRPr="002B1DFC">
              <w:rPr>
                <w:rFonts w:eastAsia="Times New Roman" w:cs="Times New Roman"/>
              </w:rPr>
              <w:t>First deputy Minister</w:t>
            </w:r>
          </w:p>
          <w:p w14:paraId="021B0F7A" w14:textId="77777777" w:rsidR="000B7923" w:rsidRPr="002B1DFC" w:rsidRDefault="000B7923" w:rsidP="00F33595">
            <w:pPr>
              <w:rPr>
                <w:rFonts w:eastAsia="Times New Roman" w:cs="Times New Roman"/>
              </w:rPr>
            </w:pPr>
            <w:r w:rsidRPr="002B1DFC">
              <w:rPr>
                <w:rFonts w:eastAsia="Times New Roman" w:cs="Times New Roman"/>
              </w:rPr>
              <w:t>Deputy Minister – Chief of Apparatus</w:t>
            </w:r>
          </w:p>
          <w:p w14:paraId="632D7085" w14:textId="77777777" w:rsidR="000B7923" w:rsidRPr="002B1DFC" w:rsidRDefault="000B7923" w:rsidP="00F33595">
            <w:pPr>
              <w:rPr>
                <w:rFonts w:eastAsia="Times New Roman" w:cs="Times New Roman"/>
              </w:rPr>
            </w:pPr>
            <w:r w:rsidRPr="002B1DFC">
              <w:rPr>
                <w:rFonts w:eastAsia="Times New Roman" w:cs="Times New Roman"/>
              </w:rPr>
              <w:t>Deputy Minister for European Integration</w:t>
            </w:r>
          </w:p>
          <w:p w14:paraId="614276CF" w14:textId="77777777" w:rsidR="000B7923" w:rsidRPr="002B1DFC" w:rsidRDefault="000B7923" w:rsidP="00F33595">
            <w:pPr>
              <w:rPr>
                <w:rFonts w:eastAsia="Times New Roman" w:cs="Times New Roman"/>
              </w:rPr>
            </w:pPr>
            <w:r w:rsidRPr="002B1DFC">
              <w:rPr>
                <w:rFonts w:eastAsia="Times New Roman" w:cs="Times New Roman"/>
              </w:rPr>
              <w:t>Deputy Minister</w:t>
            </w:r>
          </w:p>
          <w:p w14:paraId="4DD4C189" w14:textId="77777777" w:rsidR="000B7923" w:rsidRPr="002B1DFC" w:rsidRDefault="000B7923" w:rsidP="00F33595">
            <w:pPr>
              <w:rPr>
                <w:rFonts w:eastAsia="Times New Roman" w:cs="Times New Roman"/>
              </w:rPr>
            </w:pPr>
            <w:r w:rsidRPr="002B1DFC">
              <w:rPr>
                <w:rFonts w:eastAsia="Times New Roman" w:cs="Times New Roman"/>
              </w:rPr>
              <w:t>Deputy Minister</w:t>
            </w:r>
          </w:p>
        </w:tc>
        <w:tc>
          <w:tcPr>
            <w:tcW w:w="857" w:type="pct"/>
            <w:tcBorders>
              <w:top w:val="single" w:sz="4" w:space="0" w:color="4F81BD"/>
              <w:bottom w:val="single" w:sz="4" w:space="0" w:color="4F81BD"/>
              <w:right w:val="single" w:sz="4" w:space="0" w:color="4F81BD"/>
            </w:tcBorders>
          </w:tcPr>
          <w:p w14:paraId="7611728B" w14:textId="77777777" w:rsidR="000B7923" w:rsidRPr="002B1DFC" w:rsidRDefault="00C66939" w:rsidP="00183A7A">
            <w:pPr>
              <w:jc w:val="left"/>
              <w:rPr>
                <w:rFonts w:eastAsia="Times New Roman" w:cs="Times New Roman"/>
                <w:b/>
              </w:rPr>
            </w:pPr>
            <w:r>
              <w:rPr>
                <w:rFonts w:eastAsia="Times New Roman" w:cs="Times New Roman"/>
                <w:b/>
              </w:rPr>
              <w:t xml:space="preserve">  </w:t>
            </w:r>
            <w:r w:rsidR="000B7923" w:rsidRPr="002B1DFC">
              <w:rPr>
                <w:rFonts w:eastAsia="Times New Roman" w:cs="Times New Roman"/>
                <w:b/>
              </w:rPr>
              <w:t>6</w:t>
            </w:r>
          </w:p>
          <w:p w14:paraId="16642D2B" w14:textId="77777777" w:rsidR="000B7923" w:rsidRPr="002B1DFC" w:rsidRDefault="00C66939" w:rsidP="00183A7A">
            <w:pPr>
              <w:jc w:val="left"/>
              <w:rPr>
                <w:rFonts w:eastAsia="Times New Roman" w:cs="Times New Roman"/>
              </w:rPr>
            </w:pPr>
            <w:r>
              <w:rPr>
                <w:rFonts w:eastAsia="Times New Roman" w:cs="Times New Roman"/>
              </w:rPr>
              <w:t xml:space="preserve">  </w:t>
            </w:r>
            <w:r w:rsidR="000B7923" w:rsidRPr="002B1DFC">
              <w:rPr>
                <w:rFonts w:eastAsia="Times New Roman" w:cs="Times New Roman"/>
              </w:rPr>
              <w:t>1</w:t>
            </w:r>
          </w:p>
          <w:p w14:paraId="1C25890A" w14:textId="77777777" w:rsidR="000B7923" w:rsidRPr="002B1DFC" w:rsidRDefault="00C66939" w:rsidP="00183A7A">
            <w:pPr>
              <w:jc w:val="left"/>
              <w:rPr>
                <w:rFonts w:eastAsia="Times New Roman" w:cs="Times New Roman"/>
              </w:rPr>
            </w:pPr>
            <w:r>
              <w:rPr>
                <w:rFonts w:eastAsia="Times New Roman" w:cs="Times New Roman"/>
              </w:rPr>
              <w:t xml:space="preserve">  </w:t>
            </w:r>
            <w:r w:rsidR="000B7923" w:rsidRPr="002B1DFC">
              <w:rPr>
                <w:rFonts w:eastAsia="Times New Roman" w:cs="Times New Roman"/>
              </w:rPr>
              <w:t>1</w:t>
            </w:r>
          </w:p>
          <w:p w14:paraId="670703DF" w14:textId="77777777" w:rsidR="000B7923" w:rsidRPr="002B1DFC" w:rsidRDefault="00C66939" w:rsidP="00183A7A">
            <w:pPr>
              <w:jc w:val="left"/>
              <w:rPr>
                <w:rFonts w:eastAsia="Times New Roman" w:cs="Times New Roman"/>
              </w:rPr>
            </w:pPr>
            <w:r>
              <w:rPr>
                <w:rFonts w:eastAsia="Times New Roman" w:cs="Times New Roman"/>
              </w:rPr>
              <w:t xml:space="preserve">  </w:t>
            </w:r>
            <w:r w:rsidR="000B7923" w:rsidRPr="002B1DFC">
              <w:rPr>
                <w:rFonts w:eastAsia="Times New Roman" w:cs="Times New Roman"/>
              </w:rPr>
              <w:t>1</w:t>
            </w:r>
          </w:p>
          <w:p w14:paraId="132C678B" w14:textId="77777777" w:rsidR="000B7923" w:rsidRPr="002B1DFC" w:rsidRDefault="00C66939" w:rsidP="00183A7A">
            <w:pPr>
              <w:jc w:val="left"/>
              <w:rPr>
                <w:rFonts w:eastAsia="Times New Roman" w:cs="Times New Roman"/>
              </w:rPr>
            </w:pPr>
            <w:r>
              <w:rPr>
                <w:rFonts w:eastAsia="Times New Roman" w:cs="Times New Roman"/>
              </w:rPr>
              <w:t xml:space="preserve">  </w:t>
            </w:r>
            <w:r w:rsidR="000B7923" w:rsidRPr="002B1DFC">
              <w:rPr>
                <w:rFonts w:eastAsia="Times New Roman" w:cs="Times New Roman"/>
              </w:rPr>
              <w:t>1</w:t>
            </w:r>
          </w:p>
          <w:p w14:paraId="298CF7B2" w14:textId="77777777" w:rsidR="000B7923" w:rsidRPr="002B1DFC" w:rsidRDefault="00C66939" w:rsidP="00183A7A">
            <w:pPr>
              <w:jc w:val="left"/>
              <w:rPr>
                <w:rFonts w:eastAsia="Times New Roman" w:cs="Times New Roman"/>
              </w:rPr>
            </w:pPr>
            <w:r>
              <w:rPr>
                <w:rFonts w:eastAsia="Times New Roman" w:cs="Times New Roman"/>
              </w:rPr>
              <w:t xml:space="preserve">  </w:t>
            </w:r>
            <w:r w:rsidR="000B7923" w:rsidRPr="002B1DFC">
              <w:rPr>
                <w:rFonts w:eastAsia="Times New Roman" w:cs="Times New Roman"/>
              </w:rPr>
              <w:t>1</w:t>
            </w:r>
          </w:p>
          <w:p w14:paraId="200723FC" w14:textId="77777777" w:rsidR="000B7923" w:rsidRPr="002B1DFC" w:rsidRDefault="00C66939" w:rsidP="00183A7A">
            <w:pPr>
              <w:jc w:val="left"/>
              <w:rPr>
                <w:rFonts w:eastAsia="Times New Roman" w:cs="Times New Roman"/>
              </w:rPr>
            </w:pPr>
            <w:r>
              <w:rPr>
                <w:rFonts w:eastAsia="Times New Roman" w:cs="Times New Roman"/>
              </w:rPr>
              <w:t xml:space="preserve">  </w:t>
            </w:r>
            <w:r w:rsidR="000B7923" w:rsidRPr="002B1DFC">
              <w:rPr>
                <w:rFonts w:eastAsia="Times New Roman" w:cs="Times New Roman"/>
              </w:rPr>
              <w:t>1</w:t>
            </w:r>
          </w:p>
        </w:tc>
      </w:tr>
      <w:tr w:rsidR="000B7923" w:rsidRPr="002B1DFC" w14:paraId="3179734C" w14:textId="77777777">
        <w:tc>
          <w:tcPr>
            <w:tcW w:w="309" w:type="pct"/>
            <w:tcBorders>
              <w:left w:val="single" w:sz="4" w:space="0" w:color="4F81BD"/>
              <w:right w:val="nil"/>
            </w:tcBorders>
            <w:shd w:val="clear" w:color="auto" w:fill="FFFFFF"/>
          </w:tcPr>
          <w:p w14:paraId="02C33F3E" w14:textId="77777777" w:rsidR="000B7923" w:rsidRPr="002B1DFC" w:rsidRDefault="000B7923" w:rsidP="00F33595">
            <w:pPr>
              <w:rPr>
                <w:rFonts w:eastAsia="Times New Roman" w:cs="Times New Roman"/>
                <w:b/>
                <w:bCs/>
              </w:rPr>
            </w:pPr>
            <w:r w:rsidRPr="002B1DFC">
              <w:rPr>
                <w:rFonts w:eastAsia="Times New Roman" w:cs="Times New Roman"/>
                <w:b/>
                <w:bCs/>
              </w:rPr>
              <w:t>2</w:t>
            </w:r>
          </w:p>
        </w:tc>
        <w:tc>
          <w:tcPr>
            <w:tcW w:w="3833" w:type="pct"/>
          </w:tcPr>
          <w:p w14:paraId="175DDB3C" w14:textId="77777777" w:rsidR="000B7923" w:rsidRPr="002B1DFC" w:rsidRDefault="000B7923" w:rsidP="00F33595">
            <w:pPr>
              <w:rPr>
                <w:rFonts w:eastAsia="Times New Roman" w:cs="Times New Roman"/>
              </w:rPr>
            </w:pPr>
            <w:r w:rsidRPr="002B1DFC">
              <w:rPr>
                <w:rFonts w:eastAsia="Times New Roman" w:cs="Times New Roman"/>
              </w:rPr>
              <w:t>Department of organizational support</w:t>
            </w:r>
          </w:p>
        </w:tc>
        <w:tc>
          <w:tcPr>
            <w:tcW w:w="857" w:type="pct"/>
            <w:tcBorders>
              <w:right w:val="single" w:sz="4" w:space="0" w:color="4F81BD"/>
            </w:tcBorders>
          </w:tcPr>
          <w:p w14:paraId="06B038A3" w14:textId="77777777" w:rsidR="000B7923" w:rsidRPr="002B1DFC" w:rsidRDefault="00BF2034" w:rsidP="00F33595">
            <w:pPr>
              <w:rPr>
                <w:rFonts w:eastAsia="Times New Roman" w:cs="Times New Roman"/>
              </w:rPr>
            </w:pPr>
            <w:r>
              <w:rPr>
                <w:rFonts w:eastAsia="Times New Roman" w:cs="Times New Roman"/>
              </w:rPr>
              <w:t xml:space="preserve">  </w:t>
            </w:r>
            <w:r w:rsidR="000B7923" w:rsidRPr="002B1DFC">
              <w:rPr>
                <w:rFonts w:eastAsia="Times New Roman" w:cs="Times New Roman"/>
              </w:rPr>
              <w:t>21</w:t>
            </w:r>
          </w:p>
        </w:tc>
      </w:tr>
      <w:tr w:rsidR="000B7923" w:rsidRPr="002B1DFC" w14:paraId="0D727BA3" w14:textId="77777777">
        <w:tc>
          <w:tcPr>
            <w:tcW w:w="309" w:type="pct"/>
            <w:tcBorders>
              <w:top w:val="single" w:sz="4" w:space="0" w:color="4F81BD"/>
              <w:left w:val="single" w:sz="4" w:space="0" w:color="4F81BD"/>
              <w:bottom w:val="single" w:sz="4" w:space="0" w:color="4F81BD"/>
              <w:right w:val="nil"/>
            </w:tcBorders>
            <w:shd w:val="clear" w:color="auto" w:fill="FFFFFF"/>
          </w:tcPr>
          <w:p w14:paraId="1B48F949" w14:textId="77777777" w:rsidR="000B7923" w:rsidRPr="002B1DFC" w:rsidRDefault="000B7923" w:rsidP="00F33595">
            <w:pPr>
              <w:rPr>
                <w:rFonts w:eastAsia="Times New Roman" w:cs="Times New Roman"/>
                <w:b/>
                <w:bCs/>
              </w:rPr>
            </w:pPr>
            <w:r w:rsidRPr="002B1DFC">
              <w:rPr>
                <w:rFonts w:eastAsia="Times New Roman" w:cs="Times New Roman"/>
                <w:b/>
                <w:bCs/>
              </w:rPr>
              <w:t>3</w:t>
            </w:r>
          </w:p>
        </w:tc>
        <w:tc>
          <w:tcPr>
            <w:tcW w:w="3833" w:type="pct"/>
            <w:tcBorders>
              <w:top w:val="single" w:sz="4" w:space="0" w:color="4F81BD"/>
              <w:bottom w:val="single" w:sz="4" w:space="0" w:color="4F81BD"/>
            </w:tcBorders>
          </w:tcPr>
          <w:p w14:paraId="599034B8" w14:textId="77777777" w:rsidR="000B7923" w:rsidRPr="002B1DFC" w:rsidRDefault="000B7923" w:rsidP="00F33595">
            <w:pPr>
              <w:rPr>
                <w:rFonts w:eastAsia="Times New Roman" w:cs="Times New Roman"/>
              </w:rPr>
            </w:pPr>
            <w:r w:rsidRPr="002B1DFC">
              <w:rPr>
                <w:rFonts w:eastAsia="Times New Roman" w:cs="Times New Roman"/>
              </w:rPr>
              <w:t>Department of natural resources protection</w:t>
            </w:r>
          </w:p>
        </w:tc>
        <w:tc>
          <w:tcPr>
            <w:tcW w:w="857" w:type="pct"/>
            <w:tcBorders>
              <w:top w:val="single" w:sz="4" w:space="0" w:color="4F81BD"/>
              <w:bottom w:val="single" w:sz="4" w:space="0" w:color="4F81BD"/>
              <w:right w:val="single" w:sz="4" w:space="0" w:color="4F81BD"/>
            </w:tcBorders>
          </w:tcPr>
          <w:p w14:paraId="0C435076"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23</w:t>
            </w:r>
          </w:p>
        </w:tc>
      </w:tr>
      <w:tr w:rsidR="000B7923" w:rsidRPr="002B1DFC" w14:paraId="13B0422C" w14:textId="77777777">
        <w:tc>
          <w:tcPr>
            <w:tcW w:w="309" w:type="pct"/>
            <w:tcBorders>
              <w:left w:val="single" w:sz="4" w:space="0" w:color="4F81BD"/>
              <w:right w:val="nil"/>
            </w:tcBorders>
            <w:shd w:val="clear" w:color="auto" w:fill="FFFFFF"/>
          </w:tcPr>
          <w:p w14:paraId="7BFDDB9A" w14:textId="77777777" w:rsidR="000B7923" w:rsidRPr="002B1DFC" w:rsidRDefault="000B7923" w:rsidP="00F33595">
            <w:pPr>
              <w:rPr>
                <w:rFonts w:eastAsia="Times New Roman" w:cs="Times New Roman"/>
                <w:b/>
                <w:bCs/>
              </w:rPr>
            </w:pPr>
            <w:r w:rsidRPr="002B1DFC">
              <w:rPr>
                <w:rFonts w:eastAsia="Times New Roman" w:cs="Times New Roman"/>
                <w:b/>
                <w:bCs/>
              </w:rPr>
              <w:t>4</w:t>
            </w:r>
          </w:p>
        </w:tc>
        <w:tc>
          <w:tcPr>
            <w:tcW w:w="3833" w:type="pct"/>
          </w:tcPr>
          <w:p w14:paraId="54DE9669" w14:textId="77777777" w:rsidR="000B7923" w:rsidRPr="002B1DFC" w:rsidRDefault="000B7923" w:rsidP="00F33595">
            <w:pPr>
              <w:rPr>
                <w:rFonts w:eastAsia="Times New Roman" w:cs="Times New Roman"/>
              </w:rPr>
            </w:pPr>
            <w:r w:rsidRPr="002B1DFC">
              <w:rPr>
                <w:rFonts w:eastAsia="Times New Roman" w:cs="Times New Roman"/>
              </w:rPr>
              <w:t>Department of conservation area</w:t>
            </w:r>
          </w:p>
        </w:tc>
        <w:tc>
          <w:tcPr>
            <w:tcW w:w="857" w:type="pct"/>
            <w:tcBorders>
              <w:right w:val="single" w:sz="4" w:space="0" w:color="4F81BD"/>
            </w:tcBorders>
          </w:tcPr>
          <w:p w14:paraId="7A3D1089"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22</w:t>
            </w:r>
          </w:p>
        </w:tc>
      </w:tr>
      <w:tr w:rsidR="000B7923" w:rsidRPr="002B1DFC" w14:paraId="71823F58" w14:textId="77777777">
        <w:tc>
          <w:tcPr>
            <w:tcW w:w="309" w:type="pct"/>
            <w:tcBorders>
              <w:top w:val="single" w:sz="4" w:space="0" w:color="4F81BD"/>
              <w:left w:val="single" w:sz="4" w:space="0" w:color="4F81BD"/>
              <w:bottom w:val="single" w:sz="4" w:space="0" w:color="4F81BD"/>
              <w:right w:val="nil"/>
            </w:tcBorders>
            <w:shd w:val="clear" w:color="auto" w:fill="FFFFFF"/>
          </w:tcPr>
          <w:p w14:paraId="6BE742C3" w14:textId="77777777" w:rsidR="000B7923" w:rsidRPr="002B1DFC" w:rsidRDefault="000B7923" w:rsidP="00F33595">
            <w:pPr>
              <w:rPr>
                <w:rFonts w:eastAsia="Times New Roman" w:cs="Times New Roman"/>
                <w:b/>
                <w:bCs/>
              </w:rPr>
            </w:pPr>
            <w:r w:rsidRPr="002B1DFC">
              <w:rPr>
                <w:rFonts w:eastAsia="Times New Roman" w:cs="Times New Roman"/>
                <w:b/>
                <w:bCs/>
              </w:rPr>
              <w:t>5</w:t>
            </w:r>
          </w:p>
        </w:tc>
        <w:tc>
          <w:tcPr>
            <w:tcW w:w="3833" w:type="pct"/>
            <w:tcBorders>
              <w:top w:val="single" w:sz="4" w:space="0" w:color="4F81BD"/>
              <w:bottom w:val="single" w:sz="4" w:space="0" w:color="4F81BD"/>
            </w:tcBorders>
          </w:tcPr>
          <w:p w14:paraId="21F91632" w14:textId="77777777" w:rsidR="000B7923" w:rsidRPr="002B1DFC" w:rsidRDefault="000B7923" w:rsidP="00F33595">
            <w:pPr>
              <w:rPr>
                <w:rFonts w:eastAsia="Times New Roman" w:cs="Times New Roman"/>
              </w:rPr>
            </w:pPr>
            <w:r w:rsidRPr="002B1DFC">
              <w:rPr>
                <w:rFonts w:eastAsia="Times New Roman" w:cs="Times New Roman"/>
              </w:rPr>
              <w:t>Department of ecological safety and waste management</w:t>
            </w:r>
          </w:p>
        </w:tc>
        <w:tc>
          <w:tcPr>
            <w:tcW w:w="857" w:type="pct"/>
            <w:tcBorders>
              <w:top w:val="single" w:sz="4" w:space="0" w:color="4F81BD"/>
              <w:bottom w:val="single" w:sz="4" w:space="0" w:color="4F81BD"/>
              <w:right w:val="single" w:sz="4" w:space="0" w:color="4F81BD"/>
            </w:tcBorders>
          </w:tcPr>
          <w:p w14:paraId="6BD5509B"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22</w:t>
            </w:r>
          </w:p>
        </w:tc>
      </w:tr>
      <w:tr w:rsidR="000B7923" w:rsidRPr="002B1DFC" w14:paraId="2ACF88F7" w14:textId="77777777">
        <w:tc>
          <w:tcPr>
            <w:tcW w:w="309" w:type="pct"/>
            <w:tcBorders>
              <w:left w:val="single" w:sz="4" w:space="0" w:color="4F81BD"/>
              <w:right w:val="nil"/>
            </w:tcBorders>
            <w:shd w:val="clear" w:color="auto" w:fill="FFFFFF"/>
          </w:tcPr>
          <w:p w14:paraId="2CC508AF" w14:textId="77777777" w:rsidR="000B7923" w:rsidRPr="002B1DFC" w:rsidRDefault="000B7923" w:rsidP="00F33595">
            <w:pPr>
              <w:rPr>
                <w:rFonts w:eastAsia="Times New Roman" w:cs="Times New Roman"/>
                <w:b/>
                <w:bCs/>
              </w:rPr>
            </w:pPr>
            <w:r w:rsidRPr="002B1DFC">
              <w:rPr>
                <w:rFonts w:eastAsia="Times New Roman" w:cs="Times New Roman"/>
                <w:b/>
                <w:bCs/>
              </w:rPr>
              <w:t>6</w:t>
            </w:r>
          </w:p>
        </w:tc>
        <w:tc>
          <w:tcPr>
            <w:tcW w:w="3833" w:type="pct"/>
          </w:tcPr>
          <w:p w14:paraId="1DEAE2D7" w14:textId="77777777" w:rsidR="000B7923" w:rsidRPr="002B1DFC" w:rsidRDefault="000B7923" w:rsidP="00F33595">
            <w:pPr>
              <w:rPr>
                <w:rFonts w:eastAsia="Times New Roman" w:cs="Times New Roman"/>
              </w:rPr>
            </w:pPr>
            <w:r w:rsidRPr="002B1DFC">
              <w:rPr>
                <w:rFonts w:eastAsia="Times New Roman" w:cs="Times New Roman"/>
              </w:rPr>
              <w:t>Legal Department</w:t>
            </w:r>
          </w:p>
        </w:tc>
        <w:tc>
          <w:tcPr>
            <w:tcW w:w="857" w:type="pct"/>
            <w:tcBorders>
              <w:right w:val="single" w:sz="4" w:space="0" w:color="4F81BD"/>
            </w:tcBorders>
          </w:tcPr>
          <w:p w14:paraId="570D0D99"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22</w:t>
            </w:r>
          </w:p>
        </w:tc>
      </w:tr>
      <w:tr w:rsidR="000B7923" w:rsidRPr="002B1DFC" w14:paraId="678A62CE" w14:textId="77777777">
        <w:tc>
          <w:tcPr>
            <w:tcW w:w="309" w:type="pct"/>
            <w:tcBorders>
              <w:top w:val="single" w:sz="4" w:space="0" w:color="4F81BD"/>
              <w:left w:val="single" w:sz="4" w:space="0" w:color="4F81BD"/>
              <w:bottom w:val="single" w:sz="4" w:space="0" w:color="4F81BD"/>
              <w:right w:val="nil"/>
            </w:tcBorders>
            <w:shd w:val="clear" w:color="auto" w:fill="FFFFFF"/>
          </w:tcPr>
          <w:p w14:paraId="76C63229" w14:textId="77777777" w:rsidR="000B7923" w:rsidRPr="002B1DFC" w:rsidRDefault="000B7923" w:rsidP="00F33595">
            <w:pPr>
              <w:rPr>
                <w:rFonts w:eastAsia="Times New Roman" w:cs="Times New Roman"/>
                <w:b/>
                <w:bCs/>
              </w:rPr>
            </w:pPr>
            <w:r w:rsidRPr="002B1DFC">
              <w:rPr>
                <w:rFonts w:eastAsia="Times New Roman" w:cs="Times New Roman"/>
                <w:b/>
                <w:bCs/>
              </w:rPr>
              <w:t>7</w:t>
            </w:r>
          </w:p>
        </w:tc>
        <w:tc>
          <w:tcPr>
            <w:tcW w:w="3833" w:type="pct"/>
            <w:tcBorders>
              <w:top w:val="single" w:sz="4" w:space="0" w:color="4F81BD"/>
              <w:bottom w:val="single" w:sz="4" w:space="0" w:color="4F81BD"/>
            </w:tcBorders>
          </w:tcPr>
          <w:p w14:paraId="2C7F4535" w14:textId="77777777" w:rsidR="000B7923" w:rsidRPr="002B1DFC" w:rsidRDefault="000B7923" w:rsidP="00F33595">
            <w:pPr>
              <w:rPr>
                <w:rFonts w:eastAsia="Times New Roman" w:cs="Times New Roman"/>
              </w:rPr>
            </w:pPr>
            <w:r w:rsidRPr="002B1DFC">
              <w:rPr>
                <w:rFonts w:eastAsia="Times New Roman" w:cs="Times New Roman"/>
              </w:rPr>
              <w:t>Department of economy and finance</w:t>
            </w:r>
          </w:p>
        </w:tc>
        <w:tc>
          <w:tcPr>
            <w:tcW w:w="857" w:type="pct"/>
            <w:tcBorders>
              <w:top w:val="single" w:sz="4" w:space="0" w:color="4F81BD"/>
              <w:bottom w:val="single" w:sz="4" w:space="0" w:color="4F81BD"/>
              <w:right w:val="single" w:sz="4" w:space="0" w:color="4F81BD"/>
            </w:tcBorders>
          </w:tcPr>
          <w:p w14:paraId="298ED4E7"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22</w:t>
            </w:r>
          </w:p>
        </w:tc>
      </w:tr>
      <w:tr w:rsidR="000B7923" w:rsidRPr="002B1DFC" w14:paraId="4A364034" w14:textId="77777777">
        <w:tc>
          <w:tcPr>
            <w:tcW w:w="309" w:type="pct"/>
            <w:tcBorders>
              <w:left w:val="single" w:sz="4" w:space="0" w:color="4F81BD"/>
              <w:right w:val="nil"/>
            </w:tcBorders>
            <w:shd w:val="clear" w:color="auto" w:fill="FFFFFF"/>
          </w:tcPr>
          <w:p w14:paraId="42FD5E37" w14:textId="77777777" w:rsidR="000B7923" w:rsidRPr="002B1DFC" w:rsidRDefault="000B7923" w:rsidP="00F33595">
            <w:pPr>
              <w:rPr>
                <w:rFonts w:eastAsia="Times New Roman" w:cs="Times New Roman"/>
                <w:b/>
                <w:bCs/>
              </w:rPr>
            </w:pPr>
            <w:r w:rsidRPr="002B1DFC">
              <w:rPr>
                <w:rFonts w:eastAsia="Times New Roman" w:cs="Times New Roman"/>
                <w:b/>
                <w:bCs/>
              </w:rPr>
              <w:t>8</w:t>
            </w:r>
          </w:p>
        </w:tc>
        <w:tc>
          <w:tcPr>
            <w:tcW w:w="3833" w:type="pct"/>
          </w:tcPr>
          <w:p w14:paraId="0D14349B" w14:textId="77777777" w:rsidR="000B7923" w:rsidRPr="002B1DFC" w:rsidRDefault="000B7923" w:rsidP="00F33595">
            <w:pPr>
              <w:rPr>
                <w:rFonts w:eastAsia="Times New Roman" w:cs="Times New Roman"/>
              </w:rPr>
            </w:pPr>
            <w:r w:rsidRPr="002B1DFC">
              <w:rPr>
                <w:rFonts w:eastAsia="Times New Roman" w:cs="Times New Roman"/>
              </w:rPr>
              <w:t>Directorate of international collaboration</w:t>
            </w:r>
          </w:p>
        </w:tc>
        <w:tc>
          <w:tcPr>
            <w:tcW w:w="857" w:type="pct"/>
            <w:tcBorders>
              <w:right w:val="single" w:sz="4" w:space="0" w:color="4F81BD"/>
            </w:tcBorders>
          </w:tcPr>
          <w:p w14:paraId="5B32E2DE"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11</w:t>
            </w:r>
          </w:p>
        </w:tc>
      </w:tr>
      <w:tr w:rsidR="000B7923" w:rsidRPr="002B1DFC" w14:paraId="38295EC2" w14:textId="77777777">
        <w:tc>
          <w:tcPr>
            <w:tcW w:w="309" w:type="pct"/>
            <w:tcBorders>
              <w:top w:val="single" w:sz="4" w:space="0" w:color="4F81BD"/>
              <w:left w:val="single" w:sz="4" w:space="0" w:color="4F81BD"/>
              <w:bottom w:val="single" w:sz="4" w:space="0" w:color="4F81BD"/>
              <w:right w:val="nil"/>
            </w:tcBorders>
            <w:shd w:val="clear" w:color="auto" w:fill="FFFFFF"/>
          </w:tcPr>
          <w:p w14:paraId="1E49F7C4" w14:textId="77777777" w:rsidR="000B7923" w:rsidRPr="002B1DFC" w:rsidRDefault="000B7923" w:rsidP="00F33595">
            <w:pPr>
              <w:rPr>
                <w:rFonts w:eastAsia="Times New Roman" w:cs="Times New Roman"/>
                <w:b/>
                <w:bCs/>
              </w:rPr>
            </w:pPr>
            <w:r w:rsidRPr="002B1DFC">
              <w:rPr>
                <w:rFonts w:eastAsia="Times New Roman" w:cs="Times New Roman"/>
                <w:b/>
                <w:bCs/>
              </w:rPr>
              <w:t>9</w:t>
            </w:r>
          </w:p>
        </w:tc>
        <w:tc>
          <w:tcPr>
            <w:tcW w:w="3833" w:type="pct"/>
            <w:tcBorders>
              <w:top w:val="single" w:sz="4" w:space="0" w:color="4F81BD"/>
              <w:bottom w:val="single" w:sz="4" w:space="0" w:color="4F81BD"/>
            </w:tcBorders>
          </w:tcPr>
          <w:p w14:paraId="16B2CAC2" w14:textId="77777777" w:rsidR="000B7923" w:rsidRPr="002B1DFC" w:rsidRDefault="000B7923" w:rsidP="00F33595">
            <w:pPr>
              <w:rPr>
                <w:rFonts w:eastAsia="Times New Roman" w:cs="Times New Roman"/>
              </w:rPr>
            </w:pPr>
            <w:r w:rsidRPr="002B1DFC">
              <w:rPr>
                <w:rFonts w:eastAsia="Times New Roman" w:cs="Times New Roman"/>
              </w:rPr>
              <w:t>Directorate of monitoring and atmospheric air</w:t>
            </w:r>
          </w:p>
        </w:tc>
        <w:tc>
          <w:tcPr>
            <w:tcW w:w="857" w:type="pct"/>
            <w:tcBorders>
              <w:top w:val="single" w:sz="4" w:space="0" w:color="4F81BD"/>
              <w:bottom w:val="single" w:sz="4" w:space="0" w:color="4F81BD"/>
              <w:right w:val="single" w:sz="4" w:space="0" w:color="4F81BD"/>
            </w:tcBorders>
          </w:tcPr>
          <w:p w14:paraId="641942ED"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11</w:t>
            </w:r>
          </w:p>
        </w:tc>
      </w:tr>
      <w:tr w:rsidR="000B7923" w:rsidRPr="002B1DFC" w14:paraId="6DA33849" w14:textId="77777777">
        <w:tc>
          <w:tcPr>
            <w:tcW w:w="309" w:type="pct"/>
            <w:tcBorders>
              <w:left w:val="single" w:sz="4" w:space="0" w:color="4F81BD"/>
              <w:right w:val="nil"/>
            </w:tcBorders>
            <w:shd w:val="clear" w:color="auto" w:fill="FFFFFF"/>
          </w:tcPr>
          <w:p w14:paraId="2624F818" w14:textId="77777777" w:rsidR="000B7923" w:rsidRPr="002B1DFC" w:rsidRDefault="000B7923" w:rsidP="00F33595">
            <w:pPr>
              <w:rPr>
                <w:rFonts w:eastAsia="Times New Roman" w:cs="Times New Roman"/>
                <w:b/>
                <w:bCs/>
              </w:rPr>
            </w:pPr>
            <w:r w:rsidRPr="002B1DFC">
              <w:rPr>
                <w:rFonts w:eastAsia="Times New Roman" w:cs="Times New Roman"/>
                <w:b/>
                <w:bCs/>
              </w:rPr>
              <w:t>10</w:t>
            </w:r>
          </w:p>
        </w:tc>
        <w:tc>
          <w:tcPr>
            <w:tcW w:w="3833" w:type="pct"/>
          </w:tcPr>
          <w:p w14:paraId="734E6C5C" w14:textId="77777777" w:rsidR="000B7923" w:rsidRPr="002B1DFC" w:rsidRDefault="000B7923" w:rsidP="00F33595">
            <w:pPr>
              <w:rPr>
                <w:rFonts w:eastAsia="Times New Roman" w:cs="Times New Roman"/>
              </w:rPr>
            </w:pPr>
            <w:r w:rsidRPr="002B1DFC">
              <w:rPr>
                <w:rFonts w:eastAsia="Times New Roman" w:cs="Times New Roman"/>
              </w:rPr>
              <w:t>Directorate of material and technical provision</w:t>
            </w:r>
          </w:p>
        </w:tc>
        <w:tc>
          <w:tcPr>
            <w:tcW w:w="857" w:type="pct"/>
            <w:tcBorders>
              <w:right w:val="single" w:sz="4" w:space="0" w:color="4F81BD"/>
            </w:tcBorders>
          </w:tcPr>
          <w:p w14:paraId="229FF5BE"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14</w:t>
            </w:r>
          </w:p>
        </w:tc>
      </w:tr>
      <w:tr w:rsidR="000B7923" w:rsidRPr="002B1DFC" w14:paraId="50E0ED1D" w14:textId="77777777">
        <w:tc>
          <w:tcPr>
            <w:tcW w:w="309" w:type="pct"/>
            <w:tcBorders>
              <w:top w:val="single" w:sz="4" w:space="0" w:color="4F81BD"/>
              <w:left w:val="single" w:sz="4" w:space="0" w:color="4F81BD"/>
              <w:bottom w:val="single" w:sz="4" w:space="0" w:color="4F81BD"/>
              <w:right w:val="nil"/>
            </w:tcBorders>
            <w:shd w:val="clear" w:color="auto" w:fill="FFFFFF"/>
          </w:tcPr>
          <w:p w14:paraId="29B3468D" w14:textId="77777777" w:rsidR="000B7923" w:rsidRPr="002B1DFC" w:rsidRDefault="000B7923" w:rsidP="00F33595">
            <w:pPr>
              <w:rPr>
                <w:rFonts w:eastAsia="Times New Roman" w:cs="Times New Roman"/>
                <w:b/>
                <w:bCs/>
              </w:rPr>
            </w:pPr>
            <w:r w:rsidRPr="002B1DFC">
              <w:rPr>
                <w:rFonts w:eastAsia="Times New Roman" w:cs="Times New Roman"/>
                <w:b/>
                <w:bCs/>
              </w:rPr>
              <w:t>11</w:t>
            </w:r>
          </w:p>
        </w:tc>
        <w:tc>
          <w:tcPr>
            <w:tcW w:w="3833" w:type="pct"/>
            <w:tcBorders>
              <w:top w:val="single" w:sz="4" w:space="0" w:color="4F81BD"/>
              <w:bottom w:val="single" w:sz="4" w:space="0" w:color="4F81BD"/>
            </w:tcBorders>
          </w:tcPr>
          <w:p w14:paraId="5DA656C7" w14:textId="77777777" w:rsidR="000B7923" w:rsidRPr="002B1DFC" w:rsidRDefault="000B7923" w:rsidP="00F33595">
            <w:pPr>
              <w:rPr>
                <w:rFonts w:eastAsia="Times New Roman" w:cs="Times New Roman"/>
              </w:rPr>
            </w:pPr>
            <w:r w:rsidRPr="002B1DFC">
              <w:rPr>
                <w:rFonts w:eastAsia="Times New Roman" w:cs="Times New Roman"/>
              </w:rPr>
              <w:t>Division of ecological policy and scientific activity</w:t>
            </w:r>
          </w:p>
        </w:tc>
        <w:tc>
          <w:tcPr>
            <w:tcW w:w="857" w:type="pct"/>
            <w:tcBorders>
              <w:top w:val="single" w:sz="4" w:space="0" w:color="4F81BD"/>
              <w:bottom w:val="single" w:sz="4" w:space="0" w:color="4F81BD"/>
              <w:right w:val="single" w:sz="4" w:space="0" w:color="4F81BD"/>
            </w:tcBorders>
          </w:tcPr>
          <w:p w14:paraId="515BFC0A"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9</w:t>
            </w:r>
          </w:p>
        </w:tc>
      </w:tr>
      <w:tr w:rsidR="000B7923" w:rsidRPr="002B1DFC" w14:paraId="0BF92520" w14:textId="77777777">
        <w:tc>
          <w:tcPr>
            <w:tcW w:w="309" w:type="pct"/>
            <w:tcBorders>
              <w:left w:val="single" w:sz="4" w:space="0" w:color="4F81BD"/>
              <w:right w:val="nil"/>
            </w:tcBorders>
            <w:shd w:val="clear" w:color="auto" w:fill="FFFFFF"/>
          </w:tcPr>
          <w:p w14:paraId="5FF55770" w14:textId="77777777" w:rsidR="000B7923" w:rsidRPr="002B1DFC" w:rsidRDefault="000B7923" w:rsidP="00F33595">
            <w:pPr>
              <w:rPr>
                <w:rFonts w:eastAsia="Times New Roman" w:cs="Times New Roman"/>
                <w:b/>
                <w:bCs/>
              </w:rPr>
            </w:pPr>
            <w:r w:rsidRPr="002B1DFC">
              <w:rPr>
                <w:rFonts w:eastAsia="Times New Roman" w:cs="Times New Roman"/>
                <w:b/>
                <w:bCs/>
              </w:rPr>
              <w:t>12</w:t>
            </w:r>
          </w:p>
        </w:tc>
        <w:tc>
          <w:tcPr>
            <w:tcW w:w="3833" w:type="pct"/>
          </w:tcPr>
          <w:p w14:paraId="62283EB9" w14:textId="77777777" w:rsidR="000B7923" w:rsidRPr="002B1DFC" w:rsidRDefault="000B7923" w:rsidP="00F33595">
            <w:pPr>
              <w:rPr>
                <w:rFonts w:eastAsia="Times New Roman" w:cs="Times New Roman"/>
              </w:rPr>
            </w:pPr>
            <w:r w:rsidRPr="002B1DFC">
              <w:rPr>
                <w:rFonts w:eastAsia="Times New Roman" w:cs="Times New Roman"/>
              </w:rPr>
              <w:t>Division of staff management</w:t>
            </w:r>
          </w:p>
        </w:tc>
        <w:tc>
          <w:tcPr>
            <w:tcW w:w="857" w:type="pct"/>
            <w:tcBorders>
              <w:right w:val="single" w:sz="4" w:space="0" w:color="4F81BD"/>
            </w:tcBorders>
          </w:tcPr>
          <w:p w14:paraId="3CFB33A5"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8</w:t>
            </w:r>
          </w:p>
        </w:tc>
      </w:tr>
      <w:tr w:rsidR="000B7923" w:rsidRPr="002B1DFC" w14:paraId="30309CD9" w14:textId="77777777">
        <w:tc>
          <w:tcPr>
            <w:tcW w:w="309" w:type="pct"/>
            <w:tcBorders>
              <w:top w:val="single" w:sz="4" w:space="0" w:color="4F81BD"/>
              <w:left w:val="single" w:sz="4" w:space="0" w:color="4F81BD"/>
              <w:bottom w:val="single" w:sz="4" w:space="0" w:color="4F81BD"/>
              <w:right w:val="nil"/>
            </w:tcBorders>
            <w:shd w:val="clear" w:color="auto" w:fill="FFFFFF"/>
          </w:tcPr>
          <w:p w14:paraId="7011EA7A" w14:textId="77777777" w:rsidR="000B7923" w:rsidRPr="002B1DFC" w:rsidRDefault="000B7923" w:rsidP="00F33595">
            <w:pPr>
              <w:rPr>
                <w:rFonts w:eastAsia="Times New Roman" w:cs="Times New Roman"/>
                <w:b/>
                <w:bCs/>
              </w:rPr>
            </w:pPr>
            <w:r w:rsidRPr="002B1DFC">
              <w:rPr>
                <w:rFonts w:eastAsia="Times New Roman" w:cs="Times New Roman"/>
                <w:b/>
                <w:bCs/>
              </w:rPr>
              <w:t>13</w:t>
            </w:r>
          </w:p>
        </w:tc>
        <w:tc>
          <w:tcPr>
            <w:tcW w:w="3833" w:type="pct"/>
            <w:tcBorders>
              <w:top w:val="single" w:sz="4" w:space="0" w:color="4F81BD"/>
              <w:bottom w:val="single" w:sz="4" w:space="0" w:color="4F81BD"/>
            </w:tcBorders>
          </w:tcPr>
          <w:p w14:paraId="7A5D50D0" w14:textId="77777777" w:rsidR="000B7923" w:rsidRPr="002B1DFC" w:rsidRDefault="000B7923" w:rsidP="00F33595">
            <w:pPr>
              <w:rPr>
                <w:rFonts w:eastAsia="Times New Roman" w:cs="Times New Roman"/>
              </w:rPr>
            </w:pPr>
            <w:r w:rsidRPr="002B1DFC">
              <w:rPr>
                <w:rFonts w:eastAsia="Times New Roman" w:cs="Times New Roman"/>
              </w:rPr>
              <w:t>Division of accounting and reporting</w:t>
            </w:r>
          </w:p>
        </w:tc>
        <w:tc>
          <w:tcPr>
            <w:tcW w:w="857" w:type="pct"/>
            <w:tcBorders>
              <w:top w:val="single" w:sz="4" w:space="0" w:color="4F81BD"/>
              <w:bottom w:val="single" w:sz="4" w:space="0" w:color="4F81BD"/>
              <w:right w:val="single" w:sz="4" w:space="0" w:color="4F81BD"/>
            </w:tcBorders>
          </w:tcPr>
          <w:p w14:paraId="68F23D90"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7</w:t>
            </w:r>
          </w:p>
        </w:tc>
      </w:tr>
      <w:tr w:rsidR="000B7923" w:rsidRPr="002B1DFC" w14:paraId="1CF05695" w14:textId="77777777">
        <w:tc>
          <w:tcPr>
            <w:tcW w:w="309" w:type="pct"/>
            <w:tcBorders>
              <w:left w:val="single" w:sz="4" w:space="0" w:color="4F81BD"/>
              <w:right w:val="nil"/>
            </w:tcBorders>
            <w:shd w:val="clear" w:color="auto" w:fill="FFFFFF"/>
          </w:tcPr>
          <w:p w14:paraId="53FDFB03" w14:textId="77777777" w:rsidR="000B7923" w:rsidRPr="002B1DFC" w:rsidRDefault="000B7923" w:rsidP="00F33595">
            <w:pPr>
              <w:rPr>
                <w:rFonts w:eastAsia="Times New Roman" w:cs="Times New Roman"/>
                <w:b/>
                <w:bCs/>
              </w:rPr>
            </w:pPr>
            <w:r w:rsidRPr="002B1DFC">
              <w:rPr>
                <w:rFonts w:eastAsia="Times New Roman" w:cs="Times New Roman"/>
                <w:b/>
                <w:bCs/>
              </w:rPr>
              <w:t>14</w:t>
            </w:r>
          </w:p>
        </w:tc>
        <w:tc>
          <w:tcPr>
            <w:tcW w:w="3833" w:type="pct"/>
          </w:tcPr>
          <w:p w14:paraId="5193752F" w14:textId="77777777" w:rsidR="000B7923" w:rsidRPr="002B1DFC" w:rsidRDefault="000B7923" w:rsidP="00F33595">
            <w:pPr>
              <w:rPr>
                <w:rFonts w:eastAsia="Times New Roman" w:cs="Times New Roman"/>
              </w:rPr>
            </w:pPr>
            <w:r w:rsidRPr="002B1DFC">
              <w:rPr>
                <w:rFonts w:eastAsia="Times New Roman" w:cs="Times New Roman"/>
              </w:rPr>
              <w:t>Sector of internal audit</w:t>
            </w:r>
          </w:p>
        </w:tc>
        <w:tc>
          <w:tcPr>
            <w:tcW w:w="857" w:type="pct"/>
            <w:tcBorders>
              <w:right w:val="single" w:sz="4" w:space="0" w:color="4F81BD"/>
            </w:tcBorders>
          </w:tcPr>
          <w:p w14:paraId="210376C6"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2</w:t>
            </w:r>
          </w:p>
        </w:tc>
      </w:tr>
      <w:tr w:rsidR="000B7923" w:rsidRPr="002B1DFC" w14:paraId="3D45F497" w14:textId="77777777">
        <w:tc>
          <w:tcPr>
            <w:tcW w:w="309" w:type="pct"/>
            <w:tcBorders>
              <w:top w:val="single" w:sz="4" w:space="0" w:color="4F81BD"/>
              <w:left w:val="single" w:sz="4" w:space="0" w:color="4F81BD"/>
              <w:bottom w:val="single" w:sz="4" w:space="0" w:color="4F81BD"/>
              <w:right w:val="nil"/>
            </w:tcBorders>
            <w:shd w:val="clear" w:color="auto" w:fill="FFFFFF"/>
          </w:tcPr>
          <w:p w14:paraId="4B366500" w14:textId="77777777" w:rsidR="000B7923" w:rsidRPr="002B1DFC" w:rsidRDefault="000B7923" w:rsidP="00F33595">
            <w:pPr>
              <w:rPr>
                <w:rFonts w:eastAsia="Times New Roman" w:cs="Times New Roman"/>
                <w:b/>
                <w:bCs/>
              </w:rPr>
            </w:pPr>
            <w:r w:rsidRPr="002B1DFC">
              <w:rPr>
                <w:rFonts w:eastAsia="Times New Roman" w:cs="Times New Roman"/>
                <w:b/>
                <w:bCs/>
              </w:rPr>
              <w:t>15</w:t>
            </w:r>
          </w:p>
        </w:tc>
        <w:tc>
          <w:tcPr>
            <w:tcW w:w="3833" w:type="pct"/>
            <w:tcBorders>
              <w:top w:val="single" w:sz="4" w:space="0" w:color="4F81BD"/>
              <w:bottom w:val="single" w:sz="4" w:space="0" w:color="4F81BD"/>
            </w:tcBorders>
          </w:tcPr>
          <w:p w14:paraId="00CD86CC" w14:textId="77777777" w:rsidR="000B7923" w:rsidRPr="002B1DFC" w:rsidRDefault="000B7923" w:rsidP="00F33595">
            <w:pPr>
              <w:rPr>
                <w:rFonts w:eastAsia="Times New Roman" w:cs="Times New Roman"/>
              </w:rPr>
            </w:pPr>
            <w:r w:rsidRPr="002B1DFC">
              <w:rPr>
                <w:rFonts w:eastAsia="Times New Roman" w:cs="Times New Roman"/>
              </w:rPr>
              <w:t>Sector of control of the implementation of acts and commissions of high-ranking bodies of the state authority</w:t>
            </w:r>
          </w:p>
        </w:tc>
        <w:tc>
          <w:tcPr>
            <w:tcW w:w="857" w:type="pct"/>
            <w:tcBorders>
              <w:top w:val="single" w:sz="4" w:space="0" w:color="4F81BD"/>
              <w:bottom w:val="single" w:sz="4" w:space="0" w:color="4F81BD"/>
              <w:right w:val="single" w:sz="4" w:space="0" w:color="4F81BD"/>
            </w:tcBorders>
          </w:tcPr>
          <w:p w14:paraId="67B8F2C2"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2</w:t>
            </w:r>
          </w:p>
        </w:tc>
      </w:tr>
      <w:tr w:rsidR="000B7923" w:rsidRPr="002B1DFC" w14:paraId="38A2ADED" w14:textId="77777777">
        <w:tc>
          <w:tcPr>
            <w:tcW w:w="309" w:type="pct"/>
            <w:tcBorders>
              <w:left w:val="single" w:sz="4" w:space="0" w:color="4F81BD"/>
              <w:right w:val="nil"/>
            </w:tcBorders>
            <w:shd w:val="clear" w:color="auto" w:fill="FFFFFF"/>
          </w:tcPr>
          <w:p w14:paraId="3FC50A50" w14:textId="77777777" w:rsidR="000B7923" w:rsidRPr="002B1DFC" w:rsidRDefault="000B7923" w:rsidP="00F33595">
            <w:pPr>
              <w:rPr>
                <w:rFonts w:eastAsia="Times New Roman" w:cs="Times New Roman"/>
                <w:b/>
                <w:bCs/>
              </w:rPr>
            </w:pPr>
            <w:r w:rsidRPr="002B1DFC">
              <w:rPr>
                <w:rFonts w:eastAsia="Times New Roman" w:cs="Times New Roman"/>
                <w:b/>
                <w:bCs/>
              </w:rPr>
              <w:t>16</w:t>
            </w:r>
          </w:p>
        </w:tc>
        <w:tc>
          <w:tcPr>
            <w:tcW w:w="3833" w:type="pct"/>
          </w:tcPr>
          <w:p w14:paraId="05298784" w14:textId="77777777" w:rsidR="000B7923" w:rsidRPr="002B1DFC" w:rsidRDefault="000B7923" w:rsidP="00F33595">
            <w:pPr>
              <w:rPr>
                <w:rFonts w:eastAsia="Times New Roman" w:cs="Times New Roman"/>
              </w:rPr>
            </w:pPr>
            <w:r w:rsidRPr="002B1DFC">
              <w:rPr>
                <w:rFonts w:eastAsia="Times New Roman" w:cs="Times New Roman"/>
              </w:rPr>
              <w:t>Sector of public purchases</w:t>
            </w:r>
          </w:p>
        </w:tc>
        <w:tc>
          <w:tcPr>
            <w:tcW w:w="857" w:type="pct"/>
            <w:tcBorders>
              <w:right w:val="single" w:sz="4" w:space="0" w:color="4F81BD"/>
            </w:tcBorders>
          </w:tcPr>
          <w:p w14:paraId="25408E60"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2</w:t>
            </w:r>
          </w:p>
        </w:tc>
      </w:tr>
      <w:tr w:rsidR="000B7923" w:rsidRPr="002B1DFC" w14:paraId="03ECE4ED" w14:textId="77777777">
        <w:tc>
          <w:tcPr>
            <w:tcW w:w="309" w:type="pct"/>
            <w:tcBorders>
              <w:top w:val="single" w:sz="4" w:space="0" w:color="4F81BD"/>
              <w:left w:val="single" w:sz="4" w:space="0" w:color="4F81BD"/>
              <w:bottom w:val="single" w:sz="4" w:space="0" w:color="4F81BD"/>
              <w:right w:val="nil"/>
            </w:tcBorders>
            <w:shd w:val="clear" w:color="auto" w:fill="FFFFFF"/>
          </w:tcPr>
          <w:p w14:paraId="53F727A7" w14:textId="77777777" w:rsidR="000B7923" w:rsidRPr="002B1DFC" w:rsidRDefault="000B7923" w:rsidP="00F33595">
            <w:pPr>
              <w:rPr>
                <w:rFonts w:eastAsia="Times New Roman" w:cs="Times New Roman"/>
                <w:b/>
                <w:bCs/>
              </w:rPr>
            </w:pPr>
            <w:r w:rsidRPr="002B1DFC">
              <w:rPr>
                <w:rFonts w:eastAsia="Times New Roman" w:cs="Times New Roman"/>
                <w:b/>
                <w:bCs/>
              </w:rPr>
              <w:t>17</w:t>
            </w:r>
          </w:p>
        </w:tc>
        <w:tc>
          <w:tcPr>
            <w:tcW w:w="3833" w:type="pct"/>
            <w:tcBorders>
              <w:top w:val="single" w:sz="4" w:space="0" w:color="4F81BD"/>
              <w:bottom w:val="single" w:sz="4" w:space="0" w:color="4F81BD"/>
            </w:tcBorders>
          </w:tcPr>
          <w:p w14:paraId="4BB9013E" w14:textId="77777777" w:rsidR="000B7923" w:rsidRPr="002B1DFC" w:rsidRDefault="000B7923" w:rsidP="00F33595">
            <w:pPr>
              <w:rPr>
                <w:rFonts w:eastAsia="Times New Roman" w:cs="Times New Roman"/>
              </w:rPr>
            </w:pPr>
            <w:r w:rsidRPr="002B1DFC">
              <w:rPr>
                <w:rFonts w:eastAsia="Times New Roman" w:cs="Times New Roman"/>
              </w:rPr>
              <w:t>Sector of permits’ recording (single window)</w:t>
            </w:r>
          </w:p>
        </w:tc>
        <w:tc>
          <w:tcPr>
            <w:tcW w:w="857" w:type="pct"/>
            <w:tcBorders>
              <w:top w:val="single" w:sz="4" w:space="0" w:color="4F81BD"/>
              <w:bottom w:val="single" w:sz="4" w:space="0" w:color="4F81BD"/>
              <w:right w:val="single" w:sz="4" w:space="0" w:color="4F81BD"/>
            </w:tcBorders>
          </w:tcPr>
          <w:p w14:paraId="13717D9E"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2</w:t>
            </w:r>
          </w:p>
        </w:tc>
      </w:tr>
      <w:tr w:rsidR="000B7923" w:rsidRPr="002B1DFC" w14:paraId="1EADF2C8" w14:textId="77777777">
        <w:tc>
          <w:tcPr>
            <w:tcW w:w="309" w:type="pct"/>
            <w:tcBorders>
              <w:left w:val="single" w:sz="4" w:space="0" w:color="4F81BD"/>
              <w:right w:val="nil"/>
            </w:tcBorders>
            <w:shd w:val="clear" w:color="auto" w:fill="FFFFFF"/>
          </w:tcPr>
          <w:p w14:paraId="3217195D" w14:textId="77777777" w:rsidR="000B7923" w:rsidRPr="002B1DFC" w:rsidRDefault="000B7923" w:rsidP="00F33595">
            <w:pPr>
              <w:rPr>
                <w:rFonts w:eastAsia="Times New Roman" w:cs="Times New Roman"/>
                <w:b/>
                <w:bCs/>
              </w:rPr>
            </w:pPr>
            <w:r w:rsidRPr="002B1DFC">
              <w:rPr>
                <w:rFonts w:eastAsia="Times New Roman" w:cs="Times New Roman"/>
                <w:b/>
                <w:bCs/>
              </w:rPr>
              <w:t>18</w:t>
            </w:r>
          </w:p>
        </w:tc>
        <w:tc>
          <w:tcPr>
            <w:tcW w:w="3833" w:type="pct"/>
          </w:tcPr>
          <w:p w14:paraId="3B34C047" w14:textId="77777777" w:rsidR="000B7923" w:rsidRPr="002B1DFC" w:rsidRDefault="000B7923" w:rsidP="00F33595">
            <w:pPr>
              <w:rPr>
                <w:rFonts w:eastAsia="Times New Roman" w:cs="Times New Roman"/>
              </w:rPr>
            </w:pPr>
            <w:r w:rsidRPr="002B1DFC">
              <w:rPr>
                <w:rFonts w:eastAsia="Times New Roman" w:cs="Times New Roman"/>
              </w:rPr>
              <w:t>Sector of security work</w:t>
            </w:r>
          </w:p>
        </w:tc>
        <w:tc>
          <w:tcPr>
            <w:tcW w:w="857" w:type="pct"/>
            <w:tcBorders>
              <w:right w:val="single" w:sz="4" w:space="0" w:color="4F81BD"/>
            </w:tcBorders>
          </w:tcPr>
          <w:p w14:paraId="71C1462C"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2</w:t>
            </w:r>
          </w:p>
        </w:tc>
      </w:tr>
      <w:tr w:rsidR="000B7923" w:rsidRPr="002B1DFC" w14:paraId="5A2AC750" w14:textId="77777777">
        <w:tc>
          <w:tcPr>
            <w:tcW w:w="309" w:type="pct"/>
            <w:tcBorders>
              <w:top w:val="single" w:sz="4" w:space="0" w:color="4F81BD"/>
              <w:left w:val="single" w:sz="4" w:space="0" w:color="4F81BD"/>
              <w:bottom w:val="single" w:sz="4" w:space="0" w:color="4F81BD"/>
              <w:right w:val="nil"/>
            </w:tcBorders>
            <w:shd w:val="clear" w:color="auto" w:fill="FFFFFF"/>
          </w:tcPr>
          <w:p w14:paraId="1247B29C" w14:textId="77777777" w:rsidR="000B7923" w:rsidRPr="002B1DFC" w:rsidRDefault="000B7923" w:rsidP="00F33595">
            <w:pPr>
              <w:rPr>
                <w:rFonts w:eastAsia="Times New Roman" w:cs="Times New Roman"/>
                <w:b/>
                <w:bCs/>
              </w:rPr>
            </w:pPr>
            <w:r w:rsidRPr="002B1DFC">
              <w:rPr>
                <w:rFonts w:eastAsia="Times New Roman" w:cs="Times New Roman"/>
                <w:b/>
                <w:bCs/>
              </w:rPr>
              <w:t>19</w:t>
            </w:r>
          </w:p>
        </w:tc>
        <w:tc>
          <w:tcPr>
            <w:tcW w:w="3833" w:type="pct"/>
            <w:tcBorders>
              <w:top w:val="single" w:sz="4" w:space="0" w:color="4F81BD"/>
              <w:bottom w:val="single" w:sz="4" w:space="0" w:color="4F81BD"/>
            </w:tcBorders>
          </w:tcPr>
          <w:p w14:paraId="639BB6E1" w14:textId="77777777" w:rsidR="000B7923" w:rsidRPr="002B1DFC" w:rsidRDefault="000B7923" w:rsidP="00F33595">
            <w:pPr>
              <w:rPr>
                <w:rFonts w:eastAsia="Times New Roman" w:cs="Times New Roman"/>
              </w:rPr>
            </w:pPr>
            <w:r w:rsidRPr="002B1DFC">
              <w:rPr>
                <w:rFonts w:eastAsia="Times New Roman" w:cs="Times New Roman"/>
              </w:rPr>
              <w:t xml:space="preserve">Chief specialist of </w:t>
            </w:r>
            <w:r w:rsidR="00A70A2C" w:rsidRPr="002B1DFC">
              <w:rPr>
                <w:rFonts w:eastAsia="Times New Roman" w:cs="Times New Roman"/>
              </w:rPr>
              <w:t>labor</w:t>
            </w:r>
            <w:r w:rsidRPr="002B1DFC">
              <w:rPr>
                <w:rFonts w:eastAsia="Times New Roman" w:cs="Times New Roman"/>
              </w:rPr>
              <w:t xml:space="preserve"> protection</w:t>
            </w:r>
          </w:p>
        </w:tc>
        <w:tc>
          <w:tcPr>
            <w:tcW w:w="857" w:type="pct"/>
            <w:tcBorders>
              <w:top w:val="single" w:sz="4" w:space="0" w:color="4F81BD"/>
              <w:bottom w:val="single" w:sz="4" w:space="0" w:color="4F81BD"/>
              <w:right w:val="single" w:sz="4" w:space="0" w:color="4F81BD"/>
            </w:tcBorders>
          </w:tcPr>
          <w:p w14:paraId="67C3B605"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1</w:t>
            </w:r>
          </w:p>
        </w:tc>
      </w:tr>
      <w:tr w:rsidR="000B7923" w:rsidRPr="002B1DFC" w14:paraId="5F68AAF9" w14:textId="77777777">
        <w:tc>
          <w:tcPr>
            <w:tcW w:w="309" w:type="pct"/>
            <w:tcBorders>
              <w:left w:val="single" w:sz="4" w:space="0" w:color="4F81BD"/>
              <w:right w:val="nil"/>
            </w:tcBorders>
            <w:shd w:val="clear" w:color="auto" w:fill="FFFFFF"/>
          </w:tcPr>
          <w:p w14:paraId="362D3EAD" w14:textId="77777777" w:rsidR="000B7923" w:rsidRPr="002B1DFC" w:rsidRDefault="000B7923" w:rsidP="00F33595">
            <w:pPr>
              <w:rPr>
                <w:rFonts w:eastAsia="Times New Roman" w:cs="Times New Roman"/>
                <w:b/>
                <w:bCs/>
              </w:rPr>
            </w:pPr>
            <w:r w:rsidRPr="002B1DFC">
              <w:rPr>
                <w:rFonts w:eastAsia="Times New Roman" w:cs="Times New Roman"/>
                <w:b/>
                <w:bCs/>
              </w:rPr>
              <w:t>20</w:t>
            </w:r>
          </w:p>
        </w:tc>
        <w:tc>
          <w:tcPr>
            <w:tcW w:w="3833" w:type="pct"/>
          </w:tcPr>
          <w:p w14:paraId="00CA3AEF" w14:textId="77777777" w:rsidR="000B7923" w:rsidRPr="002B1DFC" w:rsidRDefault="000B7923" w:rsidP="00F33595">
            <w:pPr>
              <w:rPr>
                <w:rFonts w:eastAsia="Times New Roman" w:cs="Times New Roman"/>
              </w:rPr>
            </w:pPr>
            <w:r w:rsidRPr="002B1DFC">
              <w:rPr>
                <w:rFonts w:eastAsia="Times New Roman" w:cs="Times New Roman"/>
              </w:rPr>
              <w:t>Chief specialist of the preparedness activity</w:t>
            </w:r>
          </w:p>
        </w:tc>
        <w:tc>
          <w:tcPr>
            <w:tcW w:w="857" w:type="pct"/>
            <w:tcBorders>
              <w:right w:val="single" w:sz="4" w:space="0" w:color="4F81BD"/>
            </w:tcBorders>
          </w:tcPr>
          <w:p w14:paraId="69438C42"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1</w:t>
            </w:r>
          </w:p>
        </w:tc>
      </w:tr>
      <w:tr w:rsidR="000B7923" w:rsidRPr="002B1DFC" w14:paraId="3BB99000" w14:textId="77777777">
        <w:tc>
          <w:tcPr>
            <w:tcW w:w="309" w:type="pct"/>
            <w:tcBorders>
              <w:top w:val="single" w:sz="4" w:space="0" w:color="4F81BD"/>
              <w:left w:val="single" w:sz="4" w:space="0" w:color="4F81BD"/>
              <w:bottom w:val="single" w:sz="4" w:space="0" w:color="4F81BD"/>
              <w:right w:val="nil"/>
            </w:tcBorders>
            <w:shd w:val="clear" w:color="auto" w:fill="FFFFFF"/>
          </w:tcPr>
          <w:p w14:paraId="4D740672" w14:textId="77777777" w:rsidR="000B7923" w:rsidRPr="002B1DFC" w:rsidRDefault="000B7923" w:rsidP="00F33595">
            <w:pPr>
              <w:rPr>
                <w:rFonts w:eastAsia="Times New Roman" w:cs="Times New Roman"/>
                <w:b/>
                <w:bCs/>
              </w:rPr>
            </w:pPr>
            <w:r w:rsidRPr="002B1DFC">
              <w:rPr>
                <w:rFonts w:eastAsia="Times New Roman" w:cs="Times New Roman"/>
                <w:b/>
                <w:bCs/>
              </w:rPr>
              <w:t>21</w:t>
            </w:r>
          </w:p>
        </w:tc>
        <w:tc>
          <w:tcPr>
            <w:tcW w:w="3833" w:type="pct"/>
            <w:tcBorders>
              <w:top w:val="single" w:sz="4" w:space="0" w:color="4F81BD"/>
              <w:bottom w:val="single" w:sz="4" w:space="0" w:color="4F81BD"/>
            </w:tcBorders>
          </w:tcPr>
          <w:p w14:paraId="77282425" w14:textId="77777777" w:rsidR="000B7923" w:rsidRPr="002B1DFC" w:rsidRDefault="000B7923" w:rsidP="00F33595">
            <w:pPr>
              <w:rPr>
                <w:rFonts w:eastAsia="Times New Roman" w:cs="Times New Roman"/>
              </w:rPr>
            </w:pPr>
            <w:r w:rsidRPr="002B1DFC">
              <w:rPr>
                <w:rFonts w:eastAsia="Times New Roman" w:cs="Times New Roman"/>
              </w:rPr>
              <w:t>Chief specialist of anti-corrupt practice</w:t>
            </w:r>
          </w:p>
        </w:tc>
        <w:tc>
          <w:tcPr>
            <w:tcW w:w="857" w:type="pct"/>
            <w:tcBorders>
              <w:top w:val="single" w:sz="4" w:space="0" w:color="4F81BD"/>
              <w:bottom w:val="single" w:sz="4" w:space="0" w:color="4F81BD"/>
              <w:right w:val="single" w:sz="4" w:space="0" w:color="4F81BD"/>
            </w:tcBorders>
          </w:tcPr>
          <w:p w14:paraId="59FF8C63" w14:textId="77777777" w:rsidR="000B7923" w:rsidRPr="002B1DFC" w:rsidRDefault="00C66939" w:rsidP="00F33595">
            <w:pPr>
              <w:rPr>
                <w:rFonts w:eastAsia="Times New Roman" w:cs="Times New Roman"/>
              </w:rPr>
            </w:pPr>
            <w:r>
              <w:rPr>
                <w:rFonts w:eastAsia="Times New Roman" w:cs="Times New Roman"/>
              </w:rPr>
              <w:t xml:space="preserve">    </w:t>
            </w:r>
            <w:r w:rsidR="000B7923" w:rsidRPr="002B1DFC">
              <w:rPr>
                <w:rFonts w:eastAsia="Times New Roman" w:cs="Times New Roman"/>
              </w:rPr>
              <w:t>1</w:t>
            </w:r>
          </w:p>
        </w:tc>
      </w:tr>
      <w:tr w:rsidR="000B7923" w:rsidRPr="002B1DFC" w14:paraId="2DFE708B" w14:textId="77777777">
        <w:tc>
          <w:tcPr>
            <w:tcW w:w="309" w:type="pct"/>
            <w:tcBorders>
              <w:left w:val="single" w:sz="4" w:space="0" w:color="4F81BD"/>
              <w:bottom w:val="single" w:sz="4" w:space="0" w:color="4F81BD"/>
              <w:right w:val="nil"/>
            </w:tcBorders>
            <w:shd w:val="clear" w:color="auto" w:fill="FFFFFF"/>
          </w:tcPr>
          <w:p w14:paraId="58D62844" w14:textId="77777777" w:rsidR="000B7923" w:rsidRPr="002B1DFC" w:rsidRDefault="000B7923" w:rsidP="00F33595">
            <w:pPr>
              <w:rPr>
                <w:rFonts w:eastAsia="Times New Roman" w:cs="Times New Roman"/>
                <w:b/>
                <w:bCs/>
              </w:rPr>
            </w:pPr>
          </w:p>
        </w:tc>
        <w:tc>
          <w:tcPr>
            <w:tcW w:w="3833" w:type="pct"/>
            <w:tcBorders>
              <w:bottom w:val="single" w:sz="4" w:space="0" w:color="4F81BD"/>
            </w:tcBorders>
          </w:tcPr>
          <w:p w14:paraId="2AD3917F" w14:textId="77777777" w:rsidR="000B7923" w:rsidRPr="00183A7A" w:rsidRDefault="000B7923" w:rsidP="00F33595">
            <w:pPr>
              <w:rPr>
                <w:rFonts w:eastAsia="Times New Roman" w:cs="Times New Roman"/>
              </w:rPr>
            </w:pPr>
            <w:r w:rsidRPr="002B1DFC">
              <w:rPr>
                <w:rFonts w:eastAsia="Times New Roman" w:cs="Times New Roman"/>
                <w:b/>
              </w:rPr>
              <w:t>Total</w:t>
            </w:r>
            <w:r w:rsidR="00EF4ECC">
              <w:rPr>
                <w:rFonts w:eastAsia="Times New Roman" w:cs="Times New Roman"/>
                <w:b/>
              </w:rPr>
              <w:t xml:space="preserve"> </w:t>
            </w:r>
            <w:r w:rsidR="00EF4ECC" w:rsidRPr="00183A7A">
              <w:rPr>
                <w:rFonts w:eastAsia="Times New Roman" w:cs="Times New Roman"/>
                <w:b/>
                <w:sz w:val="16"/>
                <w:szCs w:val="16"/>
              </w:rPr>
              <w:t xml:space="preserve"> </w:t>
            </w:r>
          </w:p>
        </w:tc>
        <w:tc>
          <w:tcPr>
            <w:tcW w:w="857" w:type="pct"/>
            <w:tcBorders>
              <w:bottom w:val="single" w:sz="4" w:space="0" w:color="4F81BD"/>
              <w:right w:val="single" w:sz="4" w:space="0" w:color="4F81BD"/>
            </w:tcBorders>
          </w:tcPr>
          <w:p w14:paraId="118171FB" w14:textId="77777777" w:rsidR="000B7923" w:rsidRPr="002B1DFC" w:rsidRDefault="000B7923" w:rsidP="00F33595">
            <w:pPr>
              <w:rPr>
                <w:rFonts w:eastAsia="Times New Roman" w:cs="Times New Roman"/>
                <w:b/>
              </w:rPr>
            </w:pPr>
            <w:r w:rsidRPr="002B1DFC">
              <w:rPr>
                <w:rFonts w:eastAsia="Times New Roman" w:cs="Times New Roman"/>
                <w:b/>
              </w:rPr>
              <w:t>211</w:t>
            </w:r>
          </w:p>
        </w:tc>
      </w:tr>
    </w:tbl>
    <w:p w14:paraId="15304D7B" w14:textId="32719CCB" w:rsidR="00FD25E4" w:rsidRPr="00FD25E4" w:rsidRDefault="00FD25E4" w:rsidP="00B2430F">
      <w:pPr>
        <w:pStyle w:val="FootnoteText"/>
      </w:pPr>
      <w:r w:rsidRPr="00FD25E4">
        <w:rPr>
          <w:rFonts w:cs="Times New Roman"/>
          <w:i/>
          <w:iCs/>
        </w:rPr>
        <w:t>Source.</w:t>
      </w:r>
      <w:r w:rsidRPr="00FD25E4">
        <w:rPr>
          <w:rFonts w:cs="Times New Roman"/>
        </w:rPr>
        <w:t xml:space="preserve"> Order of the Ministry of Ecology and </w:t>
      </w:r>
      <w:r w:rsidR="001A7823">
        <w:rPr>
          <w:rFonts w:cs="Times New Roman"/>
        </w:rPr>
        <w:t>Natural</w:t>
      </w:r>
      <w:r w:rsidR="001A7823" w:rsidRPr="00FD25E4">
        <w:rPr>
          <w:rFonts w:cs="Times New Roman"/>
        </w:rPr>
        <w:t xml:space="preserve"> </w:t>
      </w:r>
      <w:r w:rsidRPr="00FD25E4">
        <w:rPr>
          <w:rFonts w:cs="Times New Roman"/>
        </w:rPr>
        <w:t xml:space="preserve">Resources of 26.01.2015 No. 10 “On Approval of the Structure of the Central Apparatus of the Ministry of Ecology and Natural Resources of Ukraine.” </w:t>
      </w:r>
    </w:p>
    <w:p w14:paraId="79191802" w14:textId="77777777" w:rsidR="000B7923" w:rsidRPr="005C2F51" w:rsidRDefault="000B7923" w:rsidP="00F33595">
      <w:pPr>
        <w:rPr>
          <w:rFonts w:cs="Times New Roman"/>
          <w:color w:val="000000" w:themeColor="text1"/>
        </w:rPr>
      </w:pPr>
    </w:p>
    <w:p w14:paraId="52BB0AFF" w14:textId="77777777" w:rsidR="000B7923" w:rsidRPr="002B1DFC" w:rsidRDefault="000B7923" w:rsidP="00907895">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The </w:t>
      </w:r>
      <w:r w:rsidR="005A1195" w:rsidRPr="00907895">
        <w:rPr>
          <w:rFonts w:cs="Times New Roman"/>
          <w:iCs/>
        </w:rPr>
        <w:t>ministry</w:t>
      </w:r>
      <w:r w:rsidRPr="002B1DFC">
        <w:rPr>
          <w:rFonts w:cs="Times New Roman"/>
        </w:rPr>
        <w:t xml:space="preserve"> continued to undergo changes:</w:t>
      </w:r>
    </w:p>
    <w:p w14:paraId="6CA1C5A8" w14:textId="77777777" w:rsidR="000B7923" w:rsidRPr="002B1DFC" w:rsidRDefault="000B7923" w:rsidP="000946D5">
      <w:pPr>
        <w:rPr>
          <w:rFonts w:cs="Times New Roman"/>
        </w:rPr>
      </w:pPr>
    </w:p>
    <w:p w14:paraId="1528A2E3" w14:textId="77777777" w:rsidR="000B7923" w:rsidRPr="002B1DFC" w:rsidRDefault="000B7923" w:rsidP="00B83095">
      <w:pPr>
        <w:pStyle w:val="ListParagraph"/>
        <w:numPr>
          <w:ilvl w:val="0"/>
          <w:numId w:val="10"/>
        </w:numPr>
        <w:rPr>
          <w:rFonts w:cs="Times New Roman"/>
        </w:rPr>
      </w:pPr>
      <w:r w:rsidRPr="002B1DFC">
        <w:rPr>
          <w:rFonts w:cs="Times New Roman"/>
        </w:rPr>
        <w:t xml:space="preserve">In 2010, president’s decree on “Optimization of the System of Central Executive Authorities” was issued that aimed to optimize the staff and financing of central executive authorities and address duplication of functions. </w:t>
      </w:r>
    </w:p>
    <w:p w14:paraId="52FDA4D2" w14:textId="77777777" w:rsidR="000B7923" w:rsidRPr="002B1DFC" w:rsidRDefault="000B7923" w:rsidP="000946D5">
      <w:pPr>
        <w:rPr>
          <w:rFonts w:cs="Times New Roman"/>
        </w:rPr>
      </w:pPr>
    </w:p>
    <w:p w14:paraId="67A8FBA1" w14:textId="77777777" w:rsidR="000B7923" w:rsidRPr="002B1DFC" w:rsidRDefault="000B7923" w:rsidP="00B83095">
      <w:pPr>
        <w:pStyle w:val="ListParagraph"/>
        <w:numPr>
          <w:ilvl w:val="0"/>
          <w:numId w:val="10"/>
        </w:numPr>
        <w:rPr>
          <w:rFonts w:cs="Times New Roman"/>
        </w:rPr>
      </w:pPr>
      <w:r w:rsidRPr="002B1DFC">
        <w:rPr>
          <w:rFonts w:cs="Times New Roman"/>
        </w:rPr>
        <w:t xml:space="preserve">This was followed, in 2011, by approval of several legislative acts that resulted in transfer of subordinated bodies of the MENR (State Agency of Forest Resources and State Agency of Land Resources) to the administration of other ministries, and liquidation of the State Service of Conservation Area. </w:t>
      </w:r>
    </w:p>
    <w:p w14:paraId="58CA4C8B" w14:textId="77777777" w:rsidR="000B7923" w:rsidRPr="002B1DFC" w:rsidRDefault="000B7923" w:rsidP="000946D5">
      <w:pPr>
        <w:rPr>
          <w:rFonts w:cs="Times New Roman"/>
        </w:rPr>
      </w:pPr>
    </w:p>
    <w:p w14:paraId="63E75067" w14:textId="77777777" w:rsidR="000B7923" w:rsidRPr="002B1DFC" w:rsidRDefault="000B7923" w:rsidP="00B83095">
      <w:pPr>
        <w:pStyle w:val="ListParagraph"/>
        <w:numPr>
          <w:ilvl w:val="0"/>
          <w:numId w:val="10"/>
        </w:numPr>
        <w:rPr>
          <w:rFonts w:cs="Times New Roman"/>
        </w:rPr>
      </w:pPr>
      <w:r w:rsidRPr="002B1DFC">
        <w:rPr>
          <w:rFonts w:cs="Times New Roman"/>
        </w:rPr>
        <w:t xml:space="preserve">In 2012, the Parliament adopted the </w:t>
      </w:r>
      <w:r w:rsidR="00EF0A33">
        <w:rPr>
          <w:rFonts w:cs="Times New Roman"/>
        </w:rPr>
        <w:t xml:space="preserve">law </w:t>
      </w:r>
      <w:r w:rsidRPr="002B1DFC">
        <w:rPr>
          <w:rFonts w:cs="Times New Roman"/>
        </w:rPr>
        <w:t>“Changes to Some Legislative Acts of Ukraine Regarding Optimization of Powers of the Executive Authorities for Ecology and Natural Resources, included at the Local Level</w:t>
      </w:r>
      <w:r w:rsidR="00EF0A33">
        <w:rPr>
          <w:rFonts w:cs="Times New Roman"/>
        </w:rPr>
        <w:t xml:space="preserve">.” This law </w:t>
      </w:r>
      <w:r w:rsidRPr="002B1DFC">
        <w:rPr>
          <w:rFonts w:cs="Times New Roman"/>
        </w:rPr>
        <w:t xml:space="preserve">further revised the functions of the central authorities, transferring </w:t>
      </w:r>
      <w:r w:rsidRPr="002B1DFC">
        <w:rPr>
          <w:rFonts w:cs="Times New Roman"/>
        </w:rPr>
        <w:lastRenderedPageBreak/>
        <w:t xml:space="preserve">some MENR functions to the state administrations, including </w:t>
      </w:r>
      <w:r w:rsidR="00423D23">
        <w:rPr>
          <w:rFonts w:cs="Times New Roman"/>
        </w:rPr>
        <w:t>the function of issuing</w:t>
      </w:r>
      <w:r w:rsidRPr="002B1DFC">
        <w:rPr>
          <w:rFonts w:cs="Times New Roman"/>
        </w:rPr>
        <w:t xml:space="preserve"> </w:t>
      </w:r>
      <w:r w:rsidR="00423D23">
        <w:rPr>
          <w:rFonts w:cs="Times New Roman"/>
        </w:rPr>
        <w:t xml:space="preserve">permits regarding </w:t>
      </w:r>
      <w:r w:rsidRPr="002B1DFC">
        <w:rPr>
          <w:rFonts w:cs="Times New Roman"/>
        </w:rPr>
        <w:t>air emissions</w:t>
      </w:r>
      <w:r w:rsidR="00423D23">
        <w:rPr>
          <w:rFonts w:cs="Times New Roman"/>
        </w:rPr>
        <w:t xml:space="preserve"> and</w:t>
      </w:r>
      <w:r w:rsidRPr="002B1DFC">
        <w:rPr>
          <w:rFonts w:cs="Times New Roman"/>
        </w:rPr>
        <w:t xml:space="preserve"> water use</w:t>
      </w:r>
      <w:r w:rsidR="00EF4ECC">
        <w:rPr>
          <w:rFonts w:cs="Times New Roman"/>
        </w:rPr>
        <w:t>, and so forth</w:t>
      </w:r>
      <w:r w:rsidRPr="002B1DFC">
        <w:rPr>
          <w:rFonts w:cs="Times New Roman"/>
        </w:rPr>
        <w:t xml:space="preserve">. </w:t>
      </w:r>
    </w:p>
    <w:p w14:paraId="3C046C70" w14:textId="77777777" w:rsidR="000B7923" w:rsidRPr="002B1DFC" w:rsidRDefault="000B7923" w:rsidP="000946D5">
      <w:pPr>
        <w:pStyle w:val="ListParagraph"/>
        <w:rPr>
          <w:rFonts w:cs="Times New Roman"/>
        </w:rPr>
      </w:pPr>
    </w:p>
    <w:p w14:paraId="10C0E98B" w14:textId="77777777" w:rsidR="000B7923" w:rsidRPr="002B1DFC" w:rsidRDefault="000B7923" w:rsidP="00B83095">
      <w:pPr>
        <w:pStyle w:val="ListParagraph"/>
        <w:numPr>
          <w:ilvl w:val="0"/>
          <w:numId w:val="10"/>
        </w:numPr>
        <w:rPr>
          <w:rFonts w:cs="Times New Roman"/>
        </w:rPr>
      </w:pPr>
      <w:r w:rsidRPr="002B1DFC">
        <w:rPr>
          <w:rFonts w:cs="Times New Roman"/>
        </w:rPr>
        <w:t>In 2013, the CMU adopted a Decree on “Liquidation of the Regional Departments of the Ministry of Environmental Protection</w:t>
      </w:r>
      <w:r w:rsidR="00423D23">
        <w:rPr>
          <w:rFonts w:cs="Times New Roman"/>
        </w:rPr>
        <w:t>.</w:t>
      </w:r>
      <w:r w:rsidRPr="002B1DFC">
        <w:rPr>
          <w:rFonts w:cs="Times New Roman"/>
        </w:rPr>
        <w:t>” ​</w:t>
      </w:r>
    </w:p>
    <w:p w14:paraId="53CC3FB4" w14:textId="77777777" w:rsidR="000B7923" w:rsidRPr="002B1DFC" w:rsidRDefault="000B7923" w:rsidP="00666AAE">
      <w:pPr>
        <w:pStyle w:val="ListParagraph"/>
        <w:rPr>
          <w:rFonts w:cs="Times New Roman"/>
        </w:rPr>
      </w:pPr>
    </w:p>
    <w:p w14:paraId="5DB4BDCC" w14:textId="77777777" w:rsidR="000B7923" w:rsidRPr="002B1DFC" w:rsidRDefault="000B7923" w:rsidP="00B83095">
      <w:pPr>
        <w:pStyle w:val="ListParagraph"/>
        <w:numPr>
          <w:ilvl w:val="0"/>
          <w:numId w:val="10"/>
        </w:numPr>
        <w:rPr>
          <w:rFonts w:cs="Times New Roman"/>
        </w:rPr>
      </w:pPr>
      <w:r w:rsidRPr="002B1DFC">
        <w:rPr>
          <w:rFonts w:cs="Times New Roman"/>
        </w:rPr>
        <w:t xml:space="preserve">In </w:t>
      </w:r>
      <w:r w:rsidR="00423D23" w:rsidRPr="002B1DFC">
        <w:rPr>
          <w:rFonts w:cs="Times New Roman"/>
        </w:rPr>
        <w:t>2014,</w:t>
      </w:r>
      <w:r w:rsidRPr="002B1DFC">
        <w:rPr>
          <w:rFonts w:cs="Times New Roman"/>
        </w:rPr>
        <w:t xml:space="preserve"> the CMU approved another Decree “Optimization of the System of Central Executive Authorities”, by which the State Service of Ukraine for Geodesy, Cartography and Cadaster was established by reorganizing the State Agency of Land Resources of Ukraine. State Inspection of Agriculture and State Environmental Investment Agency were liquidated. </w:t>
      </w:r>
    </w:p>
    <w:p w14:paraId="79E21A0A" w14:textId="77777777" w:rsidR="000B7923" w:rsidRPr="002B1DFC" w:rsidRDefault="000B7923" w:rsidP="000946D5">
      <w:pPr>
        <w:pStyle w:val="ListParagraph"/>
        <w:rPr>
          <w:rFonts w:cs="Times New Roman"/>
        </w:rPr>
      </w:pPr>
    </w:p>
    <w:p w14:paraId="720DF727" w14:textId="77777777" w:rsidR="000B7923" w:rsidRDefault="00423D23" w:rsidP="00907895">
      <w:pPr>
        <w:pStyle w:val="ListParagraph"/>
        <w:numPr>
          <w:ilvl w:val="0"/>
          <w:numId w:val="68"/>
        </w:numPr>
        <w:tabs>
          <w:tab w:val="left" w:pos="360"/>
        </w:tabs>
        <w:spacing w:line="23" w:lineRule="atLeast"/>
        <w:ind w:left="0" w:firstLine="0"/>
        <w:rPr>
          <w:rFonts w:cs="Times New Roman"/>
        </w:rPr>
      </w:pPr>
      <w:r>
        <w:rPr>
          <w:rFonts w:cs="Times New Roman"/>
        </w:rPr>
        <w:t>Figure 4 below presents</w:t>
      </w:r>
      <w:r w:rsidR="000B7923" w:rsidRPr="002B1DFC">
        <w:rPr>
          <w:rFonts w:cs="Times New Roman"/>
        </w:rPr>
        <w:t xml:space="preserve"> an overview of agencies and organizations coordinated by the MENR as of August 2015.</w:t>
      </w:r>
    </w:p>
    <w:p w14:paraId="1CCF8762" w14:textId="77777777" w:rsidR="000D5F54" w:rsidRPr="002B1DFC" w:rsidRDefault="000D5F54" w:rsidP="000946D5">
      <w:pPr>
        <w:rPr>
          <w:rFonts w:cs="Times New Roman"/>
        </w:rPr>
      </w:pPr>
    </w:p>
    <w:p w14:paraId="608989F3" w14:textId="77777777" w:rsidR="000B7923" w:rsidRPr="002B1DFC" w:rsidRDefault="000B7923" w:rsidP="00183A7A">
      <w:pPr>
        <w:pStyle w:val="Caption"/>
        <w:spacing w:before="200"/>
        <w:rPr>
          <w:noProof w:val="0"/>
          <w:lang w:val="en-US"/>
        </w:rPr>
      </w:pPr>
      <w:bookmarkStart w:id="77" w:name="_Toc440274014"/>
      <w:r w:rsidRPr="002B1DFC">
        <w:rPr>
          <w:noProof w:val="0"/>
          <w:lang w:val="en-US"/>
        </w:rPr>
        <w:t xml:space="preserve">Figure </w:t>
      </w:r>
      <w:r w:rsidRPr="002B1DFC">
        <w:rPr>
          <w:noProof w:val="0"/>
          <w:lang w:val="en-US"/>
        </w:rPr>
        <w:fldChar w:fldCharType="begin"/>
      </w:r>
      <w:r w:rsidRPr="002B1DFC">
        <w:rPr>
          <w:noProof w:val="0"/>
          <w:lang w:val="en-US"/>
        </w:rPr>
        <w:instrText xml:space="preserve"> SEQ Figure \* ARABIC </w:instrText>
      </w:r>
      <w:r w:rsidRPr="002B1DFC">
        <w:rPr>
          <w:noProof w:val="0"/>
          <w:lang w:val="en-US"/>
        </w:rPr>
        <w:fldChar w:fldCharType="separate"/>
      </w:r>
      <w:r w:rsidR="00356D5F">
        <w:rPr>
          <w:lang w:val="en-US"/>
        </w:rPr>
        <w:t>4</w:t>
      </w:r>
      <w:r w:rsidRPr="002B1DFC">
        <w:rPr>
          <w:noProof w:val="0"/>
          <w:lang w:val="en-US"/>
        </w:rPr>
        <w:fldChar w:fldCharType="end"/>
      </w:r>
      <w:r w:rsidRPr="002B1DFC">
        <w:rPr>
          <w:noProof w:val="0"/>
          <w:lang w:val="en-US"/>
        </w:rPr>
        <w:t>. Structure of the Subordinated Agencies of the MENR, 2015</w:t>
      </w:r>
      <w:bookmarkEnd w:id="77"/>
    </w:p>
    <w:p w14:paraId="177E16D5" w14:textId="77777777" w:rsidR="000B7923" w:rsidRPr="002B1DFC" w:rsidRDefault="000B7923" w:rsidP="000946D5">
      <w:pPr>
        <w:rPr>
          <w:rFonts w:cs="Times New Roman"/>
        </w:rPr>
      </w:pPr>
    </w:p>
    <w:p w14:paraId="5B3E9DE7" w14:textId="77777777" w:rsidR="000B7923" w:rsidRPr="002B1DFC" w:rsidRDefault="00BE4288" w:rsidP="000946D5">
      <w:pPr>
        <w:rPr>
          <w:rFonts w:cs="Times New Roman"/>
        </w:rPr>
      </w:pPr>
      <w:r w:rsidRPr="002B1DFC">
        <w:rPr>
          <w:rFonts w:cs="Times New Roman"/>
          <w:noProof/>
        </w:rPr>
        <mc:AlternateContent>
          <mc:Choice Requires="wpg">
            <w:drawing>
              <wp:inline distT="0" distB="0" distL="0" distR="0" wp14:anchorId="3CFEA959" wp14:editId="10B38BF5">
                <wp:extent cx="5876290" cy="1928495"/>
                <wp:effectExtent l="9525" t="19050" r="10160" b="24130"/>
                <wp:docPr id="8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928495"/>
                          <a:chOff x="0" y="0"/>
                          <a:chExt cx="58760" cy="19281"/>
                        </a:xfrm>
                      </wpg:grpSpPr>
                      <wps:wsp>
                        <wps:cNvPr id="89" name="Text Box 41"/>
                        <wps:cNvSpPr txBox="1">
                          <a:spLocks noChangeArrowheads="1"/>
                        </wps:cNvSpPr>
                        <wps:spPr bwMode="auto">
                          <a:xfrm>
                            <a:off x="20434" y="0"/>
                            <a:ext cx="18288" cy="2743"/>
                          </a:xfrm>
                          <a:prstGeom prst="rect">
                            <a:avLst/>
                          </a:prstGeom>
                          <a:solidFill>
                            <a:srgbClr val="FFFFFF"/>
                          </a:solidFill>
                          <a:ln w="25400">
                            <a:solidFill>
                              <a:srgbClr val="9BBB59"/>
                            </a:solidFill>
                            <a:miter lim="800000"/>
                            <a:headEnd/>
                            <a:tailEnd/>
                          </a:ln>
                        </wps:spPr>
                        <wps:txbx>
                          <w:txbxContent>
                            <w:p w14:paraId="6AB3FC01" w14:textId="77777777" w:rsidR="007E7DF5" w:rsidRPr="00454B0B" w:rsidRDefault="007E7DF5" w:rsidP="000946D5">
                              <w:pPr>
                                <w:jc w:val="center"/>
                                <w:rPr>
                                  <w:sz w:val="16"/>
                                  <w:szCs w:val="16"/>
                                </w:rPr>
                              </w:pPr>
                              <w:r>
                                <w:rPr>
                                  <w:sz w:val="16"/>
                                  <w:szCs w:val="16"/>
                                </w:rPr>
                                <w:t>Ministry of Ecology and Natural Resources</w:t>
                              </w:r>
                            </w:p>
                          </w:txbxContent>
                        </wps:txbx>
                        <wps:bodyPr rot="0" vert="horz" wrap="square" lIns="91440" tIns="0" rIns="91440" bIns="0" anchor="ctr" anchorCtr="0" upright="1">
                          <a:noAutofit/>
                        </wps:bodyPr>
                      </wps:wsp>
                      <wps:wsp>
                        <wps:cNvPr id="90" name="Text Box 42"/>
                        <wps:cNvSpPr txBox="1">
                          <a:spLocks noChangeArrowheads="1"/>
                        </wps:cNvSpPr>
                        <wps:spPr bwMode="auto">
                          <a:xfrm>
                            <a:off x="79" y="4691"/>
                            <a:ext cx="18288" cy="2743"/>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14:paraId="0C7D5249" w14:textId="2C444003" w:rsidR="007E7DF5" w:rsidRPr="00454B0B" w:rsidRDefault="007E7DF5" w:rsidP="00A80CE6">
                              <w:pPr>
                                <w:jc w:val="center"/>
                                <w:rPr>
                                  <w:sz w:val="16"/>
                                  <w:szCs w:val="16"/>
                                </w:rPr>
                              </w:pPr>
                              <w:r>
                                <w:rPr>
                                  <w:sz w:val="16"/>
                                  <w:szCs w:val="16"/>
                                </w:rPr>
                                <w:t>State Ecological Inspectorate</w:t>
                              </w:r>
                            </w:p>
                          </w:txbxContent>
                        </wps:txbx>
                        <wps:bodyPr rot="0" vert="horz" wrap="square" lIns="91440" tIns="0" rIns="91440" bIns="0" anchor="ctr" anchorCtr="0" upright="1">
                          <a:noAutofit/>
                        </wps:bodyPr>
                      </wps:wsp>
                      <wps:wsp>
                        <wps:cNvPr id="91" name="Text Box 45"/>
                        <wps:cNvSpPr txBox="1">
                          <a:spLocks noChangeArrowheads="1"/>
                        </wps:cNvSpPr>
                        <wps:spPr bwMode="auto">
                          <a:xfrm>
                            <a:off x="20037" y="4770"/>
                            <a:ext cx="18288" cy="2743"/>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14:paraId="780454A2" w14:textId="77777777" w:rsidR="007E7DF5" w:rsidRDefault="007E7DF5" w:rsidP="000946D5">
                              <w:pPr>
                                <w:jc w:val="center"/>
                                <w:rPr>
                                  <w:sz w:val="16"/>
                                  <w:szCs w:val="16"/>
                                </w:rPr>
                              </w:pPr>
                              <w:r>
                                <w:rPr>
                                  <w:sz w:val="16"/>
                                  <w:szCs w:val="16"/>
                                </w:rPr>
                                <w:t>State Enterprises (9)</w:t>
                              </w:r>
                            </w:p>
                          </w:txbxContent>
                        </wps:txbx>
                        <wps:bodyPr rot="0" vert="horz" wrap="square" lIns="91440" tIns="0" rIns="91440" bIns="0" anchor="ctr" anchorCtr="0" upright="1">
                          <a:noAutofit/>
                        </wps:bodyPr>
                      </wps:wsp>
                      <wps:wsp>
                        <wps:cNvPr id="92" name="Text Box 47"/>
                        <wps:cNvSpPr txBox="1">
                          <a:spLocks noChangeArrowheads="1"/>
                        </wps:cNvSpPr>
                        <wps:spPr bwMode="auto">
                          <a:xfrm>
                            <a:off x="40472" y="4770"/>
                            <a:ext cx="18288" cy="2743"/>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14:paraId="16744D88" w14:textId="77777777" w:rsidR="007E7DF5" w:rsidRPr="00454B0B" w:rsidRDefault="007E7DF5" w:rsidP="000946D5">
                              <w:pPr>
                                <w:jc w:val="center"/>
                                <w:rPr>
                                  <w:sz w:val="16"/>
                                  <w:szCs w:val="16"/>
                                </w:rPr>
                              </w:pPr>
                              <w:r>
                                <w:rPr>
                                  <w:sz w:val="16"/>
                                  <w:szCs w:val="16"/>
                                </w:rPr>
                                <w:t>Natural Reserve Fund Organizations (46)</w:t>
                              </w:r>
                            </w:p>
                          </w:txbxContent>
                        </wps:txbx>
                        <wps:bodyPr rot="0" vert="horz" wrap="square" lIns="91440" tIns="0" rIns="91440" bIns="0" anchor="ctr" anchorCtr="0" upright="1">
                          <a:noAutofit/>
                        </wps:bodyPr>
                      </wps:wsp>
                      <wps:wsp>
                        <wps:cNvPr id="93" name="Text Box 44"/>
                        <wps:cNvSpPr txBox="1">
                          <a:spLocks noChangeArrowheads="1"/>
                        </wps:cNvSpPr>
                        <wps:spPr bwMode="auto">
                          <a:xfrm>
                            <a:off x="0" y="8507"/>
                            <a:ext cx="18288" cy="2744"/>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14:paraId="4F4914CD" w14:textId="77777777" w:rsidR="007E7DF5" w:rsidRPr="00454B0B" w:rsidRDefault="007E7DF5" w:rsidP="000946D5">
                              <w:pPr>
                                <w:jc w:val="center"/>
                                <w:rPr>
                                  <w:sz w:val="16"/>
                                  <w:szCs w:val="16"/>
                                </w:rPr>
                              </w:pPr>
                              <w:r>
                                <w:rPr>
                                  <w:sz w:val="16"/>
                                  <w:szCs w:val="16"/>
                                </w:rPr>
                                <w:t xml:space="preserve">State Agency for Water Resources </w:t>
                              </w:r>
                            </w:p>
                          </w:txbxContent>
                        </wps:txbx>
                        <wps:bodyPr rot="0" vert="horz" wrap="square" lIns="91440" tIns="0" rIns="91440" bIns="0" anchor="ctr" anchorCtr="0" upright="1">
                          <a:noAutofit/>
                        </wps:bodyPr>
                      </wps:wsp>
                      <wps:wsp>
                        <wps:cNvPr id="94" name="Text Box 48"/>
                        <wps:cNvSpPr txBox="1">
                          <a:spLocks noChangeArrowheads="1"/>
                        </wps:cNvSpPr>
                        <wps:spPr bwMode="auto">
                          <a:xfrm>
                            <a:off x="20037" y="10654"/>
                            <a:ext cx="18288" cy="2743"/>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14:paraId="119DEE29" w14:textId="77777777" w:rsidR="007E7DF5" w:rsidRDefault="007E7DF5" w:rsidP="000946D5">
                              <w:pPr>
                                <w:jc w:val="center"/>
                                <w:rPr>
                                  <w:sz w:val="16"/>
                                  <w:szCs w:val="16"/>
                                </w:rPr>
                              </w:pPr>
                              <w:r>
                                <w:rPr>
                                  <w:sz w:val="16"/>
                                  <w:szCs w:val="16"/>
                                </w:rPr>
                                <w:t>Public Joint Stock Company (1)</w:t>
                              </w:r>
                            </w:p>
                          </w:txbxContent>
                        </wps:txbx>
                        <wps:bodyPr rot="0" vert="horz" wrap="square" lIns="91440" tIns="0" rIns="91440" bIns="0" anchor="ctr" anchorCtr="0" upright="1">
                          <a:noAutofit/>
                        </wps:bodyPr>
                      </wps:wsp>
                      <wps:wsp>
                        <wps:cNvPr id="95" name="Text Box 43"/>
                        <wps:cNvSpPr txBox="1">
                          <a:spLocks noChangeArrowheads="1"/>
                        </wps:cNvSpPr>
                        <wps:spPr bwMode="auto">
                          <a:xfrm>
                            <a:off x="79" y="12404"/>
                            <a:ext cx="18288" cy="2743"/>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14:paraId="3DB378EF" w14:textId="77777777" w:rsidR="007E7DF5" w:rsidRPr="00454B0B" w:rsidRDefault="007E7DF5" w:rsidP="000946D5">
                              <w:pPr>
                                <w:jc w:val="center"/>
                                <w:rPr>
                                  <w:sz w:val="16"/>
                                  <w:szCs w:val="16"/>
                                </w:rPr>
                              </w:pPr>
                              <w:r>
                                <w:rPr>
                                  <w:sz w:val="16"/>
                                  <w:szCs w:val="16"/>
                                </w:rPr>
                                <w:t>State Agency for Exclusion Zone Management</w:t>
                              </w:r>
                            </w:p>
                          </w:txbxContent>
                        </wps:txbx>
                        <wps:bodyPr rot="0" vert="horz" wrap="square" lIns="91440" tIns="0" rIns="91440" bIns="0" anchor="ctr" anchorCtr="0" upright="1">
                          <a:noAutofit/>
                        </wps:bodyPr>
                      </wps:wsp>
                      <wps:wsp>
                        <wps:cNvPr id="128" name="Text Box 46"/>
                        <wps:cNvSpPr txBox="1">
                          <a:spLocks noChangeArrowheads="1"/>
                        </wps:cNvSpPr>
                        <wps:spPr bwMode="auto">
                          <a:xfrm>
                            <a:off x="79" y="16379"/>
                            <a:ext cx="18288" cy="2743"/>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14:paraId="2C861CF8" w14:textId="77777777" w:rsidR="007E7DF5" w:rsidRPr="00454B0B" w:rsidRDefault="007E7DF5" w:rsidP="000946D5">
                              <w:pPr>
                                <w:jc w:val="center"/>
                                <w:rPr>
                                  <w:sz w:val="16"/>
                                  <w:szCs w:val="16"/>
                                </w:rPr>
                              </w:pPr>
                              <w:r>
                                <w:rPr>
                                  <w:sz w:val="16"/>
                                  <w:szCs w:val="16"/>
                                </w:rPr>
                                <w:t xml:space="preserve">State Agency for Geology and Mineral Resources </w:t>
                              </w:r>
                            </w:p>
                          </w:txbxContent>
                        </wps:txbx>
                        <wps:bodyPr rot="0" vert="horz" wrap="square" lIns="91440" tIns="0" rIns="91440" bIns="0" anchor="ctr" anchorCtr="0" upright="1">
                          <a:noAutofit/>
                        </wps:bodyPr>
                      </wps:wsp>
                      <wps:wsp>
                        <wps:cNvPr id="129" name="Text Box 49"/>
                        <wps:cNvSpPr txBox="1">
                          <a:spLocks noChangeArrowheads="1"/>
                        </wps:cNvSpPr>
                        <wps:spPr bwMode="auto">
                          <a:xfrm>
                            <a:off x="20037" y="16538"/>
                            <a:ext cx="18288" cy="2743"/>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14:paraId="421F5404" w14:textId="77777777" w:rsidR="007E7DF5" w:rsidRPr="00454B0B" w:rsidRDefault="007E7DF5" w:rsidP="000946D5">
                              <w:pPr>
                                <w:jc w:val="center"/>
                                <w:rPr>
                                  <w:sz w:val="16"/>
                                  <w:szCs w:val="16"/>
                                </w:rPr>
                              </w:pPr>
                              <w:r>
                                <w:rPr>
                                  <w:sz w:val="16"/>
                                  <w:szCs w:val="16"/>
                                </w:rPr>
                                <w:t>Research Organizations (3)</w:t>
                              </w:r>
                            </w:p>
                          </w:txbxContent>
                        </wps:txbx>
                        <wps:bodyPr rot="0" vert="horz" wrap="square" lIns="91440" tIns="0" rIns="91440" bIns="0" anchor="ctr" anchorCtr="0" upright="1">
                          <a:noAutofit/>
                        </wps:bodyPr>
                      </wps:wsp>
                    </wpg:wgp>
                  </a:graphicData>
                </a:graphic>
              </wp:inline>
            </w:drawing>
          </mc:Choice>
          <mc:Fallback>
            <w:pict>
              <v:group w14:anchorId="3CFEA959" id="Group 52" o:spid="_x0000_s1026" style="width:462.7pt;height:151.85pt;mso-position-horizontal-relative:char;mso-position-vertical-relative:line" coordsize="58760,1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">
                <v:shapetype id="_x0000_t202" coordsize="21600,21600" o:spt="202" path="m,l,21600r21600,l21600,xe">
                  <v:stroke joinstyle="miter"/>
                  <v:path gradientshapeok="t" o:connecttype="rect"/>
                </v:shapetype>
                <v:shape id="Text Box 41" o:spid="_x0000_s1027" type="#_x0000_t202" style="position:absolute;left:20434;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QMMA&#10;AADbAAAADwAAAGRycy9kb3ducmV2LnhtbESP0WoCMRRE3wv+Q7gF32q2KkVXo0hV0JeCth9w2Vw3&#10;q5ubbRJ19+9NoeDjMDNnmPmytbW4kQ+VYwXvgwwEceF0xaWCn+/t2wREiMgaa8ekoKMAy0XvZY65&#10;dnc+0O0YS5EgHHJUYGJscilDYchiGLiGOHkn5y3GJH0ptcd7gttaDrPsQ1qsOC0YbOjTUHE5Xq2C&#10;Znw2m6/y146yw/5aBe5Oa98p1X9tVzMQkdr4DP+3d1rBZAp/X9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QMMAAADbAAAADwAAAAAAAAAAAAAAAACYAgAAZHJzL2Rv&#10;d25yZXYueG1sUEsFBgAAAAAEAAQA9QAAAIgDAAAAAA==&#10;" strokecolor="#9bbb59" strokeweight="2pt">
                  <v:textbox inset=",0,,0">
                    <w:txbxContent>
                      <w:p w14:paraId="6AB3FC01" w14:textId="77777777" w:rsidR="007E7DF5" w:rsidRPr="00454B0B" w:rsidRDefault="007E7DF5" w:rsidP="000946D5">
                        <w:pPr>
                          <w:jc w:val="center"/>
                          <w:rPr>
                            <w:sz w:val="16"/>
                            <w:szCs w:val="16"/>
                          </w:rPr>
                        </w:pPr>
                        <w:r>
                          <w:rPr>
                            <w:sz w:val="16"/>
                            <w:szCs w:val="16"/>
                          </w:rPr>
                          <w:t>Ministry of Ecology and Natural Resources</w:t>
                        </w:r>
                      </w:p>
                    </w:txbxContent>
                  </v:textbox>
                </v:shape>
                <v:shape id="Text Box 42" o:spid="_x0000_s1028" type="#_x0000_t202" style="position:absolute;left:79;top:4691;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GesIA&#10;AADbAAAADwAAAGRycy9kb3ducmV2LnhtbERPPW/CMBDdkfofrEPqgorTDoWEGEQrIXVqRWDoeMSX&#10;OCI+R7YLob++HioxPr3vcjPaXlzIh86xgud5BoK4drrjVsHxsHtagggRWWPvmBTcKMBm/TApsdDu&#10;ynu6VLEVKYRDgQpMjEMhZagNWQxzNxAnrnHeYkzQt1J7vKZw28uXLHuVFjtODQYHejdUn6sfq2Cx&#10;xbf89/A18qzRu1v+vT/5T6PU43TcrkBEGuNd/O/+0ArytD59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sZ6wgAAANsAAAAPAAAAAAAAAAAAAAAAAJgCAABkcnMvZG93&#10;bnJldi54bWxQSwUGAAAAAAQABAD1AAAAhwMAAAAA&#10;" fillcolor="#dafda7" strokecolor="#94b64e">
                  <v:fill color2="#f5ffe6" rotate="t" angle="180" colors="0 #dafda7;22938f #e4fdc2;1 #f5ffe6" focus="100%" type="gradient"/>
                  <v:shadow on="t" color="black" opacity="24903f" origin=",.5" offset="0,.55556mm"/>
                  <v:textbox inset=",0,,0">
                    <w:txbxContent>
                      <w:p w14:paraId="0C7D5249" w14:textId="2C444003" w:rsidR="007E7DF5" w:rsidRPr="00454B0B" w:rsidRDefault="007E7DF5" w:rsidP="00A80CE6">
                        <w:pPr>
                          <w:jc w:val="center"/>
                          <w:rPr>
                            <w:sz w:val="16"/>
                            <w:szCs w:val="16"/>
                          </w:rPr>
                        </w:pPr>
                        <w:r>
                          <w:rPr>
                            <w:sz w:val="16"/>
                            <w:szCs w:val="16"/>
                          </w:rPr>
                          <w:t>State Ecological Inspectorate</w:t>
                        </w:r>
                      </w:p>
                    </w:txbxContent>
                  </v:textbox>
                </v:shape>
                <v:shape id="Text Box 45" o:spid="_x0000_s1029" type="#_x0000_t202" style="position:absolute;left:20037;top:4770;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j4cQA&#10;AADbAAAADwAAAGRycy9kb3ducmV2LnhtbESPT2sCMRTE70K/Q3gFL1Kz9qDu1igqCJ5a/HPw+Lp5&#10;bpZuXpYk1bWf3hQEj8PM/IaZLTrbiAv5UDtWMBpmIIhLp2uuFBwPm7cpiBCRNTaOScGNAizmL70Z&#10;FtpdeUeXfaxEgnAoUIGJsS2kDKUhi2HoWuLknZ23GJP0ldQerwluG/meZWNpsea0YLCltaHyZ/9r&#10;FUyWuMr/Dl8dD856c8tPu2//aZTqv3bLDxCRuvgMP9pbrSAfwf+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Y+HEAAAA2wAAAA8AAAAAAAAAAAAAAAAAmAIAAGRycy9k&#10;b3ducmV2LnhtbFBLBQYAAAAABAAEAPUAAACJAwAAAAA=&#10;" fillcolor="#dafda7" strokecolor="#94b64e">
                  <v:fill color2="#f5ffe6" rotate="t" angle="180" colors="0 #dafda7;22938f #e4fdc2;1 #f5ffe6" focus="100%" type="gradient"/>
                  <v:shadow on="t" color="black" opacity="24903f" origin=",.5" offset="0,.55556mm"/>
                  <v:textbox inset=",0,,0">
                    <w:txbxContent>
                      <w:p w14:paraId="780454A2" w14:textId="77777777" w:rsidR="007E7DF5" w:rsidRDefault="007E7DF5" w:rsidP="000946D5">
                        <w:pPr>
                          <w:jc w:val="center"/>
                          <w:rPr>
                            <w:sz w:val="16"/>
                            <w:szCs w:val="16"/>
                          </w:rPr>
                        </w:pPr>
                        <w:r>
                          <w:rPr>
                            <w:sz w:val="16"/>
                            <w:szCs w:val="16"/>
                          </w:rPr>
                          <w:t>State Enterprises (9)</w:t>
                        </w:r>
                      </w:p>
                    </w:txbxContent>
                  </v:textbox>
                </v:shape>
                <v:shape id="Text Box 47" o:spid="_x0000_s1030" type="#_x0000_t202" style="position:absolute;left:40472;top:4770;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9lsQA&#10;AADbAAAADwAAAGRycy9kb3ducmV2LnhtbESPQWsCMRSE74X+h/AKXkrN6sG6W6OoIHhS1B56fN08&#10;N0s3L0sSdfXXG6HgcZiZb5jJrLONOJMPtWMFg34Ggrh0uuZKwfdh9TEGESKyxsYxKbhSgNn09WWC&#10;hXYX3tF5HyuRIBwKVGBibAspQ2nIYui7ljh5R+ctxiR9JbXHS4LbRg6zbCQt1pwWDLa0NFT+7U9W&#10;weccF/ntsO34/ahX1/xn9+s3RqneWzf/AhGpi8/wf3utFeRDeHx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Y/ZbEAAAA2wAAAA8AAAAAAAAAAAAAAAAAmAIAAGRycy9k&#10;b3ducmV2LnhtbFBLBQYAAAAABAAEAPUAAACJAwAAAAA=&#10;" fillcolor="#dafda7" strokecolor="#94b64e">
                  <v:fill color2="#f5ffe6" rotate="t" angle="180" colors="0 #dafda7;22938f #e4fdc2;1 #f5ffe6" focus="100%" type="gradient"/>
                  <v:shadow on="t" color="black" opacity="24903f" origin=",.5" offset="0,.55556mm"/>
                  <v:textbox inset=",0,,0">
                    <w:txbxContent>
                      <w:p w14:paraId="16744D88" w14:textId="77777777" w:rsidR="007E7DF5" w:rsidRPr="00454B0B" w:rsidRDefault="007E7DF5" w:rsidP="000946D5">
                        <w:pPr>
                          <w:jc w:val="center"/>
                          <w:rPr>
                            <w:sz w:val="16"/>
                            <w:szCs w:val="16"/>
                          </w:rPr>
                        </w:pPr>
                        <w:r>
                          <w:rPr>
                            <w:sz w:val="16"/>
                            <w:szCs w:val="16"/>
                          </w:rPr>
                          <w:t>Natural Reserve Fund Organizations (46)</w:t>
                        </w:r>
                      </w:p>
                    </w:txbxContent>
                  </v:textbox>
                </v:shape>
                <v:shape id="Text Box 44" o:spid="_x0000_s1031" type="#_x0000_t202" style="position:absolute;top:8507;width:18288;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YDcUA&#10;AADbAAAADwAAAGRycy9kb3ducmV2LnhtbESPT2sCMRTE74LfIbxCL6JZLbTu1igqCD1Z/HPw+Lp5&#10;bpZuXpYk6tpPbwqFHoeZ+Q0zW3S2EVfyoXasYDzKQBCXTtdcKTgeNsMpiBCRNTaOScGdAizm/d4M&#10;C+1uvKPrPlYiQTgUqMDE2BZShtKQxTByLXHyzs5bjEn6SmqPtwS3jZxk2au0WHNaMNjS2lD5vb9Y&#10;BW9LXOU/h8+OB2e9ueen3ZffGqWen7rlO4hIXfwP/7U/tIL8BX6/p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FgNxQAAANsAAAAPAAAAAAAAAAAAAAAAAJgCAABkcnMv&#10;ZG93bnJldi54bWxQSwUGAAAAAAQABAD1AAAAigMAAAAA&#10;" fillcolor="#dafda7" strokecolor="#94b64e">
                  <v:fill color2="#f5ffe6" rotate="t" angle="180" colors="0 #dafda7;22938f #e4fdc2;1 #f5ffe6" focus="100%" type="gradient"/>
                  <v:shadow on="t" color="black" opacity="24903f" origin=",.5" offset="0,.55556mm"/>
                  <v:textbox inset=",0,,0">
                    <w:txbxContent>
                      <w:p w14:paraId="4F4914CD" w14:textId="77777777" w:rsidR="007E7DF5" w:rsidRPr="00454B0B" w:rsidRDefault="007E7DF5" w:rsidP="000946D5">
                        <w:pPr>
                          <w:jc w:val="center"/>
                          <w:rPr>
                            <w:sz w:val="16"/>
                            <w:szCs w:val="16"/>
                          </w:rPr>
                        </w:pPr>
                        <w:r>
                          <w:rPr>
                            <w:sz w:val="16"/>
                            <w:szCs w:val="16"/>
                          </w:rPr>
                          <w:t xml:space="preserve">State Agency for Water Resources </w:t>
                        </w:r>
                      </w:p>
                    </w:txbxContent>
                  </v:textbox>
                </v:shape>
                <v:shape id="Text Box 48" o:spid="_x0000_s1032" type="#_x0000_t202" style="position:absolute;left:20037;top:10654;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AecUA&#10;AADbAAAADwAAAGRycy9kb3ducmV2LnhtbESPT2sCMRTE74LfIbxCL6JZpbTu1igqCD1Z/HPw+Lp5&#10;bpZuXpYk6tpPbwqFHoeZ+Q0zW3S2EVfyoXasYDzKQBCXTtdcKTgeNsMpiBCRNTaOScGdAizm/d4M&#10;C+1uvKPrPlYiQTgUqMDE2BZShtKQxTByLXHyzs5bjEn6SmqPtwS3jZxk2au0WHNaMNjS2lD5vb9Y&#10;BW9LXOU/h8+OB2e9ueen3ZffGqWen7rlO4hIXfwP/7U/tIL8BX6/p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cB5xQAAANsAAAAPAAAAAAAAAAAAAAAAAJgCAABkcnMv&#10;ZG93bnJldi54bWxQSwUGAAAAAAQABAD1AAAAigMAAAAA&#10;" fillcolor="#dafda7" strokecolor="#94b64e">
                  <v:fill color2="#f5ffe6" rotate="t" angle="180" colors="0 #dafda7;22938f #e4fdc2;1 #f5ffe6" focus="100%" type="gradient"/>
                  <v:shadow on="t" color="black" opacity="24903f" origin=",.5" offset="0,.55556mm"/>
                  <v:textbox inset=",0,,0">
                    <w:txbxContent>
                      <w:p w14:paraId="119DEE29" w14:textId="77777777" w:rsidR="007E7DF5" w:rsidRDefault="007E7DF5" w:rsidP="000946D5">
                        <w:pPr>
                          <w:jc w:val="center"/>
                          <w:rPr>
                            <w:sz w:val="16"/>
                            <w:szCs w:val="16"/>
                          </w:rPr>
                        </w:pPr>
                        <w:r>
                          <w:rPr>
                            <w:sz w:val="16"/>
                            <w:szCs w:val="16"/>
                          </w:rPr>
                          <w:t>Public Joint Stock Company (1)</w:t>
                        </w:r>
                      </w:p>
                    </w:txbxContent>
                  </v:textbox>
                </v:shape>
                <v:shape id="Text Box 43" o:spid="_x0000_s1033" type="#_x0000_t202" style="position:absolute;left:79;top:12404;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l4sUA&#10;AADbAAAADwAAAGRycy9kb3ducmV2LnhtbESPT2sCMRTE74LfIbxCL6JZhbbu1igqCD1Z/HPw+Lp5&#10;bpZuXpYk6tpPbwqFHoeZ+Q0zW3S2EVfyoXasYDzKQBCXTtdcKTgeNsMpiBCRNTaOScGdAizm/d4M&#10;C+1uvKPrPlYiQTgUqMDE2BZShtKQxTByLXHyzs5bjEn6SmqPtwS3jZxk2au0WHNaMNjS2lD5vb9Y&#10;BW9LXOU/h8+OB2e9ueen3ZffGqWen7rlO4hIXfwP/7U/tIL8BX6/p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WXixQAAANsAAAAPAAAAAAAAAAAAAAAAAJgCAABkcnMv&#10;ZG93bnJldi54bWxQSwUGAAAAAAQABAD1AAAAigMAAAAA&#10;" fillcolor="#dafda7" strokecolor="#94b64e">
                  <v:fill color2="#f5ffe6" rotate="t" angle="180" colors="0 #dafda7;22938f #e4fdc2;1 #f5ffe6" focus="100%" type="gradient"/>
                  <v:shadow on="t" color="black" opacity="24903f" origin=",.5" offset="0,.55556mm"/>
                  <v:textbox inset=",0,,0">
                    <w:txbxContent>
                      <w:p w14:paraId="3DB378EF" w14:textId="77777777" w:rsidR="007E7DF5" w:rsidRPr="00454B0B" w:rsidRDefault="007E7DF5" w:rsidP="000946D5">
                        <w:pPr>
                          <w:jc w:val="center"/>
                          <w:rPr>
                            <w:sz w:val="16"/>
                            <w:szCs w:val="16"/>
                          </w:rPr>
                        </w:pPr>
                        <w:r>
                          <w:rPr>
                            <w:sz w:val="16"/>
                            <w:szCs w:val="16"/>
                          </w:rPr>
                          <w:t>State Agency for Exclusion Zone Management</w:t>
                        </w:r>
                      </w:p>
                    </w:txbxContent>
                  </v:textbox>
                </v:shape>
                <v:shape id="Text Box 46" o:spid="_x0000_s1034" type="#_x0000_t202" style="position:absolute;left:79;top:16379;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ubsYA&#10;AADcAAAADwAAAGRycy9kb3ducmV2LnhtbESPMW8CMQyF90r9D5ErdalKrgwUDgKiSEidqIAOHd2L&#10;uZy4OKckwMGvx0Olbrbe83ufZ4vet+pMMTWBDbwNClDEVbAN1wa+9+vXMaiUkS22gcnAlRIs5o8P&#10;MyxtuPCWzrtcKwnhVKIBl3NXap0qRx7TIHTEoh1C9JhljbW2ES8S7ls9LIqR9tiwNDjsaOWoOu5O&#10;3sD7Ej8mt/1Xzy8Hu75Ofra/ceOMeX7ql1NQmfr8b/67/rSCPxRaeUYm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cubsYAAADcAAAADwAAAAAAAAAAAAAAAACYAgAAZHJz&#10;L2Rvd25yZXYueG1sUEsFBgAAAAAEAAQA9QAAAIsDAAAAAA==&#10;" fillcolor="#dafda7" strokecolor="#94b64e">
                  <v:fill color2="#f5ffe6" rotate="t" angle="180" colors="0 #dafda7;22938f #e4fdc2;1 #f5ffe6" focus="100%" type="gradient"/>
                  <v:shadow on="t" color="black" opacity="24903f" origin=",.5" offset="0,.55556mm"/>
                  <v:textbox inset=",0,,0">
                    <w:txbxContent>
                      <w:p w14:paraId="2C861CF8" w14:textId="77777777" w:rsidR="007E7DF5" w:rsidRPr="00454B0B" w:rsidRDefault="007E7DF5" w:rsidP="000946D5">
                        <w:pPr>
                          <w:jc w:val="center"/>
                          <w:rPr>
                            <w:sz w:val="16"/>
                            <w:szCs w:val="16"/>
                          </w:rPr>
                        </w:pPr>
                        <w:r>
                          <w:rPr>
                            <w:sz w:val="16"/>
                            <w:szCs w:val="16"/>
                          </w:rPr>
                          <w:t xml:space="preserve">State Agency for Geology and Mineral Resources </w:t>
                        </w:r>
                      </w:p>
                    </w:txbxContent>
                  </v:textbox>
                </v:shape>
                <v:shape id="Text Box 49" o:spid="_x0000_s1035" type="#_x0000_t202" style="position:absolute;left:20037;top:16538;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L9cIA&#10;AADcAAAADwAAAGRycy9kb3ducmV2LnhtbERPTWsCMRC9F/ofwhS8lJrVg3W3RlFB8KSoPfQ43Yyb&#10;pZvJkkRd/fVGKHibx/ucyayzjTiTD7VjBYN+BoK4dLrmSsH3YfUxBhEissbGMSm4UoDZ9PVlgoV2&#10;F97ReR8rkUI4FKjAxNgWUobSkMXQdy1x4o7OW4wJ+kpqj5cUbhs5zLKRtFhzajDY0tJQ+bc/WQWf&#10;c1zkt8O24/ejXl3zn92v3xilem/d/AtEpC4+xf/utU7zhzk8nk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4v1wgAAANwAAAAPAAAAAAAAAAAAAAAAAJgCAABkcnMvZG93&#10;bnJldi54bWxQSwUGAAAAAAQABAD1AAAAhwMAAAAA&#10;" fillcolor="#dafda7" strokecolor="#94b64e">
                  <v:fill color2="#f5ffe6" rotate="t" angle="180" colors="0 #dafda7;22938f #e4fdc2;1 #f5ffe6" focus="100%" type="gradient"/>
                  <v:shadow on="t" color="black" opacity="24903f" origin=",.5" offset="0,.55556mm"/>
                  <v:textbox inset=",0,,0">
                    <w:txbxContent>
                      <w:p w14:paraId="421F5404" w14:textId="77777777" w:rsidR="007E7DF5" w:rsidRPr="00454B0B" w:rsidRDefault="007E7DF5" w:rsidP="000946D5">
                        <w:pPr>
                          <w:jc w:val="center"/>
                          <w:rPr>
                            <w:sz w:val="16"/>
                            <w:szCs w:val="16"/>
                          </w:rPr>
                        </w:pPr>
                        <w:r>
                          <w:rPr>
                            <w:sz w:val="16"/>
                            <w:szCs w:val="16"/>
                          </w:rPr>
                          <w:t>Research Organizations (3)</w:t>
                        </w:r>
                      </w:p>
                    </w:txbxContent>
                  </v:textbox>
                </v:shape>
                <w10:anchorlock/>
              </v:group>
            </w:pict>
          </mc:Fallback>
        </mc:AlternateContent>
      </w:r>
    </w:p>
    <w:p w14:paraId="0C3C8D6C" w14:textId="77777777" w:rsidR="000B7923" w:rsidRPr="005C2F51" w:rsidRDefault="000B7923" w:rsidP="00F33595">
      <w:pPr>
        <w:rPr>
          <w:rFonts w:cs="Times New Roman"/>
          <w:color w:val="000000" w:themeColor="text1"/>
        </w:rPr>
      </w:pPr>
      <w:r w:rsidRPr="005C2F51">
        <w:rPr>
          <w:rFonts w:cs="Times New Roman"/>
          <w:color w:val="000000" w:themeColor="text1"/>
        </w:rPr>
        <w:t xml:space="preserve"> </w:t>
      </w:r>
    </w:p>
    <w:p w14:paraId="0A0A2E4C" w14:textId="0CDA882A" w:rsidR="000B7923" w:rsidRPr="002B1DFC" w:rsidRDefault="000B7923" w:rsidP="00B76BDA">
      <w:pPr>
        <w:pStyle w:val="ListParagraph"/>
        <w:numPr>
          <w:ilvl w:val="0"/>
          <w:numId w:val="68"/>
        </w:numPr>
        <w:tabs>
          <w:tab w:val="left" w:pos="360"/>
        </w:tabs>
        <w:spacing w:line="23" w:lineRule="atLeast"/>
        <w:ind w:left="0" w:firstLine="0"/>
        <w:rPr>
          <w:rFonts w:cs="Times New Roman"/>
        </w:rPr>
      </w:pPr>
      <w:r w:rsidRPr="002B1DFC">
        <w:rPr>
          <w:rFonts w:cs="Times New Roman"/>
          <w:b/>
          <w:i/>
        </w:rPr>
        <w:t xml:space="preserve">The State Ecological </w:t>
      </w:r>
      <w:r w:rsidR="00A80CE6">
        <w:rPr>
          <w:rFonts w:cs="Times New Roman"/>
          <w:b/>
          <w:i/>
        </w:rPr>
        <w:t>Inspectorate</w:t>
      </w:r>
      <w:r w:rsidR="00A80CE6" w:rsidRPr="002B1DFC">
        <w:rPr>
          <w:rFonts w:cs="Times New Roman"/>
        </w:rPr>
        <w:t xml:space="preserve"> </w:t>
      </w:r>
      <w:r w:rsidRPr="002B1DFC">
        <w:rPr>
          <w:rFonts w:cs="Times New Roman"/>
        </w:rPr>
        <w:t xml:space="preserve">(SEI) </w:t>
      </w:r>
      <w:r w:rsidR="00423D23">
        <w:rPr>
          <w:rFonts w:cs="Times New Roman"/>
        </w:rPr>
        <w:t xml:space="preserve">agency </w:t>
      </w:r>
      <w:r w:rsidRPr="002B1DFC">
        <w:rPr>
          <w:rFonts w:cs="Times New Roman"/>
        </w:rPr>
        <w:t>implements state policy on monitoring and control in the area of environmental protection, rational use, recreation</w:t>
      </w:r>
      <w:r w:rsidR="00423D23">
        <w:rPr>
          <w:rFonts w:cs="Times New Roman"/>
        </w:rPr>
        <w:t>,</w:t>
      </w:r>
      <w:r w:rsidRPr="002B1DFC">
        <w:rPr>
          <w:rFonts w:cs="Times New Roman"/>
        </w:rPr>
        <w:t xml:space="preserve"> and protection of natural resources. The SEI has 68 staff in the central unit and 2,452 staff in regional departments. </w:t>
      </w:r>
    </w:p>
    <w:p w14:paraId="439EC6B7" w14:textId="77777777" w:rsidR="000B7923" w:rsidRPr="002B1DFC" w:rsidRDefault="000B7923" w:rsidP="00666AAE">
      <w:pPr>
        <w:rPr>
          <w:rFonts w:cs="Times New Roman"/>
        </w:rPr>
      </w:pPr>
    </w:p>
    <w:p w14:paraId="3D3A41A8" w14:textId="47F09E30" w:rsidR="000B7923" w:rsidRPr="002B1DFC" w:rsidRDefault="000B7923" w:rsidP="00721C66">
      <w:pPr>
        <w:pStyle w:val="ListParagraph"/>
        <w:numPr>
          <w:ilvl w:val="0"/>
          <w:numId w:val="68"/>
        </w:numPr>
        <w:tabs>
          <w:tab w:val="left" w:pos="360"/>
        </w:tabs>
        <w:spacing w:line="23" w:lineRule="atLeast"/>
        <w:ind w:left="0" w:firstLine="0"/>
        <w:rPr>
          <w:rFonts w:cs="Times New Roman"/>
        </w:rPr>
      </w:pPr>
      <w:r w:rsidRPr="002B1DFC">
        <w:rPr>
          <w:rFonts w:cs="Times New Roman"/>
        </w:rPr>
        <w:t xml:space="preserve">Before a moratorium was announced on all government inspections in August 2014, the SEI regional departments prepared quarterly and annual inspection plans that were then approved by the central unit. The inspection plans take into consideration </w:t>
      </w:r>
      <w:r w:rsidR="00423D23">
        <w:rPr>
          <w:rFonts w:cs="Times New Roman"/>
        </w:rPr>
        <w:t>enterprises’</w:t>
      </w:r>
      <w:r w:rsidR="00423D23" w:rsidRPr="002B1DFC">
        <w:rPr>
          <w:rFonts w:cs="Times New Roman"/>
        </w:rPr>
        <w:t xml:space="preserve"> </w:t>
      </w:r>
      <w:r w:rsidRPr="002B1DFC">
        <w:rPr>
          <w:rFonts w:cs="Times New Roman"/>
        </w:rPr>
        <w:t xml:space="preserve">risk </w:t>
      </w:r>
      <w:r w:rsidR="005C2F51" w:rsidRPr="002B1DFC">
        <w:rPr>
          <w:rFonts w:cs="Times New Roman"/>
        </w:rPr>
        <w:t>categorization (</w:t>
      </w:r>
      <w:r w:rsidRPr="002B1DFC">
        <w:rPr>
          <w:rFonts w:cs="Times New Roman"/>
        </w:rPr>
        <w:t xml:space="preserve">I, II, and III). The inspectors carry out the monitoring based on the permits for each enterprise. If violation of standards is identified, the enterprise pays a fine </w:t>
      </w:r>
      <w:r w:rsidR="00423D23">
        <w:rPr>
          <w:rFonts w:cs="Times New Roman"/>
        </w:rPr>
        <w:t>that</w:t>
      </w:r>
      <w:r w:rsidR="00423D23" w:rsidRPr="002B1DFC">
        <w:rPr>
          <w:rFonts w:cs="Times New Roman"/>
        </w:rPr>
        <w:t xml:space="preserve"> </w:t>
      </w:r>
      <w:r w:rsidRPr="002B1DFC">
        <w:rPr>
          <w:rFonts w:cs="Times New Roman"/>
        </w:rPr>
        <w:t>is calculated based on a formula. A second violation results in a fine and may result in legal action</w:t>
      </w:r>
      <w:r w:rsidR="00EF4ECC">
        <w:rPr>
          <w:rFonts w:cs="Times New Roman"/>
        </w:rPr>
        <w:t xml:space="preserve">—for example, </w:t>
      </w:r>
      <w:r w:rsidRPr="002B1DFC">
        <w:rPr>
          <w:rFonts w:cs="Times New Roman"/>
        </w:rPr>
        <w:t xml:space="preserve">over the past year, the </w:t>
      </w:r>
      <w:r w:rsidR="00E56023">
        <w:rPr>
          <w:rFonts w:cs="Times New Roman"/>
        </w:rPr>
        <w:t xml:space="preserve">SEI in </w:t>
      </w:r>
      <w:proofErr w:type="spellStart"/>
      <w:r w:rsidRPr="002B1DFC">
        <w:rPr>
          <w:rFonts w:cs="Times New Roman"/>
        </w:rPr>
        <w:t>Vinnytsya</w:t>
      </w:r>
      <w:proofErr w:type="spellEnd"/>
      <w:r w:rsidRPr="002B1DFC">
        <w:rPr>
          <w:rFonts w:cs="Times New Roman"/>
        </w:rPr>
        <w:t xml:space="preserve"> submitted </w:t>
      </w:r>
      <w:r w:rsidR="00EF4ECC">
        <w:rPr>
          <w:rFonts w:cs="Times New Roman"/>
        </w:rPr>
        <w:t>two</w:t>
      </w:r>
      <w:r w:rsidR="00EF4ECC" w:rsidRPr="002B1DFC">
        <w:rPr>
          <w:rFonts w:cs="Times New Roman"/>
        </w:rPr>
        <w:t xml:space="preserve"> </w:t>
      </w:r>
      <w:r w:rsidRPr="002B1DFC">
        <w:rPr>
          <w:rFonts w:cs="Times New Roman"/>
        </w:rPr>
        <w:t xml:space="preserve">files to the general prosecutor’s office for legal action (however, both cases were ruled not in their favor). The fines are </w:t>
      </w:r>
      <w:r w:rsidR="00EF4ECC">
        <w:rPr>
          <w:rFonts w:cs="Times New Roman"/>
        </w:rPr>
        <w:t>credited</w:t>
      </w:r>
      <w:r w:rsidR="00EF4ECC" w:rsidRPr="002B1DFC">
        <w:rPr>
          <w:rFonts w:cs="Times New Roman"/>
        </w:rPr>
        <w:t xml:space="preserve"> </w:t>
      </w:r>
      <w:r w:rsidRPr="002B1DFC">
        <w:rPr>
          <w:rFonts w:cs="Times New Roman"/>
        </w:rPr>
        <w:t>to the central budget and</w:t>
      </w:r>
      <w:r w:rsidR="00EF4ECC">
        <w:rPr>
          <w:rFonts w:cs="Times New Roman"/>
        </w:rPr>
        <w:t>,</w:t>
      </w:r>
      <w:r w:rsidRPr="002B1DFC">
        <w:rPr>
          <w:rFonts w:cs="Times New Roman"/>
        </w:rPr>
        <w:t xml:space="preserve"> as such, become a </w:t>
      </w:r>
      <w:r w:rsidR="00A46166">
        <w:rPr>
          <w:rFonts w:cs="Times New Roman"/>
        </w:rPr>
        <w:t>re</w:t>
      </w:r>
      <w:r w:rsidRPr="002B1DFC">
        <w:rPr>
          <w:rFonts w:cs="Times New Roman"/>
        </w:rPr>
        <w:t xml:space="preserve">source for the </w:t>
      </w:r>
      <w:r w:rsidR="00E56023" w:rsidRPr="00E56023">
        <w:rPr>
          <w:rFonts w:cs="Times New Roman"/>
        </w:rPr>
        <w:t>environmental protection fund</w:t>
      </w:r>
      <w:r w:rsidR="00E56023">
        <w:rPr>
          <w:rFonts w:cs="Times New Roman"/>
        </w:rPr>
        <w:t>s</w:t>
      </w:r>
      <w:r w:rsidR="00E56023" w:rsidRPr="00E56023">
        <w:rPr>
          <w:rFonts w:cs="Times New Roman"/>
        </w:rPr>
        <w:t xml:space="preserve"> at all levels</w:t>
      </w:r>
      <w:r w:rsidR="00EF4ECC">
        <w:rPr>
          <w:rFonts w:cs="Times New Roman"/>
        </w:rPr>
        <w:t>.</w:t>
      </w:r>
      <w:r w:rsidRPr="002B1DFC">
        <w:rPr>
          <w:rStyle w:val="FootnoteReference"/>
        </w:rPr>
        <w:footnoteReference w:id="3"/>
      </w:r>
      <w:r w:rsidRPr="002B1DFC">
        <w:rPr>
          <w:rFonts w:cs="Times New Roman"/>
        </w:rPr>
        <w:t xml:space="preserve"> </w:t>
      </w:r>
    </w:p>
    <w:p w14:paraId="7EF5A870" w14:textId="77777777" w:rsidR="000B7923" w:rsidRPr="002B1DFC" w:rsidRDefault="000B7923" w:rsidP="00666AAE">
      <w:pPr>
        <w:rPr>
          <w:rFonts w:cs="Times New Roman"/>
        </w:rPr>
      </w:pPr>
    </w:p>
    <w:p w14:paraId="314BCBCC" w14:textId="6C48F156" w:rsidR="000B7923" w:rsidRPr="002B1DFC" w:rsidRDefault="000B7923" w:rsidP="00721C66">
      <w:pPr>
        <w:pStyle w:val="ListParagraph"/>
        <w:numPr>
          <w:ilvl w:val="0"/>
          <w:numId w:val="68"/>
        </w:numPr>
        <w:tabs>
          <w:tab w:val="left" w:pos="360"/>
        </w:tabs>
        <w:spacing w:line="23" w:lineRule="atLeast"/>
        <w:ind w:left="0" w:firstLine="0"/>
        <w:rPr>
          <w:rFonts w:cs="Times New Roman"/>
        </w:rPr>
      </w:pPr>
      <w:r w:rsidRPr="002B1DFC">
        <w:rPr>
          <w:rFonts w:cs="Times New Roman"/>
        </w:rPr>
        <w:t>At present, there is no clear coordination process between the SEI and the environmental departments of the regional state administration but rely on informal contacts between staff. While SEI inspection was an enforcement arm in the past, since the moratorium the cit</w:t>
      </w:r>
      <w:r w:rsidR="00A46166">
        <w:rPr>
          <w:rFonts w:cs="Times New Roman"/>
        </w:rPr>
        <w:t>ies</w:t>
      </w:r>
      <w:r w:rsidRPr="002B1DFC">
        <w:rPr>
          <w:rFonts w:cs="Times New Roman"/>
        </w:rPr>
        <w:t xml:space="preserve"> </w:t>
      </w:r>
      <w:r w:rsidR="00A46166" w:rsidRPr="002B1DFC">
        <w:rPr>
          <w:rFonts w:cs="Times New Roman"/>
        </w:rPr>
        <w:t>rel</w:t>
      </w:r>
      <w:r w:rsidR="00A46166">
        <w:rPr>
          <w:rFonts w:cs="Times New Roman"/>
        </w:rPr>
        <w:t>y</w:t>
      </w:r>
      <w:r w:rsidR="00A46166" w:rsidRPr="002B1DFC">
        <w:rPr>
          <w:rFonts w:cs="Times New Roman"/>
        </w:rPr>
        <w:t xml:space="preserve"> </w:t>
      </w:r>
      <w:r w:rsidRPr="002B1DFC">
        <w:rPr>
          <w:rFonts w:cs="Times New Roman"/>
        </w:rPr>
        <w:t xml:space="preserve">on </w:t>
      </w:r>
      <w:r w:rsidR="00A46166">
        <w:rPr>
          <w:rFonts w:cs="Times New Roman"/>
        </w:rPr>
        <w:t xml:space="preserve">city services and </w:t>
      </w:r>
      <w:r w:rsidRPr="002B1DFC">
        <w:rPr>
          <w:rFonts w:cs="Times New Roman"/>
        </w:rPr>
        <w:t>municipal police for enforcement of environmental conditions.</w:t>
      </w:r>
    </w:p>
    <w:p w14:paraId="43D6155F" w14:textId="77777777" w:rsidR="000B7923" w:rsidRPr="002B1DFC" w:rsidRDefault="000B7923" w:rsidP="00D5033E">
      <w:pPr>
        <w:rPr>
          <w:rFonts w:cs="Times New Roman"/>
          <w:b/>
          <w:bCs/>
        </w:rPr>
      </w:pPr>
    </w:p>
    <w:p w14:paraId="06FEA333" w14:textId="77777777" w:rsidR="000B7923" w:rsidRPr="002B1DFC" w:rsidRDefault="00423D23" w:rsidP="00907895">
      <w:pPr>
        <w:pStyle w:val="ListParagraph"/>
        <w:numPr>
          <w:ilvl w:val="0"/>
          <w:numId w:val="68"/>
        </w:numPr>
        <w:tabs>
          <w:tab w:val="left" w:pos="360"/>
        </w:tabs>
        <w:spacing w:line="23" w:lineRule="atLeast"/>
        <w:ind w:left="0" w:firstLine="0"/>
        <w:rPr>
          <w:rFonts w:cs="Times New Roman"/>
        </w:rPr>
      </w:pPr>
      <w:r>
        <w:rPr>
          <w:rFonts w:cs="Times New Roman"/>
          <w:b/>
          <w:i/>
        </w:rPr>
        <w:t xml:space="preserve">The </w:t>
      </w:r>
      <w:r w:rsidR="000B7923" w:rsidRPr="002B1DFC">
        <w:rPr>
          <w:rFonts w:cs="Times New Roman"/>
          <w:b/>
          <w:i/>
        </w:rPr>
        <w:t xml:space="preserve">State Agency of Water Resources </w:t>
      </w:r>
      <w:r w:rsidR="000B7923" w:rsidRPr="002B1DFC">
        <w:rPr>
          <w:rFonts w:cs="Times New Roman"/>
        </w:rPr>
        <w:t xml:space="preserve">of the MENR implements state policy </w:t>
      </w:r>
      <w:r>
        <w:rPr>
          <w:rFonts w:cs="Times New Roman"/>
        </w:rPr>
        <w:t>regarding</w:t>
      </w:r>
      <w:r w:rsidRPr="002B1DFC">
        <w:rPr>
          <w:rFonts w:cs="Times New Roman"/>
        </w:rPr>
        <w:t xml:space="preserve"> </w:t>
      </w:r>
      <w:r w:rsidR="000B7923" w:rsidRPr="002B1DFC">
        <w:rPr>
          <w:rFonts w:cs="Times New Roman"/>
        </w:rPr>
        <w:t>the management, use</w:t>
      </w:r>
      <w:r>
        <w:rPr>
          <w:rFonts w:cs="Times New Roman"/>
        </w:rPr>
        <w:t xml:space="preserve"> (including</w:t>
      </w:r>
      <w:r w:rsidR="000B7923" w:rsidRPr="002B1DFC">
        <w:rPr>
          <w:rFonts w:cs="Times New Roman"/>
        </w:rPr>
        <w:t xml:space="preserve"> recreation</w:t>
      </w:r>
      <w:r>
        <w:rPr>
          <w:rFonts w:cs="Times New Roman"/>
        </w:rPr>
        <w:t>al use)</w:t>
      </w:r>
      <w:r w:rsidR="000B7923" w:rsidRPr="002B1DFC">
        <w:rPr>
          <w:rFonts w:cs="Times New Roman"/>
        </w:rPr>
        <w:t xml:space="preserve"> of surface water resources; development of water industry and land reclamation; </w:t>
      </w:r>
      <w:r>
        <w:rPr>
          <w:rFonts w:cs="Times New Roman"/>
        </w:rPr>
        <w:t xml:space="preserve">and </w:t>
      </w:r>
      <w:r w:rsidR="000B7923" w:rsidRPr="002B1DFC">
        <w:rPr>
          <w:rFonts w:cs="Times New Roman"/>
        </w:rPr>
        <w:t>maintenance of state waterworks facilities, inter-economic irrigation</w:t>
      </w:r>
      <w:r>
        <w:rPr>
          <w:rFonts w:cs="Times New Roman"/>
        </w:rPr>
        <w:t>,</w:t>
      </w:r>
      <w:r w:rsidR="000B7923" w:rsidRPr="002B1DFC">
        <w:rPr>
          <w:rFonts w:cs="Times New Roman"/>
        </w:rPr>
        <w:t xml:space="preserve"> and drainage systems. The central apparatus of </w:t>
      </w:r>
      <w:r>
        <w:rPr>
          <w:rFonts w:cs="Times New Roman"/>
        </w:rPr>
        <w:t xml:space="preserve">the </w:t>
      </w:r>
      <w:r w:rsidR="000B7923" w:rsidRPr="002B1DFC">
        <w:rPr>
          <w:rFonts w:cs="Times New Roman"/>
        </w:rPr>
        <w:t>State Agency of Water Resources has 143 staff members.</w:t>
      </w:r>
    </w:p>
    <w:p w14:paraId="71C78C27" w14:textId="77777777" w:rsidR="000B7923" w:rsidRPr="002B1DFC" w:rsidRDefault="000B7923" w:rsidP="00F33595">
      <w:pPr>
        <w:rPr>
          <w:rFonts w:cs="Times New Roman"/>
        </w:rPr>
      </w:pPr>
    </w:p>
    <w:p w14:paraId="0F58AFF4" w14:textId="77777777" w:rsidR="000B7923" w:rsidRPr="002B1DFC" w:rsidRDefault="00423D23" w:rsidP="00907895">
      <w:pPr>
        <w:pStyle w:val="ListParagraph"/>
        <w:numPr>
          <w:ilvl w:val="0"/>
          <w:numId w:val="68"/>
        </w:numPr>
        <w:tabs>
          <w:tab w:val="left" w:pos="360"/>
        </w:tabs>
        <w:spacing w:line="23" w:lineRule="atLeast"/>
        <w:ind w:left="0" w:firstLine="0"/>
        <w:rPr>
          <w:rFonts w:cs="Times New Roman"/>
        </w:rPr>
      </w:pPr>
      <w:r>
        <w:rPr>
          <w:rFonts w:cs="Times New Roman"/>
          <w:b/>
          <w:i/>
        </w:rPr>
        <w:t xml:space="preserve">The </w:t>
      </w:r>
      <w:r w:rsidR="000B7923" w:rsidRPr="002B1DFC">
        <w:rPr>
          <w:rFonts w:cs="Times New Roman"/>
          <w:b/>
          <w:i/>
        </w:rPr>
        <w:t xml:space="preserve">State Service of Geology and Mineral Resources </w:t>
      </w:r>
      <w:r w:rsidR="000B7923" w:rsidRPr="002B1DFC">
        <w:rPr>
          <w:rFonts w:cs="Times New Roman"/>
        </w:rPr>
        <w:t>of the MENR implements state policy in geological research and rational use of mineral resources. The central apparatus of this Service has 122 staff members.</w:t>
      </w:r>
    </w:p>
    <w:p w14:paraId="5862D9D0" w14:textId="77777777" w:rsidR="000B7923" w:rsidRPr="002B1DFC" w:rsidRDefault="000B7923" w:rsidP="006436A3">
      <w:pPr>
        <w:rPr>
          <w:rFonts w:cs="Times New Roman"/>
          <w:b/>
          <w:i/>
        </w:rPr>
      </w:pPr>
    </w:p>
    <w:p w14:paraId="634AE6EA" w14:textId="77777777" w:rsidR="000B7923" w:rsidRDefault="00423D23" w:rsidP="00907895">
      <w:pPr>
        <w:pStyle w:val="ListParagraph"/>
        <w:numPr>
          <w:ilvl w:val="0"/>
          <w:numId w:val="68"/>
        </w:numPr>
        <w:tabs>
          <w:tab w:val="left" w:pos="360"/>
        </w:tabs>
        <w:spacing w:line="23" w:lineRule="atLeast"/>
        <w:ind w:left="0" w:firstLine="0"/>
        <w:rPr>
          <w:rFonts w:cs="Times New Roman"/>
        </w:rPr>
      </w:pPr>
      <w:r>
        <w:rPr>
          <w:rFonts w:cs="Times New Roman"/>
          <w:b/>
          <w:i/>
        </w:rPr>
        <w:t xml:space="preserve">The </w:t>
      </w:r>
      <w:r w:rsidR="000B7923" w:rsidRPr="002B1DFC">
        <w:rPr>
          <w:rFonts w:cs="Times New Roman"/>
          <w:b/>
          <w:i/>
        </w:rPr>
        <w:t xml:space="preserve">State Agency of Ukraine on Exclusion Zone Management </w:t>
      </w:r>
      <w:r w:rsidR="000B7923" w:rsidRPr="002B1DFC">
        <w:rPr>
          <w:rFonts w:cs="Times New Roman"/>
        </w:rPr>
        <w:t>of the MENR implements state policy in the management of exclusion zone and zone of mandatory resettlement as well as liquidation of consequences of the Chernobyl catastrophe. It also implements state policy of radioactive wastes management at the stage of their long-term storage and burial. The central apparatus of this State Agency has 41 staff members.</w:t>
      </w:r>
    </w:p>
    <w:p w14:paraId="4B897D7E" w14:textId="77777777" w:rsidR="000D5F54" w:rsidRPr="002B1DFC" w:rsidRDefault="000D5F54" w:rsidP="00C01BAC">
      <w:pPr>
        <w:rPr>
          <w:rFonts w:cs="Times New Roman"/>
        </w:rPr>
      </w:pPr>
    </w:p>
    <w:p w14:paraId="74A0267C" w14:textId="77777777" w:rsidR="000B7923" w:rsidRPr="002B1DFC" w:rsidRDefault="000B7923" w:rsidP="000D5F54">
      <w:pPr>
        <w:pStyle w:val="Heading2"/>
      </w:pPr>
      <w:bookmarkStart w:id="78" w:name="_Toc440273962"/>
      <w:bookmarkStart w:id="79" w:name="_Toc403738258"/>
      <w:r w:rsidRPr="002B1DFC">
        <w:t>Other Government Agencies</w:t>
      </w:r>
      <w:bookmarkEnd w:id="78"/>
      <w:r w:rsidRPr="002B1DFC">
        <w:t xml:space="preserve"> </w:t>
      </w:r>
      <w:bookmarkEnd w:id="79"/>
    </w:p>
    <w:p w14:paraId="3EF14979" w14:textId="77777777" w:rsidR="000B7923" w:rsidRPr="002B1DFC" w:rsidRDefault="000B7923" w:rsidP="00F55709">
      <w:pPr>
        <w:pStyle w:val="ListParagraph"/>
        <w:numPr>
          <w:ilvl w:val="0"/>
          <w:numId w:val="68"/>
        </w:numPr>
        <w:tabs>
          <w:tab w:val="left" w:pos="360"/>
        </w:tabs>
        <w:spacing w:before="200"/>
        <w:ind w:left="0" w:firstLine="0"/>
        <w:rPr>
          <w:rFonts w:cs="Times New Roman"/>
        </w:rPr>
      </w:pPr>
      <w:r w:rsidRPr="002B1DFC">
        <w:rPr>
          <w:rFonts w:cs="Times New Roman"/>
        </w:rPr>
        <w:t xml:space="preserve">In addition to the MENR and its agencies, several ministries and state services affect environmental management within their specific spheres of competence. Figure </w:t>
      </w:r>
      <w:r w:rsidR="000D5F54">
        <w:rPr>
          <w:rFonts w:cs="Times New Roman"/>
        </w:rPr>
        <w:t>5</w:t>
      </w:r>
      <w:r w:rsidRPr="002B1DFC">
        <w:rPr>
          <w:rFonts w:cs="Times New Roman"/>
        </w:rPr>
        <w:t xml:space="preserve"> below provides an overview of</w:t>
      </w:r>
      <w:r w:rsidR="000D5F54">
        <w:rPr>
          <w:rFonts w:cs="Times New Roman"/>
        </w:rPr>
        <w:t xml:space="preserve"> the</w:t>
      </w:r>
      <w:r w:rsidRPr="002B1DFC">
        <w:rPr>
          <w:rFonts w:cs="Times New Roman"/>
        </w:rPr>
        <w:t xml:space="preserve"> main government agencies that influence environmental management within their specific sectors as of August 2015. </w:t>
      </w:r>
    </w:p>
    <w:p w14:paraId="499C8C7C" w14:textId="77777777" w:rsidR="000B7923" w:rsidRPr="002B1DFC" w:rsidRDefault="000B7923" w:rsidP="00BD78DB">
      <w:pPr>
        <w:rPr>
          <w:rFonts w:cs="Times New Roman"/>
        </w:rPr>
      </w:pPr>
    </w:p>
    <w:p w14:paraId="15C64F9C" w14:textId="77777777" w:rsidR="000B7923" w:rsidRPr="002B1DFC" w:rsidRDefault="000B7923" w:rsidP="00BD78DB">
      <w:pPr>
        <w:pStyle w:val="Caption"/>
        <w:rPr>
          <w:noProof w:val="0"/>
          <w:lang w:val="en-US"/>
        </w:rPr>
      </w:pPr>
      <w:bookmarkStart w:id="80" w:name="_Toc440274015"/>
      <w:r w:rsidRPr="002B1DFC">
        <w:rPr>
          <w:noProof w:val="0"/>
          <w:lang w:val="en-US"/>
        </w:rPr>
        <w:t xml:space="preserve">Figure </w:t>
      </w:r>
      <w:r w:rsidRPr="002B1DFC">
        <w:rPr>
          <w:noProof w:val="0"/>
          <w:lang w:val="en-US"/>
        </w:rPr>
        <w:fldChar w:fldCharType="begin"/>
      </w:r>
      <w:r w:rsidRPr="002B1DFC">
        <w:rPr>
          <w:noProof w:val="0"/>
          <w:lang w:val="en-US"/>
        </w:rPr>
        <w:instrText xml:space="preserve"> SEQ Figure \* ARABIC </w:instrText>
      </w:r>
      <w:r w:rsidRPr="002B1DFC">
        <w:rPr>
          <w:noProof w:val="0"/>
          <w:lang w:val="en-US"/>
        </w:rPr>
        <w:fldChar w:fldCharType="separate"/>
      </w:r>
      <w:r w:rsidR="00356D5F">
        <w:rPr>
          <w:lang w:val="en-US"/>
        </w:rPr>
        <w:t>5</w:t>
      </w:r>
      <w:r w:rsidRPr="002B1DFC">
        <w:rPr>
          <w:noProof w:val="0"/>
          <w:lang w:val="en-US"/>
        </w:rPr>
        <w:fldChar w:fldCharType="end"/>
      </w:r>
      <w:r w:rsidRPr="002B1DFC">
        <w:rPr>
          <w:noProof w:val="0"/>
          <w:lang w:val="en-US"/>
        </w:rPr>
        <w:t>. Government Structures Involved in Environmental Protection, 2015</w:t>
      </w:r>
      <w:bookmarkEnd w:id="80"/>
    </w:p>
    <w:p w14:paraId="73E8CFFC" w14:textId="77777777" w:rsidR="000B7923" w:rsidRPr="002B1DFC" w:rsidRDefault="00BE4288" w:rsidP="00BD78DB">
      <w:pPr>
        <w:tabs>
          <w:tab w:val="left" w:pos="2254"/>
          <w:tab w:val="left" w:pos="2655"/>
        </w:tabs>
        <w:rPr>
          <w:rFonts w:cs="Times New Roman"/>
        </w:rPr>
      </w:pPr>
      <w:r w:rsidRPr="002B1DFC">
        <w:rPr>
          <w:rFonts w:cs="Times New Roman"/>
          <w:noProof/>
        </w:rPr>
        <mc:AlternateContent>
          <mc:Choice Requires="wpg">
            <w:drawing>
              <wp:inline distT="0" distB="0" distL="0" distR="0" wp14:anchorId="530CFA90" wp14:editId="33F547DF">
                <wp:extent cx="5943600" cy="2166620"/>
                <wp:effectExtent l="19050" t="19050" r="19050" b="14605"/>
                <wp:docPr id="6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66620"/>
                          <a:chOff x="0" y="0"/>
                          <a:chExt cx="5943600" cy="2166789"/>
                        </a:xfrm>
                      </wpg:grpSpPr>
                      <wps:wsp>
                        <wps:cNvPr id="70" name="Text Box 1"/>
                        <wps:cNvSpPr txBox="1">
                          <a:spLocks noChangeArrowheads="1"/>
                        </wps:cNvSpPr>
                        <wps:spPr bwMode="auto">
                          <a:xfrm>
                            <a:off x="14630" y="0"/>
                            <a:ext cx="1225200" cy="274297"/>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279DF36B" w14:textId="77777777" w:rsidR="007E7DF5" w:rsidRPr="00A06EE5" w:rsidRDefault="007E7DF5" w:rsidP="00A06EE5">
                              <w:pPr>
                                <w:jc w:val="center"/>
                                <w:rPr>
                                  <w:rFonts w:cs="Times New Roman"/>
                                  <w:sz w:val="14"/>
                                  <w:szCs w:val="14"/>
                                </w:rPr>
                              </w:pPr>
                              <w:r w:rsidRPr="00A06EE5">
                                <w:rPr>
                                  <w:rFonts w:cs="Times New Roman"/>
                                  <w:sz w:val="14"/>
                                  <w:szCs w:val="14"/>
                                </w:rPr>
                                <w:t>President</w:t>
                              </w:r>
                            </w:p>
                          </w:txbxContent>
                        </wps:txbx>
                        <wps:bodyPr rot="0" vert="horz" wrap="square" lIns="0" tIns="0" rIns="0" bIns="0" anchor="ctr" anchorCtr="0" upright="1">
                          <a:noAutofit/>
                        </wps:bodyPr>
                      </wps:wsp>
                      <wps:wsp>
                        <wps:cNvPr id="71" name="Text Box 6"/>
                        <wps:cNvSpPr txBox="1">
                          <a:spLocks noChangeArrowheads="1"/>
                        </wps:cNvSpPr>
                        <wps:spPr bwMode="auto">
                          <a:xfrm>
                            <a:off x="1536192" y="0"/>
                            <a:ext cx="1828800" cy="274297"/>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3E922B59" w14:textId="77777777" w:rsidR="007E7DF5" w:rsidRPr="00A06EE5" w:rsidRDefault="007E7DF5" w:rsidP="00A06EE5">
                              <w:pPr>
                                <w:jc w:val="center"/>
                                <w:rPr>
                                  <w:rFonts w:cs="Times New Roman"/>
                                  <w:sz w:val="14"/>
                                  <w:szCs w:val="14"/>
                                </w:rPr>
                              </w:pPr>
                              <w:r w:rsidRPr="00A06EE5">
                                <w:rPr>
                                  <w:rFonts w:cs="Times New Roman"/>
                                  <w:sz w:val="14"/>
                                  <w:szCs w:val="14"/>
                                </w:rPr>
                                <w:t>National Security &amp; Defense Council</w:t>
                              </w:r>
                            </w:p>
                          </w:txbxContent>
                        </wps:txbx>
                        <wps:bodyPr rot="0" vert="horz" wrap="square" lIns="0" tIns="0" rIns="0" bIns="0" anchor="ctr" anchorCtr="0" upright="1">
                          <a:noAutofit/>
                        </wps:bodyPr>
                      </wps:wsp>
                      <wps:wsp>
                        <wps:cNvPr id="72" name="Text Box 25"/>
                        <wps:cNvSpPr txBox="1">
                          <a:spLocks noChangeArrowheads="1"/>
                        </wps:cNvSpPr>
                        <wps:spPr bwMode="auto">
                          <a:xfrm>
                            <a:off x="3657600" y="0"/>
                            <a:ext cx="2286000" cy="228598"/>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14:paraId="744B32E6" w14:textId="77777777" w:rsidR="007E7DF5" w:rsidRPr="00A06EE5" w:rsidRDefault="007E7DF5" w:rsidP="00A06EE5">
                              <w:pPr>
                                <w:jc w:val="center"/>
                                <w:rPr>
                                  <w:rFonts w:cs="Times New Roman"/>
                                  <w:sz w:val="14"/>
                                  <w:szCs w:val="14"/>
                                </w:rPr>
                              </w:pPr>
                              <w:r w:rsidRPr="00A06EE5">
                                <w:rPr>
                                  <w:rFonts w:cs="Times New Roman"/>
                                  <w:sz w:val="14"/>
                                  <w:szCs w:val="14"/>
                                </w:rPr>
                                <w:t>Sectoral Ministries and Government Bodies</w:t>
                              </w:r>
                            </w:p>
                          </w:txbxContent>
                        </wps:txbx>
                        <wps:bodyPr rot="0" vert="horz" wrap="square" lIns="91440" tIns="0" rIns="91440" bIns="0" anchor="ctr" anchorCtr="0" upright="1">
                          <a:noAutofit/>
                        </wps:bodyPr>
                      </wps:wsp>
                      <wps:wsp>
                        <wps:cNvPr id="73" name="Text Box 7"/>
                        <wps:cNvSpPr txBox="1">
                          <a:spLocks noChangeArrowheads="1"/>
                        </wps:cNvSpPr>
                        <wps:spPr bwMode="auto">
                          <a:xfrm>
                            <a:off x="1528876" y="365760"/>
                            <a:ext cx="1828800" cy="274297"/>
                          </a:xfrm>
                          <a:prstGeom prst="rect">
                            <a:avLst/>
                          </a:prstGeom>
                          <a:solidFill>
                            <a:srgbClr val="FFFFFF"/>
                          </a:solidFill>
                          <a:ln w="25400">
                            <a:solidFill>
                              <a:srgbClr val="8064A2"/>
                            </a:solidFill>
                            <a:miter lim="800000"/>
                            <a:headEnd/>
                            <a:tailEnd/>
                          </a:ln>
                        </wps:spPr>
                        <wps:txbx>
                          <w:txbxContent>
                            <w:p w14:paraId="24F2C4A9" w14:textId="77777777" w:rsidR="007E7DF5" w:rsidRPr="00A06EE5" w:rsidRDefault="007E7DF5" w:rsidP="00A06EE5">
                              <w:pPr>
                                <w:jc w:val="center"/>
                                <w:rPr>
                                  <w:rFonts w:cs="Times New Roman"/>
                                  <w:sz w:val="14"/>
                                  <w:szCs w:val="14"/>
                                </w:rPr>
                              </w:pPr>
                              <w:r w:rsidRPr="00A06EE5">
                                <w:rPr>
                                  <w:rFonts w:cs="Times New Roman"/>
                                  <w:sz w:val="14"/>
                                  <w:szCs w:val="14"/>
                                </w:rPr>
                                <w:t>Cabinet of Ministers of Ukraine (CMU)</w:t>
                              </w:r>
                            </w:p>
                          </w:txbxContent>
                        </wps:txbx>
                        <wps:bodyPr rot="0" vert="horz" wrap="square" lIns="0" tIns="0" rIns="0" bIns="0" anchor="ctr" anchorCtr="0" upright="1">
                          <a:noAutofit/>
                        </wps:bodyPr>
                      </wps:wsp>
                      <wps:wsp>
                        <wps:cNvPr id="74" name="Text Box 22"/>
                        <wps:cNvSpPr txBox="1">
                          <a:spLocks noChangeArrowheads="1"/>
                        </wps:cNvSpPr>
                        <wps:spPr bwMode="auto">
                          <a:xfrm>
                            <a:off x="0" y="395020"/>
                            <a:ext cx="1224900" cy="274297"/>
                          </a:xfrm>
                          <a:prstGeom prst="rect">
                            <a:avLst/>
                          </a:prstGeom>
                          <a:solidFill>
                            <a:srgbClr val="FFFFFF"/>
                          </a:solidFill>
                          <a:ln w="25400">
                            <a:solidFill>
                              <a:srgbClr val="F79646"/>
                            </a:solidFill>
                            <a:miter lim="800000"/>
                            <a:headEnd/>
                            <a:tailEnd/>
                          </a:ln>
                        </wps:spPr>
                        <wps:txbx>
                          <w:txbxContent>
                            <w:p w14:paraId="19AA86B9" w14:textId="77777777" w:rsidR="007E7DF5" w:rsidRPr="00A06EE5" w:rsidRDefault="007E7DF5" w:rsidP="00A06EE5">
                              <w:pPr>
                                <w:jc w:val="center"/>
                                <w:rPr>
                                  <w:rFonts w:cs="Times New Roman"/>
                                  <w:sz w:val="14"/>
                                  <w:szCs w:val="14"/>
                                </w:rPr>
                              </w:pPr>
                              <w:r w:rsidRPr="00A06EE5">
                                <w:rPr>
                                  <w:rFonts w:cs="Times New Roman"/>
                                  <w:sz w:val="14"/>
                                  <w:szCs w:val="14"/>
                                </w:rPr>
                                <w:t>Regional and City State Administrations</w:t>
                              </w:r>
                            </w:p>
                          </w:txbxContent>
                        </wps:txbx>
                        <wps:bodyPr rot="0" vert="horz" wrap="square" lIns="0" tIns="0" rIns="0" bIns="0" anchor="ctr" anchorCtr="0" upright="1">
                          <a:noAutofit/>
                        </wps:bodyPr>
                      </wps:wsp>
                      <wps:wsp>
                        <wps:cNvPr id="75" name="Text Box 23"/>
                        <wps:cNvSpPr txBox="1">
                          <a:spLocks noChangeArrowheads="1"/>
                        </wps:cNvSpPr>
                        <wps:spPr bwMode="auto">
                          <a:xfrm>
                            <a:off x="0" y="797356"/>
                            <a:ext cx="1224900" cy="274297"/>
                          </a:xfrm>
                          <a:prstGeom prst="rect">
                            <a:avLst/>
                          </a:prstGeom>
                          <a:solidFill>
                            <a:srgbClr val="FFFFFF"/>
                          </a:solidFill>
                          <a:ln w="25400">
                            <a:solidFill>
                              <a:srgbClr val="8064A2"/>
                            </a:solidFill>
                            <a:miter lim="800000"/>
                            <a:headEnd/>
                            <a:tailEnd/>
                          </a:ln>
                        </wps:spPr>
                        <wps:txbx>
                          <w:txbxContent>
                            <w:p w14:paraId="0341689D" w14:textId="77777777" w:rsidR="007E7DF5" w:rsidRPr="00A06EE5" w:rsidRDefault="007E7DF5" w:rsidP="00A06EE5">
                              <w:pPr>
                                <w:jc w:val="center"/>
                                <w:rPr>
                                  <w:rFonts w:cs="Times New Roman"/>
                                  <w:sz w:val="14"/>
                                  <w:szCs w:val="14"/>
                                </w:rPr>
                              </w:pPr>
                              <w:r w:rsidRPr="00A06EE5">
                                <w:rPr>
                                  <w:rFonts w:cs="Times New Roman"/>
                                  <w:sz w:val="14"/>
                                  <w:szCs w:val="14"/>
                                </w:rPr>
                                <w:t>Ministry of Justice</w:t>
                              </w:r>
                            </w:p>
                          </w:txbxContent>
                        </wps:txbx>
                        <wps:bodyPr rot="0" vert="horz" wrap="square" lIns="0" tIns="0" rIns="0" bIns="0" anchor="ctr" anchorCtr="0" upright="1">
                          <a:noAutofit/>
                        </wps:bodyPr>
                      </wps:wsp>
                      <wps:wsp>
                        <wps:cNvPr id="76" name="Text Box 24"/>
                        <wps:cNvSpPr txBox="1">
                          <a:spLocks noChangeArrowheads="1"/>
                        </wps:cNvSpPr>
                        <wps:spPr bwMode="auto">
                          <a:xfrm>
                            <a:off x="1506931" y="731520"/>
                            <a:ext cx="1828800" cy="274297"/>
                          </a:xfrm>
                          <a:prstGeom prst="rect">
                            <a:avLst/>
                          </a:prstGeom>
                          <a:solidFill>
                            <a:srgbClr val="FFFFFF"/>
                          </a:solidFill>
                          <a:ln w="25400">
                            <a:solidFill>
                              <a:srgbClr val="9BBB59"/>
                            </a:solidFill>
                            <a:miter lim="800000"/>
                            <a:headEnd/>
                            <a:tailEnd/>
                          </a:ln>
                        </wps:spPr>
                        <wps:txbx>
                          <w:txbxContent>
                            <w:p w14:paraId="4991FB8C" w14:textId="77777777" w:rsidR="007E7DF5" w:rsidRPr="00A06EE5" w:rsidRDefault="007E7DF5" w:rsidP="00A06EE5">
                              <w:pPr>
                                <w:jc w:val="center"/>
                                <w:rPr>
                                  <w:rFonts w:cs="Times New Roman"/>
                                  <w:sz w:val="14"/>
                                  <w:szCs w:val="14"/>
                                </w:rPr>
                              </w:pPr>
                              <w:r w:rsidRPr="00A06EE5">
                                <w:rPr>
                                  <w:rFonts w:cs="Times New Roman"/>
                                  <w:sz w:val="14"/>
                                  <w:szCs w:val="14"/>
                                </w:rPr>
                                <w:t>Ministry of Ecology and Natural Resources</w:t>
                              </w:r>
                            </w:p>
                          </w:txbxContent>
                        </wps:txbx>
                        <wps:bodyPr rot="0" vert="horz" wrap="square" lIns="91440" tIns="0" rIns="91440" bIns="0" anchor="ctr" anchorCtr="0" upright="1">
                          <a:noAutofit/>
                        </wps:bodyPr>
                      </wps:wsp>
                      <wps:wsp>
                        <wps:cNvPr id="77" name="Text Box 26"/>
                        <wps:cNvSpPr txBox="1">
                          <a:spLocks noChangeArrowheads="1"/>
                        </wps:cNvSpPr>
                        <wps:spPr bwMode="auto">
                          <a:xfrm>
                            <a:off x="3679545" y="336499"/>
                            <a:ext cx="1224900" cy="274297"/>
                          </a:xfrm>
                          <a:prstGeom prst="rect">
                            <a:avLst/>
                          </a:prstGeom>
                          <a:solidFill>
                            <a:srgbClr val="FFFFFF"/>
                          </a:solidFill>
                          <a:ln w="25400">
                            <a:solidFill>
                              <a:srgbClr val="C0504D"/>
                            </a:solidFill>
                            <a:miter lim="800000"/>
                            <a:headEnd/>
                            <a:tailEnd/>
                          </a:ln>
                        </wps:spPr>
                        <wps:txbx>
                          <w:txbxContent>
                            <w:p w14:paraId="4A19043C" w14:textId="77777777" w:rsidR="007E7DF5" w:rsidRPr="00A06EE5" w:rsidRDefault="007E7DF5" w:rsidP="00A06EE5">
                              <w:pPr>
                                <w:jc w:val="center"/>
                                <w:rPr>
                                  <w:rFonts w:cs="Times New Roman"/>
                                  <w:sz w:val="14"/>
                                  <w:szCs w:val="14"/>
                                </w:rPr>
                              </w:pPr>
                              <w:r w:rsidRPr="00A06EE5">
                                <w:rPr>
                                  <w:rFonts w:cs="Times New Roman"/>
                                  <w:sz w:val="14"/>
                                  <w:szCs w:val="14"/>
                                </w:rPr>
                                <w:t>Ministry of Health</w:t>
                              </w:r>
                            </w:p>
                          </w:txbxContent>
                        </wps:txbx>
                        <wps:bodyPr rot="0" vert="horz" wrap="square" lIns="91440" tIns="0" rIns="91440" bIns="0" anchor="ctr" anchorCtr="0" upright="1">
                          <a:noAutofit/>
                        </wps:bodyPr>
                      </wps:wsp>
                      <wps:wsp>
                        <wps:cNvPr id="78" name="Text Box 28"/>
                        <wps:cNvSpPr txBox="1">
                          <a:spLocks noChangeArrowheads="1"/>
                        </wps:cNvSpPr>
                        <wps:spPr bwMode="auto">
                          <a:xfrm>
                            <a:off x="3679545" y="1024128"/>
                            <a:ext cx="1224900" cy="274297"/>
                          </a:xfrm>
                          <a:prstGeom prst="rect">
                            <a:avLst/>
                          </a:prstGeom>
                          <a:solidFill>
                            <a:srgbClr val="FFFFFF"/>
                          </a:solidFill>
                          <a:ln w="25400">
                            <a:solidFill>
                              <a:srgbClr val="C0504D"/>
                            </a:solidFill>
                            <a:miter lim="800000"/>
                            <a:headEnd/>
                            <a:tailEnd/>
                          </a:ln>
                        </wps:spPr>
                        <wps:txbx>
                          <w:txbxContent>
                            <w:p w14:paraId="5209842D" w14:textId="77777777" w:rsidR="007E7DF5" w:rsidRPr="00A06EE5" w:rsidRDefault="007E7DF5" w:rsidP="00A06EE5">
                              <w:pPr>
                                <w:jc w:val="center"/>
                                <w:rPr>
                                  <w:rFonts w:cs="Times New Roman"/>
                                  <w:sz w:val="14"/>
                                  <w:szCs w:val="14"/>
                                </w:rPr>
                              </w:pPr>
                              <w:r w:rsidRPr="00A06EE5">
                                <w:rPr>
                                  <w:rFonts w:cs="Times New Roman"/>
                                  <w:sz w:val="14"/>
                                  <w:szCs w:val="14"/>
                                </w:rPr>
                                <w:t>Ministry of Energy and Coal Industry</w:t>
                              </w:r>
                            </w:p>
                          </w:txbxContent>
                        </wps:txbx>
                        <wps:bodyPr rot="0" vert="horz" wrap="square" lIns="91440" tIns="0" rIns="91440" bIns="0" anchor="ctr" anchorCtr="0" upright="1">
                          <a:noAutofit/>
                        </wps:bodyPr>
                      </wps:wsp>
                      <wps:wsp>
                        <wps:cNvPr id="79" name="Text Box 29"/>
                        <wps:cNvSpPr txBox="1">
                          <a:spLocks noChangeArrowheads="1"/>
                        </wps:cNvSpPr>
                        <wps:spPr bwMode="auto">
                          <a:xfrm>
                            <a:off x="3679545" y="672998"/>
                            <a:ext cx="1224900" cy="274297"/>
                          </a:xfrm>
                          <a:prstGeom prst="rect">
                            <a:avLst/>
                          </a:prstGeom>
                          <a:solidFill>
                            <a:srgbClr val="FFFFFF"/>
                          </a:solidFill>
                          <a:ln w="25400">
                            <a:solidFill>
                              <a:srgbClr val="C0504D"/>
                            </a:solidFill>
                            <a:miter lim="800000"/>
                            <a:headEnd/>
                            <a:tailEnd/>
                          </a:ln>
                        </wps:spPr>
                        <wps:txbx>
                          <w:txbxContent>
                            <w:p w14:paraId="4874DF2A" w14:textId="77777777" w:rsidR="007E7DF5" w:rsidRPr="00A06EE5" w:rsidRDefault="007E7DF5" w:rsidP="00A06EE5">
                              <w:pPr>
                                <w:jc w:val="center"/>
                                <w:rPr>
                                  <w:rFonts w:cs="Times New Roman"/>
                                  <w:sz w:val="14"/>
                                  <w:szCs w:val="14"/>
                                </w:rPr>
                              </w:pPr>
                              <w:r w:rsidRPr="00A06EE5">
                                <w:rPr>
                                  <w:rFonts w:cs="Times New Roman"/>
                                  <w:sz w:val="14"/>
                                  <w:szCs w:val="14"/>
                                </w:rPr>
                                <w:t>Ministry of Agrarian Policy &amp; Food</w:t>
                              </w:r>
                            </w:p>
                          </w:txbxContent>
                        </wps:txbx>
                        <wps:bodyPr rot="0" vert="horz" wrap="square" lIns="91440" tIns="0" rIns="91440" bIns="0" anchor="ctr" anchorCtr="0" upright="1">
                          <a:noAutofit/>
                        </wps:bodyPr>
                      </wps:wsp>
                      <wps:wsp>
                        <wps:cNvPr id="80" name="Text Box 30"/>
                        <wps:cNvSpPr txBox="1">
                          <a:spLocks noChangeArrowheads="1"/>
                        </wps:cNvSpPr>
                        <wps:spPr bwMode="auto">
                          <a:xfrm>
                            <a:off x="3679545" y="1367942"/>
                            <a:ext cx="1224900" cy="274297"/>
                          </a:xfrm>
                          <a:prstGeom prst="rect">
                            <a:avLst/>
                          </a:prstGeom>
                          <a:solidFill>
                            <a:srgbClr val="FFFFFF"/>
                          </a:solidFill>
                          <a:ln w="25400">
                            <a:solidFill>
                              <a:srgbClr val="C0504D"/>
                            </a:solidFill>
                            <a:miter lim="800000"/>
                            <a:headEnd/>
                            <a:tailEnd/>
                          </a:ln>
                        </wps:spPr>
                        <wps:txbx>
                          <w:txbxContent>
                            <w:p w14:paraId="5886DA9F" w14:textId="77777777" w:rsidR="007E7DF5" w:rsidRPr="00A06EE5" w:rsidRDefault="007E7DF5" w:rsidP="00A06EE5">
                              <w:pPr>
                                <w:jc w:val="center"/>
                                <w:rPr>
                                  <w:rFonts w:cs="Times New Roman"/>
                                  <w:sz w:val="14"/>
                                  <w:szCs w:val="14"/>
                                </w:rPr>
                              </w:pPr>
                              <w:r w:rsidRPr="00A06EE5">
                                <w:rPr>
                                  <w:rFonts w:cs="Times New Roman"/>
                                  <w:sz w:val="14"/>
                                  <w:szCs w:val="14"/>
                                </w:rPr>
                                <w:t>Ministry of Infrastructure</w:t>
                              </w:r>
                            </w:p>
                          </w:txbxContent>
                        </wps:txbx>
                        <wps:bodyPr rot="0" vert="horz" wrap="square" lIns="91440" tIns="0" rIns="91440" bIns="0" anchor="ctr" anchorCtr="0" upright="1">
                          <a:noAutofit/>
                        </wps:bodyPr>
                      </wps:wsp>
                      <wps:wsp>
                        <wps:cNvPr id="81" name="Text Box 31"/>
                        <wps:cNvSpPr txBox="1">
                          <a:spLocks noChangeArrowheads="1"/>
                        </wps:cNvSpPr>
                        <wps:spPr bwMode="auto">
                          <a:xfrm>
                            <a:off x="3679545" y="1711756"/>
                            <a:ext cx="1224900" cy="454596"/>
                          </a:xfrm>
                          <a:prstGeom prst="rect">
                            <a:avLst/>
                          </a:prstGeom>
                          <a:solidFill>
                            <a:srgbClr val="FFFFFF"/>
                          </a:solidFill>
                          <a:ln w="25400">
                            <a:solidFill>
                              <a:srgbClr val="C0504D"/>
                            </a:solidFill>
                            <a:miter lim="800000"/>
                            <a:headEnd/>
                            <a:tailEnd/>
                          </a:ln>
                        </wps:spPr>
                        <wps:txbx>
                          <w:txbxContent>
                            <w:p w14:paraId="1FBB8B56" w14:textId="77777777" w:rsidR="007E7DF5" w:rsidRPr="00A06EE5" w:rsidRDefault="007E7DF5" w:rsidP="00A06EE5">
                              <w:pPr>
                                <w:jc w:val="center"/>
                                <w:rPr>
                                  <w:rFonts w:cs="Times New Roman"/>
                                  <w:sz w:val="14"/>
                                  <w:szCs w:val="14"/>
                                </w:rPr>
                              </w:pPr>
                              <w:r w:rsidRPr="00A06EE5">
                                <w:rPr>
                                  <w:rFonts w:cs="Times New Roman"/>
                                  <w:sz w:val="14"/>
                                  <w:szCs w:val="14"/>
                                </w:rPr>
                                <w:t>Ministry of Regional Development, Construction, Housing and Communal Services</w:t>
                              </w:r>
                            </w:p>
                          </w:txbxContent>
                        </wps:txbx>
                        <wps:bodyPr rot="0" vert="horz" wrap="square" lIns="91440" tIns="0" rIns="91440" bIns="0" anchor="ctr" anchorCtr="0" upright="1">
                          <a:noAutofit/>
                        </wps:bodyPr>
                      </wps:wsp>
                      <wps:wsp>
                        <wps:cNvPr id="82" name="Text Box 32"/>
                        <wps:cNvSpPr txBox="1">
                          <a:spLocks noChangeArrowheads="1"/>
                        </wps:cNvSpPr>
                        <wps:spPr bwMode="auto">
                          <a:xfrm>
                            <a:off x="5025542" y="343814"/>
                            <a:ext cx="909900" cy="317497"/>
                          </a:xfrm>
                          <a:prstGeom prst="rect">
                            <a:avLst/>
                          </a:prstGeom>
                          <a:solidFill>
                            <a:srgbClr val="FFFFFF"/>
                          </a:solidFill>
                          <a:ln w="25400">
                            <a:solidFill>
                              <a:srgbClr val="D99594"/>
                            </a:solidFill>
                            <a:miter lim="800000"/>
                            <a:headEnd/>
                            <a:tailEnd/>
                          </a:ln>
                        </wps:spPr>
                        <wps:txbx>
                          <w:txbxContent>
                            <w:p w14:paraId="55FE5559" w14:textId="77777777" w:rsidR="007E7DF5" w:rsidRPr="00A06EE5" w:rsidRDefault="007E7DF5" w:rsidP="00A06EE5">
                              <w:pPr>
                                <w:jc w:val="center"/>
                                <w:rPr>
                                  <w:rFonts w:cs="Times New Roman"/>
                                  <w:sz w:val="14"/>
                                  <w:szCs w:val="14"/>
                                </w:rPr>
                              </w:pPr>
                              <w:r w:rsidRPr="00A06EE5">
                                <w:rPr>
                                  <w:rFonts w:cs="Times New Roman"/>
                                  <w:sz w:val="14"/>
                                  <w:szCs w:val="14"/>
                                </w:rPr>
                                <w:t>State Statistics Service</w:t>
                              </w:r>
                            </w:p>
                          </w:txbxContent>
                        </wps:txbx>
                        <wps:bodyPr rot="0" vert="horz" wrap="square" lIns="91440" tIns="0" rIns="91440" bIns="0" anchor="ctr" anchorCtr="0" upright="1">
                          <a:noAutofit/>
                        </wps:bodyPr>
                      </wps:wsp>
                      <wps:wsp>
                        <wps:cNvPr id="83" name="Text Box 33"/>
                        <wps:cNvSpPr txBox="1">
                          <a:spLocks noChangeArrowheads="1"/>
                        </wps:cNvSpPr>
                        <wps:spPr bwMode="auto">
                          <a:xfrm>
                            <a:off x="5025542" y="753465"/>
                            <a:ext cx="909900" cy="494695"/>
                          </a:xfrm>
                          <a:prstGeom prst="rect">
                            <a:avLst/>
                          </a:prstGeom>
                          <a:solidFill>
                            <a:srgbClr val="FFFFFF"/>
                          </a:solidFill>
                          <a:ln w="25400">
                            <a:solidFill>
                              <a:srgbClr val="D99694"/>
                            </a:solidFill>
                            <a:miter lim="800000"/>
                            <a:headEnd/>
                            <a:tailEnd/>
                          </a:ln>
                        </wps:spPr>
                        <wps:txbx>
                          <w:txbxContent>
                            <w:p w14:paraId="0E64716A" w14:textId="77777777" w:rsidR="007E7DF5" w:rsidRPr="00A06EE5" w:rsidRDefault="007E7DF5" w:rsidP="00A06EE5">
                              <w:pPr>
                                <w:jc w:val="center"/>
                                <w:rPr>
                                  <w:rFonts w:cs="Times New Roman"/>
                                  <w:sz w:val="14"/>
                                  <w:szCs w:val="14"/>
                                </w:rPr>
                              </w:pPr>
                              <w:r w:rsidRPr="00A06EE5">
                                <w:rPr>
                                  <w:rFonts w:cs="Times New Roman"/>
                                  <w:sz w:val="14"/>
                                  <w:szCs w:val="14"/>
                                </w:rPr>
                                <w:t>State Service for Geodesy, Cartography and Cadaster</w:t>
                              </w:r>
                            </w:p>
                          </w:txbxContent>
                        </wps:txbx>
                        <wps:bodyPr rot="0" vert="horz" wrap="square" lIns="91440" tIns="0" rIns="91440" bIns="0" anchor="ctr" anchorCtr="0" upright="1">
                          <a:noAutofit/>
                        </wps:bodyPr>
                      </wps:wsp>
                      <wps:wsp>
                        <wps:cNvPr id="84" name="Text Box 34"/>
                        <wps:cNvSpPr txBox="1">
                          <a:spLocks noChangeArrowheads="1"/>
                        </wps:cNvSpPr>
                        <wps:spPr bwMode="auto">
                          <a:xfrm>
                            <a:off x="5025542" y="1316736"/>
                            <a:ext cx="909900" cy="389196"/>
                          </a:xfrm>
                          <a:prstGeom prst="rect">
                            <a:avLst/>
                          </a:prstGeom>
                          <a:solidFill>
                            <a:srgbClr val="FFFFFF"/>
                          </a:solidFill>
                          <a:ln w="25400">
                            <a:solidFill>
                              <a:srgbClr val="D99594"/>
                            </a:solidFill>
                            <a:miter lim="800000"/>
                            <a:headEnd/>
                            <a:tailEnd/>
                          </a:ln>
                        </wps:spPr>
                        <wps:txbx>
                          <w:txbxContent>
                            <w:p w14:paraId="76472BDA" w14:textId="77777777" w:rsidR="007E7DF5" w:rsidRPr="00A06EE5" w:rsidRDefault="007E7DF5" w:rsidP="00A06EE5">
                              <w:pPr>
                                <w:jc w:val="center"/>
                                <w:rPr>
                                  <w:rFonts w:cs="Times New Roman"/>
                                  <w:sz w:val="14"/>
                                  <w:szCs w:val="14"/>
                                </w:rPr>
                              </w:pPr>
                              <w:r w:rsidRPr="00A06EE5">
                                <w:rPr>
                                  <w:rFonts w:cs="Times New Roman"/>
                                  <w:sz w:val="14"/>
                                  <w:szCs w:val="14"/>
                                </w:rPr>
                                <w:t>Sanitary Epidemiological Service</w:t>
                              </w:r>
                            </w:p>
                          </w:txbxContent>
                        </wps:txbx>
                        <wps:bodyPr rot="0" vert="horz" wrap="square" lIns="91440" tIns="0" rIns="91440" bIns="0" anchor="ctr" anchorCtr="0" upright="1">
                          <a:noAutofit/>
                        </wps:bodyPr>
                      </wps:wsp>
                      <wps:wsp>
                        <wps:cNvPr id="85" name="Text Box 39"/>
                        <wps:cNvSpPr txBox="1">
                          <a:spLocks noChangeArrowheads="1"/>
                        </wps:cNvSpPr>
                        <wps:spPr bwMode="auto">
                          <a:xfrm>
                            <a:off x="1506931" y="1133856"/>
                            <a:ext cx="1828800" cy="274297"/>
                          </a:xfrm>
                          <a:prstGeom prst="rect">
                            <a:avLst/>
                          </a:prstGeom>
                          <a:solidFill>
                            <a:srgbClr val="FFFFFF"/>
                          </a:solidFill>
                          <a:ln w="25400">
                            <a:solidFill>
                              <a:srgbClr val="8064A2"/>
                            </a:solidFill>
                            <a:miter lim="800000"/>
                            <a:headEnd/>
                            <a:tailEnd/>
                          </a:ln>
                        </wps:spPr>
                        <wps:txbx>
                          <w:txbxContent>
                            <w:p w14:paraId="40D46FDF" w14:textId="77777777" w:rsidR="007E7DF5" w:rsidRPr="00A06EE5" w:rsidRDefault="007E7DF5" w:rsidP="00A06EE5">
                              <w:pPr>
                                <w:jc w:val="center"/>
                                <w:rPr>
                                  <w:rFonts w:cs="Times New Roman"/>
                                  <w:sz w:val="14"/>
                                  <w:szCs w:val="14"/>
                                </w:rPr>
                              </w:pPr>
                              <w:r w:rsidRPr="00A06EE5">
                                <w:rPr>
                                  <w:rFonts w:cs="Times New Roman"/>
                                  <w:sz w:val="14"/>
                                  <w:szCs w:val="14"/>
                                </w:rPr>
                                <w:t>Ministry of Economic Development and Trade</w:t>
                              </w:r>
                            </w:p>
                          </w:txbxContent>
                        </wps:txbx>
                        <wps:bodyPr rot="0" vert="horz" wrap="square" lIns="0" tIns="0" rIns="0" bIns="0" anchor="ctr" anchorCtr="0" upright="1">
                          <a:noAutofit/>
                        </wps:bodyPr>
                      </wps:wsp>
                      <wps:wsp>
                        <wps:cNvPr id="86" name="Text Box 40"/>
                        <wps:cNvSpPr txBox="1">
                          <a:spLocks noChangeArrowheads="1"/>
                        </wps:cNvSpPr>
                        <wps:spPr bwMode="auto">
                          <a:xfrm>
                            <a:off x="7315" y="1133856"/>
                            <a:ext cx="1224900" cy="274297"/>
                          </a:xfrm>
                          <a:prstGeom prst="rect">
                            <a:avLst/>
                          </a:prstGeom>
                          <a:solidFill>
                            <a:srgbClr val="FFFFFF"/>
                          </a:solidFill>
                          <a:ln w="25400">
                            <a:solidFill>
                              <a:srgbClr val="8064A2"/>
                            </a:solidFill>
                            <a:miter lim="800000"/>
                            <a:headEnd/>
                            <a:tailEnd/>
                          </a:ln>
                        </wps:spPr>
                        <wps:txbx>
                          <w:txbxContent>
                            <w:p w14:paraId="63881DC2" w14:textId="77777777" w:rsidR="007E7DF5" w:rsidRPr="00A06EE5" w:rsidRDefault="007E7DF5" w:rsidP="00A06EE5">
                              <w:pPr>
                                <w:jc w:val="center"/>
                                <w:rPr>
                                  <w:rFonts w:cs="Times New Roman"/>
                                  <w:sz w:val="14"/>
                                  <w:szCs w:val="14"/>
                                </w:rPr>
                              </w:pPr>
                              <w:r w:rsidRPr="00A06EE5">
                                <w:rPr>
                                  <w:rFonts w:cs="Times New Roman"/>
                                  <w:sz w:val="14"/>
                                  <w:szCs w:val="14"/>
                                </w:rPr>
                                <w:t>Ministry of Finance</w:t>
                              </w:r>
                            </w:p>
                          </w:txbxContent>
                        </wps:txbx>
                        <wps:bodyPr rot="0" vert="horz" wrap="square" lIns="0" tIns="0" rIns="0" bIns="0" anchor="ctr" anchorCtr="0" upright="1">
                          <a:noAutofit/>
                        </wps:bodyPr>
                      </wps:wsp>
                      <wps:wsp>
                        <wps:cNvPr id="87" name="Text Box 34"/>
                        <wps:cNvSpPr txBox="1">
                          <a:spLocks noChangeArrowheads="1"/>
                        </wps:cNvSpPr>
                        <wps:spPr bwMode="auto">
                          <a:xfrm>
                            <a:off x="5032857" y="1777593"/>
                            <a:ext cx="909900" cy="389196"/>
                          </a:xfrm>
                          <a:prstGeom prst="rect">
                            <a:avLst/>
                          </a:prstGeom>
                          <a:solidFill>
                            <a:srgbClr val="FFFFFF"/>
                          </a:solidFill>
                          <a:ln w="25400">
                            <a:solidFill>
                              <a:srgbClr val="D99594"/>
                            </a:solidFill>
                            <a:miter lim="800000"/>
                            <a:headEnd/>
                            <a:tailEnd/>
                          </a:ln>
                        </wps:spPr>
                        <wps:txbx>
                          <w:txbxContent>
                            <w:p w14:paraId="7B4CB772" w14:textId="77777777" w:rsidR="007E7DF5" w:rsidRPr="00A06EE5" w:rsidRDefault="007E7DF5" w:rsidP="00A06EE5">
                              <w:pPr>
                                <w:jc w:val="center"/>
                                <w:rPr>
                                  <w:rFonts w:cs="Times New Roman"/>
                                  <w:sz w:val="14"/>
                                  <w:szCs w:val="14"/>
                                </w:rPr>
                              </w:pPr>
                              <w:r w:rsidRPr="00A06EE5">
                                <w:rPr>
                                  <w:rFonts w:cs="Times New Roman"/>
                                  <w:sz w:val="14"/>
                                  <w:szCs w:val="14"/>
                                </w:rPr>
                                <w:t>State Emergency Service</w:t>
                              </w:r>
                            </w:p>
                          </w:txbxContent>
                        </wps:txbx>
                        <wps:bodyPr rot="0" vert="horz" wrap="square" lIns="91440" tIns="0" rIns="91440" bIns="0" anchor="ctr" anchorCtr="0" upright="1">
                          <a:noAutofit/>
                        </wps:bodyPr>
                      </wps:wsp>
                    </wpg:wgp>
                  </a:graphicData>
                </a:graphic>
              </wp:inline>
            </w:drawing>
          </mc:Choice>
          <mc:Fallback>
            <w:pict>
              <v:group w14:anchorId="530CFA90" id="Group 93" o:spid="_x0000_s1036" style="width:468pt;height:170.6pt;mso-position-horizontal-relative:char;mso-position-vertical-relative:line" coordsize="59436,2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">
                <v:shape id="Text Box 1" o:spid="_x0000_s1037" type="#_x0000_t202" style="position:absolute;left:146;width:12252;height:2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RkMAA&#10;AADbAAAADwAAAGRycy9kb3ducmV2LnhtbERPTYvCMBC9L/gfwgheFk0VrG7XKCIIPXjZau+zzWxb&#10;bSalibX+e3MQ9vh435vdYBrRU+dqywrmswgEcWF1zaWCy/k4XYNwHlljY5kUPMnBbjv62GCi7YN/&#10;qM98KUIIuwQVVN63iZSuqMigm9mWOHB/tjPoA+xKqTt8hHDTyEUUxdJgzaGhwpYOFRW37G4UpGSy&#10;01e8zn/nyzRvr599Fl+lUpPxsP8G4Wnw/+K3O9UKVmF9+B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uRkMAAAADbAAAADwAAAAAAAAAAAAAAAACYAgAAZHJzL2Rvd25y&#10;ZXYueG1sUEsFBgAAAAAEAAQA9QAAAIUDAAAAAA==&#10;" filled="f" strokecolor="#4f81bd" strokeweight="2pt">
                  <v:textbox inset="0,0,0,0">
                    <w:txbxContent>
                      <w:p w14:paraId="279DF36B" w14:textId="77777777" w:rsidR="007E7DF5" w:rsidRPr="00A06EE5" w:rsidRDefault="007E7DF5" w:rsidP="00A06EE5">
                        <w:pPr>
                          <w:jc w:val="center"/>
                          <w:rPr>
                            <w:rFonts w:cs="Times New Roman"/>
                            <w:sz w:val="14"/>
                            <w:szCs w:val="14"/>
                          </w:rPr>
                        </w:pPr>
                        <w:r w:rsidRPr="00A06EE5">
                          <w:rPr>
                            <w:rFonts w:cs="Times New Roman"/>
                            <w:sz w:val="14"/>
                            <w:szCs w:val="14"/>
                          </w:rPr>
                          <w:t>President</w:t>
                        </w:r>
                      </w:p>
                    </w:txbxContent>
                  </v:textbox>
                </v:shape>
                <v:shape id="Text Box 6" o:spid="_x0000_s1038" type="#_x0000_t202" style="position:absolute;left:15361;width:18288;height:2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0C8MA&#10;AADbAAAADwAAAGRycy9kb3ducmV2LnhtbESPQWvCQBSE74X+h+UVvBTdRDBq6iqlIOTgxaj3Z/aZ&#10;xGbfhuwa4793hUKPw8x8w6w2g2lET52rLSuIJxEI4sLqmksFx8N2vADhPLLGxjIpeJCDzfr9bYWp&#10;tnfeU5/7UgQIuxQVVN63qZSuqMigm9iWOHgX2xn0QXal1B3eA9w0chpFiTRYc1iosKWfiorf/GYU&#10;ZGTy3TJZnM7xLDu1188+T65SqdHH8P0FwtPg/8N/7UwrmM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c0C8MAAADbAAAADwAAAAAAAAAAAAAAAACYAgAAZHJzL2Rv&#10;d25yZXYueG1sUEsFBgAAAAAEAAQA9QAAAIgDAAAAAA==&#10;" filled="f" strokecolor="#4f81bd" strokeweight="2pt">
                  <v:textbox inset="0,0,0,0">
                    <w:txbxContent>
                      <w:p w14:paraId="3E922B59" w14:textId="77777777" w:rsidR="007E7DF5" w:rsidRPr="00A06EE5" w:rsidRDefault="007E7DF5" w:rsidP="00A06EE5">
                        <w:pPr>
                          <w:jc w:val="center"/>
                          <w:rPr>
                            <w:rFonts w:cs="Times New Roman"/>
                            <w:sz w:val="14"/>
                            <w:szCs w:val="14"/>
                          </w:rPr>
                        </w:pPr>
                        <w:r w:rsidRPr="00A06EE5">
                          <w:rPr>
                            <w:rFonts w:cs="Times New Roman"/>
                            <w:sz w:val="14"/>
                            <w:szCs w:val="14"/>
                          </w:rPr>
                          <w:t>National Security &amp; Defense Council</w:t>
                        </w:r>
                      </w:p>
                    </w:txbxContent>
                  </v:textbox>
                </v:shape>
                <v:shape id="Text Box 25" o:spid="_x0000_s1039" type="#_x0000_t202" style="position:absolute;left:36576;width:22860;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5U/8YA&#10;AADbAAAADwAAAGRycy9kb3ducmV2LnhtbESPQWvCQBSE74L/YXlCL9JsmkNboquIUmgpFIzS4O0l&#10;+0yC2bchu9H033eFQo/DzDfDLNejacWVetdYVvAUxSCIS6sbrhQcD2+PryCcR9bYWiYFP+RgvZpO&#10;lphqe+M9XTNfiVDCLkUFtfddKqUrazLoItsRB+9se4M+yL6SusdbKDetTOL4WRpsOCzU2NG2pvKS&#10;DUbBy6EoqmzId/H84/R9zL7yz4vPlXqYjZsFCE+j/w//0e86cAncv4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5U/8YAAADbAAAADwAAAAAAAAAAAAAAAACYAgAAZHJz&#10;L2Rvd25yZXYueG1sUEsFBgAAAAAEAAQA9QAAAIsDAAAAAA==&#10;" fillcolor="#ffa2a1" strokecolor="#bc4542">
                  <v:fill color2="#ffe5e5" rotate="t" angle="180" colors="0 #ffa2a1;22938f #ffbebd;1 #ffe5e5" focus="100%" type="gradient"/>
                  <v:shadow on="t" color="black" opacity="24903f" origin=",.5" offset="0,.55556mm"/>
                  <v:textbox inset=",0,,0">
                    <w:txbxContent>
                      <w:p w14:paraId="744B32E6" w14:textId="77777777" w:rsidR="007E7DF5" w:rsidRPr="00A06EE5" w:rsidRDefault="007E7DF5" w:rsidP="00A06EE5">
                        <w:pPr>
                          <w:jc w:val="center"/>
                          <w:rPr>
                            <w:rFonts w:cs="Times New Roman"/>
                            <w:sz w:val="14"/>
                            <w:szCs w:val="14"/>
                          </w:rPr>
                        </w:pPr>
                        <w:r w:rsidRPr="00A06EE5">
                          <w:rPr>
                            <w:rFonts w:cs="Times New Roman"/>
                            <w:sz w:val="14"/>
                            <w:szCs w:val="14"/>
                          </w:rPr>
                          <w:t>Sectoral Ministries and Government Bodies</w:t>
                        </w:r>
                      </w:p>
                    </w:txbxContent>
                  </v:textbox>
                </v:shape>
                <v:shape id="Text Box 7" o:spid="_x0000_s1040" type="#_x0000_t202" style="position:absolute;left:15288;top:3657;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1aMYA&#10;AADbAAAADwAAAGRycy9kb3ducmV2LnhtbESPQWvCQBSE7wX/w/KE3nTTam1JXaWmKAoi1fbQ4yP7&#10;TILZtzG7JvHfuwWhx2FmvmGm886UoqHaFZYVPA0jEMSp1QVnCn6+l4M3EM4jaywtk4IrOZjPeg9T&#10;jLVteU/NwWciQNjFqCD3voqldGlOBt3QVsTBO9raoA+yzqSusQ1wU8rnKJpIgwWHhRwrSnJKT4eL&#10;UXA04wV+npJufP5Ndqvt/sWdvzZKPfa7j3cQnjr/H76311rB6wj+vo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01aMYAAADbAAAADwAAAAAAAAAAAAAAAACYAgAAZHJz&#10;L2Rvd25yZXYueG1sUEsFBgAAAAAEAAQA9QAAAIsDAAAAAA==&#10;" strokecolor="#8064a2" strokeweight="2pt">
                  <v:textbox inset="0,0,0,0">
                    <w:txbxContent>
                      <w:p w14:paraId="24F2C4A9" w14:textId="77777777" w:rsidR="007E7DF5" w:rsidRPr="00A06EE5" w:rsidRDefault="007E7DF5" w:rsidP="00A06EE5">
                        <w:pPr>
                          <w:jc w:val="center"/>
                          <w:rPr>
                            <w:rFonts w:cs="Times New Roman"/>
                            <w:sz w:val="14"/>
                            <w:szCs w:val="14"/>
                          </w:rPr>
                        </w:pPr>
                        <w:r w:rsidRPr="00A06EE5">
                          <w:rPr>
                            <w:rFonts w:cs="Times New Roman"/>
                            <w:sz w:val="14"/>
                            <w:szCs w:val="14"/>
                          </w:rPr>
                          <w:t>Cabinet of Ministers of Ukraine (CMU)</w:t>
                        </w:r>
                      </w:p>
                    </w:txbxContent>
                  </v:textbox>
                </v:shape>
                <v:shape id="Text Box 22" o:spid="_x0000_s1041" type="#_x0000_t202" style="position:absolute;top:3950;width:1224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xrMQA&#10;AADbAAAADwAAAGRycy9kb3ducmV2LnhtbESPS4vCQBCE7wv7H4Ze8LZOfBAl6yg+EET04Ovgrcn0&#10;JsFMT8iMGv+9Iwgei6r6ihpNGlOKG9WusKyg045AEKdWF5wpOB6Wv0MQziNrLC2Tggc5mIy/v0aY&#10;aHvnHd32PhMBwi5BBbn3VSKlS3My6Nq2Ig7ev60N+iDrTOoa7wFuStmNolgaLDgs5FjRPKf0sr8a&#10;BUUcb9N17xx115vZdnCaL3zMB6VaP830D4Snxn/C7/ZKKxj04fUl/AA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MazEAAAA2wAAAA8AAAAAAAAAAAAAAAAAmAIAAGRycy9k&#10;b3ducmV2LnhtbFBLBQYAAAAABAAEAPUAAACJAwAAAAA=&#10;" strokecolor="#f79646" strokeweight="2pt">
                  <v:textbox inset="0,0,0,0">
                    <w:txbxContent>
                      <w:p w14:paraId="19AA86B9" w14:textId="77777777" w:rsidR="007E7DF5" w:rsidRPr="00A06EE5" w:rsidRDefault="007E7DF5" w:rsidP="00A06EE5">
                        <w:pPr>
                          <w:jc w:val="center"/>
                          <w:rPr>
                            <w:rFonts w:cs="Times New Roman"/>
                            <w:sz w:val="14"/>
                            <w:szCs w:val="14"/>
                          </w:rPr>
                        </w:pPr>
                        <w:r w:rsidRPr="00A06EE5">
                          <w:rPr>
                            <w:rFonts w:cs="Times New Roman"/>
                            <w:sz w:val="14"/>
                            <w:szCs w:val="14"/>
                          </w:rPr>
                          <w:t>Regional and City State Administrations</w:t>
                        </w:r>
                      </w:p>
                    </w:txbxContent>
                  </v:textbox>
                </v:shape>
                <v:shape id="Text Box 23" o:spid="_x0000_s1042" type="#_x0000_t202" style="position:absolute;top:7973;width:1224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Ih8UA&#10;AADbAAAADwAAAGRycy9kb3ducmV2LnhtbESPQWvCQBSE74L/YXlCb83GorVEV9GUioKI2h56fGSf&#10;STD7NmZXjf/eLRQ8DjPzDTOZtaYSV2pcaVlBP4pBEGdWl5wr+Pn+ev0A4TyyxsoyKbiTg9m025lg&#10;ou2N93Q9+FwECLsEFRTe14mULivIoItsTRy8o20M+iCbXOoGbwFuKvkWx+/SYMlhocCa0oKy0+Fi&#10;FBzNYIGfp7QdnH/T7XKzH7rzbq3US6+dj0F4av0z/N9eaQWjIfx9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AiHxQAAANsAAAAPAAAAAAAAAAAAAAAAAJgCAABkcnMv&#10;ZG93bnJldi54bWxQSwUGAAAAAAQABAD1AAAAigMAAAAA&#10;" strokecolor="#8064a2" strokeweight="2pt">
                  <v:textbox inset="0,0,0,0">
                    <w:txbxContent>
                      <w:p w14:paraId="0341689D" w14:textId="77777777" w:rsidR="007E7DF5" w:rsidRPr="00A06EE5" w:rsidRDefault="007E7DF5" w:rsidP="00A06EE5">
                        <w:pPr>
                          <w:jc w:val="center"/>
                          <w:rPr>
                            <w:rFonts w:cs="Times New Roman"/>
                            <w:sz w:val="14"/>
                            <w:szCs w:val="14"/>
                          </w:rPr>
                        </w:pPr>
                        <w:r w:rsidRPr="00A06EE5">
                          <w:rPr>
                            <w:rFonts w:cs="Times New Roman"/>
                            <w:sz w:val="14"/>
                            <w:szCs w:val="14"/>
                          </w:rPr>
                          <w:t>Ministry of Justice</w:t>
                        </w:r>
                      </w:p>
                    </w:txbxContent>
                  </v:textbox>
                </v:shape>
                <v:shape id="Text Box 24" o:spid="_x0000_s1043" type="#_x0000_t202" style="position:absolute;left:15069;top:7315;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DiFcMA&#10;AADbAAAADwAAAGRycy9kb3ducmV2LnhtbESPUWvCMBSF3wf7D+EO9jZTN3GjmpaxTdAXQbcfcGmu&#10;TbW56ZKo7b83guDj4ZzzHc687G0rTuRD41jBeJSBIK6cbrhW8Pe7ePkAESKyxtYxKRgoQFk8Pswx&#10;1+7MGzptYy0ShEOOCkyMXS5lqAxZDCPXESdv57zFmKSvpfZ4TnDbytcsm0qLDacFgx19GaoO26NV&#10;0E325mdd/9u3bLM6NoGH3bcflHp+6j9nICL18R6+tZdawfsUrl/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DiFcMAAADbAAAADwAAAAAAAAAAAAAAAACYAgAAZHJzL2Rv&#10;d25yZXYueG1sUEsFBgAAAAAEAAQA9QAAAIgDAAAAAA==&#10;" strokecolor="#9bbb59" strokeweight="2pt">
                  <v:textbox inset=",0,,0">
                    <w:txbxContent>
                      <w:p w14:paraId="4991FB8C" w14:textId="77777777" w:rsidR="007E7DF5" w:rsidRPr="00A06EE5" w:rsidRDefault="007E7DF5" w:rsidP="00A06EE5">
                        <w:pPr>
                          <w:jc w:val="center"/>
                          <w:rPr>
                            <w:rFonts w:cs="Times New Roman"/>
                            <w:sz w:val="14"/>
                            <w:szCs w:val="14"/>
                          </w:rPr>
                        </w:pPr>
                        <w:r w:rsidRPr="00A06EE5">
                          <w:rPr>
                            <w:rFonts w:cs="Times New Roman"/>
                            <w:sz w:val="14"/>
                            <w:szCs w:val="14"/>
                          </w:rPr>
                          <w:t>Ministry of Ecology and Natural Resources</w:t>
                        </w:r>
                      </w:p>
                    </w:txbxContent>
                  </v:textbox>
                </v:shape>
                <v:shape id="Text Box 26" o:spid="_x0000_s1044" type="#_x0000_t202" style="position:absolute;left:36795;top:3364;width:1224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n7ksMA&#10;AADbAAAADwAAAGRycy9kb3ducmV2LnhtbESPW4vCMBSE3wX/QziCL6Kp3cVLNYq4CIIieMHnQ3Ns&#10;i81JabLa/fdGWPBxmJlvmPmyMaV4UO0KywqGgwgEcWp1wZmCy3nTn4BwHlljaZkU/JGD5aLdmmOi&#10;7ZOP9Dj5TAQIuwQV5N5XiZQuzcmgG9iKOHg3Wxv0QdaZ1DU+A9yUMo6ikTRYcFjIsaJ1Tun99GsU&#10;XKfTON7Hu+gn7ZX2e7Of4OHLKdXtNKsZCE+N/4T/21utYDyG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n7ksMAAADbAAAADwAAAAAAAAAAAAAAAACYAgAAZHJzL2Rv&#10;d25yZXYueG1sUEsFBgAAAAAEAAQA9QAAAIgDAAAAAA==&#10;" strokecolor="#c0504d" strokeweight="2pt">
                  <v:textbox inset=",0,,0">
                    <w:txbxContent>
                      <w:p w14:paraId="4A19043C" w14:textId="77777777" w:rsidR="007E7DF5" w:rsidRPr="00A06EE5" w:rsidRDefault="007E7DF5" w:rsidP="00A06EE5">
                        <w:pPr>
                          <w:jc w:val="center"/>
                          <w:rPr>
                            <w:rFonts w:cs="Times New Roman"/>
                            <w:sz w:val="14"/>
                            <w:szCs w:val="14"/>
                          </w:rPr>
                        </w:pPr>
                        <w:r w:rsidRPr="00A06EE5">
                          <w:rPr>
                            <w:rFonts w:cs="Times New Roman"/>
                            <w:sz w:val="14"/>
                            <w:szCs w:val="14"/>
                          </w:rPr>
                          <w:t>Ministry of Health</w:t>
                        </w:r>
                      </w:p>
                    </w:txbxContent>
                  </v:textbox>
                </v:shape>
                <v:shape id="Text Box 28" o:spid="_x0000_s1045" type="#_x0000_t202" style="position:absolute;left:36795;top:10241;width:1224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v4MIA&#10;AADbAAAADwAAAGRycy9kb3ducmV2LnhtbERPTWvCQBC9F/wPyxR6KboxLTXGbEJpEYRKwSieh+yY&#10;hGZnQ3Yb03/fPQgeH+87KybTiZEG11pWsFxEIIgrq1uuFZyO23kCwnlkjZ1lUvBHDop89pBhqu2V&#10;DzSWvhYhhF2KChrv+1RKVzVk0C1sTxy4ix0M+gCHWuoBryHcdDKOojdpsOXQ0GBPHw1VP+WvUXBe&#10;r+N4H39Fn9VzZ1+3+wS/X5xST4/T+waEp8nfxTf3TitYhbHhS/g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m/gwgAAANsAAAAPAAAAAAAAAAAAAAAAAJgCAABkcnMvZG93&#10;bnJldi54bWxQSwUGAAAAAAQABAD1AAAAhwMAAAAA&#10;" strokecolor="#c0504d" strokeweight="2pt">
                  <v:textbox inset=",0,,0">
                    <w:txbxContent>
                      <w:p w14:paraId="5209842D" w14:textId="77777777" w:rsidR="007E7DF5" w:rsidRPr="00A06EE5" w:rsidRDefault="007E7DF5" w:rsidP="00A06EE5">
                        <w:pPr>
                          <w:jc w:val="center"/>
                          <w:rPr>
                            <w:rFonts w:cs="Times New Roman"/>
                            <w:sz w:val="14"/>
                            <w:szCs w:val="14"/>
                          </w:rPr>
                        </w:pPr>
                        <w:r w:rsidRPr="00A06EE5">
                          <w:rPr>
                            <w:rFonts w:cs="Times New Roman"/>
                            <w:sz w:val="14"/>
                            <w:szCs w:val="14"/>
                          </w:rPr>
                          <w:t>Ministry of Energy and Coal Industry</w:t>
                        </w:r>
                      </w:p>
                    </w:txbxContent>
                  </v:textbox>
                </v:shape>
                <v:shape id="Text Box 29" o:spid="_x0000_s1046" type="#_x0000_t202" style="position:absolute;left:36795;top:6729;width:1224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Ke8QA&#10;AADbAAAADwAAAGRycy9kb3ducmV2LnhtbESP3YrCMBSE7wXfIRzBG9HU7qK2GkVcBGFF8AevD82x&#10;LTYnpclq9+3NwoKXw8x8wyxWranEgxpXWlYwHkUgiDOrS84VXM7b4QyE88gaK8uk4JccrJbdzgJT&#10;bZ98pMfJ5yJA2KWooPC+TqV0WUEG3cjWxMG72cagD7LJpW7wGeCmknEUTaTBksNCgTVtCsrupx+j&#10;4JokcbyPv6OvbFDZz+1+hocPp1S/167nIDy1/h3+b++0gmkCf1/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6ynvEAAAA2wAAAA8AAAAAAAAAAAAAAAAAmAIAAGRycy9k&#10;b3ducmV2LnhtbFBLBQYAAAAABAAEAPUAAACJAwAAAAA=&#10;" strokecolor="#c0504d" strokeweight="2pt">
                  <v:textbox inset=",0,,0">
                    <w:txbxContent>
                      <w:p w14:paraId="4874DF2A" w14:textId="77777777" w:rsidR="007E7DF5" w:rsidRPr="00A06EE5" w:rsidRDefault="007E7DF5" w:rsidP="00A06EE5">
                        <w:pPr>
                          <w:jc w:val="center"/>
                          <w:rPr>
                            <w:rFonts w:cs="Times New Roman"/>
                            <w:sz w:val="14"/>
                            <w:szCs w:val="14"/>
                          </w:rPr>
                        </w:pPr>
                        <w:r w:rsidRPr="00A06EE5">
                          <w:rPr>
                            <w:rFonts w:cs="Times New Roman"/>
                            <w:sz w:val="14"/>
                            <w:szCs w:val="14"/>
                          </w:rPr>
                          <w:t>Ministry of Agrarian Policy &amp; Food</w:t>
                        </w:r>
                      </w:p>
                    </w:txbxContent>
                  </v:textbox>
                </v:shape>
                <v:shape id="Text Box 30" o:spid="_x0000_s1047" type="#_x0000_t202" style="position:absolute;left:36795;top:13679;width:1224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TwcIA&#10;AADbAAAADwAAAGRycy9kb3ducmV2LnhtbERPTWuDQBC9F/oflin0UuJaE4oxWaW0BAKVQGzIeXCn&#10;KnVnxd0a8++zh0KOj/e9LWbTi4lG11lW8BrFIIhrqztuFJy+d4sUhPPIGnvLpOBKDor88WGLmbYX&#10;PtJU+UaEEHYZKmi9HzIpXd2SQRfZgThwP3Y06AMcG6lHvIRw08skjt+kwY5DQ4sDfbRU/1Z/RsF5&#10;vU6SMvmKP+uX3q52ZYqHpVPq+Wl+34DwNPu7+N+91wrSsD58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RPBwgAAANsAAAAPAAAAAAAAAAAAAAAAAJgCAABkcnMvZG93&#10;bnJldi54bWxQSwUGAAAAAAQABAD1AAAAhwMAAAAA&#10;" strokecolor="#c0504d" strokeweight="2pt">
                  <v:textbox inset=",0,,0">
                    <w:txbxContent>
                      <w:p w14:paraId="5886DA9F" w14:textId="77777777" w:rsidR="007E7DF5" w:rsidRPr="00A06EE5" w:rsidRDefault="007E7DF5" w:rsidP="00A06EE5">
                        <w:pPr>
                          <w:jc w:val="center"/>
                          <w:rPr>
                            <w:rFonts w:cs="Times New Roman"/>
                            <w:sz w:val="14"/>
                            <w:szCs w:val="14"/>
                          </w:rPr>
                        </w:pPr>
                        <w:r w:rsidRPr="00A06EE5">
                          <w:rPr>
                            <w:rFonts w:cs="Times New Roman"/>
                            <w:sz w:val="14"/>
                            <w:szCs w:val="14"/>
                          </w:rPr>
                          <w:t>Ministry of Infrastructure</w:t>
                        </w:r>
                      </w:p>
                    </w:txbxContent>
                  </v:textbox>
                </v:shape>
                <v:shape id="Text Box 31" o:spid="_x0000_s1048" type="#_x0000_t202" style="position:absolute;left:36795;top:17117;width:12249;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2WsUA&#10;AADbAAAADwAAAGRycy9kb3ducmV2LnhtbESPQWvCQBSE70L/w/IKvUjdmIrE6CqlJVAwFBqL50f2&#10;NQnNvg3ZbZL+e1cQPA4z8w2zO0ymFQP1rrGsYLmIQBCXVjdcKfg+Zc8JCOeRNbaWScE/OTjsH2Y7&#10;TLUd+YuGwlciQNilqKD2vkuldGVNBt3CdsTB+7G9QR9kX0nd4xjgppVxFK2lwYbDQo0dvdVU/hZ/&#10;RsF5s4njPD5G7+W8tassT/DzxSn19Di9bkF4mvw9fGt/aAXJEq5fwg+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bZaxQAAANsAAAAPAAAAAAAAAAAAAAAAAJgCAABkcnMv&#10;ZG93bnJldi54bWxQSwUGAAAAAAQABAD1AAAAigMAAAAA&#10;" strokecolor="#c0504d" strokeweight="2pt">
                  <v:textbox inset=",0,,0">
                    <w:txbxContent>
                      <w:p w14:paraId="1FBB8B56" w14:textId="77777777" w:rsidR="007E7DF5" w:rsidRPr="00A06EE5" w:rsidRDefault="007E7DF5" w:rsidP="00A06EE5">
                        <w:pPr>
                          <w:jc w:val="center"/>
                          <w:rPr>
                            <w:rFonts w:cs="Times New Roman"/>
                            <w:sz w:val="14"/>
                            <w:szCs w:val="14"/>
                          </w:rPr>
                        </w:pPr>
                        <w:r w:rsidRPr="00A06EE5">
                          <w:rPr>
                            <w:rFonts w:cs="Times New Roman"/>
                            <w:sz w:val="14"/>
                            <w:szCs w:val="14"/>
                          </w:rPr>
                          <w:t>Ministry of Regional Development, Construction, Housing and Communal Services</w:t>
                        </w:r>
                      </w:p>
                    </w:txbxContent>
                  </v:textbox>
                </v:shape>
                <v:shape id="Text Box 32" o:spid="_x0000_s1049" type="#_x0000_t202" style="position:absolute;left:50255;top:3438;width:9099;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P28MA&#10;AADbAAAADwAAAGRycy9kb3ducmV2LnhtbESPT4vCMBTE7wv7HcITvCyaKqtIbZRFUFz2IFbB66N5&#10;/aPNS2mi1m+/EQSPw8z8hkmWnanFjVpXWVYwGkYgiDOrKy4UHA/rwQyE88gaa8uk4EEOlovPjwRj&#10;be+8p1vqCxEg7GJUUHrfxFK6rCSDbmgb4uDltjXog2wLqVu8B7ip5TiKptJgxWGhxIZWJWWX9GoU&#10;+N26+t2g/vsy59xtTpNt+ph+K9XvdT9zEJ46/w6/2lutYDa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8P28MAAADbAAAADwAAAAAAAAAAAAAAAACYAgAAZHJzL2Rv&#10;d25yZXYueG1sUEsFBgAAAAAEAAQA9QAAAIgDAAAAAA==&#10;" strokecolor="#d99594" strokeweight="2pt">
                  <v:textbox inset=",0,,0">
                    <w:txbxContent>
                      <w:p w14:paraId="55FE5559" w14:textId="77777777" w:rsidR="007E7DF5" w:rsidRPr="00A06EE5" w:rsidRDefault="007E7DF5" w:rsidP="00A06EE5">
                        <w:pPr>
                          <w:jc w:val="center"/>
                          <w:rPr>
                            <w:rFonts w:cs="Times New Roman"/>
                            <w:sz w:val="14"/>
                            <w:szCs w:val="14"/>
                          </w:rPr>
                        </w:pPr>
                        <w:r w:rsidRPr="00A06EE5">
                          <w:rPr>
                            <w:rFonts w:cs="Times New Roman"/>
                            <w:sz w:val="14"/>
                            <w:szCs w:val="14"/>
                          </w:rPr>
                          <w:t>State Statistics Service</w:t>
                        </w:r>
                      </w:p>
                    </w:txbxContent>
                  </v:textbox>
                </v:shape>
                <v:shape id="Text Box 33" o:spid="_x0000_s1050" type="#_x0000_t202" style="position:absolute;left:50255;top:7534;width:9099;height:4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QsQA&#10;AADbAAAADwAAAGRycy9kb3ducmV2LnhtbESPQWsCMRSE7wX/Q3hCL0WztmJla5RVUDz0oha9Pjav&#10;u6ublzWJuv33piB4HGa+GWYya00truR8ZVnBoJ+AIM6trrhQ8LNb9sYgfEDWWFsmBX/kYTbtvEww&#10;1fbGG7puQyFiCfsUFZQhNKmUPi/JoO/bhjh6v9YZDFG6QmqHt1huavmeJCNpsOK4UGJDi5Ly0/Zi&#10;FIz3bvjmjvvv82FRz+VRZpfPVabUa7fNvkAEasMz/KDXOnIf8P8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fkLEAAAA2wAAAA8AAAAAAAAAAAAAAAAAmAIAAGRycy9k&#10;b3ducmV2LnhtbFBLBQYAAAAABAAEAPUAAACJAwAAAAA=&#10;" strokecolor="#d99694" strokeweight="2pt">
                  <v:textbox inset=",0,,0">
                    <w:txbxContent>
                      <w:p w14:paraId="0E64716A" w14:textId="77777777" w:rsidR="007E7DF5" w:rsidRPr="00A06EE5" w:rsidRDefault="007E7DF5" w:rsidP="00A06EE5">
                        <w:pPr>
                          <w:jc w:val="center"/>
                          <w:rPr>
                            <w:rFonts w:cs="Times New Roman"/>
                            <w:sz w:val="14"/>
                            <w:szCs w:val="14"/>
                          </w:rPr>
                        </w:pPr>
                        <w:r w:rsidRPr="00A06EE5">
                          <w:rPr>
                            <w:rFonts w:cs="Times New Roman"/>
                            <w:sz w:val="14"/>
                            <w:szCs w:val="14"/>
                          </w:rPr>
                          <w:t>State Service for Geodesy, Cartography and Cadaster</w:t>
                        </w:r>
                      </w:p>
                    </w:txbxContent>
                  </v:textbox>
                </v:shape>
                <v:shape id="Text Box 34" o:spid="_x0000_s1051" type="#_x0000_t202" style="position:absolute;left:50255;top:13167;width:9099;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yNMUA&#10;AADbAAAADwAAAGRycy9kb3ducmV2LnhtbESPQWvCQBSE74L/YXmFXkQ3LSqSuhEpJKT0II2C10f2&#10;maTNvg3ZrUn+fbdQ6HGYmW+Y/WE0rbhT7xrLCp5WEQji0uqGKwWXc7rcgXAeWWNrmRRM5OCQzGd7&#10;jLUd+IPuha9EgLCLUUHtfRdL6cqaDLqV7YiDd7O9QR9kX0nd4xDgppXPUbSVBhsOCzV29FpT+VV8&#10;GwX+lDZvGer3hfm8uey6yYtpu1bq8WE8voDwNPr/8F871wp2a/j9En6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jI0xQAAANsAAAAPAAAAAAAAAAAAAAAAAJgCAABkcnMv&#10;ZG93bnJldi54bWxQSwUGAAAAAAQABAD1AAAAigMAAAAA&#10;" strokecolor="#d99594" strokeweight="2pt">
                  <v:textbox inset=",0,,0">
                    <w:txbxContent>
                      <w:p w14:paraId="76472BDA" w14:textId="77777777" w:rsidR="007E7DF5" w:rsidRPr="00A06EE5" w:rsidRDefault="007E7DF5" w:rsidP="00A06EE5">
                        <w:pPr>
                          <w:jc w:val="center"/>
                          <w:rPr>
                            <w:rFonts w:cs="Times New Roman"/>
                            <w:sz w:val="14"/>
                            <w:szCs w:val="14"/>
                          </w:rPr>
                        </w:pPr>
                        <w:r w:rsidRPr="00A06EE5">
                          <w:rPr>
                            <w:rFonts w:cs="Times New Roman"/>
                            <w:sz w:val="14"/>
                            <w:szCs w:val="14"/>
                          </w:rPr>
                          <w:t>Sanitary Epidemiological Service</w:t>
                        </w:r>
                      </w:p>
                    </w:txbxContent>
                  </v:textbox>
                </v:shape>
                <v:shape id="Text Box 39" o:spid="_x0000_s1052" type="#_x0000_t202" style="position:absolute;left:15069;top:11338;width:18288;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4oMQA&#10;AADbAAAADwAAAGRycy9kb3ducmV2LnhtbESPT4vCMBTE74LfITzBm6aKLlKNohVlhWXx38Hjo3m2&#10;xealNlG7394sLOxxmJnfMLNFY0rxpNoVlhUM+hEI4tTqgjMF59OmNwHhPLLG0jIp+CEHi3m7NcNY&#10;2xcf6Hn0mQgQdjEqyL2vYildmpNB17cVcfCutjbog6wzqWt8Bbgp5TCKPqTBgsNCjhUlOaW348Mo&#10;uJrRCte3pBndL8n39uswdvf9Tqlup1lOQXhq/H/4r/2pFUzG8Ps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deKDEAAAA2wAAAA8AAAAAAAAAAAAAAAAAmAIAAGRycy9k&#10;b3ducmV2LnhtbFBLBQYAAAAABAAEAPUAAACJAwAAAAA=&#10;" strokecolor="#8064a2" strokeweight="2pt">
                  <v:textbox inset="0,0,0,0">
                    <w:txbxContent>
                      <w:p w14:paraId="40D46FDF" w14:textId="77777777" w:rsidR="007E7DF5" w:rsidRPr="00A06EE5" w:rsidRDefault="007E7DF5" w:rsidP="00A06EE5">
                        <w:pPr>
                          <w:jc w:val="center"/>
                          <w:rPr>
                            <w:rFonts w:cs="Times New Roman"/>
                            <w:sz w:val="14"/>
                            <w:szCs w:val="14"/>
                          </w:rPr>
                        </w:pPr>
                        <w:r w:rsidRPr="00A06EE5">
                          <w:rPr>
                            <w:rFonts w:cs="Times New Roman"/>
                            <w:sz w:val="14"/>
                            <w:szCs w:val="14"/>
                          </w:rPr>
                          <w:t>Ministry of Economic Development and Trade</w:t>
                        </w:r>
                      </w:p>
                    </w:txbxContent>
                  </v:textbox>
                </v:shape>
                <v:shape id="Text Box 40" o:spid="_x0000_s1053" type="#_x0000_t202" style="position:absolute;left:73;top:11338;width:1224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18QA&#10;AADbAAAADwAAAGRycy9kb3ducmV2LnhtbESPT4vCMBTE74LfITzBm6Yurkg1inZRVlgW/x08Pppn&#10;W2xeahO1fnsjLOxxmJnfMNN5Y0pxp9oVlhUM+hEI4tTqgjMFx8OqNwbhPLLG0jIpeJKD+azdmmKs&#10;7YN3dN/7TAQIuxgV5N5XsZQuzcmg69uKOHhnWxv0QdaZ1DU+AtyU8iOKRtJgwWEhx4qSnNLL/mYU&#10;nM1wiV+XpBleT8nv+mf36a7bjVLdTrOYgPDU+P/wX/tbKxiP4P0l/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5tfEAAAA2wAAAA8AAAAAAAAAAAAAAAAAmAIAAGRycy9k&#10;b3ducmV2LnhtbFBLBQYAAAAABAAEAPUAAACJAwAAAAA=&#10;" strokecolor="#8064a2" strokeweight="2pt">
                  <v:textbox inset="0,0,0,0">
                    <w:txbxContent>
                      <w:p w14:paraId="63881DC2" w14:textId="77777777" w:rsidR="007E7DF5" w:rsidRPr="00A06EE5" w:rsidRDefault="007E7DF5" w:rsidP="00A06EE5">
                        <w:pPr>
                          <w:jc w:val="center"/>
                          <w:rPr>
                            <w:rFonts w:cs="Times New Roman"/>
                            <w:sz w:val="14"/>
                            <w:szCs w:val="14"/>
                          </w:rPr>
                        </w:pPr>
                        <w:r w:rsidRPr="00A06EE5">
                          <w:rPr>
                            <w:rFonts w:cs="Times New Roman"/>
                            <w:sz w:val="14"/>
                            <w:szCs w:val="14"/>
                          </w:rPr>
                          <w:t>Ministry of Finance</w:t>
                        </w:r>
                      </w:p>
                    </w:txbxContent>
                  </v:textbox>
                </v:shape>
                <v:shape id="Text Box 34" o:spid="_x0000_s1054" type="#_x0000_t202" style="position:absolute;left:50328;top:17775;width:9099;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sQ8UA&#10;AADbAAAADwAAAGRycy9kb3ducmV2LnhtbESPT2vCQBTE74LfYXlCL6KblholzUZKwWDxUBqFXh/Z&#10;lz9t9m3IbjV++25B8DjMzG+YdDuaTpxpcK1lBY/LCARxaXXLtYLTcbfYgHAeWWNnmRRcycE2m05S&#10;TLS98CedC1+LAGGXoILG+z6R0pUNGXRL2xMHr7KDQR/kUEs94CXATSefoiiWBlsOCw329NZQ+VP8&#10;GgX+Y9e+56gPc/NdufxrtS+u8bNSD7Px9QWEp9Hfw7f2XivYrOH/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KxDxQAAANsAAAAPAAAAAAAAAAAAAAAAAJgCAABkcnMv&#10;ZG93bnJldi54bWxQSwUGAAAAAAQABAD1AAAAigMAAAAA&#10;" strokecolor="#d99594" strokeweight="2pt">
                  <v:textbox inset=",0,,0">
                    <w:txbxContent>
                      <w:p w14:paraId="7B4CB772" w14:textId="77777777" w:rsidR="007E7DF5" w:rsidRPr="00A06EE5" w:rsidRDefault="007E7DF5" w:rsidP="00A06EE5">
                        <w:pPr>
                          <w:jc w:val="center"/>
                          <w:rPr>
                            <w:rFonts w:cs="Times New Roman"/>
                            <w:sz w:val="14"/>
                            <w:szCs w:val="14"/>
                          </w:rPr>
                        </w:pPr>
                        <w:r w:rsidRPr="00A06EE5">
                          <w:rPr>
                            <w:rFonts w:cs="Times New Roman"/>
                            <w:sz w:val="14"/>
                            <w:szCs w:val="14"/>
                          </w:rPr>
                          <w:t>State Emergency Service</w:t>
                        </w:r>
                      </w:p>
                    </w:txbxContent>
                  </v:textbox>
                </v:shape>
                <w10:anchorlock/>
              </v:group>
            </w:pict>
          </mc:Fallback>
        </mc:AlternateContent>
      </w:r>
    </w:p>
    <w:p w14:paraId="457FFF37" w14:textId="77777777" w:rsidR="000B7923" w:rsidRPr="002B1DFC" w:rsidRDefault="000B7923" w:rsidP="00F33595">
      <w:pPr>
        <w:rPr>
          <w:rFonts w:cs="Times New Roman"/>
        </w:rPr>
      </w:pPr>
    </w:p>
    <w:p w14:paraId="5A6EC6CF" w14:textId="77777777" w:rsidR="000B7923" w:rsidRPr="002B1DFC" w:rsidRDefault="00BB0F37" w:rsidP="00F55709">
      <w:pPr>
        <w:pStyle w:val="ListParagraph"/>
        <w:numPr>
          <w:ilvl w:val="0"/>
          <w:numId w:val="68"/>
        </w:numPr>
        <w:tabs>
          <w:tab w:val="left" w:pos="360"/>
        </w:tabs>
        <w:spacing w:before="200"/>
        <w:ind w:left="0" w:firstLine="0"/>
        <w:rPr>
          <w:rFonts w:cs="Times New Roman"/>
        </w:rPr>
      </w:pPr>
      <w:r>
        <w:rPr>
          <w:rFonts w:cs="Times New Roman"/>
          <w:b/>
          <w:i/>
        </w:rPr>
        <w:lastRenderedPageBreak/>
        <w:t xml:space="preserve">The </w:t>
      </w:r>
      <w:r w:rsidR="000B7923" w:rsidRPr="002B1DFC">
        <w:rPr>
          <w:rFonts w:cs="Times New Roman"/>
          <w:b/>
          <w:i/>
        </w:rPr>
        <w:t xml:space="preserve">Ministry of Energy and Coal Industry </w:t>
      </w:r>
      <w:r w:rsidR="000B7923" w:rsidRPr="002B1DFC">
        <w:rPr>
          <w:rFonts w:cs="Times New Roman"/>
        </w:rPr>
        <w:t xml:space="preserve">is the main agency in the system of executive authority, responsible for developing and ensuring the implementation of state policy </w:t>
      </w:r>
      <w:r>
        <w:rPr>
          <w:rFonts w:cs="Times New Roman"/>
        </w:rPr>
        <w:t xml:space="preserve">regarding the country’s fuel and energy complex—that is, policy relating to </w:t>
      </w:r>
      <w:r w:rsidR="000B7923" w:rsidRPr="002B1DFC">
        <w:rPr>
          <w:rFonts w:cs="Times New Roman"/>
        </w:rPr>
        <w:t>energy, nuclear-industrial, coal-industrial, peat extraction</w:t>
      </w:r>
      <w:r w:rsidR="006E6172">
        <w:rPr>
          <w:rFonts w:cs="Times New Roman"/>
        </w:rPr>
        <w:t>,</w:t>
      </w:r>
      <w:r w:rsidR="000B7923" w:rsidRPr="002B1DFC">
        <w:rPr>
          <w:rFonts w:cs="Times New Roman"/>
        </w:rPr>
        <w:t xml:space="preserve"> and oil and gas complexes. The central apparatus of the </w:t>
      </w:r>
      <w:r w:rsidR="005A1195">
        <w:rPr>
          <w:rFonts w:cs="Times New Roman"/>
        </w:rPr>
        <w:t>ministry</w:t>
      </w:r>
      <w:r w:rsidR="000B7923" w:rsidRPr="002B1DFC">
        <w:rPr>
          <w:rFonts w:cs="Times New Roman"/>
        </w:rPr>
        <w:t xml:space="preserve"> has 373 staff members. Relating to environmental issues, the structure of the </w:t>
      </w:r>
      <w:r w:rsidR="005A1195">
        <w:rPr>
          <w:rFonts w:cs="Times New Roman"/>
        </w:rPr>
        <w:t>ministry</w:t>
      </w:r>
      <w:r w:rsidR="000B7923" w:rsidRPr="002B1DFC">
        <w:rPr>
          <w:rFonts w:cs="Times New Roman"/>
        </w:rPr>
        <w:t xml:space="preserve"> has a Division of the Coordination of Scientific-Research and Nature Conservation Activity, Metrology, Certification and Accreditation. This Division is under the Directorate of Strategy of Fuel and Energy Complex’s Development and Investment Policy. </w:t>
      </w:r>
    </w:p>
    <w:p w14:paraId="66CDC744" w14:textId="77777777" w:rsidR="000B7923" w:rsidRPr="005C2F51" w:rsidRDefault="000B7923" w:rsidP="00DC2D74">
      <w:pPr>
        <w:rPr>
          <w:rFonts w:cs="Times New Roman"/>
          <w:b/>
          <w:i/>
          <w:color w:val="000000" w:themeColor="text1"/>
        </w:rPr>
      </w:pPr>
    </w:p>
    <w:p w14:paraId="7F627442" w14:textId="77777777" w:rsidR="000B7923" w:rsidRPr="00F55709" w:rsidRDefault="00BB0F37" w:rsidP="00F55709">
      <w:pPr>
        <w:pStyle w:val="ListParagraph"/>
        <w:numPr>
          <w:ilvl w:val="0"/>
          <w:numId w:val="68"/>
        </w:numPr>
        <w:tabs>
          <w:tab w:val="left" w:pos="360"/>
        </w:tabs>
        <w:ind w:left="0" w:firstLine="0"/>
        <w:rPr>
          <w:rFonts w:cs="Times New Roman"/>
        </w:rPr>
      </w:pPr>
      <w:r w:rsidRPr="00F55709">
        <w:rPr>
          <w:rFonts w:cs="Times New Roman"/>
          <w:b/>
          <w:i/>
        </w:rPr>
        <w:t xml:space="preserve">The </w:t>
      </w:r>
      <w:r w:rsidR="000B7923" w:rsidRPr="00F55709">
        <w:rPr>
          <w:rFonts w:cs="Times New Roman"/>
          <w:b/>
          <w:i/>
        </w:rPr>
        <w:t xml:space="preserve">Ministry of Agrarian Policy and Food </w:t>
      </w:r>
      <w:r w:rsidR="000B7923" w:rsidRPr="00F55709">
        <w:rPr>
          <w:rFonts w:cs="Times New Roman"/>
        </w:rPr>
        <w:t xml:space="preserve">develops and ensures the implementation </w:t>
      </w:r>
      <w:r w:rsidR="00423D23" w:rsidRPr="00F55709">
        <w:rPr>
          <w:rFonts w:cs="Times New Roman"/>
        </w:rPr>
        <w:t xml:space="preserve">of </w:t>
      </w:r>
      <w:r w:rsidR="000B7923" w:rsidRPr="00F55709">
        <w:rPr>
          <w:rFonts w:cs="Times New Roman"/>
        </w:rPr>
        <w:t xml:space="preserve">state agrarian policy, agriculture and food safety policy; fishery and fish industry policy, protection and restoration of water living resources; regulation of fishing and safety; veterinary medicine; safety of food provision in the sphere of quarantine and plant protection; land relations, </w:t>
      </w:r>
      <w:r w:rsidR="00423D23" w:rsidRPr="00F55709">
        <w:rPr>
          <w:rFonts w:cs="Times New Roman"/>
        </w:rPr>
        <w:t xml:space="preserve">and </w:t>
      </w:r>
      <w:r w:rsidR="000B7923" w:rsidRPr="00F55709">
        <w:rPr>
          <w:rFonts w:cs="Times New Roman"/>
        </w:rPr>
        <w:t>topography-geodesic and cartography activities; forest and hunting management</w:t>
      </w:r>
      <w:r w:rsidR="00423D23" w:rsidRPr="00F55709">
        <w:rPr>
          <w:rFonts w:cs="Times New Roman"/>
        </w:rPr>
        <w:t>;</w:t>
      </w:r>
      <w:r w:rsidR="000B7923" w:rsidRPr="00F55709">
        <w:rPr>
          <w:rFonts w:cs="Times New Roman"/>
        </w:rPr>
        <w:t xml:space="preserve"> as well as monitoring and control </w:t>
      </w:r>
      <w:r w:rsidR="00423D23" w:rsidRPr="00F55709">
        <w:rPr>
          <w:rFonts w:cs="Times New Roman"/>
        </w:rPr>
        <w:t xml:space="preserve">of the </w:t>
      </w:r>
      <w:r w:rsidR="000B7923" w:rsidRPr="00F55709">
        <w:rPr>
          <w:rFonts w:cs="Times New Roman"/>
        </w:rPr>
        <w:t xml:space="preserve">agro-industrial complex. The central apparatus of the Ministry of Agrarian Policy and Food has 357 staff members. The </w:t>
      </w:r>
      <w:r w:rsidR="005A1195" w:rsidRPr="00F55709">
        <w:rPr>
          <w:rFonts w:cs="Times New Roman"/>
        </w:rPr>
        <w:t>ministry</w:t>
      </w:r>
      <w:r w:rsidR="000B7923" w:rsidRPr="00F55709">
        <w:rPr>
          <w:rFonts w:cs="Times New Roman"/>
        </w:rPr>
        <w:t xml:space="preserve"> </w:t>
      </w:r>
      <w:r w:rsidR="00423D23" w:rsidRPr="00F55709">
        <w:rPr>
          <w:rFonts w:cs="Times New Roman"/>
        </w:rPr>
        <w:t>coordinates</w:t>
      </w:r>
      <w:r w:rsidR="000B7923" w:rsidRPr="00F55709">
        <w:rPr>
          <w:rFonts w:cs="Times New Roman"/>
        </w:rPr>
        <w:t xml:space="preserve"> the State Agency of Forest Resources; State Service of Ukraine for Geodesy, Cartography and Cadaster; State Agency of Fishery, and State Veterinary and </w:t>
      </w:r>
      <w:proofErr w:type="spellStart"/>
      <w:r w:rsidR="000B7923" w:rsidRPr="00F55709">
        <w:rPr>
          <w:rFonts w:cs="Times New Roman"/>
        </w:rPr>
        <w:t>Phyto</w:t>
      </w:r>
      <w:proofErr w:type="spellEnd"/>
      <w:r w:rsidR="000B7923" w:rsidRPr="00F55709">
        <w:rPr>
          <w:rFonts w:cs="Times New Roman"/>
        </w:rPr>
        <w:t xml:space="preserve">-Sanitary Service. </w:t>
      </w:r>
    </w:p>
    <w:p w14:paraId="7F131224" w14:textId="77777777" w:rsidR="000B7923" w:rsidRPr="002B1DFC" w:rsidRDefault="000B7923" w:rsidP="00DC2D74">
      <w:pPr>
        <w:rPr>
          <w:rFonts w:cs="Times New Roman"/>
          <w:b/>
          <w:i/>
        </w:rPr>
      </w:pPr>
    </w:p>
    <w:p w14:paraId="19ABED2F" w14:textId="77777777" w:rsidR="000B7923" w:rsidRPr="00882558" w:rsidRDefault="00BB0F37" w:rsidP="00F55709">
      <w:pPr>
        <w:pStyle w:val="ListParagraph"/>
        <w:numPr>
          <w:ilvl w:val="0"/>
          <w:numId w:val="68"/>
        </w:numPr>
        <w:tabs>
          <w:tab w:val="left" w:pos="360"/>
        </w:tabs>
        <w:ind w:left="0" w:firstLine="0"/>
        <w:rPr>
          <w:rFonts w:cs="Times New Roman"/>
          <w:color w:val="000000" w:themeColor="text1"/>
        </w:rPr>
      </w:pPr>
      <w:r>
        <w:rPr>
          <w:rFonts w:cs="Times New Roman"/>
          <w:b/>
          <w:i/>
        </w:rPr>
        <w:t xml:space="preserve">The </w:t>
      </w:r>
      <w:r w:rsidR="000B7923" w:rsidRPr="002B1DFC">
        <w:rPr>
          <w:rFonts w:cs="Times New Roman"/>
          <w:b/>
          <w:i/>
        </w:rPr>
        <w:t>Ministry of Regional Development, Construction,  Housing</w:t>
      </w:r>
      <w:r w:rsidR="00423D23">
        <w:rPr>
          <w:rFonts w:cs="Times New Roman"/>
          <w:b/>
          <w:i/>
        </w:rPr>
        <w:t>,</w:t>
      </w:r>
      <w:r w:rsidR="000B7923" w:rsidRPr="002B1DFC">
        <w:rPr>
          <w:rFonts w:cs="Times New Roman"/>
          <w:b/>
          <w:i/>
        </w:rPr>
        <w:t xml:space="preserve"> and Communal Services (Min-Region-Bud) </w:t>
      </w:r>
      <w:r w:rsidR="000B7923" w:rsidRPr="002B1DFC">
        <w:rPr>
          <w:rFonts w:cs="Times New Roman"/>
        </w:rPr>
        <w:t xml:space="preserve">is responsible </w:t>
      </w:r>
      <w:r w:rsidR="00423D23">
        <w:rPr>
          <w:rFonts w:cs="Times New Roman"/>
        </w:rPr>
        <w:t>for</w:t>
      </w:r>
      <w:r w:rsidR="000B7923" w:rsidRPr="002B1DFC">
        <w:rPr>
          <w:rFonts w:cs="Times New Roman"/>
        </w:rPr>
        <w:t xml:space="preserve"> develop</w:t>
      </w:r>
      <w:r w:rsidR="00423D23">
        <w:rPr>
          <w:rFonts w:cs="Times New Roman"/>
        </w:rPr>
        <w:t>ing</w:t>
      </w:r>
      <w:r w:rsidR="000B7923" w:rsidRPr="002B1DFC">
        <w:rPr>
          <w:rFonts w:cs="Times New Roman"/>
        </w:rPr>
        <w:t xml:space="preserve"> and ensur</w:t>
      </w:r>
      <w:r w:rsidR="00423D23">
        <w:rPr>
          <w:rFonts w:cs="Times New Roman"/>
        </w:rPr>
        <w:t>ing</w:t>
      </w:r>
      <w:r w:rsidR="000B7923" w:rsidRPr="002B1DFC">
        <w:rPr>
          <w:rFonts w:cs="Times New Roman"/>
        </w:rPr>
        <w:t xml:space="preserve"> the implementation of state regional and housing policy; building, architecture, urban development, housing</w:t>
      </w:r>
      <w:r w:rsidR="00423D23">
        <w:rPr>
          <w:rFonts w:cs="Times New Roman"/>
        </w:rPr>
        <w:t>,</w:t>
      </w:r>
      <w:r w:rsidR="000B7923" w:rsidRPr="002B1DFC">
        <w:rPr>
          <w:rFonts w:cs="Times New Roman"/>
        </w:rPr>
        <w:t xml:space="preserve"> and communal services policy; implement</w:t>
      </w:r>
      <w:r w:rsidR="00423D23">
        <w:rPr>
          <w:rFonts w:cs="Times New Roman"/>
        </w:rPr>
        <w:t>ing</w:t>
      </w:r>
      <w:r w:rsidR="000B7923" w:rsidRPr="002B1DFC">
        <w:rPr>
          <w:rFonts w:cs="Times New Roman"/>
        </w:rPr>
        <w:t xml:space="preserve"> policy for </w:t>
      </w:r>
      <w:r w:rsidR="00423D23">
        <w:rPr>
          <w:rFonts w:cs="Times New Roman"/>
        </w:rPr>
        <w:t xml:space="preserve">the </w:t>
      </w:r>
      <w:r w:rsidR="000B7923" w:rsidRPr="002B1DFC">
        <w:rPr>
          <w:rFonts w:cs="Times New Roman"/>
        </w:rPr>
        <w:t>effective use of fuel and energy resources, energy-saving, renewable sources of energy</w:t>
      </w:r>
      <w:r w:rsidR="00423D23">
        <w:rPr>
          <w:rFonts w:cs="Times New Roman"/>
        </w:rPr>
        <w:t>,</w:t>
      </w:r>
      <w:r w:rsidR="000B7923" w:rsidRPr="002B1DFC">
        <w:rPr>
          <w:rFonts w:cs="Times New Roman"/>
        </w:rPr>
        <w:t xml:space="preserve"> and alternative </w:t>
      </w:r>
      <w:r w:rsidR="000B7923" w:rsidRPr="00882558">
        <w:rPr>
          <w:rFonts w:cs="Times New Roman"/>
          <w:color w:val="000000" w:themeColor="text1"/>
        </w:rPr>
        <w:t>types of fuel; implement</w:t>
      </w:r>
      <w:r w:rsidR="00423D23" w:rsidRPr="00882558">
        <w:rPr>
          <w:rFonts w:cs="Times New Roman"/>
          <w:color w:val="000000" w:themeColor="text1"/>
        </w:rPr>
        <w:t>ing</w:t>
      </w:r>
      <w:r w:rsidR="000B7923" w:rsidRPr="00882558">
        <w:rPr>
          <w:rFonts w:cs="Times New Roman"/>
          <w:color w:val="000000" w:themeColor="text1"/>
        </w:rPr>
        <w:t xml:space="preserve"> policies pertaining to topography and geodesy and cartography activities, land issues, land protection (except use and protection of agricultural land)</w:t>
      </w:r>
      <w:r w:rsidR="00423D23" w:rsidRPr="00882558">
        <w:rPr>
          <w:rFonts w:cs="Times New Roman"/>
          <w:color w:val="000000" w:themeColor="text1"/>
        </w:rPr>
        <w:t>;</w:t>
      </w:r>
      <w:r w:rsidR="000B7923" w:rsidRPr="00882558">
        <w:rPr>
          <w:rFonts w:cs="Times New Roman"/>
          <w:color w:val="000000" w:themeColor="text1"/>
        </w:rPr>
        <w:t xml:space="preserve"> as well as activity regarding State Land Cadaster and activity regarding renewal of </w:t>
      </w:r>
      <w:r w:rsidR="00423D23" w:rsidRPr="00882558">
        <w:rPr>
          <w:rFonts w:cs="Times New Roman"/>
          <w:color w:val="000000" w:themeColor="text1"/>
        </w:rPr>
        <w:t xml:space="preserve">the </w:t>
      </w:r>
      <w:r w:rsidR="000B7923" w:rsidRPr="00882558">
        <w:rPr>
          <w:rFonts w:cs="Times New Roman"/>
          <w:color w:val="000000" w:themeColor="text1"/>
        </w:rPr>
        <w:t xml:space="preserve">Donetsk and Luhansk regions (Donbass). The central apparatus of the Min-Region-Bud has 383 staff members. The Ministry has a Division of Household Solid Waste Management with </w:t>
      </w:r>
      <w:r w:rsidR="00423D23" w:rsidRPr="00882558">
        <w:rPr>
          <w:rFonts w:cs="Times New Roman"/>
          <w:color w:val="000000" w:themeColor="text1"/>
        </w:rPr>
        <w:t>five</w:t>
      </w:r>
      <w:r w:rsidR="000B7923" w:rsidRPr="00882558">
        <w:rPr>
          <w:rFonts w:cs="Times New Roman"/>
          <w:color w:val="000000" w:themeColor="text1"/>
        </w:rPr>
        <w:t xml:space="preserve"> staff members</w:t>
      </w:r>
      <w:r w:rsidR="00423D23" w:rsidRPr="00882558">
        <w:rPr>
          <w:rFonts w:cs="Times New Roman"/>
          <w:color w:val="000000" w:themeColor="text1"/>
        </w:rPr>
        <w:t>,</w:t>
      </w:r>
      <w:r w:rsidR="000B7923" w:rsidRPr="00882558">
        <w:rPr>
          <w:rFonts w:cs="Times New Roman"/>
          <w:color w:val="000000" w:themeColor="text1"/>
        </w:rPr>
        <w:t xml:space="preserve"> and </w:t>
      </w:r>
      <w:r w:rsidR="00423D23" w:rsidRPr="00882558">
        <w:rPr>
          <w:rFonts w:cs="Times New Roman"/>
          <w:color w:val="000000" w:themeColor="text1"/>
        </w:rPr>
        <w:t xml:space="preserve">a </w:t>
      </w:r>
      <w:r w:rsidR="000B7923" w:rsidRPr="00882558">
        <w:rPr>
          <w:rFonts w:cs="Times New Roman"/>
          <w:color w:val="000000" w:themeColor="text1"/>
        </w:rPr>
        <w:t xml:space="preserve">Division of Water Supply and Sewage with </w:t>
      </w:r>
      <w:r w:rsidR="005A1195" w:rsidRPr="00882558">
        <w:rPr>
          <w:rFonts w:cs="Times New Roman"/>
          <w:color w:val="000000" w:themeColor="text1"/>
        </w:rPr>
        <w:t>six</w:t>
      </w:r>
      <w:r w:rsidR="000B7923" w:rsidRPr="00882558">
        <w:rPr>
          <w:rFonts w:cs="Times New Roman"/>
          <w:color w:val="000000" w:themeColor="text1"/>
        </w:rPr>
        <w:t xml:space="preserve"> staff members. The </w:t>
      </w:r>
      <w:r w:rsidR="005A1195" w:rsidRPr="00882558">
        <w:rPr>
          <w:rFonts w:cs="Times New Roman"/>
          <w:color w:val="000000" w:themeColor="text1"/>
        </w:rPr>
        <w:t>ministry</w:t>
      </w:r>
      <w:r w:rsidR="000B7923" w:rsidRPr="00882558">
        <w:rPr>
          <w:rFonts w:cs="Times New Roman"/>
          <w:color w:val="000000" w:themeColor="text1"/>
        </w:rPr>
        <w:t xml:space="preserve"> also coordinates the State Agency on Energy Efficiency and Energy Saving. </w:t>
      </w:r>
    </w:p>
    <w:p w14:paraId="73B6F285" w14:textId="77777777" w:rsidR="000B7923" w:rsidRPr="00882558" w:rsidRDefault="000B7923" w:rsidP="00DC2D74">
      <w:pPr>
        <w:rPr>
          <w:rFonts w:cs="Times New Roman"/>
          <w:b/>
          <w:i/>
          <w:color w:val="000000" w:themeColor="text1"/>
        </w:rPr>
      </w:pPr>
    </w:p>
    <w:p w14:paraId="4C82DF56" w14:textId="36A67B57" w:rsidR="000B7923" w:rsidRPr="00882558" w:rsidRDefault="00BB0F37" w:rsidP="00C320FA">
      <w:pPr>
        <w:pStyle w:val="ListParagraph"/>
        <w:numPr>
          <w:ilvl w:val="0"/>
          <w:numId w:val="68"/>
        </w:numPr>
        <w:tabs>
          <w:tab w:val="left" w:pos="360"/>
        </w:tabs>
        <w:ind w:left="0" w:firstLine="0"/>
        <w:rPr>
          <w:rFonts w:cs="Times New Roman"/>
          <w:color w:val="000000" w:themeColor="text1"/>
        </w:rPr>
      </w:pPr>
      <w:r w:rsidRPr="00882558">
        <w:rPr>
          <w:rFonts w:cs="Times New Roman"/>
          <w:b/>
          <w:i/>
          <w:color w:val="000000" w:themeColor="text1"/>
        </w:rPr>
        <w:t xml:space="preserve">The </w:t>
      </w:r>
      <w:r w:rsidR="000B7923" w:rsidRPr="00882558">
        <w:rPr>
          <w:rFonts w:cs="Times New Roman"/>
          <w:b/>
          <w:i/>
          <w:color w:val="000000" w:themeColor="text1"/>
        </w:rPr>
        <w:t xml:space="preserve">Ministry of Infrastructure </w:t>
      </w:r>
      <w:r w:rsidR="000B7923" w:rsidRPr="00882558">
        <w:rPr>
          <w:rFonts w:cs="Times New Roman"/>
          <w:color w:val="000000" w:themeColor="text1"/>
        </w:rPr>
        <w:t xml:space="preserve">develops and ensures the implementation </w:t>
      </w:r>
      <w:r w:rsidR="00074ABA" w:rsidRPr="00882558">
        <w:rPr>
          <w:rFonts w:cs="Times New Roman"/>
          <w:color w:val="000000" w:themeColor="text1"/>
        </w:rPr>
        <w:t>of</w:t>
      </w:r>
      <w:r w:rsidR="000B7923" w:rsidRPr="00882558">
        <w:rPr>
          <w:rFonts w:cs="Times New Roman"/>
          <w:color w:val="000000" w:themeColor="text1"/>
        </w:rPr>
        <w:t xml:space="preserve"> state policy in the spheres of air service transport, motor, railway, marine, river transports as well as tourism and health resort activity. The central apparatus of the Ministry of Infrastructure has 262 staff members.</w:t>
      </w:r>
    </w:p>
    <w:p w14:paraId="53BECC5E" w14:textId="77777777" w:rsidR="000B7923" w:rsidRPr="00882558" w:rsidRDefault="000B7923" w:rsidP="00DC2D74">
      <w:pPr>
        <w:rPr>
          <w:rFonts w:cs="Times New Roman"/>
          <w:b/>
          <w:i/>
          <w:color w:val="000000" w:themeColor="text1"/>
        </w:rPr>
      </w:pPr>
    </w:p>
    <w:p w14:paraId="59B32217" w14:textId="77777777" w:rsidR="000B7923" w:rsidRPr="002B1DFC" w:rsidRDefault="00BB0F37" w:rsidP="00F55709">
      <w:pPr>
        <w:pStyle w:val="ListParagraph"/>
        <w:numPr>
          <w:ilvl w:val="0"/>
          <w:numId w:val="68"/>
        </w:numPr>
        <w:tabs>
          <w:tab w:val="left" w:pos="360"/>
        </w:tabs>
        <w:ind w:left="0" w:firstLine="0"/>
        <w:rPr>
          <w:rFonts w:cs="Times New Roman"/>
        </w:rPr>
      </w:pPr>
      <w:r w:rsidRPr="00882558">
        <w:rPr>
          <w:rFonts w:cs="Times New Roman"/>
          <w:b/>
          <w:i/>
          <w:color w:val="000000" w:themeColor="text1"/>
        </w:rPr>
        <w:t xml:space="preserve">The </w:t>
      </w:r>
      <w:r w:rsidR="000B7923" w:rsidRPr="00882558">
        <w:rPr>
          <w:rFonts w:cs="Times New Roman"/>
          <w:b/>
          <w:i/>
          <w:color w:val="000000" w:themeColor="text1"/>
        </w:rPr>
        <w:t xml:space="preserve">Ministry of Health </w:t>
      </w:r>
      <w:r w:rsidR="000B7923" w:rsidRPr="00882558">
        <w:rPr>
          <w:rFonts w:cs="Times New Roman"/>
          <w:color w:val="000000" w:themeColor="text1"/>
        </w:rPr>
        <w:t xml:space="preserve">develops and ensures the implementation of the state policy for health protection and sanitary-and-epidemiologic welfare. The </w:t>
      </w:r>
      <w:r w:rsidR="005A1195" w:rsidRPr="00882558">
        <w:rPr>
          <w:rFonts w:cs="Times New Roman"/>
          <w:color w:val="000000" w:themeColor="text1"/>
        </w:rPr>
        <w:t>ministry</w:t>
      </w:r>
      <w:r w:rsidR="000B7923" w:rsidRPr="00882558">
        <w:rPr>
          <w:rFonts w:cs="Times New Roman"/>
          <w:color w:val="000000" w:themeColor="text1"/>
        </w:rPr>
        <w:t xml:space="preserve"> approves the state sanitary, hygienic norms and rules; standards of drinking water’ quality; radiation safety’ norms; and provide a hygienic regulation of genic modified organisms, food provisions</w:t>
      </w:r>
      <w:r w:rsidR="00591FD4" w:rsidRPr="00882558">
        <w:rPr>
          <w:rFonts w:cs="Times New Roman"/>
          <w:color w:val="000000" w:themeColor="text1"/>
        </w:rPr>
        <w:t>,</w:t>
      </w:r>
      <w:r w:rsidR="000B7923" w:rsidRPr="00882558">
        <w:rPr>
          <w:rFonts w:cs="Times New Roman"/>
          <w:color w:val="000000" w:themeColor="text1"/>
        </w:rPr>
        <w:t xml:space="preserve"> medicine, </w:t>
      </w:r>
      <w:r w:rsidR="00591FD4" w:rsidRPr="00882558">
        <w:rPr>
          <w:rFonts w:cs="Times New Roman"/>
          <w:color w:val="000000" w:themeColor="text1"/>
        </w:rPr>
        <w:t>and so forth</w:t>
      </w:r>
      <w:r w:rsidR="000B7923" w:rsidRPr="00882558">
        <w:rPr>
          <w:rFonts w:cs="Times New Roman"/>
          <w:color w:val="000000" w:themeColor="text1"/>
        </w:rPr>
        <w:t xml:space="preserve"> The central apparatus of the Ministry of Health has 260 staff members. The </w:t>
      </w:r>
      <w:r w:rsidR="005A1195" w:rsidRPr="00882558">
        <w:rPr>
          <w:rFonts w:cs="Times New Roman"/>
          <w:color w:val="000000" w:themeColor="text1"/>
        </w:rPr>
        <w:t>ministry</w:t>
      </w:r>
      <w:r w:rsidR="000B7923" w:rsidRPr="00882558">
        <w:rPr>
          <w:rFonts w:cs="Times New Roman"/>
          <w:color w:val="000000" w:themeColor="text1"/>
        </w:rPr>
        <w:t xml:space="preserve"> coordinates a work of the Sanitary-and-Epidemiologic </w:t>
      </w:r>
      <w:r w:rsidR="000B7923" w:rsidRPr="002B1DFC">
        <w:rPr>
          <w:rFonts w:cs="Times New Roman"/>
        </w:rPr>
        <w:t xml:space="preserve">Service of Ukraine, which has 63 staff members in the central apparatus and 6750 staff in the regional departments in the regions. </w:t>
      </w:r>
    </w:p>
    <w:p w14:paraId="482FB46E" w14:textId="77777777" w:rsidR="000B7923" w:rsidRPr="002B1DFC" w:rsidRDefault="000B7923" w:rsidP="00F33595">
      <w:pPr>
        <w:rPr>
          <w:rFonts w:cs="Times New Roman"/>
        </w:rPr>
      </w:pPr>
    </w:p>
    <w:p w14:paraId="6929C543" w14:textId="77777777" w:rsidR="000B7923" w:rsidRPr="002B1DFC" w:rsidRDefault="00BB0F37" w:rsidP="00F55709">
      <w:pPr>
        <w:pStyle w:val="ListParagraph"/>
        <w:numPr>
          <w:ilvl w:val="0"/>
          <w:numId w:val="68"/>
        </w:numPr>
        <w:tabs>
          <w:tab w:val="left" w:pos="360"/>
        </w:tabs>
        <w:ind w:left="0" w:firstLine="0"/>
        <w:rPr>
          <w:rFonts w:cs="Times New Roman"/>
        </w:rPr>
      </w:pPr>
      <w:r>
        <w:rPr>
          <w:rFonts w:cs="Times New Roman"/>
          <w:b/>
          <w:bCs/>
          <w:i/>
          <w:iCs/>
        </w:rPr>
        <w:t xml:space="preserve">The </w:t>
      </w:r>
      <w:r w:rsidR="000B7923" w:rsidRPr="002B1DFC">
        <w:rPr>
          <w:rFonts w:cs="Times New Roman"/>
          <w:b/>
          <w:bCs/>
          <w:i/>
          <w:iCs/>
        </w:rPr>
        <w:t>State Statistics Service</w:t>
      </w:r>
      <w:r w:rsidR="000B7923" w:rsidRPr="002B1DFC">
        <w:rPr>
          <w:rFonts w:cs="Times New Roman"/>
          <w:i/>
          <w:iCs/>
        </w:rPr>
        <w:t>:</w:t>
      </w:r>
      <w:r w:rsidR="000B7923" w:rsidRPr="002B1DFC">
        <w:rPr>
          <w:rFonts w:cs="Times New Roman"/>
        </w:rPr>
        <w:t xml:space="preserve"> the Division of Natural Resources and Environment Protection Statistics within the Agriculture and Environment Statistics Department is responsible for </w:t>
      </w:r>
      <w:r w:rsidR="00EF4ECC">
        <w:rPr>
          <w:rFonts w:cs="Times New Roman"/>
        </w:rPr>
        <w:t>e</w:t>
      </w:r>
      <w:r w:rsidR="000B7923" w:rsidRPr="002B1DFC">
        <w:rPr>
          <w:rFonts w:cs="Times New Roman"/>
        </w:rPr>
        <w:t>nvironment</w:t>
      </w:r>
      <w:r w:rsidR="00EF4ECC">
        <w:rPr>
          <w:rFonts w:cs="Times New Roman"/>
        </w:rPr>
        <w:t>al</w:t>
      </w:r>
      <w:r w:rsidR="000B7923" w:rsidRPr="002B1DFC">
        <w:rPr>
          <w:rFonts w:cs="Times New Roman"/>
        </w:rPr>
        <w:t xml:space="preserve"> statistics. </w:t>
      </w:r>
    </w:p>
    <w:p w14:paraId="02818B5D" w14:textId="77777777" w:rsidR="000B7923" w:rsidRPr="002B1DFC" w:rsidRDefault="000B7923" w:rsidP="001A6FDD">
      <w:pPr>
        <w:rPr>
          <w:rFonts w:cs="Times New Roman"/>
        </w:rPr>
      </w:pPr>
    </w:p>
    <w:p w14:paraId="3ECC111A"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According to the </w:t>
      </w:r>
      <w:r w:rsidR="00423D23">
        <w:rPr>
          <w:rFonts w:cs="Times New Roman"/>
        </w:rPr>
        <w:t>L</w:t>
      </w:r>
      <w:r w:rsidRPr="002B1DFC">
        <w:rPr>
          <w:rFonts w:cs="Times New Roman"/>
        </w:rPr>
        <w:t xml:space="preserve">aw on </w:t>
      </w:r>
      <w:r w:rsidR="00423D23">
        <w:rPr>
          <w:rFonts w:cs="Times New Roman"/>
        </w:rPr>
        <w:t>S</w:t>
      </w:r>
      <w:r w:rsidRPr="002B1DFC">
        <w:rPr>
          <w:rFonts w:cs="Times New Roman"/>
        </w:rPr>
        <w:t>tatistics (</w:t>
      </w:r>
      <w:r w:rsidR="00423D23">
        <w:rPr>
          <w:rFonts w:cs="Times New Roman"/>
        </w:rPr>
        <w:t>N</w:t>
      </w:r>
      <w:r w:rsidRPr="002B1DFC">
        <w:rPr>
          <w:rFonts w:cs="Times New Roman"/>
        </w:rPr>
        <w:t xml:space="preserve">o. 2614-XII/1992), the SSSU has the following responsibilities: </w:t>
      </w:r>
    </w:p>
    <w:p w14:paraId="35B8F3A1" w14:textId="77777777" w:rsidR="000B7923" w:rsidRPr="002B1DFC" w:rsidRDefault="000B7923" w:rsidP="00B83095">
      <w:pPr>
        <w:pStyle w:val="ListParagraph"/>
        <w:numPr>
          <w:ilvl w:val="0"/>
          <w:numId w:val="10"/>
        </w:numPr>
        <w:ind w:left="360"/>
        <w:rPr>
          <w:rFonts w:cs="Times New Roman"/>
        </w:rPr>
      </w:pPr>
      <w:r w:rsidRPr="002B1DFC">
        <w:rPr>
          <w:rFonts w:cs="Times New Roman"/>
        </w:rPr>
        <w:t xml:space="preserve">Participate in shaping public policy in the field of statistics and ensuring its implementation; </w:t>
      </w:r>
    </w:p>
    <w:p w14:paraId="13674886" w14:textId="77777777" w:rsidR="000B7923" w:rsidRPr="002B1DFC" w:rsidRDefault="000B7923" w:rsidP="00B83095">
      <w:pPr>
        <w:pStyle w:val="ListParagraph"/>
        <w:numPr>
          <w:ilvl w:val="0"/>
          <w:numId w:val="10"/>
        </w:numPr>
        <w:ind w:left="360"/>
        <w:rPr>
          <w:rFonts w:cs="Times New Roman"/>
        </w:rPr>
      </w:pPr>
      <w:r w:rsidRPr="002B1DFC">
        <w:rPr>
          <w:rFonts w:cs="Times New Roman"/>
        </w:rPr>
        <w:t>Collection, processing, analysis, dissemination, storage, protection and use of statistical information on economic, social, demographic, ecological phenomena and processes place in Ukraine and its regions;</w:t>
      </w:r>
    </w:p>
    <w:p w14:paraId="7C55F8C5" w14:textId="77777777" w:rsidR="000B7923" w:rsidRPr="002B1DFC" w:rsidRDefault="000B7923" w:rsidP="00B83095">
      <w:pPr>
        <w:pStyle w:val="ListParagraph"/>
        <w:numPr>
          <w:ilvl w:val="0"/>
          <w:numId w:val="10"/>
        </w:numPr>
        <w:ind w:left="360"/>
        <w:rPr>
          <w:rFonts w:cs="Times New Roman"/>
        </w:rPr>
      </w:pPr>
      <w:r w:rsidRPr="002B1DFC">
        <w:rPr>
          <w:rFonts w:cs="Times New Roman"/>
        </w:rPr>
        <w:lastRenderedPageBreak/>
        <w:t>Ensuring the reliability and objectivity of statistical information;</w:t>
      </w:r>
    </w:p>
    <w:p w14:paraId="09359156" w14:textId="77777777" w:rsidR="000B7923" w:rsidRPr="002B1DFC" w:rsidRDefault="000B7923" w:rsidP="00B83095">
      <w:pPr>
        <w:pStyle w:val="ListParagraph"/>
        <w:numPr>
          <w:ilvl w:val="0"/>
          <w:numId w:val="10"/>
        </w:numPr>
        <w:ind w:left="360"/>
        <w:rPr>
          <w:rFonts w:cs="Times New Roman"/>
        </w:rPr>
      </w:pPr>
      <w:r w:rsidRPr="002B1DFC">
        <w:rPr>
          <w:rFonts w:cs="Times New Roman"/>
        </w:rPr>
        <w:t>Development, improvement and implementation of statistical methodology;</w:t>
      </w:r>
    </w:p>
    <w:p w14:paraId="671535C7" w14:textId="77777777" w:rsidR="000B7923" w:rsidRPr="002B1DFC" w:rsidRDefault="000B7923" w:rsidP="00B83095">
      <w:pPr>
        <w:pStyle w:val="ListParagraph"/>
        <w:numPr>
          <w:ilvl w:val="0"/>
          <w:numId w:val="10"/>
        </w:numPr>
        <w:ind w:left="360"/>
        <w:rPr>
          <w:rFonts w:cs="Times New Roman"/>
        </w:rPr>
      </w:pPr>
      <w:r w:rsidRPr="002B1DFC">
        <w:rPr>
          <w:rFonts w:cs="Times New Roman"/>
        </w:rPr>
        <w:t>Software development, improvement and implementation system of state classifications of technical, economic and social Information used for statistical observations;</w:t>
      </w:r>
    </w:p>
    <w:p w14:paraId="33BD1392" w14:textId="77777777" w:rsidR="000B7923" w:rsidRPr="002B1DFC" w:rsidRDefault="000B7923" w:rsidP="00B83095">
      <w:pPr>
        <w:pStyle w:val="ListParagraph"/>
        <w:numPr>
          <w:ilvl w:val="0"/>
          <w:numId w:val="10"/>
        </w:numPr>
        <w:ind w:left="360"/>
        <w:rPr>
          <w:rFonts w:cs="Times New Roman"/>
        </w:rPr>
      </w:pPr>
      <w:r w:rsidRPr="002B1DFC">
        <w:rPr>
          <w:rFonts w:cs="Times New Roman"/>
        </w:rPr>
        <w:t xml:space="preserve">Creating and maintaining the Single State Register of Enterprises and Organizations of Ukraine registers and statistical respondents observations; </w:t>
      </w:r>
    </w:p>
    <w:p w14:paraId="77A4A0AD" w14:textId="77777777" w:rsidR="000B7923" w:rsidRPr="002B1DFC" w:rsidRDefault="000B7923" w:rsidP="00B83095">
      <w:pPr>
        <w:pStyle w:val="ListParagraph"/>
        <w:numPr>
          <w:ilvl w:val="0"/>
          <w:numId w:val="10"/>
        </w:numPr>
        <w:ind w:left="360"/>
        <w:rPr>
          <w:rFonts w:cs="Times New Roman"/>
        </w:rPr>
      </w:pPr>
      <w:r w:rsidRPr="002B1DFC">
        <w:rPr>
          <w:rFonts w:cs="Times New Roman"/>
        </w:rPr>
        <w:t>Introduction of new information technology processing statistical information;</w:t>
      </w:r>
    </w:p>
    <w:p w14:paraId="01B5087C" w14:textId="77777777" w:rsidR="000B7923" w:rsidRPr="002B1DFC" w:rsidRDefault="000B7923" w:rsidP="00B83095">
      <w:pPr>
        <w:pStyle w:val="ListParagraph"/>
        <w:numPr>
          <w:ilvl w:val="0"/>
          <w:numId w:val="10"/>
        </w:numPr>
        <w:ind w:left="360"/>
        <w:rPr>
          <w:rFonts w:cs="Times New Roman"/>
        </w:rPr>
      </w:pPr>
      <w:r w:rsidRPr="002B1DFC">
        <w:rPr>
          <w:rFonts w:cs="Times New Roman"/>
        </w:rPr>
        <w:t>Interaction information system of the state statistics information systems of state agencies, local governments, other entities and international organizations statistical agencies of other countries through mutual exchange information of methodological, software and technology and other works aimed at the effective use of information resources;</w:t>
      </w:r>
    </w:p>
    <w:p w14:paraId="19132570" w14:textId="77777777" w:rsidR="000B7923" w:rsidRPr="002B1DFC" w:rsidRDefault="000B7923" w:rsidP="00B83095">
      <w:pPr>
        <w:pStyle w:val="ListParagraph"/>
        <w:numPr>
          <w:ilvl w:val="0"/>
          <w:numId w:val="10"/>
        </w:numPr>
        <w:ind w:left="360"/>
        <w:rPr>
          <w:rFonts w:cs="Times New Roman"/>
        </w:rPr>
      </w:pPr>
      <w:r w:rsidRPr="002B1DFC">
        <w:rPr>
          <w:rFonts w:cs="Times New Roman"/>
        </w:rPr>
        <w:t>Coordination of state agencies, local governments and other entities in the organization activities related to the collection and use administrative data;</w:t>
      </w:r>
    </w:p>
    <w:p w14:paraId="0E8FE97F" w14:textId="77777777" w:rsidR="000B7923" w:rsidRPr="002B1DFC" w:rsidRDefault="000B7923" w:rsidP="00B83095">
      <w:pPr>
        <w:pStyle w:val="ListParagraph"/>
        <w:numPr>
          <w:ilvl w:val="0"/>
          <w:numId w:val="10"/>
        </w:numPr>
        <w:ind w:left="360"/>
        <w:rPr>
          <w:rFonts w:cs="Times New Roman"/>
        </w:rPr>
      </w:pPr>
      <w:r w:rsidRPr="002B1DFC">
        <w:rPr>
          <w:rFonts w:cs="Times New Roman"/>
        </w:rPr>
        <w:t>Ensuring the availability, transparency and openness statistical information, its sources and methodology of compilation;</w:t>
      </w:r>
      <w:r w:rsidR="00EF4ECC">
        <w:rPr>
          <w:rFonts w:cs="Times New Roman"/>
        </w:rPr>
        <w:t xml:space="preserve"> and</w:t>
      </w:r>
    </w:p>
    <w:p w14:paraId="41FD7345" w14:textId="77777777" w:rsidR="000B7923" w:rsidRPr="002B1DFC" w:rsidRDefault="000B7923" w:rsidP="00B83095">
      <w:pPr>
        <w:pStyle w:val="ListParagraph"/>
        <w:numPr>
          <w:ilvl w:val="0"/>
          <w:numId w:val="10"/>
        </w:numPr>
        <w:ind w:left="360"/>
        <w:rPr>
          <w:rFonts w:cs="Times New Roman"/>
        </w:rPr>
      </w:pPr>
      <w:r w:rsidRPr="002B1DFC">
        <w:rPr>
          <w:rFonts w:cs="Times New Roman"/>
        </w:rPr>
        <w:t>Conservation and protection of statistical information.</w:t>
      </w:r>
    </w:p>
    <w:p w14:paraId="333BF882" w14:textId="77777777" w:rsidR="000B7923" w:rsidRPr="002B1DFC" w:rsidRDefault="000B7923" w:rsidP="00743C87">
      <w:pPr>
        <w:rPr>
          <w:rFonts w:cs="Times New Roman"/>
        </w:rPr>
      </w:pPr>
    </w:p>
    <w:p w14:paraId="1EB94FEC"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 xml:space="preserve">Statistical surveys in the field of environment and natural resources are carried out in accordance with the </w:t>
      </w:r>
      <w:r w:rsidR="00423D23" w:rsidRPr="00882558">
        <w:rPr>
          <w:rFonts w:cs="Times New Roman"/>
          <w:color w:val="000000" w:themeColor="text1"/>
        </w:rPr>
        <w:t>L</w:t>
      </w:r>
      <w:r w:rsidRPr="00882558">
        <w:rPr>
          <w:rFonts w:cs="Times New Roman"/>
          <w:color w:val="000000" w:themeColor="text1"/>
        </w:rPr>
        <w:t xml:space="preserve">aw on </w:t>
      </w:r>
      <w:r w:rsidR="00423D23" w:rsidRPr="00882558">
        <w:rPr>
          <w:rFonts w:cs="Times New Roman"/>
          <w:color w:val="000000" w:themeColor="text1"/>
        </w:rPr>
        <w:t>S</w:t>
      </w:r>
      <w:r w:rsidRPr="00882558">
        <w:rPr>
          <w:rFonts w:cs="Times New Roman"/>
          <w:color w:val="000000" w:themeColor="text1"/>
        </w:rPr>
        <w:t>tatistics (1992)</w:t>
      </w:r>
      <w:r w:rsidR="00423D23" w:rsidRPr="00882558">
        <w:rPr>
          <w:rFonts w:cs="Times New Roman"/>
          <w:color w:val="000000" w:themeColor="text1"/>
        </w:rPr>
        <w:t>,</w:t>
      </w:r>
      <w:r w:rsidRPr="00882558">
        <w:rPr>
          <w:rFonts w:cs="Times New Roman"/>
          <w:color w:val="000000" w:themeColor="text1"/>
        </w:rPr>
        <w:t xml:space="preserve"> as well as </w:t>
      </w:r>
      <w:r w:rsidR="00423D23" w:rsidRPr="00882558">
        <w:rPr>
          <w:rFonts w:cs="Times New Roman"/>
          <w:color w:val="000000" w:themeColor="text1"/>
        </w:rPr>
        <w:t xml:space="preserve">in accordance </w:t>
      </w:r>
      <w:r w:rsidRPr="00882558">
        <w:rPr>
          <w:rFonts w:cs="Times New Roman"/>
          <w:color w:val="000000" w:themeColor="text1"/>
        </w:rPr>
        <w:t>with environmental legislation and a number of international agreements. The SSSU collects data pertaining to air emissions from industrial stationary sources and from mobile sources; forest, mineral resources; hazardous waste; expenses of enterprises for environmental protection; and specially protected areas</w:t>
      </w:r>
      <w:r w:rsidR="00FD25E4" w:rsidRPr="00882558">
        <w:rPr>
          <w:rFonts w:cs="Times New Roman"/>
          <w:color w:val="000000" w:themeColor="text1"/>
        </w:rPr>
        <w:t xml:space="preserve"> (Byfuglien J. </w:t>
      </w:r>
      <w:r w:rsidR="00FD25E4" w:rsidRPr="00882558">
        <w:rPr>
          <w:rFonts w:cs="Times New Roman"/>
          <w:i/>
          <w:iCs/>
          <w:color w:val="000000" w:themeColor="text1"/>
        </w:rPr>
        <w:t xml:space="preserve">et al </w:t>
      </w:r>
      <w:r w:rsidR="00FD25E4" w:rsidRPr="00882558">
        <w:rPr>
          <w:rFonts w:cs="Times New Roman"/>
          <w:color w:val="000000" w:themeColor="text1"/>
        </w:rPr>
        <w:t>2012)</w:t>
      </w:r>
      <w:r w:rsidRPr="00882558">
        <w:rPr>
          <w:rFonts w:cs="Times New Roman"/>
          <w:color w:val="000000" w:themeColor="text1"/>
        </w:rPr>
        <w:t xml:space="preserve">. The State Statistic Service receives environmental data from the Ministry of Ecology and Natural Resources, Ministry of Regional Development, Construction, Housing and Communal Services, Ministry of Health, State Agency of Forest Resources and other bodies. The key challenges facing the SSSU </w:t>
      </w:r>
      <w:r w:rsidR="00423D23" w:rsidRPr="00882558">
        <w:rPr>
          <w:rFonts w:cs="Times New Roman"/>
          <w:color w:val="000000" w:themeColor="text1"/>
        </w:rPr>
        <w:t xml:space="preserve">are </w:t>
      </w:r>
      <w:r w:rsidRPr="00882558">
        <w:rPr>
          <w:rFonts w:cs="Times New Roman"/>
          <w:color w:val="000000" w:themeColor="text1"/>
        </w:rPr>
        <w:t>coordination with other key agencies</w:t>
      </w:r>
      <w:r w:rsidR="00423D23" w:rsidRPr="00882558">
        <w:rPr>
          <w:rFonts w:cs="Times New Roman"/>
          <w:color w:val="000000" w:themeColor="text1"/>
        </w:rPr>
        <w:t>,</w:t>
      </w:r>
      <w:r w:rsidRPr="00882558">
        <w:rPr>
          <w:rFonts w:cs="Times New Roman"/>
          <w:color w:val="000000" w:themeColor="text1"/>
        </w:rPr>
        <w:t xml:space="preserve"> statistical education</w:t>
      </w:r>
      <w:r w:rsidR="00423D23" w:rsidRPr="00882558">
        <w:rPr>
          <w:rFonts w:cs="Times New Roman"/>
          <w:color w:val="000000" w:themeColor="text1"/>
        </w:rPr>
        <w:t>,</w:t>
      </w:r>
      <w:r w:rsidRPr="00882558">
        <w:rPr>
          <w:rFonts w:cs="Times New Roman"/>
          <w:color w:val="000000" w:themeColor="text1"/>
        </w:rPr>
        <w:t xml:space="preserve"> outdated statistical templates</w:t>
      </w:r>
      <w:r w:rsidR="00423D23" w:rsidRPr="00882558">
        <w:rPr>
          <w:rFonts w:cs="Times New Roman"/>
          <w:color w:val="000000" w:themeColor="text1"/>
        </w:rPr>
        <w:t>,</w:t>
      </w:r>
      <w:r w:rsidRPr="00882558">
        <w:rPr>
          <w:rFonts w:cs="Times New Roman"/>
          <w:color w:val="000000" w:themeColor="text1"/>
        </w:rPr>
        <w:t xml:space="preserve"> and legal restrictions particularly to open data. </w:t>
      </w:r>
      <w:r w:rsidR="00423D23" w:rsidRPr="00882558">
        <w:rPr>
          <w:rFonts w:cs="Times New Roman"/>
          <w:color w:val="000000" w:themeColor="text1"/>
        </w:rPr>
        <w:t>A</w:t>
      </w:r>
      <w:r w:rsidRPr="00882558">
        <w:rPr>
          <w:rFonts w:cs="Times New Roman"/>
          <w:color w:val="000000" w:themeColor="text1"/>
        </w:rPr>
        <w:t>pproximately 355 legal acts would need to be harmonized with</w:t>
      </w:r>
      <w:r w:rsidR="00423D23" w:rsidRPr="00882558">
        <w:rPr>
          <w:rFonts w:cs="Times New Roman"/>
          <w:color w:val="000000" w:themeColor="text1"/>
        </w:rPr>
        <w:t xml:space="preserve"> the EU harmonization process</w:t>
      </w:r>
      <w:r w:rsidRPr="00882558">
        <w:rPr>
          <w:rFonts w:cs="Times New Roman"/>
          <w:color w:val="000000" w:themeColor="text1"/>
        </w:rPr>
        <w:t xml:space="preserve">. </w:t>
      </w:r>
    </w:p>
    <w:p w14:paraId="463BC928" w14:textId="77777777" w:rsidR="000B7923" w:rsidRPr="00882558" w:rsidRDefault="000B7923" w:rsidP="002A6814">
      <w:pPr>
        <w:rPr>
          <w:rFonts w:cs="Times New Roman"/>
          <w:color w:val="000000" w:themeColor="text1"/>
        </w:rPr>
      </w:pPr>
    </w:p>
    <w:p w14:paraId="7EA0D4C0"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 xml:space="preserve">According to the Order of </w:t>
      </w:r>
      <w:r w:rsidR="00BB0F37" w:rsidRPr="00882558">
        <w:rPr>
          <w:rFonts w:cs="Times New Roman"/>
          <w:color w:val="000000" w:themeColor="text1"/>
        </w:rPr>
        <w:t xml:space="preserve">the </w:t>
      </w:r>
      <w:r w:rsidRPr="00882558">
        <w:rPr>
          <w:rFonts w:cs="Times New Roman"/>
          <w:color w:val="000000" w:themeColor="text1"/>
        </w:rPr>
        <w:t xml:space="preserve">State Statistics Service of Ukraine </w:t>
      </w:r>
      <w:r w:rsidR="00423D23" w:rsidRPr="00882558">
        <w:rPr>
          <w:rFonts w:cs="Times New Roman"/>
          <w:color w:val="000000" w:themeColor="text1"/>
        </w:rPr>
        <w:t>N</w:t>
      </w:r>
      <w:r w:rsidRPr="00882558">
        <w:rPr>
          <w:rFonts w:cs="Times New Roman"/>
          <w:color w:val="000000" w:themeColor="text1"/>
        </w:rPr>
        <w:t>o. 243 (2014) on “Approval of the Forms of State Statistic Observations in Ecology, Forest and Hunting Sectors</w:t>
      </w:r>
      <w:r w:rsidR="00BB0F37" w:rsidRPr="00882558">
        <w:rPr>
          <w:rFonts w:cs="Times New Roman"/>
          <w:color w:val="000000" w:themeColor="text1"/>
        </w:rPr>
        <w:t>,</w:t>
      </w:r>
      <w:r w:rsidRPr="00882558">
        <w:rPr>
          <w:rFonts w:cs="Times New Roman"/>
          <w:color w:val="000000" w:themeColor="text1"/>
        </w:rPr>
        <w:t>” the following annual forms of state statistic</w:t>
      </w:r>
      <w:r w:rsidR="00423D23" w:rsidRPr="00882558">
        <w:rPr>
          <w:rFonts w:cs="Times New Roman"/>
          <w:color w:val="000000" w:themeColor="text1"/>
        </w:rPr>
        <w:t>al</w:t>
      </w:r>
      <w:r w:rsidRPr="00882558">
        <w:rPr>
          <w:rFonts w:cs="Times New Roman"/>
          <w:color w:val="000000" w:themeColor="text1"/>
        </w:rPr>
        <w:t xml:space="preserve"> observations are approved:</w:t>
      </w:r>
    </w:p>
    <w:p w14:paraId="7B0EC60E" w14:textId="77777777" w:rsidR="000B7923" w:rsidRPr="00882558" w:rsidRDefault="00423D23" w:rsidP="00B83095">
      <w:pPr>
        <w:pStyle w:val="ListParagraph"/>
        <w:numPr>
          <w:ilvl w:val="0"/>
          <w:numId w:val="18"/>
        </w:numPr>
        <w:rPr>
          <w:rFonts w:cs="Times New Roman"/>
          <w:color w:val="000000" w:themeColor="text1"/>
        </w:rPr>
      </w:pPr>
      <w:r w:rsidRPr="00882558">
        <w:rPr>
          <w:rFonts w:cs="Times New Roman"/>
          <w:color w:val="000000" w:themeColor="text1"/>
        </w:rPr>
        <w:t>N</w:t>
      </w:r>
      <w:r w:rsidR="000B7923" w:rsidRPr="00882558">
        <w:rPr>
          <w:rFonts w:cs="Times New Roman"/>
          <w:color w:val="000000" w:themeColor="text1"/>
        </w:rPr>
        <w:t>o.</w:t>
      </w:r>
      <w:r w:rsidRPr="00882558">
        <w:rPr>
          <w:rFonts w:cs="Times New Roman"/>
          <w:color w:val="000000" w:themeColor="text1"/>
        </w:rPr>
        <w:t xml:space="preserve"> </w:t>
      </w:r>
      <w:r w:rsidR="000B7923" w:rsidRPr="00882558">
        <w:rPr>
          <w:rFonts w:cs="Times New Roman"/>
          <w:color w:val="000000" w:themeColor="text1"/>
        </w:rPr>
        <w:t>1-ecological costs “Costs for Environmental Protection and Ecological Payments”</w:t>
      </w:r>
      <w:r w:rsidR="00BB0F37" w:rsidRPr="00882558">
        <w:rPr>
          <w:rFonts w:cs="Times New Roman"/>
          <w:color w:val="000000" w:themeColor="text1"/>
        </w:rPr>
        <w:t>;</w:t>
      </w:r>
    </w:p>
    <w:p w14:paraId="00D0EE1E" w14:textId="77777777" w:rsidR="000B7923" w:rsidRPr="00882558" w:rsidRDefault="00423D23" w:rsidP="00183A7A">
      <w:pPr>
        <w:pStyle w:val="ListParagraph"/>
        <w:numPr>
          <w:ilvl w:val="0"/>
          <w:numId w:val="18"/>
        </w:numPr>
        <w:rPr>
          <w:rFonts w:cs="Times New Roman"/>
          <w:color w:val="000000" w:themeColor="text1"/>
        </w:rPr>
      </w:pPr>
      <w:r w:rsidRPr="00882558">
        <w:rPr>
          <w:rFonts w:cs="Times New Roman"/>
          <w:color w:val="000000" w:themeColor="text1"/>
        </w:rPr>
        <w:t>N</w:t>
      </w:r>
      <w:r w:rsidR="000B7923" w:rsidRPr="00882558">
        <w:rPr>
          <w:rFonts w:cs="Times New Roman"/>
          <w:color w:val="000000" w:themeColor="text1"/>
        </w:rPr>
        <w:t>o. 1-waste “Waste Management”;</w:t>
      </w:r>
      <w:r w:rsidR="00BB0F37" w:rsidRPr="00882558">
        <w:rPr>
          <w:rFonts w:cs="Times New Roman"/>
          <w:color w:val="000000" w:themeColor="text1"/>
        </w:rPr>
        <w:t xml:space="preserve"> </w:t>
      </w:r>
    </w:p>
    <w:p w14:paraId="6A4B9F15" w14:textId="77777777" w:rsidR="000B7923" w:rsidRPr="00882558" w:rsidRDefault="00423D23" w:rsidP="00183A7A">
      <w:pPr>
        <w:pStyle w:val="ListParagraph"/>
        <w:numPr>
          <w:ilvl w:val="0"/>
          <w:numId w:val="18"/>
        </w:numPr>
        <w:rPr>
          <w:rFonts w:cs="Times New Roman"/>
          <w:color w:val="000000" w:themeColor="text1"/>
        </w:rPr>
      </w:pPr>
      <w:r w:rsidRPr="00882558">
        <w:rPr>
          <w:rFonts w:cs="Times New Roman"/>
          <w:color w:val="000000" w:themeColor="text1"/>
        </w:rPr>
        <w:t>N</w:t>
      </w:r>
      <w:r w:rsidR="000B7923" w:rsidRPr="00882558">
        <w:rPr>
          <w:rFonts w:cs="Times New Roman"/>
          <w:color w:val="000000" w:themeColor="text1"/>
        </w:rPr>
        <w:t>o. 2-TP (air) “Report on Air Atmospheric Protection”;</w:t>
      </w:r>
      <w:r w:rsidR="00BB0F37" w:rsidRPr="00882558">
        <w:rPr>
          <w:rFonts w:cs="Times New Roman"/>
          <w:color w:val="000000" w:themeColor="text1"/>
        </w:rPr>
        <w:t xml:space="preserve"> </w:t>
      </w:r>
    </w:p>
    <w:p w14:paraId="7222CC95" w14:textId="77777777" w:rsidR="000B7923" w:rsidRPr="00882558" w:rsidRDefault="00423D23" w:rsidP="00183A7A">
      <w:pPr>
        <w:pStyle w:val="ListParagraph"/>
        <w:numPr>
          <w:ilvl w:val="0"/>
          <w:numId w:val="18"/>
        </w:numPr>
        <w:rPr>
          <w:rFonts w:cs="Times New Roman"/>
          <w:color w:val="000000" w:themeColor="text1"/>
        </w:rPr>
      </w:pPr>
      <w:r w:rsidRPr="00882558">
        <w:rPr>
          <w:rFonts w:cs="Times New Roman"/>
          <w:color w:val="000000" w:themeColor="text1"/>
        </w:rPr>
        <w:t>N</w:t>
      </w:r>
      <w:r w:rsidR="000B7923" w:rsidRPr="00882558">
        <w:rPr>
          <w:rFonts w:cs="Times New Roman"/>
          <w:color w:val="000000" w:themeColor="text1"/>
        </w:rPr>
        <w:t>o. 2-TP (hunting) “Shooting Preserve Management”;</w:t>
      </w:r>
      <w:r w:rsidR="00BB0F37" w:rsidRPr="00882558">
        <w:rPr>
          <w:rFonts w:cs="Times New Roman"/>
          <w:color w:val="000000" w:themeColor="text1"/>
        </w:rPr>
        <w:t xml:space="preserve"> </w:t>
      </w:r>
    </w:p>
    <w:p w14:paraId="3C0F6145" w14:textId="77777777" w:rsidR="00705463" w:rsidRPr="00882558" w:rsidRDefault="00423D23" w:rsidP="00B83095">
      <w:pPr>
        <w:pStyle w:val="ListParagraph"/>
        <w:numPr>
          <w:ilvl w:val="0"/>
          <w:numId w:val="18"/>
        </w:numPr>
        <w:rPr>
          <w:rFonts w:cs="Times New Roman"/>
          <w:color w:val="000000" w:themeColor="text1"/>
        </w:rPr>
      </w:pPr>
      <w:r w:rsidRPr="00882558">
        <w:rPr>
          <w:rFonts w:cs="Times New Roman"/>
          <w:color w:val="000000" w:themeColor="text1"/>
        </w:rPr>
        <w:t>N</w:t>
      </w:r>
      <w:r w:rsidR="00705463" w:rsidRPr="00882558">
        <w:rPr>
          <w:rFonts w:cs="Times New Roman"/>
          <w:color w:val="000000" w:themeColor="text1"/>
        </w:rPr>
        <w:t xml:space="preserve">o. 2-TP </w:t>
      </w:r>
      <w:proofErr w:type="spellStart"/>
      <w:r w:rsidR="00705463" w:rsidRPr="00882558">
        <w:rPr>
          <w:rFonts w:cs="Times New Roman"/>
          <w:color w:val="000000" w:themeColor="text1"/>
        </w:rPr>
        <w:t>vodgosp</w:t>
      </w:r>
      <w:proofErr w:type="spellEnd"/>
      <w:r w:rsidR="00705463" w:rsidRPr="00882558">
        <w:rPr>
          <w:rFonts w:cs="Times New Roman"/>
          <w:color w:val="000000" w:themeColor="text1"/>
        </w:rPr>
        <w:t xml:space="preserve"> (statistical form on water use, including discharge of waste water), which was in use since 1997, was abolished in April 2015. </w:t>
      </w:r>
    </w:p>
    <w:p w14:paraId="351378B2" w14:textId="77777777" w:rsidR="000B7923" w:rsidRPr="00882558" w:rsidRDefault="00423D23" w:rsidP="00183A7A">
      <w:pPr>
        <w:pStyle w:val="ListParagraph"/>
        <w:numPr>
          <w:ilvl w:val="0"/>
          <w:numId w:val="18"/>
        </w:numPr>
        <w:rPr>
          <w:rFonts w:cs="Times New Roman"/>
          <w:color w:val="000000" w:themeColor="text1"/>
        </w:rPr>
      </w:pPr>
      <w:r w:rsidRPr="00882558">
        <w:rPr>
          <w:rFonts w:cs="Times New Roman"/>
          <w:color w:val="000000" w:themeColor="text1"/>
        </w:rPr>
        <w:t>N</w:t>
      </w:r>
      <w:r w:rsidR="000B7923" w:rsidRPr="00882558">
        <w:rPr>
          <w:rFonts w:cs="Times New Roman"/>
          <w:color w:val="000000" w:themeColor="text1"/>
        </w:rPr>
        <w:t>o. 3-LG “Forestry Activity”;</w:t>
      </w:r>
      <w:r w:rsidR="00BB0F37" w:rsidRPr="00882558">
        <w:rPr>
          <w:rFonts w:cs="Times New Roman"/>
          <w:color w:val="000000" w:themeColor="text1"/>
        </w:rPr>
        <w:t xml:space="preserve"> </w:t>
      </w:r>
    </w:p>
    <w:p w14:paraId="470A1C54" w14:textId="77777777" w:rsidR="000B7923" w:rsidRPr="00882558" w:rsidRDefault="000B7923" w:rsidP="002A6814">
      <w:pPr>
        <w:rPr>
          <w:rFonts w:cs="Times New Roman"/>
          <w:color w:val="000000" w:themeColor="text1"/>
        </w:rPr>
      </w:pPr>
    </w:p>
    <w:p w14:paraId="69EDB049"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A single state registry of enterprises and organizations of Ukraine</w:t>
      </w:r>
      <w:r w:rsidR="00BB0F37" w:rsidRPr="00882558">
        <w:rPr>
          <w:rFonts w:cs="Times New Roman"/>
          <w:color w:val="000000" w:themeColor="text1"/>
        </w:rPr>
        <w:t>—a</w:t>
      </w:r>
      <w:r w:rsidRPr="00882558">
        <w:rPr>
          <w:rFonts w:cs="Times New Roman"/>
          <w:color w:val="000000" w:themeColor="text1"/>
        </w:rPr>
        <w:t xml:space="preserve"> computer-aided system for the collection, storage</w:t>
      </w:r>
      <w:r w:rsidR="00BB0F37" w:rsidRPr="00882558">
        <w:rPr>
          <w:rFonts w:cs="Times New Roman"/>
          <w:color w:val="000000" w:themeColor="text1"/>
        </w:rPr>
        <w:t>,</w:t>
      </w:r>
      <w:r w:rsidRPr="00882558">
        <w:rPr>
          <w:rFonts w:cs="Times New Roman"/>
          <w:color w:val="000000" w:themeColor="text1"/>
        </w:rPr>
        <w:t xml:space="preserve"> and processing </w:t>
      </w:r>
      <w:r w:rsidR="00BB0F37" w:rsidRPr="00882558">
        <w:rPr>
          <w:rFonts w:cs="Times New Roman"/>
          <w:color w:val="000000" w:themeColor="text1"/>
        </w:rPr>
        <w:t xml:space="preserve">of data on </w:t>
      </w:r>
      <w:r w:rsidRPr="00882558">
        <w:rPr>
          <w:rFonts w:cs="Times New Roman"/>
          <w:color w:val="000000" w:themeColor="text1"/>
        </w:rPr>
        <w:t>all juridical entities in Ukraine</w:t>
      </w:r>
      <w:r w:rsidR="00183A7A" w:rsidRPr="00882558">
        <w:rPr>
          <w:rFonts w:cs="Times New Roman"/>
          <w:color w:val="000000" w:themeColor="text1"/>
        </w:rPr>
        <w:t xml:space="preserve"> was</w:t>
      </w:r>
      <w:r w:rsidRPr="00882558">
        <w:rPr>
          <w:rFonts w:cs="Times New Roman"/>
          <w:color w:val="000000" w:themeColor="text1"/>
        </w:rPr>
        <w:t xml:space="preserve"> created. </w:t>
      </w:r>
    </w:p>
    <w:p w14:paraId="5E90BE54" w14:textId="77777777" w:rsidR="000B7923" w:rsidRPr="00882558" w:rsidRDefault="000B7923" w:rsidP="00EC76E6">
      <w:pPr>
        <w:rPr>
          <w:rFonts w:cs="Times New Roman"/>
          <w:color w:val="000000" w:themeColor="text1"/>
        </w:rPr>
      </w:pPr>
    </w:p>
    <w:p w14:paraId="71E2863D" w14:textId="5C6989AC" w:rsidR="000B7923" w:rsidRPr="002B1DFC" w:rsidRDefault="000B7923" w:rsidP="00F55709">
      <w:pPr>
        <w:pStyle w:val="ListParagraph"/>
        <w:numPr>
          <w:ilvl w:val="0"/>
          <w:numId w:val="68"/>
        </w:numPr>
        <w:tabs>
          <w:tab w:val="left" w:pos="360"/>
        </w:tabs>
        <w:ind w:left="0" w:firstLine="0"/>
        <w:rPr>
          <w:rFonts w:cs="Times New Roman"/>
        </w:rPr>
      </w:pPr>
      <w:r w:rsidRPr="00882558">
        <w:rPr>
          <w:rFonts w:cs="Times New Roman"/>
          <w:b/>
          <w:i/>
          <w:color w:val="000000" w:themeColor="text1"/>
        </w:rPr>
        <w:t xml:space="preserve">The </w:t>
      </w:r>
      <w:proofErr w:type="spellStart"/>
      <w:r w:rsidRPr="00882558">
        <w:rPr>
          <w:rFonts w:cs="Times New Roman"/>
          <w:b/>
          <w:bCs/>
          <w:i/>
          <w:iCs/>
          <w:color w:val="000000" w:themeColor="text1"/>
        </w:rPr>
        <w:t>Hydrometeorological</w:t>
      </w:r>
      <w:proofErr w:type="spellEnd"/>
      <w:r w:rsidRPr="00882558">
        <w:rPr>
          <w:rFonts w:cs="Times New Roman"/>
          <w:b/>
          <w:bCs/>
          <w:i/>
          <w:iCs/>
          <w:color w:val="000000" w:themeColor="text1"/>
        </w:rPr>
        <w:t xml:space="preserve"> Service (</w:t>
      </w:r>
      <w:proofErr w:type="spellStart"/>
      <w:r w:rsidRPr="00882558">
        <w:rPr>
          <w:rFonts w:cs="Times New Roman"/>
          <w:b/>
          <w:bCs/>
          <w:i/>
          <w:iCs/>
          <w:color w:val="000000" w:themeColor="text1"/>
        </w:rPr>
        <w:t>Hydromet</w:t>
      </w:r>
      <w:proofErr w:type="spellEnd"/>
      <w:r w:rsidRPr="00882558">
        <w:rPr>
          <w:rFonts w:cs="Times New Roman"/>
          <w:b/>
          <w:bCs/>
          <w:i/>
          <w:iCs/>
          <w:color w:val="000000" w:themeColor="text1"/>
        </w:rPr>
        <w:t xml:space="preserve"> Service)</w:t>
      </w:r>
      <w:r w:rsidRPr="00882558">
        <w:rPr>
          <w:rFonts w:cs="Times New Roman"/>
          <w:color w:val="000000" w:themeColor="text1"/>
        </w:rPr>
        <w:t xml:space="preserve">, now under the responsibility of the State Service of Emergency Situations of the Ministry of Defense, plays an important role in air quality and water </w:t>
      </w:r>
      <w:r w:rsidRPr="002B1DFC">
        <w:rPr>
          <w:rFonts w:cs="Times New Roman"/>
        </w:rPr>
        <w:t xml:space="preserve">monitoring. The </w:t>
      </w:r>
      <w:proofErr w:type="spellStart"/>
      <w:r w:rsidRPr="002B1DFC">
        <w:rPr>
          <w:rFonts w:cs="Times New Roman"/>
        </w:rPr>
        <w:t>Hydrometeorological</w:t>
      </w:r>
      <w:proofErr w:type="spellEnd"/>
      <w:r w:rsidRPr="002B1DFC">
        <w:rPr>
          <w:rFonts w:cs="Times New Roman"/>
        </w:rPr>
        <w:t xml:space="preserve"> Service implements the state hydrometeorology and environmental monitoring policy. During the last 10 </w:t>
      </w:r>
      <w:r w:rsidR="00423D23" w:rsidRPr="002B1DFC">
        <w:rPr>
          <w:rFonts w:cs="Times New Roman"/>
        </w:rPr>
        <w:t>years,</w:t>
      </w:r>
      <w:r w:rsidRPr="002B1DFC">
        <w:rPr>
          <w:rFonts w:cs="Times New Roman"/>
        </w:rPr>
        <w:t xml:space="preserve"> the institutional and technical capacity of the </w:t>
      </w:r>
      <w:proofErr w:type="spellStart"/>
      <w:r w:rsidRPr="002B1DFC">
        <w:rPr>
          <w:rFonts w:cs="Times New Roman"/>
        </w:rPr>
        <w:t>Hydrometeorological</w:t>
      </w:r>
      <w:proofErr w:type="spellEnd"/>
      <w:r w:rsidRPr="002B1DFC">
        <w:rPr>
          <w:rFonts w:cs="Times New Roman"/>
        </w:rPr>
        <w:t xml:space="preserve"> Service was changed significantly. Before 2005, the </w:t>
      </w:r>
      <w:proofErr w:type="spellStart"/>
      <w:r w:rsidRPr="002B1DFC">
        <w:rPr>
          <w:rFonts w:cs="Times New Roman"/>
        </w:rPr>
        <w:t>Hydrometeorological</w:t>
      </w:r>
      <w:proofErr w:type="spellEnd"/>
      <w:r w:rsidRPr="002B1DFC">
        <w:rPr>
          <w:rFonts w:cs="Times New Roman"/>
        </w:rPr>
        <w:t xml:space="preserve"> Service was under the coordination of the Ministry of Environmental Protection, but since 2005 (and largely </w:t>
      </w:r>
      <w:r w:rsidR="007171A1">
        <w:rPr>
          <w:rFonts w:cs="Times New Roman"/>
        </w:rPr>
        <w:t>for</w:t>
      </w:r>
      <w:r w:rsidRPr="002B1DFC">
        <w:rPr>
          <w:rFonts w:cs="Times New Roman"/>
        </w:rPr>
        <w:t xml:space="preserve"> political reasons), this </w:t>
      </w:r>
      <w:r w:rsidR="007171A1">
        <w:rPr>
          <w:rFonts w:cs="Times New Roman"/>
        </w:rPr>
        <w:t>s</w:t>
      </w:r>
      <w:r w:rsidRPr="002B1DFC">
        <w:rPr>
          <w:rFonts w:cs="Times New Roman"/>
        </w:rPr>
        <w:t>ervice was transferred to the Ministry of Emergency Situation</w:t>
      </w:r>
      <w:r w:rsidR="007171A1">
        <w:rPr>
          <w:rFonts w:cs="Times New Roman"/>
        </w:rPr>
        <w:t>.</w:t>
      </w:r>
      <w:r w:rsidRPr="002B1DFC">
        <w:rPr>
          <w:rFonts w:cs="Times New Roman"/>
        </w:rPr>
        <w:t xml:space="preserve"> </w:t>
      </w:r>
      <w:r w:rsidR="007171A1">
        <w:rPr>
          <w:rFonts w:cs="Times New Roman"/>
        </w:rPr>
        <w:t>Si</w:t>
      </w:r>
      <w:r w:rsidRPr="002B1DFC">
        <w:rPr>
          <w:rFonts w:cs="Times New Roman"/>
        </w:rPr>
        <w:t>nce 2013</w:t>
      </w:r>
      <w:r w:rsidR="007171A1">
        <w:rPr>
          <w:rFonts w:cs="Times New Roman"/>
        </w:rPr>
        <w:t>,</w:t>
      </w:r>
      <w:r w:rsidRPr="002B1DFC">
        <w:rPr>
          <w:rFonts w:cs="Times New Roman"/>
        </w:rPr>
        <w:t xml:space="preserve"> through the reorganization of the system, the </w:t>
      </w:r>
      <w:proofErr w:type="spellStart"/>
      <w:r w:rsidRPr="002B1DFC">
        <w:rPr>
          <w:rFonts w:cs="Times New Roman"/>
        </w:rPr>
        <w:t>Hydrometeorological</w:t>
      </w:r>
      <w:proofErr w:type="spellEnd"/>
      <w:r w:rsidRPr="002B1DFC">
        <w:rPr>
          <w:rFonts w:cs="Times New Roman"/>
        </w:rPr>
        <w:t xml:space="preserve"> Service became a part of the State Service of </w:t>
      </w:r>
      <w:r w:rsidRPr="002B1DFC">
        <w:rPr>
          <w:rFonts w:cs="Times New Roman"/>
        </w:rPr>
        <w:lastRenderedPageBreak/>
        <w:t xml:space="preserve">Emergency Situations of the Ministry of Defense of Ukraine. The </w:t>
      </w:r>
      <w:r w:rsidR="007171A1">
        <w:rPr>
          <w:rFonts w:cs="Times New Roman"/>
        </w:rPr>
        <w:t>n</w:t>
      </w:r>
      <w:r w:rsidRPr="002B1DFC">
        <w:rPr>
          <w:rFonts w:cs="Times New Roman"/>
        </w:rPr>
        <w:t xml:space="preserve">umber of staff was reduced, and fruitful collaboration and coordination mechanisms with the MENR regarding environmental monitoring were lost. </w:t>
      </w:r>
      <w:r w:rsidR="00423D23">
        <w:rPr>
          <w:rFonts w:cs="Times New Roman"/>
        </w:rPr>
        <w:t>E</w:t>
      </w:r>
      <w:r w:rsidRPr="002B1DFC">
        <w:rPr>
          <w:rFonts w:cs="Times New Roman"/>
        </w:rPr>
        <w:t xml:space="preserve">nvironmental monitoring, </w:t>
      </w:r>
      <w:proofErr w:type="spellStart"/>
      <w:r w:rsidRPr="002B1DFC">
        <w:rPr>
          <w:rFonts w:cs="Times New Roman"/>
        </w:rPr>
        <w:t>hydrometeorological</w:t>
      </w:r>
      <w:proofErr w:type="spellEnd"/>
      <w:r w:rsidRPr="002B1DFC">
        <w:rPr>
          <w:rFonts w:cs="Times New Roman"/>
        </w:rPr>
        <w:t xml:space="preserve"> activity</w:t>
      </w:r>
      <w:r w:rsidR="00423D23">
        <w:rPr>
          <w:rFonts w:cs="Times New Roman"/>
        </w:rPr>
        <w:t>,</w:t>
      </w:r>
      <w:r w:rsidRPr="002B1DFC">
        <w:rPr>
          <w:rFonts w:cs="Times New Roman"/>
        </w:rPr>
        <w:t xml:space="preserve"> and implementation of commitments as a member of World Meteorological Organization (WMO) could not be a priority for the Ministry of Defense of Ukraine, which has other broad responsibilities. </w:t>
      </w:r>
    </w:p>
    <w:p w14:paraId="1A44B751" w14:textId="77777777" w:rsidR="000B7923" w:rsidRPr="002B1DFC" w:rsidRDefault="000B7923" w:rsidP="00B82ED8">
      <w:pPr>
        <w:rPr>
          <w:rFonts w:cs="Times New Roman"/>
        </w:rPr>
      </w:pPr>
    </w:p>
    <w:p w14:paraId="59395A4B"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The </w:t>
      </w:r>
      <w:proofErr w:type="spellStart"/>
      <w:r w:rsidRPr="002B1DFC">
        <w:rPr>
          <w:rFonts w:cs="Times New Roman"/>
        </w:rPr>
        <w:t>Hydrometeorological</w:t>
      </w:r>
      <w:proofErr w:type="spellEnd"/>
      <w:r w:rsidRPr="002B1DFC">
        <w:rPr>
          <w:rFonts w:cs="Times New Roman"/>
        </w:rPr>
        <w:t xml:space="preserve"> Service of Ukraine implements its work in close collaboration with the Central Geophysical Observatory and </w:t>
      </w:r>
      <w:r w:rsidR="00423D23">
        <w:rPr>
          <w:rFonts w:cs="Times New Roman"/>
        </w:rPr>
        <w:t xml:space="preserve">the </w:t>
      </w:r>
      <w:r w:rsidRPr="002B1DFC">
        <w:rPr>
          <w:rFonts w:cs="Times New Roman"/>
        </w:rPr>
        <w:t xml:space="preserve">Ukrainian </w:t>
      </w:r>
      <w:proofErr w:type="spellStart"/>
      <w:r w:rsidRPr="002B1DFC">
        <w:rPr>
          <w:rFonts w:cs="Times New Roman"/>
        </w:rPr>
        <w:t>Hydrometeorological</w:t>
      </w:r>
      <w:proofErr w:type="spellEnd"/>
      <w:r w:rsidRPr="002B1DFC">
        <w:rPr>
          <w:rFonts w:cs="Times New Roman"/>
        </w:rPr>
        <w:t xml:space="preserve"> Institute. In the current situation, full reliable information regarding air and water pollution could be found in the archives of the Central Geophysical Observatory. </w:t>
      </w:r>
    </w:p>
    <w:p w14:paraId="0849CE1C" w14:textId="77777777" w:rsidR="000B7923" w:rsidRPr="002B1DFC" w:rsidRDefault="000B7923" w:rsidP="00B82ED8">
      <w:pPr>
        <w:rPr>
          <w:rFonts w:cs="Times New Roman"/>
        </w:rPr>
      </w:pPr>
    </w:p>
    <w:p w14:paraId="1274BA01"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The WMO Strategic Plan for 2012</w:t>
      </w:r>
      <w:r w:rsidR="00BB0F37">
        <w:rPr>
          <w:rFonts w:cs="Times New Roman"/>
        </w:rPr>
        <w:t>–</w:t>
      </w:r>
      <w:r w:rsidRPr="002B1DFC">
        <w:rPr>
          <w:rFonts w:cs="Times New Roman"/>
        </w:rPr>
        <w:t xml:space="preserve">2015 underscores the importance of improving the </w:t>
      </w:r>
      <w:proofErr w:type="spellStart"/>
      <w:r w:rsidRPr="002B1DFC">
        <w:rPr>
          <w:rFonts w:cs="Times New Roman"/>
        </w:rPr>
        <w:t>hydrometeorological</w:t>
      </w:r>
      <w:proofErr w:type="spellEnd"/>
      <w:r w:rsidRPr="002B1DFC">
        <w:rPr>
          <w:rFonts w:cs="Times New Roman"/>
        </w:rPr>
        <w:t xml:space="preserve"> service in member countries by advancing scientific research and application; strengthening capacity-building; enhancing partnerships and cooperation as well as strengthening good governance</w:t>
      </w:r>
      <w:r w:rsidR="00FD25E4">
        <w:rPr>
          <w:rFonts w:cs="Times New Roman"/>
        </w:rPr>
        <w:t xml:space="preserve"> (World Meteorological Organization 2011)</w:t>
      </w:r>
      <w:r w:rsidRPr="002B1DFC">
        <w:rPr>
          <w:rFonts w:cs="Times New Roman"/>
        </w:rPr>
        <w:t>. The WMO encourages countries to develop strategies for the effective provision and application of weather; climate and water information; and related environmental services within the framework of improving the safety and well-being of peoples, reducing poverty and protecting the environment.</w:t>
      </w:r>
    </w:p>
    <w:p w14:paraId="231063D3" w14:textId="77777777" w:rsidR="000B7923" w:rsidRPr="002B1DFC" w:rsidRDefault="000B7923" w:rsidP="00B82ED8">
      <w:pPr>
        <w:rPr>
          <w:rFonts w:cs="Times New Roman"/>
        </w:rPr>
      </w:pPr>
    </w:p>
    <w:p w14:paraId="46D2569D" w14:textId="77777777" w:rsidR="000B7923"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Within the system of </w:t>
      </w:r>
      <w:r w:rsidRPr="002B1DFC">
        <w:rPr>
          <w:rFonts w:cs="Times New Roman"/>
          <w:b/>
          <w:bCs/>
        </w:rPr>
        <w:t>Public Prosecutor's Service</w:t>
      </w:r>
      <w:r w:rsidR="00EF4ECC">
        <w:rPr>
          <w:rFonts w:cs="Times New Roman"/>
          <w:b/>
          <w:bCs/>
        </w:rPr>
        <w:t>,</w:t>
      </w:r>
      <w:r w:rsidRPr="002B1DFC">
        <w:rPr>
          <w:rFonts w:cs="Times New Roman"/>
        </w:rPr>
        <w:t xml:space="preserve"> positions of a prosecutor responsible for control of compliance with environmental protection legislation were available in every oblast (</w:t>
      </w:r>
      <w:proofErr w:type="spellStart"/>
      <w:r w:rsidRPr="002B1DFC">
        <w:rPr>
          <w:rFonts w:cs="Times New Roman"/>
          <w:i/>
          <w:iCs/>
        </w:rPr>
        <w:t>міжрайонний</w:t>
      </w:r>
      <w:proofErr w:type="spellEnd"/>
      <w:r w:rsidRPr="002B1DFC">
        <w:rPr>
          <w:rFonts w:cs="Times New Roman"/>
          <w:i/>
          <w:iCs/>
        </w:rPr>
        <w:t xml:space="preserve"> </w:t>
      </w:r>
      <w:proofErr w:type="spellStart"/>
      <w:r w:rsidRPr="002B1DFC">
        <w:rPr>
          <w:rFonts w:cs="Times New Roman"/>
          <w:i/>
          <w:iCs/>
        </w:rPr>
        <w:t>прокурор</w:t>
      </w:r>
      <w:proofErr w:type="spellEnd"/>
      <w:r w:rsidRPr="002B1DFC">
        <w:rPr>
          <w:rFonts w:cs="Times New Roman"/>
          <w:i/>
          <w:iCs/>
        </w:rPr>
        <w:t xml:space="preserve"> з </w:t>
      </w:r>
      <w:proofErr w:type="spellStart"/>
      <w:r w:rsidRPr="002B1DFC">
        <w:rPr>
          <w:rFonts w:cs="Times New Roman"/>
          <w:i/>
          <w:iCs/>
        </w:rPr>
        <w:t>нагляду</w:t>
      </w:r>
      <w:proofErr w:type="spellEnd"/>
      <w:r w:rsidRPr="002B1DFC">
        <w:rPr>
          <w:rFonts w:cs="Times New Roman"/>
          <w:i/>
          <w:iCs/>
        </w:rPr>
        <w:t xml:space="preserve"> </w:t>
      </w:r>
      <w:proofErr w:type="spellStart"/>
      <w:r w:rsidRPr="002B1DFC">
        <w:rPr>
          <w:rFonts w:cs="Times New Roman"/>
          <w:i/>
          <w:iCs/>
        </w:rPr>
        <w:t>за</w:t>
      </w:r>
      <w:proofErr w:type="spellEnd"/>
      <w:r w:rsidRPr="002B1DFC">
        <w:rPr>
          <w:rFonts w:cs="Times New Roman"/>
          <w:i/>
          <w:iCs/>
        </w:rPr>
        <w:t xml:space="preserve"> </w:t>
      </w:r>
      <w:proofErr w:type="spellStart"/>
      <w:r w:rsidRPr="002B1DFC">
        <w:rPr>
          <w:rFonts w:cs="Times New Roman"/>
          <w:i/>
          <w:iCs/>
        </w:rPr>
        <w:t>додержанням</w:t>
      </w:r>
      <w:proofErr w:type="spellEnd"/>
      <w:r w:rsidRPr="002B1DFC">
        <w:rPr>
          <w:rFonts w:cs="Times New Roman"/>
          <w:i/>
          <w:iCs/>
        </w:rPr>
        <w:t xml:space="preserve"> </w:t>
      </w:r>
      <w:proofErr w:type="spellStart"/>
      <w:r w:rsidRPr="002B1DFC">
        <w:rPr>
          <w:rFonts w:cs="Times New Roman"/>
          <w:i/>
          <w:iCs/>
        </w:rPr>
        <w:t>законів</w:t>
      </w:r>
      <w:proofErr w:type="spellEnd"/>
      <w:r w:rsidRPr="002B1DFC">
        <w:rPr>
          <w:rFonts w:cs="Times New Roman"/>
          <w:i/>
          <w:iCs/>
        </w:rPr>
        <w:t xml:space="preserve"> у </w:t>
      </w:r>
      <w:proofErr w:type="spellStart"/>
      <w:r w:rsidRPr="002B1DFC">
        <w:rPr>
          <w:rFonts w:cs="Times New Roman"/>
          <w:i/>
          <w:iCs/>
        </w:rPr>
        <w:t>природоохоронній</w:t>
      </w:r>
      <w:proofErr w:type="spellEnd"/>
      <w:r w:rsidRPr="002B1DFC">
        <w:rPr>
          <w:rFonts w:cs="Times New Roman"/>
          <w:i/>
          <w:iCs/>
        </w:rPr>
        <w:t xml:space="preserve"> </w:t>
      </w:r>
      <w:proofErr w:type="spellStart"/>
      <w:r w:rsidRPr="002B1DFC">
        <w:rPr>
          <w:rFonts w:cs="Times New Roman"/>
          <w:i/>
          <w:iCs/>
        </w:rPr>
        <w:t>сфері</w:t>
      </w:r>
      <w:proofErr w:type="spellEnd"/>
      <w:r w:rsidRPr="002B1DFC">
        <w:rPr>
          <w:rFonts w:cs="Times New Roman"/>
        </w:rPr>
        <w:t>), but in view of an on-going reform of public prosecutor's service it is not clear whether such function and position will exist in the future.</w:t>
      </w:r>
    </w:p>
    <w:p w14:paraId="0E51B163" w14:textId="77777777" w:rsidR="00DC2622" w:rsidRPr="002B1DFC" w:rsidRDefault="00DC2622" w:rsidP="000B39D2">
      <w:pPr>
        <w:rPr>
          <w:rFonts w:cs="Times New Roman"/>
        </w:rPr>
      </w:pPr>
    </w:p>
    <w:p w14:paraId="6F0EC91A" w14:textId="77777777" w:rsidR="000B7923" w:rsidRPr="00016BBB" w:rsidRDefault="000B7923" w:rsidP="00183A7A">
      <w:pPr>
        <w:pStyle w:val="Heading2"/>
        <w:tabs>
          <w:tab w:val="clear" w:pos="576"/>
        </w:tabs>
        <w:ind w:left="540" w:hanging="540"/>
      </w:pPr>
      <w:bookmarkStart w:id="81" w:name="_Toc440273963"/>
      <w:r w:rsidRPr="00016BBB">
        <w:t>Recommendations</w:t>
      </w:r>
      <w:bookmarkEnd w:id="81"/>
    </w:p>
    <w:p w14:paraId="2545D5BF" w14:textId="77777777" w:rsidR="00A05970" w:rsidRDefault="00A05970" w:rsidP="00A05970">
      <w:pPr>
        <w:rPr>
          <w:rFonts w:cs="Times New Roman"/>
        </w:rPr>
      </w:pPr>
    </w:p>
    <w:p w14:paraId="7C594F1D" w14:textId="77777777" w:rsidR="008A1853" w:rsidRDefault="008A1853" w:rsidP="00B76BDA">
      <w:pPr>
        <w:numPr>
          <w:ilvl w:val="0"/>
          <w:numId w:val="74"/>
        </w:numPr>
        <w:rPr>
          <w:rFonts w:cs="Times New Roman"/>
          <w:color w:val="000000"/>
        </w:rPr>
      </w:pPr>
      <w:r w:rsidRPr="006E0B70">
        <w:rPr>
          <w:rFonts w:cs="Times New Roman"/>
          <w:color w:val="000000"/>
        </w:rPr>
        <w:t xml:space="preserve">Establish a clear mechanism of coordination and monitoring activity in order to avoid double functions between different organizations, and consolidate this mechanism at the legislative level introducing appropriate changes to current legal acts. </w:t>
      </w:r>
    </w:p>
    <w:p w14:paraId="093D067F" w14:textId="77777777" w:rsidR="008A1853" w:rsidRPr="006E0B70" w:rsidRDefault="008A1853" w:rsidP="00B76BDA">
      <w:pPr>
        <w:ind w:left="720"/>
        <w:rPr>
          <w:rFonts w:cs="Times New Roman"/>
          <w:color w:val="000000"/>
        </w:rPr>
      </w:pPr>
    </w:p>
    <w:p w14:paraId="0325B810" w14:textId="77777777" w:rsidR="00A05970" w:rsidRPr="006E0B70" w:rsidRDefault="00A05970" w:rsidP="00B76BDA">
      <w:pPr>
        <w:numPr>
          <w:ilvl w:val="0"/>
          <w:numId w:val="74"/>
        </w:numPr>
        <w:rPr>
          <w:rFonts w:cs="Times New Roman"/>
          <w:color w:val="000000"/>
        </w:rPr>
      </w:pPr>
      <w:r w:rsidRPr="006E0B70">
        <w:rPr>
          <w:rFonts w:cs="Times New Roman"/>
          <w:color w:val="000000"/>
        </w:rPr>
        <w:t>Strengthen MENR</w:t>
      </w:r>
      <w:r w:rsidR="00EF4ECC">
        <w:rPr>
          <w:rFonts w:cs="Times New Roman"/>
          <w:color w:val="000000"/>
        </w:rPr>
        <w:t>’s capacity</w:t>
      </w:r>
      <w:r w:rsidRPr="006E0B70">
        <w:rPr>
          <w:rFonts w:cs="Times New Roman"/>
          <w:color w:val="000000"/>
        </w:rPr>
        <w:t xml:space="preserve"> in line with the reform and requirements of the Association Agreement between </w:t>
      </w:r>
      <w:r w:rsidR="00EF4ECC">
        <w:rPr>
          <w:rFonts w:cs="Times New Roman"/>
          <w:color w:val="000000"/>
        </w:rPr>
        <w:t xml:space="preserve">the </w:t>
      </w:r>
      <w:r w:rsidRPr="006E0B70">
        <w:rPr>
          <w:rFonts w:cs="Times New Roman"/>
          <w:color w:val="000000"/>
        </w:rPr>
        <w:t>EU and Ukraine.</w:t>
      </w:r>
      <w:r w:rsidRPr="006E0B70">
        <w:rPr>
          <w:rFonts w:cs="Times New Roman"/>
          <w:color w:val="000000"/>
        </w:rPr>
        <w:tab/>
      </w:r>
    </w:p>
    <w:p w14:paraId="5912EFB7" w14:textId="77777777" w:rsidR="00A05970" w:rsidRDefault="00A05970" w:rsidP="00A05970">
      <w:pPr>
        <w:rPr>
          <w:rFonts w:cs="Times New Roman"/>
          <w:b/>
          <w:bCs/>
          <w:color w:val="000000"/>
        </w:rPr>
      </w:pPr>
    </w:p>
    <w:p w14:paraId="57CF1C6B" w14:textId="77777777" w:rsidR="008A1853" w:rsidRDefault="008A1853" w:rsidP="00B76BDA">
      <w:pPr>
        <w:numPr>
          <w:ilvl w:val="0"/>
          <w:numId w:val="74"/>
        </w:numPr>
        <w:rPr>
          <w:rFonts w:cs="Times New Roman"/>
          <w:color w:val="000000"/>
        </w:rPr>
      </w:pPr>
      <w:r w:rsidRPr="006E0B70">
        <w:rPr>
          <w:rFonts w:cs="Times New Roman"/>
          <w:color w:val="000000"/>
        </w:rPr>
        <w:t xml:space="preserve">Strengthen the capacity of other central government organs </w:t>
      </w:r>
      <w:r>
        <w:rPr>
          <w:rFonts w:cs="Times New Roman"/>
          <w:color w:val="000000"/>
        </w:rPr>
        <w:t xml:space="preserve">that have </w:t>
      </w:r>
      <w:r w:rsidRPr="006E0B70">
        <w:rPr>
          <w:rFonts w:cs="Times New Roman"/>
          <w:color w:val="000000"/>
        </w:rPr>
        <w:t>responsib</w:t>
      </w:r>
      <w:r>
        <w:rPr>
          <w:rFonts w:cs="Times New Roman"/>
          <w:color w:val="000000"/>
        </w:rPr>
        <w:t xml:space="preserve">ilities </w:t>
      </w:r>
      <w:r w:rsidRPr="006E0B70">
        <w:rPr>
          <w:rFonts w:cs="Times New Roman"/>
          <w:color w:val="000000"/>
        </w:rPr>
        <w:t xml:space="preserve">for environmental and </w:t>
      </w:r>
      <w:r>
        <w:rPr>
          <w:rFonts w:cs="Times New Roman"/>
          <w:color w:val="000000"/>
        </w:rPr>
        <w:t>natural resources</w:t>
      </w:r>
      <w:r w:rsidRPr="006E0B70">
        <w:rPr>
          <w:rFonts w:cs="Times New Roman"/>
          <w:color w:val="000000"/>
        </w:rPr>
        <w:t xml:space="preserve"> management</w:t>
      </w:r>
      <w:r>
        <w:rPr>
          <w:rFonts w:cs="Times New Roman"/>
          <w:color w:val="000000"/>
        </w:rPr>
        <w:t>.</w:t>
      </w:r>
    </w:p>
    <w:p w14:paraId="12AED286" w14:textId="77777777" w:rsidR="008A1853" w:rsidRDefault="008A1853" w:rsidP="00B76BDA">
      <w:pPr>
        <w:pStyle w:val="ListParagraph"/>
        <w:rPr>
          <w:rFonts w:cs="Times New Roman"/>
          <w:color w:val="000000"/>
        </w:rPr>
      </w:pPr>
    </w:p>
    <w:p w14:paraId="1FE44BAA" w14:textId="77777777" w:rsidR="008A1853" w:rsidRDefault="00A05970" w:rsidP="00B76BDA">
      <w:pPr>
        <w:numPr>
          <w:ilvl w:val="0"/>
          <w:numId w:val="74"/>
        </w:numPr>
        <w:rPr>
          <w:rFonts w:cs="Times New Roman"/>
          <w:color w:val="000000"/>
        </w:rPr>
      </w:pPr>
      <w:r w:rsidRPr="006E0B70">
        <w:rPr>
          <w:rFonts w:cs="Times New Roman"/>
          <w:color w:val="000000"/>
        </w:rPr>
        <w:t xml:space="preserve">Review the functions, responsibilities and subordination in the sphere of environmental management between the Ministry of Ecology and Natural Resources and other ministries, agencies and local authorities. </w:t>
      </w:r>
    </w:p>
    <w:p w14:paraId="2E470947" w14:textId="77777777" w:rsidR="00A05970" w:rsidRDefault="00A05970" w:rsidP="00A05970">
      <w:pPr>
        <w:rPr>
          <w:rFonts w:cs="Times New Roman"/>
          <w:color w:val="000000"/>
        </w:rPr>
      </w:pPr>
    </w:p>
    <w:p w14:paraId="0B845FCE" w14:textId="77777777" w:rsidR="00A05970" w:rsidRPr="006E0B70" w:rsidRDefault="00A05970" w:rsidP="00B76BDA">
      <w:pPr>
        <w:numPr>
          <w:ilvl w:val="0"/>
          <w:numId w:val="74"/>
        </w:numPr>
        <w:rPr>
          <w:rFonts w:cs="Times New Roman"/>
          <w:color w:val="000000"/>
        </w:rPr>
      </w:pPr>
      <w:r w:rsidRPr="006E0B70">
        <w:rPr>
          <w:rFonts w:cs="Times New Roman"/>
          <w:color w:val="000000"/>
        </w:rPr>
        <w:t xml:space="preserve">Enhance and provide appropriate capacity building and personnel training for state bodies regarding environmental management and principle of sustainable development at the national and local levels with involvement of private sector and civil societies. This activity should take into account all requirements of the Association Agreement between </w:t>
      </w:r>
      <w:r w:rsidR="00EF4ECC">
        <w:rPr>
          <w:rFonts w:cs="Times New Roman"/>
          <w:color w:val="000000"/>
        </w:rPr>
        <w:t xml:space="preserve">the </w:t>
      </w:r>
      <w:r w:rsidRPr="006E0B70">
        <w:rPr>
          <w:rFonts w:cs="Times New Roman"/>
          <w:color w:val="000000"/>
        </w:rPr>
        <w:t xml:space="preserve">EU and Ukraine and </w:t>
      </w:r>
      <w:r w:rsidR="00423D23">
        <w:rPr>
          <w:rFonts w:cs="Times New Roman"/>
          <w:color w:val="000000"/>
        </w:rPr>
        <w:t xml:space="preserve">the </w:t>
      </w:r>
      <w:r w:rsidRPr="006E0B70">
        <w:rPr>
          <w:rFonts w:cs="Times New Roman"/>
          <w:color w:val="000000"/>
        </w:rPr>
        <w:t>commitments</w:t>
      </w:r>
      <w:r w:rsidR="00423D23">
        <w:rPr>
          <w:rFonts w:cs="Times New Roman"/>
          <w:color w:val="000000"/>
        </w:rPr>
        <w:t xml:space="preserve"> that </w:t>
      </w:r>
      <w:r w:rsidRPr="006E0B70">
        <w:rPr>
          <w:rFonts w:cs="Times New Roman"/>
          <w:color w:val="000000"/>
        </w:rPr>
        <w:t xml:space="preserve">should be achieved according to this treaty. </w:t>
      </w:r>
    </w:p>
    <w:p w14:paraId="705C1B61" w14:textId="77777777" w:rsidR="00A05970" w:rsidRDefault="00A05970" w:rsidP="00A05970">
      <w:pPr>
        <w:rPr>
          <w:rFonts w:cs="Times New Roman"/>
        </w:rPr>
      </w:pPr>
    </w:p>
    <w:p w14:paraId="64D4D9E7" w14:textId="77777777" w:rsidR="00801A02" w:rsidRDefault="00801A02" w:rsidP="001557B4">
      <w:pPr>
        <w:ind w:left="360"/>
        <w:rPr>
          <w:rFonts w:cs="Times New Roman"/>
        </w:rPr>
      </w:pPr>
    </w:p>
    <w:p w14:paraId="54B86675" w14:textId="77777777" w:rsidR="000B7923" w:rsidRPr="002B1DFC" w:rsidRDefault="000B7923">
      <w:pPr>
        <w:spacing w:after="200" w:line="276" w:lineRule="auto"/>
        <w:jc w:val="left"/>
        <w:rPr>
          <w:rFonts w:eastAsia="Times New Roman" w:cs="Times New Roman"/>
          <w:b/>
          <w:bCs/>
          <w:smallCaps/>
          <w:sz w:val="28"/>
          <w:szCs w:val="28"/>
        </w:rPr>
      </w:pPr>
      <w:r w:rsidRPr="002B1DFC">
        <w:br w:type="page"/>
      </w:r>
    </w:p>
    <w:p w14:paraId="6B00CDC7" w14:textId="108FC1BF" w:rsidR="001D3BC4" w:rsidRDefault="001D3BC4">
      <w:pPr>
        <w:jc w:val="left"/>
        <w:rPr>
          <w:rFonts w:cs="Times New Roman"/>
          <w:b/>
          <w:bCs/>
          <w:smallCaps/>
          <w:color w:val="365F91"/>
          <w:sz w:val="28"/>
          <w:szCs w:val="28"/>
        </w:rPr>
      </w:pPr>
    </w:p>
    <w:p w14:paraId="7BB84AEE" w14:textId="77777777" w:rsidR="00991FA8" w:rsidRDefault="00991FA8">
      <w:pPr>
        <w:jc w:val="left"/>
        <w:rPr>
          <w:rFonts w:cs="Times New Roman"/>
          <w:b/>
          <w:bCs/>
          <w:smallCaps/>
          <w:color w:val="365F91"/>
          <w:sz w:val="28"/>
          <w:szCs w:val="28"/>
        </w:rPr>
      </w:pPr>
      <w:r>
        <w:br w:type="page"/>
      </w:r>
    </w:p>
    <w:p w14:paraId="413F73CA" w14:textId="6C4A5C00" w:rsidR="000B7923" w:rsidRDefault="000B7923" w:rsidP="00183A7A">
      <w:pPr>
        <w:pStyle w:val="Heading1"/>
        <w:tabs>
          <w:tab w:val="clear" w:pos="720"/>
          <w:tab w:val="left" w:pos="360"/>
        </w:tabs>
        <w:spacing w:before="0"/>
      </w:pPr>
      <w:bookmarkStart w:id="82" w:name="_Toc440273964"/>
      <w:r w:rsidRPr="002B1DFC">
        <w:lastRenderedPageBreak/>
        <w:t>Overview of Environmental Management At the Sub-National Level</w:t>
      </w:r>
      <w:bookmarkEnd w:id="82"/>
    </w:p>
    <w:p w14:paraId="3A49EBB1" w14:textId="77777777" w:rsidR="00DC2622" w:rsidRPr="00DC2622" w:rsidRDefault="00DC2622" w:rsidP="00183A7A"/>
    <w:p w14:paraId="40E3C0F0" w14:textId="77777777" w:rsidR="000B7923" w:rsidRPr="002B1DFC" w:rsidRDefault="000B7923" w:rsidP="00DC2622">
      <w:pPr>
        <w:pStyle w:val="Heading2"/>
      </w:pPr>
      <w:bookmarkStart w:id="83" w:name="_Toc440273965"/>
      <w:bookmarkStart w:id="84" w:name="_Toc403738252"/>
      <w:bookmarkStart w:id="85" w:name="_Toc426360599"/>
      <w:r w:rsidRPr="002B1DFC">
        <w:t>Environmental Priorities at the Oblast Level: Regional Action Plans</w:t>
      </w:r>
      <w:bookmarkEnd w:id="83"/>
      <w:r w:rsidRPr="002B1DFC">
        <w:t xml:space="preserve"> </w:t>
      </w:r>
    </w:p>
    <w:p w14:paraId="7C6D96A5" w14:textId="77777777" w:rsidR="000B7923" w:rsidRPr="002B1DFC" w:rsidRDefault="000B7923" w:rsidP="00D221E4">
      <w:pPr>
        <w:rPr>
          <w:rFonts w:cs="Times New Roman"/>
        </w:rPr>
      </w:pPr>
    </w:p>
    <w:p w14:paraId="13392185" w14:textId="415708C2" w:rsidR="000B7923" w:rsidRPr="002B1DFC" w:rsidRDefault="000B7923" w:rsidP="00341202">
      <w:pPr>
        <w:pStyle w:val="ListParagraph"/>
        <w:numPr>
          <w:ilvl w:val="0"/>
          <w:numId w:val="68"/>
        </w:numPr>
        <w:tabs>
          <w:tab w:val="left" w:pos="360"/>
        </w:tabs>
        <w:ind w:left="0" w:firstLine="0"/>
        <w:rPr>
          <w:rFonts w:cs="Times New Roman"/>
        </w:rPr>
      </w:pPr>
      <w:r w:rsidRPr="002B1DFC">
        <w:rPr>
          <w:rFonts w:cs="Times New Roman"/>
        </w:rPr>
        <w:t>Oblast (region) environmental action plans are sections of the Regional Plans for Socio</w:t>
      </w:r>
      <w:r w:rsidR="00BB0F37">
        <w:rPr>
          <w:rFonts w:cs="Times New Roman"/>
        </w:rPr>
        <w:t>e</w:t>
      </w:r>
      <w:r w:rsidRPr="002B1DFC">
        <w:rPr>
          <w:rFonts w:cs="Times New Roman"/>
        </w:rPr>
        <w:t>conomic Development that are developed by oblast authorities in accordance with the Law on Local Government (</w:t>
      </w:r>
      <w:r w:rsidRPr="002B1DFC">
        <w:rPr>
          <w:rFonts w:cs="Times New Roman"/>
          <w:i/>
        </w:rPr>
        <w:t xml:space="preserve">Pro </w:t>
      </w:r>
      <w:proofErr w:type="spellStart"/>
      <w:r w:rsidRPr="002B1DFC">
        <w:rPr>
          <w:rFonts w:cs="Times New Roman"/>
          <w:i/>
        </w:rPr>
        <w:t>mistseve</w:t>
      </w:r>
      <w:proofErr w:type="spellEnd"/>
      <w:r w:rsidRPr="002B1DFC">
        <w:rPr>
          <w:rFonts w:cs="Times New Roman"/>
          <w:i/>
        </w:rPr>
        <w:t xml:space="preserve"> </w:t>
      </w:r>
      <w:proofErr w:type="spellStart"/>
      <w:r w:rsidRPr="002B1DFC">
        <w:rPr>
          <w:rFonts w:cs="Times New Roman"/>
          <w:i/>
        </w:rPr>
        <w:t>samovriaduvannia</w:t>
      </w:r>
      <w:proofErr w:type="spellEnd"/>
      <w:r w:rsidRPr="002B1DFC">
        <w:rPr>
          <w:rFonts w:cs="Times New Roman"/>
          <w:i/>
        </w:rPr>
        <w:t xml:space="preserve">), </w:t>
      </w:r>
      <w:r w:rsidRPr="002B1DFC">
        <w:rPr>
          <w:rFonts w:cs="Times New Roman"/>
        </w:rPr>
        <w:t xml:space="preserve">other laws, budget code, government resolutions and resolutions/decisions of oblast councils and administrations. </w:t>
      </w:r>
    </w:p>
    <w:p w14:paraId="11C79C3F" w14:textId="77777777" w:rsidR="000B7923" w:rsidRPr="002B1DFC" w:rsidRDefault="000B7923" w:rsidP="005D168B">
      <w:pPr>
        <w:rPr>
          <w:rFonts w:cs="Times New Roman"/>
        </w:rPr>
      </w:pPr>
    </w:p>
    <w:p w14:paraId="31C1E7D1"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 xml:space="preserve">These (annual) </w:t>
      </w:r>
      <w:r w:rsidR="00423D23" w:rsidRPr="00882558">
        <w:rPr>
          <w:rFonts w:cs="Times New Roman"/>
          <w:color w:val="000000" w:themeColor="text1"/>
        </w:rPr>
        <w:t xml:space="preserve">plans </w:t>
      </w:r>
      <w:r w:rsidRPr="00882558">
        <w:rPr>
          <w:rFonts w:cs="Times New Roman"/>
          <w:color w:val="000000" w:themeColor="text1"/>
        </w:rPr>
        <w:t xml:space="preserve">are funded from </w:t>
      </w:r>
      <w:r w:rsidR="00423D23" w:rsidRPr="00882558">
        <w:rPr>
          <w:rFonts w:cs="Times New Roman"/>
          <w:color w:val="000000" w:themeColor="text1"/>
        </w:rPr>
        <w:t xml:space="preserve">the </w:t>
      </w:r>
      <w:r w:rsidRPr="00882558">
        <w:rPr>
          <w:rFonts w:cs="Times New Roman"/>
          <w:color w:val="000000" w:themeColor="text1"/>
        </w:rPr>
        <w:t xml:space="preserve">oblast Environment Protection Fund (EPF, </w:t>
      </w:r>
      <w:r w:rsidRPr="00882558">
        <w:rPr>
          <w:rFonts w:cs="Times New Roman"/>
          <w:i/>
          <w:color w:val="000000" w:themeColor="text1"/>
        </w:rPr>
        <w:t xml:space="preserve">Fond </w:t>
      </w:r>
      <w:proofErr w:type="spellStart"/>
      <w:r w:rsidRPr="00882558">
        <w:rPr>
          <w:rFonts w:cs="Times New Roman"/>
          <w:i/>
          <w:color w:val="000000" w:themeColor="text1"/>
        </w:rPr>
        <w:t>Ohorony</w:t>
      </w:r>
      <w:proofErr w:type="spellEnd"/>
      <w:r w:rsidRPr="00882558">
        <w:rPr>
          <w:rFonts w:cs="Times New Roman"/>
          <w:i/>
          <w:color w:val="000000" w:themeColor="text1"/>
        </w:rPr>
        <w:t xml:space="preserve"> </w:t>
      </w:r>
      <w:proofErr w:type="spellStart"/>
      <w:r w:rsidRPr="00882558">
        <w:rPr>
          <w:rFonts w:cs="Times New Roman"/>
          <w:i/>
          <w:color w:val="000000" w:themeColor="text1"/>
        </w:rPr>
        <w:t>Navkolyshniogo</w:t>
      </w:r>
      <w:proofErr w:type="spellEnd"/>
      <w:r w:rsidRPr="00882558">
        <w:rPr>
          <w:rFonts w:cs="Times New Roman"/>
          <w:i/>
          <w:color w:val="000000" w:themeColor="text1"/>
        </w:rPr>
        <w:t xml:space="preserve"> </w:t>
      </w:r>
      <w:proofErr w:type="spellStart"/>
      <w:r w:rsidRPr="00882558">
        <w:rPr>
          <w:rFonts w:cs="Times New Roman"/>
          <w:i/>
          <w:color w:val="000000" w:themeColor="text1"/>
        </w:rPr>
        <w:t>Pryrodnogo</w:t>
      </w:r>
      <w:proofErr w:type="spellEnd"/>
      <w:r w:rsidRPr="00882558">
        <w:rPr>
          <w:rFonts w:cs="Times New Roman"/>
          <w:i/>
          <w:color w:val="000000" w:themeColor="text1"/>
        </w:rPr>
        <w:t xml:space="preserve"> </w:t>
      </w:r>
      <w:proofErr w:type="spellStart"/>
      <w:r w:rsidRPr="00882558">
        <w:rPr>
          <w:rFonts w:cs="Times New Roman"/>
          <w:i/>
          <w:color w:val="000000" w:themeColor="text1"/>
        </w:rPr>
        <w:t>Seredovyscha</w:t>
      </w:r>
      <w:proofErr w:type="spellEnd"/>
      <w:r w:rsidRPr="00882558">
        <w:rPr>
          <w:rFonts w:cs="Times New Roman"/>
          <w:color w:val="000000" w:themeColor="text1"/>
        </w:rPr>
        <w:t>)</w:t>
      </w:r>
      <w:r w:rsidR="005608F5" w:rsidRPr="00882558">
        <w:rPr>
          <w:rFonts w:cs="Times New Roman"/>
          <w:color w:val="000000" w:themeColor="text1"/>
        </w:rPr>
        <w:t>. Sometimes, these plans also receive funds</w:t>
      </w:r>
      <w:r w:rsidRPr="00882558">
        <w:rPr>
          <w:rFonts w:cs="Times New Roman"/>
          <w:color w:val="000000" w:themeColor="text1"/>
        </w:rPr>
        <w:t xml:space="preserve"> from the State budget. Due to extremely limited available financial resources, </w:t>
      </w:r>
      <w:r w:rsidR="005608F5" w:rsidRPr="00882558">
        <w:rPr>
          <w:rFonts w:cs="Times New Roman"/>
          <w:color w:val="000000" w:themeColor="text1"/>
        </w:rPr>
        <w:t xml:space="preserve">the </w:t>
      </w:r>
      <w:r w:rsidRPr="00882558">
        <w:rPr>
          <w:rFonts w:cs="Times New Roman"/>
          <w:color w:val="000000" w:themeColor="text1"/>
        </w:rPr>
        <w:t>oblast environmental plans</w:t>
      </w:r>
      <w:r w:rsidR="005608F5" w:rsidRPr="00882558">
        <w:rPr>
          <w:rFonts w:cs="Times New Roman"/>
          <w:color w:val="000000" w:themeColor="text1"/>
        </w:rPr>
        <w:t xml:space="preserve"> could not tackle any fundamental problems; consequently,</w:t>
      </w:r>
      <w:r w:rsidRPr="00882558">
        <w:rPr>
          <w:rFonts w:cs="Times New Roman"/>
          <w:color w:val="000000" w:themeColor="text1"/>
        </w:rPr>
        <w:t xml:space="preserve"> the funding is allocated </w:t>
      </w:r>
      <w:r w:rsidR="005608F5" w:rsidRPr="00882558">
        <w:rPr>
          <w:rFonts w:cs="Times New Roman"/>
          <w:color w:val="000000" w:themeColor="text1"/>
        </w:rPr>
        <w:t xml:space="preserve">primarily </w:t>
      </w:r>
      <w:r w:rsidRPr="00882558">
        <w:rPr>
          <w:rFonts w:cs="Times New Roman"/>
          <w:color w:val="000000" w:themeColor="text1"/>
        </w:rPr>
        <w:t xml:space="preserve">for household waste management programs, wastewater treatment facilities, and </w:t>
      </w:r>
      <w:r w:rsidR="005608F5" w:rsidRPr="00882558">
        <w:rPr>
          <w:rFonts w:cs="Times New Roman"/>
          <w:color w:val="000000" w:themeColor="text1"/>
        </w:rPr>
        <w:t xml:space="preserve">the </w:t>
      </w:r>
      <w:r w:rsidRPr="00882558">
        <w:rPr>
          <w:rFonts w:cs="Times New Roman"/>
          <w:color w:val="000000" w:themeColor="text1"/>
        </w:rPr>
        <w:t xml:space="preserve">preparation of documentation for new nature protection areas. These plans are usually developed without coordination with national level, except for those cases when oblast plans/programs will be funded by </w:t>
      </w:r>
      <w:r w:rsidR="005608F5" w:rsidRPr="00882558">
        <w:rPr>
          <w:rFonts w:cs="Times New Roman"/>
          <w:color w:val="000000" w:themeColor="text1"/>
        </w:rPr>
        <w:t xml:space="preserve">the </w:t>
      </w:r>
      <w:r w:rsidRPr="00882558">
        <w:rPr>
          <w:rFonts w:cs="Times New Roman"/>
          <w:color w:val="000000" w:themeColor="text1"/>
        </w:rPr>
        <w:t xml:space="preserve">national budget. A program for liquidation of stocks of obsolete pesticides is one (and relatively successful) example of this latter kind.  Table </w:t>
      </w:r>
      <w:r w:rsidR="005060F5" w:rsidRPr="00882558">
        <w:rPr>
          <w:rFonts w:cs="Times New Roman"/>
          <w:color w:val="000000" w:themeColor="text1"/>
        </w:rPr>
        <w:t>7</w:t>
      </w:r>
      <w:r w:rsidR="00BF2034" w:rsidRPr="00882558">
        <w:rPr>
          <w:rFonts w:cs="Times New Roman"/>
          <w:color w:val="000000" w:themeColor="text1"/>
        </w:rPr>
        <w:t xml:space="preserve"> </w:t>
      </w:r>
      <w:r w:rsidR="00730A4B" w:rsidRPr="00882558">
        <w:rPr>
          <w:rFonts w:cs="Times New Roman"/>
          <w:color w:val="000000" w:themeColor="text1"/>
        </w:rPr>
        <w:t xml:space="preserve">below </w:t>
      </w:r>
      <w:r w:rsidRPr="00882558">
        <w:rPr>
          <w:rFonts w:cs="Times New Roman"/>
          <w:color w:val="000000" w:themeColor="text1"/>
        </w:rPr>
        <w:t xml:space="preserve">provides examples of environmental priorities as identified in their respective Regional Plans for Socioeconomic Development. </w:t>
      </w:r>
    </w:p>
    <w:p w14:paraId="76E708FA" w14:textId="77777777" w:rsidR="000B7923" w:rsidRPr="00882558" w:rsidRDefault="000B7923" w:rsidP="00D221E4">
      <w:pPr>
        <w:rPr>
          <w:rFonts w:cs="Times New Roman"/>
          <w:color w:val="000000" w:themeColor="text1"/>
        </w:rPr>
      </w:pPr>
    </w:p>
    <w:p w14:paraId="185046AC" w14:textId="75A3C29D" w:rsidR="003F03B0" w:rsidRPr="00882558" w:rsidRDefault="003F03B0" w:rsidP="00721C66">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There are examples of regional programs developed by the public (environmental NGOs, academia, and so forth). These plans are often quite ambitious for the available resources</w:t>
      </w:r>
      <w:r w:rsidR="00A46166">
        <w:rPr>
          <w:rFonts w:cs="Times New Roman"/>
          <w:color w:val="000000" w:themeColor="text1"/>
        </w:rPr>
        <w:t>.</w:t>
      </w:r>
      <w:r w:rsidRPr="00882558">
        <w:rPr>
          <w:rFonts w:cs="Times New Roman"/>
          <w:color w:val="000000" w:themeColor="text1"/>
        </w:rPr>
        <w:t xml:space="preserve"> </w:t>
      </w:r>
      <w:r w:rsidR="00A46166">
        <w:rPr>
          <w:rFonts w:cs="Times New Roman"/>
          <w:color w:val="000000" w:themeColor="text1"/>
        </w:rPr>
        <w:t>F</w:t>
      </w:r>
      <w:r w:rsidR="00A46166" w:rsidRPr="00882558">
        <w:rPr>
          <w:rFonts w:cs="Times New Roman"/>
          <w:color w:val="000000" w:themeColor="text1"/>
        </w:rPr>
        <w:t xml:space="preserve">or </w:t>
      </w:r>
      <w:r w:rsidRPr="00882558">
        <w:rPr>
          <w:rFonts w:cs="Times New Roman"/>
          <w:color w:val="000000" w:themeColor="text1"/>
        </w:rPr>
        <w:t>example, Poltava oblast program developed by the civil society listed 28 priorities, while the “official” program developed by the oblast branch of MENR had six priorities and funding was not sufficient even for the implementation of the six identified</w:t>
      </w:r>
      <w:r w:rsidR="0082424A" w:rsidRPr="00882558">
        <w:rPr>
          <w:rFonts w:cs="Times New Roman"/>
          <w:color w:val="000000" w:themeColor="text1"/>
        </w:rPr>
        <w:t xml:space="preserve"> priorities</w:t>
      </w:r>
      <w:r w:rsidRPr="00882558">
        <w:rPr>
          <w:rFonts w:cs="Times New Roman"/>
          <w:color w:val="000000" w:themeColor="text1"/>
        </w:rPr>
        <w:t xml:space="preserve">. </w:t>
      </w:r>
    </w:p>
    <w:p w14:paraId="5AB40508" w14:textId="77777777" w:rsidR="003F03B0" w:rsidRPr="00882558" w:rsidRDefault="003F03B0" w:rsidP="003F03B0">
      <w:pPr>
        <w:rPr>
          <w:rFonts w:cs="Times New Roman"/>
          <w:color w:val="000000" w:themeColor="text1"/>
        </w:rPr>
      </w:pPr>
    </w:p>
    <w:p w14:paraId="4731E7DC" w14:textId="42F7C1E2" w:rsidR="003F03B0" w:rsidRPr="002B1DFC" w:rsidRDefault="003F03B0" w:rsidP="00341202">
      <w:pPr>
        <w:pStyle w:val="ListParagraph"/>
        <w:numPr>
          <w:ilvl w:val="0"/>
          <w:numId w:val="68"/>
        </w:numPr>
        <w:tabs>
          <w:tab w:val="left" w:pos="360"/>
        </w:tabs>
        <w:ind w:left="0" w:firstLine="0"/>
        <w:rPr>
          <w:rFonts w:cs="Times New Roman"/>
        </w:rPr>
      </w:pPr>
      <w:r w:rsidRPr="00882558">
        <w:rPr>
          <w:rFonts w:cs="Times New Roman"/>
          <w:b/>
          <w:bCs/>
          <w:color w:val="000000" w:themeColor="text1"/>
        </w:rPr>
        <w:t xml:space="preserve">Several oblasts developed multiyear Environmental Action Programs. </w:t>
      </w:r>
      <w:r w:rsidRPr="00882558">
        <w:rPr>
          <w:rFonts w:cs="Times New Roman"/>
          <w:color w:val="000000" w:themeColor="text1"/>
        </w:rPr>
        <w:t xml:space="preserve">For example, in 2010, the </w:t>
      </w:r>
      <w:proofErr w:type="spellStart"/>
      <w:r w:rsidRPr="00882558">
        <w:rPr>
          <w:rFonts w:cs="Times New Roman"/>
          <w:color w:val="000000" w:themeColor="text1"/>
        </w:rPr>
        <w:t>Volyn</w:t>
      </w:r>
      <w:proofErr w:type="spellEnd"/>
      <w:r w:rsidRPr="00882558">
        <w:rPr>
          <w:rFonts w:cs="Times New Roman"/>
          <w:color w:val="000000" w:themeColor="text1"/>
        </w:rPr>
        <w:t xml:space="preserve"> region MENR department initiated the preparation of a regional ecological Program </w:t>
      </w:r>
      <w:r w:rsidRPr="00882558">
        <w:rPr>
          <w:rFonts w:cs="Times New Roman"/>
          <w:iCs/>
          <w:color w:val="000000" w:themeColor="text1"/>
        </w:rPr>
        <w:t xml:space="preserve">“Ecology </w:t>
      </w:r>
      <w:r w:rsidRPr="00183A7A">
        <w:rPr>
          <w:rFonts w:cs="Times New Roman"/>
          <w:iCs/>
        </w:rPr>
        <w:t>2011–2015 and Forecast up to 2020</w:t>
      </w:r>
      <w:r w:rsidRPr="00D51AED">
        <w:rPr>
          <w:rFonts w:cs="Times New Roman"/>
        </w:rPr>
        <w:t>”</w:t>
      </w:r>
      <w:r w:rsidRPr="002B1DFC">
        <w:rPr>
          <w:rFonts w:cs="Times New Roman"/>
        </w:rPr>
        <w:t xml:space="preserve"> with </w:t>
      </w:r>
      <w:r>
        <w:rPr>
          <w:rFonts w:cs="Times New Roman"/>
        </w:rPr>
        <w:t xml:space="preserve">the </w:t>
      </w:r>
      <w:r w:rsidRPr="002B1DFC">
        <w:rPr>
          <w:rFonts w:cs="Times New Roman"/>
        </w:rPr>
        <w:t>participation of numerous stakeholders. The total envisaged funding for 2011</w:t>
      </w:r>
      <w:r>
        <w:rPr>
          <w:rFonts w:cs="Times New Roman"/>
        </w:rPr>
        <w:t>–</w:t>
      </w:r>
      <w:r w:rsidRPr="002B1DFC">
        <w:rPr>
          <w:rFonts w:cs="Times New Roman"/>
        </w:rPr>
        <w:t>2020 was UAH 576.12 million (</w:t>
      </w:r>
      <w:r>
        <w:rPr>
          <w:rFonts w:cs="Times New Roman"/>
        </w:rPr>
        <w:t>US</w:t>
      </w:r>
      <w:r w:rsidRPr="002B1DFC">
        <w:rPr>
          <w:rFonts w:cs="Times New Roman"/>
        </w:rPr>
        <w:t xml:space="preserve">$72 million), 16% of </w:t>
      </w:r>
      <w:r>
        <w:rPr>
          <w:rFonts w:cs="Times New Roman"/>
        </w:rPr>
        <w:t xml:space="preserve">the </w:t>
      </w:r>
      <w:r w:rsidRPr="002B1DFC">
        <w:rPr>
          <w:rFonts w:cs="Times New Roman"/>
        </w:rPr>
        <w:t xml:space="preserve">envisaged funding was to be obtained from the region EPF and 2.5% </w:t>
      </w:r>
      <w:r>
        <w:rPr>
          <w:rFonts w:cs="Times New Roman"/>
        </w:rPr>
        <w:t>from the</w:t>
      </w:r>
      <w:r w:rsidRPr="002B1DFC">
        <w:rPr>
          <w:rFonts w:cs="Times New Roman"/>
        </w:rPr>
        <w:t xml:space="preserve"> resources of enterprises. In December 2010</w:t>
      </w:r>
      <w:r>
        <w:rPr>
          <w:rFonts w:cs="Times New Roman"/>
        </w:rPr>
        <w:t>,</w:t>
      </w:r>
      <w:r w:rsidRPr="002B1DFC">
        <w:rPr>
          <w:rFonts w:cs="Times New Roman"/>
        </w:rPr>
        <w:t xml:space="preserve"> this program was approved by the </w:t>
      </w:r>
      <w:proofErr w:type="spellStart"/>
      <w:r w:rsidRPr="002B1DFC">
        <w:rPr>
          <w:rFonts w:cs="Times New Roman"/>
        </w:rPr>
        <w:t>Volyn</w:t>
      </w:r>
      <w:proofErr w:type="spellEnd"/>
      <w:r w:rsidRPr="002B1DFC">
        <w:rPr>
          <w:rFonts w:cs="Times New Roman"/>
        </w:rPr>
        <w:t xml:space="preserve"> Council, with “recommendation to subdivisions of oblast state administration (OSA), territorial branches of central government organs, rayon administrations and local government to implement tasks and activities envisaged by the Program</w:t>
      </w:r>
      <w:r>
        <w:rPr>
          <w:rFonts w:cs="Times New Roman"/>
        </w:rPr>
        <w:t xml:space="preserve">.” </w:t>
      </w:r>
      <w:r w:rsidRPr="002B1DFC">
        <w:rPr>
          <w:rFonts w:cs="Times New Roman"/>
        </w:rPr>
        <w:t>This formulation means that the provisions of the Program would be implemented only if there is available funding, which is allocated annually by decisions of oblast council. According to the report of the Head of Oblast Council, in 2012 only UAH 618,000 ($77,347) was allocated for the year 2012, of them UAH 600,000 ($75,094) was spent</w:t>
      </w:r>
      <w:r>
        <w:rPr>
          <w:rFonts w:cs="Times New Roman"/>
        </w:rPr>
        <w:t xml:space="preserve">. At the same time, </w:t>
      </w:r>
      <w:r w:rsidRPr="002B1DFC">
        <w:rPr>
          <w:rFonts w:cs="Times New Roman"/>
        </w:rPr>
        <w:t>for 2012</w:t>
      </w:r>
      <w:r>
        <w:rPr>
          <w:rFonts w:cs="Times New Roman"/>
        </w:rPr>
        <w:t>,</w:t>
      </w:r>
      <w:r w:rsidRPr="002B1DFC">
        <w:rPr>
          <w:rFonts w:cs="Times New Roman"/>
        </w:rPr>
        <w:t xml:space="preserve"> the program envisaged UAH 84,172,000, of which UAH 66,247,000 from the state budget. </w:t>
      </w:r>
    </w:p>
    <w:p w14:paraId="6098C899" w14:textId="77777777" w:rsidR="003F03B0" w:rsidRPr="002B1DFC" w:rsidRDefault="003F03B0" w:rsidP="003F03B0">
      <w:pPr>
        <w:rPr>
          <w:rFonts w:cs="Times New Roman"/>
        </w:rPr>
      </w:pPr>
    </w:p>
    <w:p w14:paraId="60548214" w14:textId="77777777" w:rsidR="003F03B0" w:rsidRPr="00F55709" w:rsidRDefault="003F03B0" w:rsidP="00F55709">
      <w:pPr>
        <w:pStyle w:val="ListParagraph"/>
        <w:numPr>
          <w:ilvl w:val="0"/>
          <w:numId w:val="68"/>
        </w:numPr>
        <w:tabs>
          <w:tab w:val="left" w:pos="360"/>
        </w:tabs>
        <w:ind w:left="0" w:firstLine="0"/>
        <w:rPr>
          <w:rFonts w:cs="Times New Roman"/>
        </w:rPr>
      </w:pPr>
      <w:r w:rsidRPr="00F55709">
        <w:rPr>
          <w:rFonts w:cs="Times New Roman"/>
          <w:b/>
          <w:bCs/>
        </w:rPr>
        <w:t>Underfunding of environmental programs has been a problem that was identified in the Public Environmental Expenditure Review (World Bank 2003)</w:t>
      </w:r>
      <w:r w:rsidRPr="00F55709">
        <w:rPr>
          <w:rFonts w:cs="Times New Roman"/>
        </w:rPr>
        <w:t xml:space="preserve">. The report noted that programs contained much more than could be funded, and actual implementation percentages were low – often below 10%. Moreover, it was not clear that the programs that were implemented were those of highest priorities. The report noted a tendency, which continues to date, of identifying a large number of projects and programs that then compete for funding among each other (as noted above) (World Bank 2003). </w:t>
      </w:r>
    </w:p>
    <w:p w14:paraId="250F13B5" w14:textId="77777777" w:rsidR="000B7923" w:rsidRPr="002B1DFC" w:rsidRDefault="00FC456E" w:rsidP="00D221E4">
      <w:pPr>
        <w:pStyle w:val="Caption"/>
        <w:rPr>
          <w:noProof w:val="0"/>
          <w:lang w:val="en-US"/>
        </w:rPr>
      </w:pPr>
      <w:r>
        <w:rPr>
          <w:noProof w:val="0"/>
          <w:lang w:val="en-US"/>
        </w:rPr>
        <w:br w:type="page"/>
      </w:r>
      <w:bookmarkStart w:id="86" w:name="_Toc440273999"/>
      <w:r w:rsidR="000B7923" w:rsidRPr="002B1DFC">
        <w:rPr>
          <w:noProof w:val="0"/>
          <w:lang w:val="en-US"/>
        </w:rPr>
        <w:lastRenderedPageBreak/>
        <w:t xml:space="preserve">Table </w:t>
      </w:r>
      <w:r w:rsidR="000B7923" w:rsidRPr="002B1DFC">
        <w:rPr>
          <w:noProof w:val="0"/>
          <w:lang w:val="en-US"/>
        </w:rPr>
        <w:fldChar w:fldCharType="begin"/>
      </w:r>
      <w:r w:rsidR="000B7923" w:rsidRPr="002B1DFC">
        <w:rPr>
          <w:noProof w:val="0"/>
          <w:lang w:val="en-US"/>
        </w:rPr>
        <w:instrText xml:space="preserve"> SEQ Table \* ARABIC </w:instrText>
      </w:r>
      <w:r w:rsidR="000B7923" w:rsidRPr="002B1DFC">
        <w:rPr>
          <w:noProof w:val="0"/>
          <w:lang w:val="en-US"/>
        </w:rPr>
        <w:fldChar w:fldCharType="separate"/>
      </w:r>
      <w:r w:rsidR="00356D5F">
        <w:rPr>
          <w:lang w:val="en-US"/>
        </w:rPr>
        <w:t>7</w:t>
      </w:r>
      <w:r w:rsidR="000B7923" w:rsidRPr="002B1DFC">
        <w:rPr>
          <w:noProof w:val="0"/>
          <w:lang w:val="en-US"/>
        </w:rPr>
        <w:fldChar w:fldCharType="end"/>
      </w:r>
      <w:r w:rsidR="000B7923" w:rsidRPr="002B1DFC">
        <w:rPr>
          <w:noProof w:val="0"/>
          <w:lang w:val="en-US"/>
        </w:rPr>
        <w:t>. Examples of Regional Environmental Priorities</w:t>
      </w:r>
      <w:bookmarkEnd w:id="86"/>
      <w:r w:rsidR="000B7923" w:rsidRPr="002B1DFC">
        <w:rPr>
          <w:noProof w:val="0"/>
          <w:lang w:val="en-US"/>
        </w:rPr>
        <w:t xml:space="preserve"> </w:t>
      </w:r>
    </w:p>
    <w:tbl>
      <w:tblPr>
        <w:tblW w:w="5000" w:type="pct"/>
        <w:tblInd w:w="108" w:type="dxa"/>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1919"/>
        <w:gridCol w:w="7431"/>
      </w:tblGrid>
      <w:tr w:rsidR="000B7923" w:rsidRPr="002B1DFC" w14:paraId="740934BF" w14:textId="77777777">
        <w:tc>
          <w:tcPr>
            <w:tcW w:w="1026" w:type="pct"/>
            <w:tcBorders>
              <w:top w:val="single" w:sz="4" w:space="0" w:color="4F81BD"/>
              <w:left w:val="single" w:sz="4" w:space="0" w:color="4F81BD"/>
              <w:bottom w:val="nil"/>
              <w:right w:val="nil"/>
            </w:tcBorders>
            <w:shd w:val="clear" w:color="auto" w:fill="4F81BD"/>
          </w:tcPr>
          <w:p w14:paraId="4E73C372" w14:textId="77777777" w:rsidR="000B7923" w:rsidRPr="002B1DFC" w:rsidRDefault="000B7923" w:rsidP="0057764E">
            <w:pPr>
              <w:rPr>
                <w:rFonts w:eastAsia="Times New Roman" w:cs="Times New Roman"/>
                <w:b/>
                <w:bCs/>
                <w:color w:val="FFFFFF"/>
              </w:rPr>
            </w:pPr>
          </w:p>
        </w:tc>
        <w:tc>
          <w:tcPr>
            <w:tcW w:w="3974" w:type="pct"/>
            <w:tcBorders>
              <w:top w:val="single" w:sz="4" w:space="0" w:color="4F81BD"/>
              <w:right w:val="single" w:sz="4" w:space="0" w:color="4F81BD"/>
            </w:tcBorders>
            <w:shd w:val="clear" w:color="auto" w:fill="4F81BD"/>
          </w:tcPr>
          <w:p w14:paraId="4A1DCB33" w14:textId="77777777" w:rsidR="000B7923" w:rsidRPr="002B1DFC" w:rsidRDefault="000B7923" w:rsidP="0057764E">
            <w:pPr>
              <w:rPr>
                <w:rFonts w:eastAsia="Times New Roman" w:cs="Times New Roman"/>
                <w:b/>
                <w:bCs/>
                <w:color w:val="FFFFFF"/>
              </w:rPr>
            </w:pPr>
            <w:r w:rsidRPr="002B1DFC">
              <w:rPr>
                <w:rFonts w:eastAsia="Times New Roman" w:cs="Times New Roman"/>
                <w:b/>
                <w:bCs/>
                <w:color w:val="FFFFFF"/>
              </w:rPr>
              <w:t>Key Priorities Environmental Regional Development Policy (2012) *</w:t>
            </w:r>
          </w:p>
        </w:tc>
      </w:tr>
      <w:tr w:rsidR="000B7923" w:rsidRPr="002B1DFC" w14:paraId="3255E4E6" w14:textId="77777777">
        <w:tc>
          <w:tcPr>
            <w:tcW w:w="1026" w:type="pct"/>
            <w:tcBorders>
              <w:top w:val="single" w:sz="4" w:space="0" w:color="4F81BD"/>
              <w:left w:val="single" w:sz="4" w:space="0" w:color="4F81BD"/>
              <w:bottom w:val="single" w:sz="4" w:space="0" w:color="4F81BD"/>
              <w:right w:val="nil"/>
            </w:tcBorders>
            <w:shd w:val="clear" w:color="auto" w:fill="FFFFFF"/>
          </w:tcPr>
          <w:p w14:paraId="20397FB2" w14:textId="77777777" w:rsidR="000B7923" w:rsidRPr="002B1DFC" w:rsidRDefault="000B7923" w:rsidP="0057764E">
            <w:pPr>
              <w:rPr>
                <w:rFonts w:eastAsia="Times New Roman" w:cs="Times New Roman"/>
                <w:b/>
                <w:bCs/>
              </w:rPr>
            </w:pPr>
            <w:r w:rsidRPr="002B1DFC">
              <w:rPr>
                <w:rFonts w:eastAsia="Times New Roman" w:cs="Times New Roman"/>
                <w:b/>
                <w:bCs/>
              </w:rPr>
              <w:t>Poltava</w:t>
            </w:r>
          </w:p>
        </w:tc>
        <w:tc>
          <w:tcPr>
            <w:tcW w:w="3974" w:type="pct"/>
            <w:tcBorders>
              <w:top w:val="single" w:sz="4" w:space="0" w:color="4F81BD"/>
              <w:bottom w:val="single" w:sz="4" w:space="0" w:color="4F81BD"/>
              <w:right w:val="single" w:sz="4" w:space="0" w:color="4F81BD"/>
            </w:tcBorders>
          </w:tcPr>
          <w:p w14:paraId="58E49053" w14:textId="77777777" w:rsidR="000B7923" w:rsidRPr="002B1DFC" w:rsidRDefault="006D4D55" w:rsidP="00B83095">
            <w:pPr>
              <w:pStyle w:val="ListParagraph"/>
              <w:numPr>
                <w:ilvl w:val="0"/>
                <w:numId w:val="7"/>
              </w:numPr>
              <w:ind w:left="360"/>
              <w:rPr>
                <w:rFonts w:eastAsia="Times New Roman" w:cs="Times New Roman"/>
              </w:rPr>
            </w:pPr>
            <w:r>
              <w:rPr>
                <w:rFonts w:eastAsia="Times New Roman" w:cs="Times New Roman"/>
              </w:rPr>
              <w:t>Eliminating</w:t>
            </w:r>
            <w:r w:rsidR="000B7923" w:rsidRPr="002B1DFC">
              <w:rPr>
                <w:rFonts w:eastAsia="Times New Roman" w:cs="Times New Roman"/>
              </w:rPr>
              <w:t xml:space="preserve"> accumulated abandoned pesticides and agrochemicals </w:t>
            </w:r>
            <w:r>
              <w:rPr>
                <w:rFonts w:eastAsia="Times New Roman" w:cs="Times New Roman"/>
              </w:rPr>
              <w:t xml:space="preserve">that </w:t>
            </w:r>
            <w:r w:rsidR="000B7923" w:rsidRPr="002B1DFC">
              <w:rPr>
                <w:rFonts w:eastAsia="Times New Roman" w:cs="Times New Roman"/>
              </w:rPr>
              <w:t>are improperly stored.</w:t>
            </w:r>
          </w:p>
          <w:p w14:paraId="5381B6FD" w14:textId="77777777" w:rsidR="000B7923" w:rsidRPr="002B1DFC" w:rsidRDefault="000B7923" w:rsidP="00B83095">
            <w:pPr>
              <w:pStyle w:val="ListParagraph"/>
              <w:numPr>
                <w:ilvl w:val="0"/>
                <w:numId w:val="29"/>
              </w:numPr>
              <w:ind w:left="360"/>
              <w:rPr>
                <w:rFonts w:eastAsia="Times New Roman" w:cs="Times New Roman"/>
              </w:rPr>
            </w:pPr>
            <w:r w:rsidRPr="002B1DFC">
              <w:rPr>
                <w:rFonts w:eastAsia="Times New Roman" w:cs="Times New Roman"/>
              </w:rPr>
              <w:t>Marking the boundaries of territories and objects of Nature Reserve Fund (NRF)</w:t>
            </w:r>
            <w:r w:rsidR="006D4D55">
              <w:rPr>
                <w:rFonts w:eastAsia="Times New Roman" w:cs="Times New Roman"/>
              </w:rPr>
              <w:t>.</w:t>
            </w:r>
          </w:p>
        </w:tc>
      </w:tr>
      <w:tr w:rsidR="000B7923" w:rsidRPr="002B1DFC" w14:paraId="19EDEDD4" w14:textId="77777777">
        <w:tc>
          <w:tcPr>
            <w:tcW w:w="1026" w:type="pct"/>
            <w:tcBorders>
              <w:left w:val="single" w:sz="4" w:space="0" w:color="4F81BD"/>
              <w:right w:val="nil"/>
            </w:tcBorders>
            <w:shd w:val="clear" w:color="auto" w:fill="FFFFFF"/>
          </w:tcPr>
          <w:p w14:paraId="243B0EFE" w14:textId="77777777" w:rsidR="000B7923" w:rsidRPr="002B1DFC" w:rsidRDefault="000B7923" w:rsidP="0057764E">
            <w:pPr>
              <w:rPr>
                <w:rFonts w:eastAsia="Times New Roman" w:cs="Times New Roman"/>
                <w:b/>
                <w:bCs/>
              </w:rPr>
            </w:pPr>
            <w:proofErr w:type="spellStart"/>
            <w:r w:rsidRPr="002B1DFC">
              <w:rPr>
                <w:rFonts w:eastAsia="Times New Roman" w:cs="Times New Roman"/>
                <w:b/>
                <w:bCs/>
              </w:rPr>
              <w:t>Vinnytsya</w:t>
            </w:r>
            <w:proofErr w:type="spellEnd"/>
          </w:p>
        </w:tc>
        <w:tc>
          <w:tcPr>
            <w:tcW w:w="3974" w:type="pct"/>
            <w:tcBorders>
              <w:right w:val="single" w:sz="4" w:space="0" w:color="4F81BD"/>
            </w:tcBorders>
          </w:tcPr>
          <w:p w14:paraId="08BAEC09"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Raising public environmental awareness</w:t>
            </w:r>
            <w:r w:rsidR="006D4D55">
              <w:rPr>
                <w:rFonts w:eastAsia="Times New Roman" w:cs="Times New Roman"/>
              </w:rPr>
              <w:t>.</w:t>
            </w:r>
          </w:p>
          <w:p w14:paraId="05FDCCDF"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Improv</w:t>
            </w:r>
            <w:r w:rsidR="006D4D55">
              <w:rPr>
                <w:rFonts w:eastAsia="Times New Roman" w:cs="Times New Roman"/>
              </w:rPr>
              <w:t>ing the</w:t>
            </w:r>
            <w:r w:rsidRPr="002B1DFC">
              <w:rPr>
                <w:rFonts w:eastAsia="Times New Roman" w:cs="Times New Roman"/>
              </w:rPr>
              <w:t xml:space="preserve"> environmental situation and environmental safety</w:t>
            </w:r>
            <w:r w:rsidR="006D4D55">
              <w:rPr>
                <w:rFonts w:eastAsia="Times New Roman" w:cs="Times New Roman"/>
              </w:rPr>
              <w:t>.</w:t>
            </w:r>
          </w:p>
          <w:p w14:paraId="74A931F1" w14:textId="77777777" w:rsidR="000B7923" w:rsidRPr="002B1DFC" w:rsidRDefault="000B7923" w:rsidP="006D4D55">
            <w:pPr>
              <w:pStyle w:val="ListParagraph"/>
              <w:numPr>
                <w:ilvl w:val="0"/>
                <w:numId w:val="7"/>
              </w:numPr>
              <w:ind w:left="360"/>
              <w:rPr>
                <w:rFonts w:eastAsia="Times New Roman" w:cs="Times New Roman"/>
              </w:rPr>
            </w:pPr>
            <w:r w:rsidRPr="002B1DFC">
              <w:rPr>
                <w:rFonts w:eastAsia="Times New Roman" w:cs="Times New Roman"/>
              </w:rPr>
              <w:t>Slow</w:t>
            </w:r>
            <w:r w:rsidR="006D4D55">
              <w:rPr>
                <w:rFonts w:eastAsia="Times New Roman" w:cs="Times New Roman"/>
              </w:rPr>
              <w:t>ing the</w:t>
            </w:r>
            <w:r w:rsidRPr="002B1DFC">
              <w:rPr>
                <w:rFonts w:eastAsia="Times New Roman" w:cs="Times New Roman"/>
              </w:rPr>
              <w:t xml:space="preserve"> loss of biological and landscape diversity, and </w:t>
            </w:r>
            <w:r w:rsidR="006D4D55">
              <w:rPr>
                <w:rFonts w:eastAsia="Times New Roman" w:cs="Times New Roman"/>
              </w:rPr>
              <w:t>establishing</w:t>
            </w:r>
            <w:r w:rsidRPr="002B1DFC">
              <w:rPr>
                <w:rFonts w:eastAsia="Times New Roman" w:cs="Times New Roman"/>
              </w:rPr>
              <w:t xml:space="preserve"> ecological networks.</w:t>
            </w:r>
          </w:p>
        </w:tc>
      </w:tr>
      <w:tr w:rsidR="000B7923" w:rsidRPr="002B1DFC" w14:paraId="3835004A" w14:textId="77777777">
        <w:tc>
          <w:tcPr>
            <w:tcW w:w="1026" w:type="pct"/>
            <w:tcBorders>
              <w:top w:val="single" w:sz="4" w:space="0" w:color="4F81BD"/>
              <w:left w:val="single" w:sz="4" w:space="0" w:color="4F81BD"/>
              <w:bottom w:val="single" w:sz="4" w:space="0" w:color="4F81BD"/>
              <w:right w:val="nil"/>
            </w:tcBorders>
            <w:shd w:val="clear" w:color="auto" w:fill="FFFFFF"/>
          </w:tcPr>
          <w:p w14:paraId="57C99A7B" w14:textId="77777777" w:rsidR="000B7923" w:rsidRPr="002B1DFC" w:rsidRDefault="000B7923" w:rsidP="0057764E">
            <w:pPr>
              <w:rPr>
                <w:rFonts w:eastAsia="Times New Roman" w:cs="Times New Roman"/>
                <w:b/>
                <w:bCs/>
              </w:rPr>
            </w:pPr>
            <w:r w:rsidRPr="002B1DFC">
              <w:rPr>
                <w:rFonts w:eastAsia="Times New Roman" w:cs="Times New Roman"/>
                <w:b/>
                <w:bCs/>
              </w:rPr>
              <w:t>Ivano-Frankivsk</w:t>
            </w:r>
          </w:p>
        </w:tc>
        <w:tc>
          <w:tcPr>
            <w:tcW w:w="3974" w:type="pct"/>
            <w:tcBorders>
              <w:top w:val="single" w:sz="4" w:space="0" w:color="4F81BD"/>
              <w:bottom w:val="single" w:sz="4" w:space="0" w:color="4F81BD"/>
              <w:right w:val="single" w:sz="4" w:space="0" w:color="4F81BD"/>
            </w:tcBorders>
          </w:tcPr>
          <w:p w14:paraId="6C3850EC"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Reduc</w:t>
            </w:r>
            <w:r w:rsidR="006D4D55">
              <w:rPr>
                <w:rFonts w:eastAsia="Times New Roman" w:cs="Times New Roman"/>
              </w:rPr>
              <w:t>ing</w:t>
            </w:r>
            <w:r w:rsidRPr="002B1DFC">
              <w:rPr>
                <w:rFonts w:eastAsia="Times New Roman" w:cs="Times New Roman"/>
              </w:rPr>
              <w:t xml:space="preserve"> emissions and discharges of pollutants into the environment, safe handling of waste</w:t>
            </w:r>
            <w:r w:rsidR="006D4D55">
              <w:rPr>
                <w:rFonts w:eastAsia="Times New Roman" w:cs="Times New Roman"/>
              </w:rPr>
              <w:t>.</w:t>
            </w:r>
          </w:p>
          <w:p w14:paraId="478571AF"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Achieving safe for human health of the environment</w:t>
            </w:r>
            <w:r w:rsidR="006D4D55">
              <w:rPr>
                <w:rFonts w:eastAsia="Times New Roman" w:cs="Times New Roman"/>
              </w:rPr>
              <w:t>.</w:t>
            </w:r>
          </w:p>
          <w:p w14:paraId="65671B77"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Ensuring environmentally sustainable nature</w:t>
            </w:r>
            <w:r w:rsidR="006D4D55">
              <w:rPr>
                <w:rFonts w:eastAsia="Times New Roman" w:cs="Times New Roman"/>
              </w:rPr>
              <w:t>.</w:t>
            </w:r>
          </w:p>
          <w:p w14:paraId="3F959CB7"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Halt</w:t>
            </w:r>
            <w:r w:rsidR="006D4D55">
              <w:rPr>
                <w:rFonts w:eastAsia="Times New Roman" w:cs="Times New Roman"/>
              </w:rPr>
              <w:t>ing</w:t>
            </w:r>
            <w:r w:rsidRPr="002B1DFC">
              <w:rPr>
                <w:rFonts w:eastAsia="Times New Roman" w:cs="Times New Roman"/>
              </w:rPr>
              <w:t xml:space="preserve"> loss of biotic and landscape diversity, establishing an ecological network</w:t>
            </w:r>
            <w:r w:rsidR="006D4D55">
              <w:rPr>
                <w:rFonts w:eastAsia="Times New Roman" w:cs="Times New Roman"/>
              </w:rPr>
              <w:t>.</w:t>
            </w:r>
          </w:p>
          <w:p w14:paraId="69A9F550"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Raising public environmental awareness</w:t>
            </w:r>
            <w:r w:rsidR="006D4D55">
              <w:rPr>
                <w:rFonts w:eastAsia="Times New Roman" w:cs="Times New Roman"/>
              </w:rPr>
              <w:t>.</w:t>
            </w:r>
          </w:p>
        </w:tc>
      </w:tr>
      <w:tr w:rsidR="000B7923" w:rsidRPr="002B1DFC" w14:paraId="1DF415B1" w14:textId="77777777">
        <w:tc>
          <w:tcPr>
            <w:tcW w:w="1026" w:type="pct"/>
            <w:tcBorders>
              <w:left w:val="single" w:sz="4" w:space="0" w:color="4F81BD"/>
              <w:right w:val="nil"/>
            </w:tcBorders>
            <w:shd w:val="clear" w:color="auto" w:fill="FFFFFF"/>
          </w:tcPr>
          <w:p w14:paraId="6458E4E2" w14:textId="77777777" w:rsidR="000B7923" w:rsidRPr="002B1DFC" w:rsidRDefault="000B7923" w:rsidP="0057764E">
            <w:pPr>
              <w:rPr>
                <w:rFonts w:eastAsia="Times New Roman" w:cs="Times New Roman"/>
                <w:b/>
                <w:bCs/>
              </w:rPr>
            </w:pPr>
            <w:proofErr w:type="spellStart"/>
            <w:r w:rsidRPr="002B1DFC">
              <w:rPr>
                <w:rFonts w:eastAsia="Times New Roman" w:cs="Times New Roman"/>
                <w:b/>
                <w:bCs/>
              </w:rPr>
              <w:t>Zaporizhzhya</w:t>
            </w:r>
            <w:proofErr w:type="spellEnd"/>
          </w:p>
        </w:tc>
        <w:tc>
          <w:tcPr>
            <w:tcW w:w="3974" w:type="pct"/>
            <w:tcBorders>
              <w:right w:val="single" w:sz="4" w:space="0" w:color="4F81BD"/>
            </w:tcBorders>
          </w:tcPr>
          <w:p w14:paraId="41518F50" w14:textId="77777777" w:rsidR="000B7923" w:rsidRPr="002B1DFC" w:rsidRDefault="006D4D55" w:rsidP="00B83095">
            <w:pPr>
              <w:pStyle w:val="ListParagraph"/>
              <w:numPr>
                <w:ilvl w:val="0"/>
                <w:numId w:val="7"/>
              </w:numPr>
              <w:ind w:left="360"/>
              <w:rPr>
                <w:rFonts w:eastAsia="Times New Roman" w:cs="Times New Roman"/>
              </w:rPr>
            </w:pPr>
            <w:r>
              <w:rPr>
                <w:rFonts w:eastAsia="Times New Roman" w:cs="Times New Roman"/>
              </w:rPr>
              <w:t>Introducing</w:t>
            </w:r>
            <w:r w:rsidR="000B7923" w:rsidRPr="002B1DFC">
              <w:rPr>
                <w:rFonts w:eastAsia="Times New Roman" w:cs="Times New Roman"/>
              </w:rPr>
              <w:t xml:space="preserve"> a new mechanism for regulating air pollutants</w:t>
            </w:r>
            <w:r w:rsidR="005608F5">
              <w:rPr>
                <w:rFonts w:eastAsia="Times New Roman" w:cs="Times New Roman"/>
              </w:rPr>
              <w:t>. This mechanism</w:t>
            </w:r>
            <w:r w:rsidR="000B7923" w:rsidRPr="002B1DFC">
              <w:rPr>
                <w:rFonts w:eastAsia="Times New Roman" w:cs="Times New Roman"/>
              </w:rPr>
              <w:t xml:space="preserve"> provides planning measures</w:t>
            </w:r>
            <w:r w:rsidR="005608F5">
              <w:rPr>
                <w:rFonts w:eastAsia="Times New Roman" w:cs="Times New Roman"/>
              </w:rPr>
              <w:t xml:space="preserve"> to enterprises to promote their </w:t>
            </w:r>
            <w:r w:rsidR="000B7923" w:rsidRPr="002B1DFC">
              <w:rPr>
                <w:rFonts w:eastAsia="Times New Roman" w:cs="Times New Roman"/>
              </w:rPr>
              <w:t>use of best available technologies.</w:t>
            </w:r>
          </w:p>
          <w:p w14:paraId="70F3C866"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Implement</w:t>
            </w:r>
            <w:r w:rsidR="006D4D55">
              <w:rPr>
                <w:rFonts w:eastAsia="Times New Roman" w:cs="Times New Roman"/>
              </w:rPr>
              <w:t>ing</w:t>
            </w:r>
            <w:r w:rsidRPr="002B1DFC">
              <w:rPr>
                <w:rFonts w:eastAsia="Times New Roman" w:cs="Times New Roman"/>
              </w:rPr>
              <w:t xml:space="preserve"> measures aimed at curbing water pollution and sustainable use of water resources.</w:t>
            </w:r>
          </w:p>
          <w:p w14:paraId="535BF72D"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Reducing the volume of waste disposal and the timely detection of adverse effects of waste accumulation.</w:t>
            </w:r>
          </w:p>
          <w:p w14:paraId="0A265896"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Treat</w:t>
            </w:r>
            <w:r w:rsidR="006D4D55">
              <w:rPr>
                <w:rFonts w:eastAsia="Times New Roman" w:cs="Times New Roman"/>
              </w:rPr>
              <w:t>ing</w:t>
            </w:r>
            <w:r w:rsidRPr="002B1DFC">
              <w:rPr>
                <w:rFonts w:eastAsia="Times New Roman" w:cs="Times New Roman"/>
              </w:rPr>
              <w:t xml:space="preserve"> industrial waste</w:t>
            </w:r>
            <w:r w:rsidR="006D4D55">
              <w:rPr>
                <w:rFonts w:eastAsia="Times New Roman" w:cs="Times New Roman"/>
              </w:rPr>
              <w:t>.</w:t>
            </w:r>
          </w:p>
          <w:p w14:paraId="7C2120CB"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 xml:space="preserve">Implementing the concept of </w:t>
            </w:r>
            <w:r w:rsidR="006D4D55">
              <w:rPr>
                <w:rFonts w:eastAsia="Times New Roman" w:cs="Times New Roman"/>
              </w:rPr>
              <w:t>“</w:t>
            </w:r>
            <w:r w:rsidRPr="002B1DFC">
              <w:rPr>
                <w:rFonts w:eastAsia="Times New Roman" w:cs="Times New Roman"/>
              </w:rPr>
              <w:t>ecological network</w:t>
            </w:r>
            <w:r w:rsidR="006D4D55">
              <w:rPr>
                <w:rFonts w:eastAsia="Times New Roman" w:cs="Times New Roman"/>
              </w:rPr>
              <w:t>”</w:t>
            </w:r>
            <w:r w:rsidRPr="002B1DFC">
              <w:rPr>
                <w:rFonts w:eastAsia="Times New Roman" w:cs="Times New Roman"/>
              </w:rPr>
              <w:t xml:space="preserve"> at </w:t>
            </w:r>
            <w:r w:rsidR="006D4D55">
              <w:rPr>
                <w:rFonts w:eastAsia="Times New Roman" w:cs="Times New Roman"/>
              </w:rPr>
              <w:t xml:space="preserve">the </w:t>
            </w:r>
            <w:r w:rsidRPr="002B1DFC">
              <w:rPr>
                <w:rFonts w:eastAsia="Times New Roman" w:cs="Times New Roman"/>
              </w:rPr>
              <w:t>regional level</w:t>
            </w:r>
            <w:r w:rsidR="006D4D55">
              <w:rPr>
                <w:rFonts w:eastAsia="Times New Roman" w:cs="Times New Roman"/>
              </w:rPr>
              <w:t>.</w:t>
            </w:r>
          </w:p>
        </w:tc>
      </w:tr>
      <w:tr w:rsidR="000B7923" w:rsidRPr="002B1DFC" w14:paraId="78BC896D" w14:textId="77777777">
        <w:tc>
          <w:tcPr>
            <w:tcW w:w="1026" w:type="pct"/>
            <w:tcBorders>
              <w:top w:val="single" w:sz="4" w:space="0" w:color="4F81BD"/>
              <w:left w:val="single" w:sz="4" w:space="0" w:color="4F81BD"/>
              <w:bottom w:val="single" w:sz="4" w:space="0" w:color="4F81BD"/>
              <w:right w:val="nil"/>
            </w:tcBorders>
            <w:shd w:val="clear" w:color="auto" w:fill="FFFFFF"/>
          </w:tcPr>
          <w:p w14:paraId="37F0EA36" w14:textId="77777777" w:rsidR="000B7923" w:rsidRPr="002B1DFC" w:rsidRDefault="000B7923" w:rsidP="0057764E">
            <w:pPr>
              <w:rPr>
                <w:rFonts w:eastAsia="Times New Roman" w:cs="Times New Roman"/>
                <w:b/>
                <w:bCs/>
              </w:rPr>
            </w:pPr>
            <w:proofErr w:type="spellStart"/>
            <w:r w:rsidRPr="002B1DFC">
              <w:rPr>
                <w:rFonts w:eastAsia="Times New Roman" w:cs="Times New Roman"/>
                <w:b/>
                <w:bCs/>
              </w:rPr>
              <w:t>Ternopil</w:t>
            </w:r>
            <w:proofErr w:type="spellEnd"/>
          </w:p>
        </w:tc>
        <w:tc>
          <w:tcPr>
            <w:tcW w:w="3974" w:type="pct"/>
            <w:tcBorders>
              <w:top w:val="single" w:sz="4" w:space="0" w:color="4F81BD"/>
              <w:bottom w:val="single" w:sz="4" w:space="0" w:color="4F81BD"/>
              <w:right w:val="single" w:sz="4" w:space="0" w:color="4F81BD"/>
            </w:tcBorders>
          </w:tcPr>
          <w:p w14:paraId="3055FB53"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Accumulati</w:t>
            </w:r>
            <w:r w:rsidR="006D4D55">
              <w:rPr>
                <w:rFonts w:eastAsia="Times New Roman" w:cs="Times New Roman"/>
              </w:rPr>
              <w:t>ng</w:t>
            </w:r>
            <w:r w:rsidRPr="002B1DFC">
              <w:rPr>
                <w:rFonts w:eastAsia="Times New Roman" w:cs="Times New Roman"/>
              </w:rPr>
              <w:t xml:space="preserve"> approximately 17 tons of obsolete, unknown</w:t>
            </w:r>
            <w:r w:rsidR="006D4D55">
              <w:rPr>
                <w:rFonts w:eastAsia="Times New Roman" w:cs="Times New Roman"/>
              </w:rPr>
              <w:t>,</w:t>
            </w:r>
            <w:r w:rsidRPr="002B1DFC">
              <w:rPr>
                <w:rFonts w:eastAsia="Times New Roman" w:cs="Times New Roman"/>
              </w:rPr>
              <w:t xml:space="preserve"> and prohibited pesticides</w:t>
            </w:r>
            <w:r w:rsidR="006D4D55">
              <w:rPr>
                <w:rFonts w:eastAsia="Times New Roman" w:cs="Times New Roman"/>
              </w:rPr>
              <w:t>.</w:t>
            </w:r>
          </w:p>
          <w:p w14:paraId="6D977398" w14:textId="77777777" w:rsidR="000B7923" w:rsidRPr="002B1DFC" w:rsidRDefault="006D4D55" w:rsidP="00B83095">
            <w:pPr>
              <w:pStyle w:val="ListParagraph"/>
              <w:numPr>
                <w:ilvl w:val="0"/>
                <w:numId w:val="7"/>
              </w:numPr>
              <w:ind w:left="360"/>
              <w:rPr>
                <w:rFonts w:eastAsia="Times New Roman" w:cs="Times New Roman"/>
              </w:rPr>
            </w:pPr>
            <w:r>
              <w:rPr>
                <w:rFonts w:eastAsia="Times New Roman" w:cs="Times New Roman"/>
              </w:rPr>
              <w:t>Managing s</w:t>
            </w:r>
            <w:r w:rsidR="000B7923" w:rsidRPr="002B1DFC">
              <w:rPr>
                <w:rFonts w:eastAsia="Times New Roman" w:cs="Times New Roman"/>
              </w:rPr>
              <w:t xml:space="preserve">olid waste. </w:t>
            </w:r>
          </w:p>
          <w:p w14:paraId="663A8341" w14:textId="77777777" w:rsidR="000B7923" w:rsidRPr="002B1DFC" w:rsidRDefault="006D4D55" w:rsidP="00B83095">
            <w:pPr>
              <w:pStyle w:val="ListParagraph"/>
              <w:numPr>
                <w:ilvl w:val="0"/>
                <w:numId w:val="7"/>
              </w:numPr>
              <w:ind w:left="360"/>
              <w:rPr>
                <w:rFonts w:eastAsia="Times New Roman" w:cs="Times New Roman"/>
              </w:rPr>
            </w:pPr>
            <w:r>
              <w:rPr>
                <w:rFonts w:eastAsia="Times New Roman" w:cs="Times New Roman"/>
              </w:rPr>
              <w:t>Managing w</w:t>
            </w:r>
            <w:r w:rsidR="000B7923" w:rsidRPr="002B1DFC">
              <w:rPr>
                <w:rFonts w:eastAsia="Times New Roman" w:cs="Times New Roman"/>
              </w:rPr>
              <w:t xml:space="preserve">astewater. </w:t>
            </w:r>
          </w:p>
          <w:p w14:paraId="6DCA4A53" w14:textId="77777777" w:rsidR="000B7923" w:rsidRPr="002B1DFC" w:rsidRDefault="000B7923" w:rsidP="00B83095">
            <w:pPr>
              <w:pStyle w:val="ListParagraph"/>
              <w:numPr>
                <w:ilvl w:val="0"/>
                <w:numId w:val="7"/>
              </w:numPr>
              <w:ind w:left="360"/>
              <w:rPr>
                <w:rFonts w:eastAsia="Times New Roman" w:cs="Times New Roman"/>
              </w:rPr>
            </w:pPr>
            <w:r w:rsidRPr="002B1DFC">
              <w:rPr>
                <w:rFonts w:eastAsia="Times New Roman" w:cs="Times New Roman"/>
              </w:rPr>
              <w:t>Mana</w:t>
            </w:r>
            <w:r w:rsidR="006D4D55">
              <w:rPr>
                <w:rFonts w:eastAsia="Times New Roman" w:cs="Times New Roman"/>
              </w:rPr>
              <w:t>ging</w:t>
            </w:r>
            <w:r w:rsidRPr="002B1DFC">
              <w:rPr>
                <w:rFonts w:eastAsia="Times New Roman" w:cs="Times New Roman"/>
              </w:rPr>
              <w:t xml:space="preserve"> forests. </w:t>
            </w:r>
          </w:p>
          <w:p w14:paraId="049239B5" w14:textId="77777777" w:rsidR="000B7923" w:rsidRPr="002B1DFC" w:rsidRDefault="006D4D55" w:rsidP="006D4D55">
            <w:pPr>
              <w:pStyle w:val="ListParagraph"/>
              <w:numPr>
                <w:ilvl w:val="0"/>
                <w:numId w:val="7"/>
              </w:numPr>
              <w:ind w:left="360"/>
              <w:rPr>
                <w:rFonts w:eastAsia="Times New Roman" w:cs="Times New Roman"/>
              </w:rPr>
            </w:pPr>
            <w:r>
              <w:rPr>
                <w:rFonts w:eastAsia="Times New Roman" w:cs="Times New Roman"/>
              </w:rPr>
              <w:t>Dealing with violations of m</w:t>
            </w:r>
            <w:r w:rsidR="000B7923" w:rsidRPr="002B1DFC">
              <w:rPr>
                <w:rFonts w:eastAsia="Times New Roman" w:cs="Times New Roman"/>
              </w:rPr>
              <w:t xml:space="preserve">ining permits. </w:t>
            </w:r>
          </w:p>
        </w:tc>
      </w:tr>
      <w:tr w:rsidR="000B7923" w:rsidRPr="002B1DFC" w14:paraId="264EB76E" w14:textId="77777777">
        <w:tc>
          <w:tcPr>
            <w:tcW w:w="1026" w:type="pct"/>
            <w:tcBorders>
              <w:left w:val="single" w:sz="4" w:space="0" w:color="4F81BD"/>
              <w:right w:val="nil"/>
            </w:tcBorders>
            <w:shd w:val="clear" w:color="auto" w:fill="FFFFFF"/>
          </w:tcPr>
          <w:p w14:paraId="73F10F09" w14:textId="77777777" w:rsidR="000B7923" w:rsidRPr="002B1DFC" w:rsidRDefault="000B7923" w:rsidP="0057764E">
            <w:pPr>
              <w:rPr>
                <w:rFonts w:eastAsia="Times New Roman" w:cs="Times New Roman"/>
                <w:b/>
                <w:bCs/>
              </w:rPr>
            </w:pPr>
            <w:r w:rsidRPr="002B1DFC">
              <w:rPr>
                <w:rFonts w:eastAsia="Times New Roman" w:cs="Times New Roman"/>
                <w:b/>
                <w:bCs/>
              </w:rPr>
              <w:t>Rivne</w:t>
            </w:r>
          </w:p>
        </w:tc>
        <w:tc>
          <w:tcPr>
            <w:tcW w:w="3974" w:type="pct"/>
            <w:tcBorders>
              <w:right w:val="single" w:sz="4" w:space="0" w:color="4F81BD"/>
            </w:tcBorders>
          </w:tcPr>
          <w:p w14:paraId="01DAB09A" w14:textId="77777777" w:rsidR="000B7923" w:rsidRPr="002B1DFC" w:rsidRDefault="000B7923" w:rsidP="00B83095">
            <w:pPr>
              <w:pStyle w:val="ListParagraph"/>
              <w:numPr>
                <w:ilvl w:val="0"/>
                <w:numId w:val="30"/>
              </w:numPr>
              <w:ind w:left="360"/>
              <w:rPr>
                <w:rFonts w:eastAsia="Times New Roman" w:cs="Times New Roman"/>
              </w:rPr>
            </w:pPr>
            <w:r w:rsidRPr="002B1DFC">
              <w:rPr>
                <w:rFonts w:eastAsia="Times New Roman" w:cs="Times New Roman"/>
              </w:rPr>
              <w:t>Dispos</w:t>
            </w:r>
            <w:r w:rsidR="006D4D55">
              <w:rPr>
                <w:rFonts w:eastAsia="Times New Roman" w:cs="Times New Roman"/>
              </w:rPr>
              <w:t>ing</w:t>
            </w:r>
            <w:r w:rsidRPr="002B1DFC">
              <w:rPr>
                <w:rFonts w:eastAsia="Times New Roman" w:cs="Times New Roman"/>
              </w:rPr>
              <w:t xml:space="preserve"> of obsolete and banned chemical pesticides (in 2012</w:t>
            </w:r>
            <w:r w:rsidR="006D4D55">
              <w:rPr>
                <w:rFonts w:eastAsia="Times New Roman" w:cs="Times New Roman"/>
              </w:rPr>
              <w:t>,</w:t>
            </w:r>
            <w:r w:rsidRPr="002B1DFC">
              <w:rPr>
                <w:rFonts w:eastAsia="Times New Roman" w:cs="Times New Roman"/>
              </w:rPr>
              <w:t xml:space="preserve"> 61 tons were exported for disposal from the region). </w:t>
            </w:r>
          </w:p>
          <w:p w14:paraId="3DB5BFD0" w14:textId="77777777" w:rsidR="000B7923" w:rsidRPr="002B1DFC" w:rsidRDefault="000B7923" w:rsidP="00B83095">
            <w:pPr>
              <w:pStyle w:val="ListParagraph"/>
              <w:numPr>
                <w:ilvl w:val="0"/>
                <w:numId w:val="30"/>
              </w:numPr>
              <w:ind w:left="360"/>
              <w:rPr>
                <w:rFonts w:eastAsia="Times New Roman" w:cs="Times New Roman"/>
              </w:rPr>
            </w:pPr>
            <w:r w:rsidRPr="002B1DFC">
              <w:rPr>
                <w:rFonts w:eastAsia="Times New Roman" w:cs="Times New Roman"/>
              </w:rPr>
              <w:t>Dispos</w:t>
            </w:r>
            <w:r w:rsidR="006D4D55">
              <w:rPr>
                <w:rFonts w:eastAsia="Times New Roman" w:cs="Times New Roman"/>
              </w:rPr>
              <w:t>ing</w:t>
            </w:r>
            <w:r w:rsidRPr="002B1DFC">
              <w:rPr>
                <w:rFonts w:eastAsia="Times New Roman" w:cs="Times New Roman"/>
              </w:rPr>
              <w:t xml:space="preserve"> of fluorescent lamps</w:t>
            </w:r>
            <w:r w:rsidR="006D4D55">
              <w:rPr>
                <w:rFonts w:eastAsia="Times New Roman" w:cs="Times New Roman"/>
              </w:rPr>
              <w:t>.</w:t>
            </w:r>
          </w:p>
          <w:p w14:paraId="008C6D6E" w14:textId="77777777" w:rsidR="000B7923" w:rsidRPr="002B1DFC" w:rsidRDefault="000B7923" w:rsidP="00B83095">
            <w:pPr>
              <w:pStyle w:val="ListParagraph"/>
              <w:numPr>
                <w:ilvl w:val="0"/>
                <w:numId w:val="30"/>
              </w:numPr>
              <w:ind w:left="360"/>
              <w:rPr>
                <w:rFonts w:eastAsia="Times New Roman" w:cs="Times New Roman"/>
              </w:rPr>
            </w:pPr>
            <w:r w:rsidRPr="002B1DFC">
              <w:rPr>
                <w:rFonts w:eastAsia="Times New Roman" w:cs="Times New Roman"/>
              </w:rPr>
              <w:t>Expan</w:t>
            </w:r>
            <w:r w:rsidR="006D4D55">
              <w:rPr>
                <w:rFonts w:eastAsia="Times New Roman" w:cs="Times New Roman"/>
              </w:rPr>
              <w:t>ding the network of</w:t>
            </w:r>
            <w:r w:rsidRPr="002B1DFC">
              <w:rPr>
                <w:rFonts w:eastAsia="Times New Roman" w:cs="Times New Roman"/>
              </w:rPr>
              <w:t xml:space="preserve"> protected areas</w:t>
            </w:r>
            <w:r w:rsidR="006D4D55">
              <w:rPr>
                <w:rFonts w:eastAsia="Times New Roman" w:cs="Times New Roman"/>
              </w:rPr>
              <w:t>.</w:t>
            </w:r>
            <w:r w:rsidRPr="002B1DFC">
              <w:rPr>
                <w:rFonts w:eastAsia="Times New Roman" w:cs="Times New Roman"/>
              </w:rPr>
              <w:t xml:space="preserve"> </w:t>
            </w:r>
          </w:p>
        </w:tc>
      </w:tr>
      <w:tr w:rsidR="000B7923" w:rsidRPr="002B1DFC" w14:paraId="70355687" w14:textId="77777777">
        <w:tc>
          <w:tcPr>
            <w:tcW w:w="1026" w:type="pct"/>
            <w:tcBorders>
              <w:top w:val="single" w:sz="4" w:space="0" w:color="4F81BD"/>
              <w:left w:val="single" w:sz="4" w:space="0" w:color="4F81BD"/>
              <w:bottom w:val="single" w:sz="4" w:space="0" w:color="4F81BD"/>
              <w:right w:val="nil"/>
            </w:tcBorders>
            <w:shd w:val="clear" w:color="auto" w:fill="FFFFFF"/>
          </w:tcPr>
          <w:p w14:paraId="34DFBFB8" w14:textId="77777777" w:rsidR="000B7923" w:rsidRPr="002B1DFC" w:rsidRDefault="000B7923" w:rsidP="0057764E">
            <w:pPr>
              <w:rPr>
                <w:rFonts w:eastAsia="Times New Roman" w:cs="Times New Roman"/>
                <w:b/>
                <w:bCs/>
              </w:rPr>
            </w:pPr>
            <w:proofErr w:type="spellStart"/>
            <w:r w:rsidRPr="002B1DFC">
              <w:rPr>
                <w:rFonts w:eastAsia="Times New Roman" w:cs="Times New Roman"/>
                <w:b/>
                <w:bCs/>
              </w:rPr>
              <w:t>Lviv</w:t>
            </w:r>
            <w:proofErr w:type="spellEnd"/>
          </w:p>
        </w:tc>
        <w:tc>
          <w:tcPr>
            <w:tcW w:w="3974" w:type="pct"/>
            <w:tcBorders>
              <w:top w:val="single" w:sz="4" w:space="0" w:color="4F81BD"/>
              <w:bottom w:val="single" w:sz="4" w:space="0" w:color="4F81BD"/>
              <w:right w:val="single" w:sz="4" w:space="0" w:color="4F81BD"/>
            </w:tcBorders>
          </w:tcPr>
          <w:p w14:paraId="06CAC323" w14:textId="77777777" w:rsidR="000B7923" w:rsidRPr="002B1DFC" w:rsidRDefault="006D4D55" w:rsidP="00B83095">
            <w:pPr>
              <w:pStyle w:val="ListParagraph"/>
              <w:numPr>
                <w:ilvl w:val="0"/>
                <w:numId w:val="30"/>
              </w:numPr>
              <w:ind w:left="360"/>
              <w:rPr>
                <w:rFonts w:eastAsia="Times New Roman" w:cs="Times New Roman"/>
              </w:rPr>
            </w:pPr>
            <w:r>
              <w:rPr>
                <w:rFonts w:eastAsia="Times New Roman" w:cs="Times New Roman"/>
              </w:rPr>
              <w:t>Stabilizing e</w:t>
            </w:r>
            <w:r w:rsidR="000B7923" w:rsidRPr="002B1DFC">
              <w:rPr>
                <w:rFonts w:eastAsia="Times New Roman" w:cs="Times New Roman"/>
              </w:rPr>
              <w:t xml:space="preserve">nvironmental </w:t>
            </w:r>
            <w:r>
              <w:rPr>
                <w:rFonts w:eastAsia="Times New Roman" w:cs="Times New Roman"/>
              </w:rPr>
              <w:t>conditions</w:t>
            </w:r>
            <w:r w:rsidRPr="002B1DFC">
              <w:rPr>
                <w:rFonts w:eastAsia="Times New Roman" w:cs="Times New Roman"/>
              </w:rPr>
              <w:t xml:space="preserve"> </w:t>
            </w:r>
            <w:r w:rsidR="000B7923" w:rsidRPr="002B1DFC">
              <w:rPr>
                <w:rFonts w:eastAsia="Times New Roman" w:cs="Times New Roman"/>
              </w:rPr>
              <w:t xml:space="preserve">and </w:t>
            </w:r>
            <w:r w:rsidRPr="002B1DFC">
              <w:rPr>
                <w:rFonts w:eastAsia="Times New Roman" w:cs="Times New Roman"/>
              </w:rPr>
              <w:t>rehabilitat</w:t>
            </w:r>
            <w:r>
              <w:rPr>
                <w:rFonts w:eastAsia="Times New Roman" w:cs="Times New Roman"/>
              </w:rPr>
              <w:t>ing</w:t>
            </w:r>
            <w:r w:rsidRPr="002B1DFC">
              <w:rPr>
                <w:rFonts w:eastAsia="Times New Roman" w:cs="Times New Roman"/>
              </w:rPr>
              <w:t xml:space="preserve"> </w:t>
            </w:r>
            <w:r w:rsidR="000B7923" w:rsidRPr="002B1DFC">
              <w:rPr>
                <w:rFonts w:eastAsia="Times New Roman" w:cs="Times New Roman"/>
              </w:rPr>
              <w:t xml:space="preserve">areas </w:t>
            </w:r>
            <w:r>
              <w:rPr>
                <w:rFonts w:eastAsia="Times New Roman" w:cs="Times New Roman"/>
              </w:rPr>
              <w:t>affected by</w:t>
            </w:r>
            <w:r w:rsidR="000B7923" w:rsidRPr="002B1DFC">
              <w:rPr>
                <w:rFonts w:eastAsia="Times New Roman" w:cs="Times New Roman"/>
              </w:rPr>
              <w:t xml:space="preserve"> ​​mining</w:t>
            </w:r>
            <w:r>
              <w:rPr>
                <w:rFonts w:eastAsia="Times New Roman" w:cs="Times New Roman"/>
              </w:rPr>
              <w:t xml:space="preserve"> and</w:t>
            </w:r>
            <w:r w:rsidR="000B7923" w:rsidRPr="002B1DFC">
              <w:rPr>
                <w:rFonts w:eastAsia="Times New Roman" w:cs="Times New Roman"/>
              </w:rPr>
              <w:t xml:space="preserve"> chemical enterprises</w:t>
            </w:r>
            <w:r>
              <w:rPr>
                <w:rFonts w:eastAsia="Times New Roman" w:cs="Times New Roman"/>
              </w:rPr>
              <w:t>;</w:t>
            </w:r>
            <w:r w:rsidR="000B7923" w:rsidRPr="002B1DFC">
              <w:rPr>
                <w:rFonts w:eastAsia="Times New Roman" w:cs="Times New Roman"/>
              </w:rPr>
              <w:t xml:space="preserve"> protecti</w:t>
            </w:r>
            <w:r>
              <w:rPr>
                <w:rFonts w:eastAsia="Times New Roman" w:cs="Times New Roman"/>
              </w:rPr>
              <w:t>ng</w:t>
            </w:r>
            <w:r w:rsidR="000B7923" w:rsidRPr="002B1DFC">
              <w:rPr>
                <w:rFonts w:eastAsia="Times New Roman" w:cs="Times New Roman"/>
              </w:rPr>
              <w:t xml:space="preserve"> mineral resources</w:t>
            </w:r>
            <w:r>
              <w:rPr>
                <w:rFonts w:eastAsia="Times New Roman" w:cs="Times New Roman"/>
              </w:rPr>
              <w:t xml:space="preserve"> and ensuring their rational use</w:t>
            </w:r>
            <w:r w:rsidR="000B7923" w:rsidRPr="002B1DFC">
              <w:rPr>
                <w:rFonts w:eastAsia="Times New Roman" w:cs="Times New Roman"/>
              </w:rPr>
              <w:t xml:space="preserve">. </w:t>
            </w:r>
          </w:p>
          <w:p w14:paraId="2BACC3E9" w14:textId="77777777" w:rsidR="000B7923" w:rsidRPr="002B1DFC" w:rsidRDefault="000B7923" w:rsidP="00B83095">
            <w:pPr>
              <w:pStyle w:val="ListParagraph"/>
              <w:numPr>
                <w:ilvl w:val="0"/>
                <w:numId w:val="30"/>
              </w:numPr>
              <w:ind w:left="360"/>
              <w:rPr>
                <w:rFonts w:eastAsia="Times New Roman" w:cs="Times New Roman"/>
              </w:rPr>
            </w:pPr>
            <w:r w:rsidRPr="002B1DFC">
              <w:rPr>
                <w:rFonts w:eastAsia="Times New Roman" w:cs="Times New Roman"/>
              </w:rPr>
              <w:t>Improving the ecological condition of surface water basins and ensur</w:t>
            </w:r>
            <w:r w:rsidR="006D4D55">
              <w:rPr>
                <w:rFonts w:eastAsia="Times New Roman" w:cs="Times New Roman"/>
              </w:rPr>
              <w:t>ing that</w:t>
            </w:r>
            <w:r w:rsidRPr="002B1DFC">
              <w:rPr>
                <w:rFonts w:eastAsia="Times New Roman" w:cs="Times New Roman"/>
              </w:rPr>
              <w:t xml:space="preserve"> the supply of oblast drinking water i</w:t>
            </w:r>
            <w:r w:rsidR="006D4D55">
              <w:rPr>
                <w:rFonts w:eastAsia="Times New Roman" w:cs="Times New Roman"/>
              </w:rPr>
              <w:t>s of</w:t>
            </w:r>
            <w:r w:rsidRPr="002B1DFC">
              <w:rPr>
                <w:rFonts w:eastAsia="Times New Roman" w:cs="Times New Roman"/>
              </w:rPr>
              <w:t xml:space="preserve"> sufficient quantity and of good quality. </w:t>
            </w:r>
          </w:p>
          <w:p w14:paraId="1DE48798" w14:textId="77777777" w:rsidR="000B7923" w:rsidRPr="002B1DFC" w:rsidRDefault="000B7923" w:rsidP="00B83095">
            <w:pPr>
              <w:pStyle w:val="ListParagraph"/>
              <w:numPr>
                <w:ilvl w:val="0"/>
                <w:numId w:val="30"/>
              </w:numPr>
              <w:ind w:left="360"/>
              <w:rPr>
                <w:rFonts w:eastAsia="Times New Roman" w:cs="Times New Roman"/>
              </w:rPr>
            </w:pPr>
            <w:r w:rsidRPr="002B1DFC">
              <w:rPr>
                <w:rFonts w:eastAsia="Times New Roman" w:cs="Times New Roman"/>
              </w:rPr>
              <w:t>Dispos</w:t>
            </w:r>
            <w:r w:rsidR="006D4D55">
              <w:rPr>
                <w:rFonts w:eastAsia="Times New Roman" w:cs="Times New Roman"/>
              </w:rPr>
              <w:t>ing of and</w:t>
            </w:r>
            <w:r w:rsidRPr="002B1DFC">
              <w:rPr>
                <w:rFonts w:eastAsia="Times New Roman" w:cs="Times New Roman"/>
              </w:rPr>
              <w:t xml:space="preserve"> recycling solid and industrial waste, dispos</w:t>
            </w:r>
            <w:r w:rsidR="006D4D55">
              <w:rPr>
                <w:rFonts w:eastAsia="Times New Roman" w:cs="Times New Roman"/>
              </w:rPr>
              <w:t>ing</w:t>
            </w:r>
            <w:r w:rsidRPr="002B1DFC">
              <w:rPr>
                <w:rFonts w:eastAsia="Times New Roman" w:cs="Times New Roman"/>
              </w:rPr>
              <w:t xml:space="preserve"> of pesticides. </w:t>
            </w:r>
          </w:p>
          <w:p w14:paraId="6332880E" w14:textId="77777777" w:rsidR="000B7923" w:rsidRPr="002B1DFC" w:rsidRDefault="006D4D55" w:rsidP="00B83095">
            <w:pPr>
              <w:pStyle w:val="ListParagraph"/>
              <w:numPr>
                <w:ilvl w:val="0"/>
                <w:numId w:val="30"/>
              </w:numPr>
              <w:ind w:left="360"/>
              <w:rPr>
                <w:rFonts w:eastAsia="Times New Roman" w:cs="Times New Roman"/>
              </w:rPr>
            </w:pPr>
            <w:r>
              <w:rPr>
                <w:rFonts w:eastAsia="Times New Roman" w:cs="Times New Roman"/>
              </w:rPr>
              <w:t>Developing a</w:t>
            </w:r>
            <w:r w:rsidR="000B7923" w:rsidRPr="002B1DFC">
              <w:rPr>
                <w:rFonts w:eastAsia="Times New Roman" w:cs="Times New Roman"/>
              </w:rPr>
              <w:t xml:space="preserve"> nature reserves network</w:t>
            </w:r>
            <w:r>
              <w:rPr>
                <w:rFonts w:eastAsia="Times New Roman" w:cs="Times New Roman"/>
              </w:rPr>
              <w:t>,</w:t>
            </w:r>
            <w:r w:rsidR="000B7923" w:rsidRPr="002B1DFC">
              <w:rPr>
                <w:rFonts w:eastAsia="Times New Roman" w:cs="Times New Roman"/>
              </w:rPr>
              <w:t xml:space="preserve"> and protect</w:t>
            </w:r>
            <w:r>
              <w:rPr>
                <w:rFonts w:eastAsia="Times New Roman" w:cs="Times New Roman"/>
              </w:rPr>
              <w:t xml:space="preserve">ing </w:t>
            </w:r>
            <w:r w:rsidR="000B7923" w:rsidRPr="002B1DFC">
              <w:rPr>
                <w:rFonts w:eastAsia="Times New Roman" w:cs="Times New Roman"/>
              </w:rPr>
              <w:t>forests</w:t>
            </w:r>
            <w:r>
              <w:rPr>
                <w:rFonts w:eastAsia="Times New Roman" w:cs="Times New Roman"/>
              </w:rPr>
              <w:t xml:space="preserve"> and ensuring their rational use</w:t>
            </w:r>
            <w:r w:rsidR="000B7923" w:rsidRPr="002B1DFC">
              <w:rPr>
                <w:rFonts w:eastAsia="Times New Roman" w:cs="Times New Roman"/>
              </w:rPr>
              <w:t xml:space="preserve">. </w:t>
            </w:r>
          </w:p>
          <w:p w14:paraId="249A5B44" w14:textId="77777777" w:rsidR="000B7923" w:rsidRPr="002B1DFC" w:rsidRDefault="000B7923" w:rsidP="00B83095">
            <w:pPr>
              <w:pStyle w:val="ListParagraph"/>
              <w:numPr>
                <w:ilvl w:val="0"/>
                <w:numId w:val="30"/>
              </w:numPr>
              <w:ind w:left="360"/>
              <w:rPr>
                <w:rFonts w:eastAsia="Times New Roman" w:cs="Times New Roman"/>
              </w:rPr>
            </w:pPr>
            <w:r w:rsidRPr="002B1DFC">
              <w:rPr>
                <w:rFonts w:eastAsia="Times New Roman" w:cs="Times New Roman"/>
              </w:rPr>
              <w:t>Organiz</w:t>
            </w:r>
            <w:r w:rsidR="006D4D55">
              <w:rPr>
                <w:rFonts w:eastAsia="Times New Roman" w:cs="Times New Roman"/>
              </w:rPr>
              <w:t>ing</w:t>
            </w:r>
            <w:r w:rsidRPr="002B1DFC">
              <w:rPr>
                <w:rFonts w:eastAsia="Times New Roman" w:cs="Times New Roman"/>
              </w:rPr>
              <w:t xml:space="preserve"> environmental monitoring </w:t>
            </w:r>
            <w:r w:rsidR="00D51AED">
              <w:rPr>
                <w:rFonts w:eastAsia="Times New Roman" w:cs="Times New Roman"/>
              </w:rPr>
              <w:t xml:space="preserve">activities </w:t>
            </w:r>
            <w:r w:rsidRPr="002B1DFC">
              <w:rPr>
                <w:rFonts w:eastAsia="Times New Roman" w:cs="Times New Roman"/>
              </w:rPr>
              <w:t>and provi</w:t>
            </w:r>
            <w:r w:rsidR="00D51AED">
              <w:rPr>
                <w:rFonts w:eastAsia="Times New Roman" w:cs="Times New Roman"/>
              </w:rPr>
              <w:t>ding</w:t>
            </w:r>
            <w:r w:rsidRPr="002B1DFC">
              <w:rPr>
                <w:rFonts w:eastAsia="Times New Roman" w:cs="Times New Roman"/>
              </w:rPr>
              <w:t xml:space="preserve"> information to support environmental protection activities. </w:t>
            </w:r>
          </w:p>
          <w:p w14:paraId="50ABF726" w14:textId="77777777" w:rsidR="000B7923" w:rsidRPr="002B1DFC" w:rsidRDefault="000B7923" w:rsidP="00B83095">
            <w:pPr>
              <w:pStyle w:val="ListParagraph"/>
              <w:numPr>
                <w:ilvl w:val="0"/>
                <w:numId w:val="30"/>
              </w:numPr>
              <w:ind w:left="360"/>
              <w:rPr>
                <w:rFonts w:eastAsia="Times New Roman" w:cs="Times New Roman"/>
              </w:rPr>
            </w:pPr>
            <w:r w:rsidRPr="002B1DFC">
              <w:rPr>
                <w:rFonts w:eastAsia="Times New Roman" w:cs="Times New Roman"/>
              </w:rPr>
              <w:t>Protecti</w:t>
            </w:r>
            <w:r w:rsidR="00D51AED">
              <w:rPr>
                <w:rFonts w:eastAsia="Times New Roman" w:cs="Times New Roman"/>
              </w:rPr>
              <w:t>ng the atmosphere</w:t>
            </w:r>
            <w:r w:rsidRPr="002B1DFC">
              <w:rPr>
                <w:rFonts w:eastAsia="Times New Roman" w:cs="Times New Roman"/>
              </w:rPr>
              <w:t>.</w:t>
            </w:r>
          </w:p>
        </w:tc>
      </w:tr>
    </w:tbl>
    <w:p w14:paraId="49455E32" w14:textId="77777777" w:rsidR="000B7923" w:rsidRPr="00183A7A" w:rsidRDefault="000B7923" w:rsidP="00D221E4">
      <w:pPr>
        <w:rPr>
          <w:rFonts w:cs="Times New Roman"/>
          <w:sz w:val="20"/>
          <w:szCs w:val="20"/>
        </w:rPr>
      </w:pPr>
      <w:r w:rsidRPr="00183A7A">
        <w:rPr>
          <w:rFonts w:cs="Times New Roman"/>
          <w:sz w:val="20"/>
          <w:szCs w:val="20"/>
        </w:rPr>
        <w:t>*</w:t>
      </w:r>
      <w:r w:rsidR="00810F94" w:rsidRPr="00183A7A">
        <w:rPr>
          <w:rFonts w:cs="Times New Roman"/>
          <w:i/>
          <w:sz w:val="20"/>
          <w:szCs w:val="20"/>
        </w:rPr>
        <w:t>Note:</w:t>
      </w:r>
      <w:r w:rsidRPr="00183A7A">
        <w:rPr>
          <w:rFonts w:cs="Times New Roman"/>
          <w:sz w:val="20"/>
          <w:szCs w:val="20"/>
        </w:rPr>
        <w:t xml:space="preserve"> </w:t>
      </w:r>
      <w:r w:rsidR="00FC456E">
        <w:rPr>
          <w:rFonts w:cs="Times New Roman"/>
          <w:sz w:val="20"/>
          <w:szCs w:val="20"/>
        </w:rPr>
        <w:t>P</w:t>
      </w:r>
      <w:r w:rsidRPr="00183A7A">
        <w:rPr>
          <w:rFonts w:cs="Times New Roman"/>
          <w:sz w:val="20"/>
          <w:szCs w:val="20"/>
        </w:rPr>
        <w:t xml:space="preserve">riorities based on 2012 Regional Environmental Conditions </w:t>
      </w:r>
      <w:r w:rsidR="00FC456E">
        <w:rPr>
          <w:rFonts w:cs="Times New Roman"/>
          <w:sz w:val="20"/>
          <w:szCs w:val="20"/>
        </w:rPr>
        <w:t>r</w:t>
      </w:r>
      <w:r w:rsidRPr="00183A7A">
        <w:rPr>
          <w:rFonts w:cs="Times New Roman"/>
          <w:sz w:val="20"/>
          <w:szCs w:val="20"/>
        </w:rPr>
        <w:t xml:space="preserve">eports prepared by </w:t>
      </w:r>
      <w:r w:rsidR="00FC456E">
        <w:rPr>
          <w:rFonts w:cs="Times New Roman"/>
          <w:sz w:val="20"/>
          <w:szCs w:val="20"/>
        </w:rPr>
        <w:t>MERN</w:t>
      </w:r>
      <w:r w:rsidR="00FC456E" w:rsidRPr="00183A7A">
        <w:rPr>
          <w:rFonts w:cs="Times New Roman"/>
          <w:sz w:val="20"/>
          <w:szCs w:val="20"/>
        </w:rPr>
        <w:t xml:space="preserve"> </w:t>
      </w:r>
      <w:r w:rsidR="00AB5880">
        <w:rPr>
          <w:rFonts w:cs="Times New Roman"/>
          <w:sz w:val="20"/>
          <w:szCs w:val="20"/>
        </w:rPr>
        <w:t>r</w:t>
      </w:r>
      <w:r w:rsidRPr="00183A7A">
        <w:rPr>
          <w:rFonts w:cs="Times New Roman"/>
          <w:sz w:val="20"/>
          <w:szCs w:val="20"/>
        </w:rPr>
        <w:t xml:space="preserve">egional </w:t>
      </w:r>
      <w:r w:rsidR="00AB5880">
        <w:rPr>
          <w:rFonts w:cs="Times New Roman"/>
          <w:sz w:val="20"/>
          <w:szCs w:val="20"/>
        </w:rPr>
        <w:t>b</w:t>
      </w:r>
      <w:r w:rsidRPr="00183A7A">
        <w:rPr>
          <w:rFonts w:cs="Times New Roman"/>
          <w:sz w:val="20"/>
          <w:szCs w:val="20"/>
        </w:rPr>
        <w:t>ranches.</w:t>
      </w:r>
    </w:p>
    <w:p w14:paraId="053B8666" w14:textId="77777777" w:rsidR="000B7923" w:rsidRPr="002B1DFC" w:rsidRDefault="000B7923" w:rsidP="00D221E4">
      <w:pPr>
        <w:rPr>
          <w:rFonts w:cs="Times New Roman"/>
          <w:color w:val="0000FF"/>
        </w:rPr>
      </w:pPr>
    </w:p>
    <w:p w14:paraId="579FAF8D" w14:textId="266DE4FE" w:rsidR="000B7923" w:rsidRPr="002B1DFC" w:rsidRDefault="000B7923" w:rsidP="00721C66">
      <w:pPr>
        <w:pStyle w:val="ListParagraph"/>
        <w:numPr>
          <w:ilvl w:val="0"/>
          <w:numId w:val="68"/>
        </w:numPr>
        <w:tabs>
          <w:tab w:val="left" w:pos="360"/>
        </w:tabs>
        <w:ind w:left="0" w:firstLine="0"/>
        <w:rPr>
          <w:rFonts w:cs="Times New Roman"/>
        </w:rPr>
      </w:pPr>
      <w:r w:rsidRPr="002B1DFC">
        <w:rPr>
          <w:rFonts w:cs="Times New Roman"/>
          <w:b/>
          <w:bCs/>
        </w:rPr>
        <w:t>In practice, various stakeholders (like cities and other settlements, utilities, businesses, NGOs</w:t>
      </w:r>
      <w:r w:rsidR="00BB0F37">
        <w:rPr>
          <w:rFonts w:cs="Times New Roman"/>
          <w:b/>
          <w:bCs/>
        </w:rPr>
        <w:t>, and so forth</w:t>
      </w:r>
      <w:r w:rsidRPr="002B1DFC">
        <w:rPr>
          <w:rFonts w:cs="Times New Roman"/>
          <w:b/>
          <w:bCs/>
        </w:rPr>
        <w:t>) submit their requests for funding to oblast authorities</w:t>
      </w:r>
      <w:r w:rsidR="00BB0F37">
        <w:rPr>
          <w:rFonts w:cs="Times New Roman"/>
          <w:b/>
          <w:bCs/>
        </w:rPr>
        <w:t>. I</w:t>
      </w:r>
      <w:r w:rsidRPr="002B1DFC">
        <w:rPr>
          <w:rFonts w:cs="Times New Roman"/>
          <w:b/>
          <w:bCs/>
        </w:rPr>
        <w:t>n the past</w:t>
      </w:r>
      <w:r w:rsidR="00BB0F37">
        <w:rPr>
          <w:rFonts w:cs="Times New Roman"/>
          <w:b/>
          <w:bCs/>
        </w:rPr>
        <w:t>, these were submitted</w:t>
      </w:r>
      <w:r w:rsidRPr="002B1DFC">
        <w:rPr>
          <w:rFonts w:cs="Times New Roman"/>
          <w:b/>
          <w:bCs/>
        </w:rPr>
        <w:t xml:space="preserve"> to </w:t>
      </w:r>
      <w:r w:rsidR="00BB0F37">
        <w:rPr>
          <w:rFonts w:cs="Times New Roman"/>
          <w:b/>
          <w:bCs/>
        </w:rPr>
        <w:t xml:space="preserve">MENR’s </w:t>
      </w:r>
      <w:r w:rsidRPr="002B1DFC">
        <w:rPr>
          <w:rFonts w:cs="Times New Roman"/>
          <w:b/>
          <w:bCs/>
        </w:rPr>
        <w:t>oblast branch</w:t>
      </w:r>
      <w:r w:rsidR="00BB0F37">
        <w:rPr>
          <w:rFonts w:cs="Times New Roman"/>
          <w:b/>
          <w:bCs/>
        </w:rPr>
        <w:t>;</w:t>
      </w:r>
      <w:r w:rsidRPr="002B1DFC">
        <w:rPr>
          <w:rFonts w:cs="Times New Roman"/>
          <w:b/>
          <w:bCs/>
        </w:rPr>
        <w:t xml:space="preserve"> now</w:t>
      </w:r>
      <w:r w:rsidR="00BB0F37">
        <w:rPr>
          <w:rFonts w:cs="Times New Roman"/>
          <w:b/>
          <w:bCs/>
        </w:rPr>
        <w:t>, they are submitted</w:t>
      </w:r>
      <w:r w:rsidRPr="002B1DFC">
        <w:rPr>
          <w:rFonts w:cs="Times New Roman"/>
          <w:b/>
          <w:bCs/>
        </w:rPr>
        <w:t xml:space="preserve"> to </w:t>
      </w:r>
      <w:r w:rsidR="00BB0F37">
        <w:rPr>
          <w:rFonts w:cs="Times New Roman"/>
          <w:b/>
          <w:bCs/>
        </w:rPr>
        <w:t>OSA’s</w:t>
      </w:r>
      <w:r w:rsidR="00BB0F37" w:rsidRPr="002B1DFC">
        <w:rPr>
          <w:rFonts w:cs="Times New Roman"/>
          <w:b/>
          <w:bCs/>
        </w:rPr>
        <w:t xml:space="preserve"> </w:t>
      </w:r>
      <w:r w:rsidR="00243EAB">
        <w:rPr>
          <w:rFonts w:cs="Times New Roman"/>
          <w:b/>
          <w:bCs/>
        </w:rPr>
        <w:t>D</w:t>
      </w:r>
      <w:r w:rsidRPr="002B1DFC">
        <w:rPr>
          <w:rFonts w:cs="Times New Roman"/>
          <w:b/>
          <w:bCs/>
        </w:rPr>
        <w:t xml:space="preserve">epartment of </w:t>
      </w:r>
      <w:r w:rsidR="00243EAB">
        <w:rPr>
          <w:rFonts w:cs="Times New Roman"/>
          <w:b/>
          <w:bCs/>
        </w:rPr>
        <w:t>E</w:t>
      </w:r>
      <w:r w:rsidRPr="002B1DFC">
        <w:rPr>
          <w:rFonts w:cs="Times New Roman"/>
          <w:b/>
          <w:bCs/>
        </w:rPr>
        <w:t xml:space="preserve">cology and </w:t>
      </w:r>
      <w:r w:rsidR="00243EAB">
        <w:rPr>
          <w:rFonts w:cs="Times New Roman"/>
          <w:b/>
          <w:bCs/>
        </w:rPr>
        <w:t>N</w:t>
      </w:r>
      <w:r w:rsidRPr="002B1DFC">
        <w:rPr>
          <w:rFonts w:cs="Times New Roman"/>
          <w:b/>
          <w:bCs/>
        </w:rPr>
        <w:t xml:space="preserve">ature </w:t>
      </w:r>
      <w:r w:rsidR="00243EAB">
        <w:rPr>
          <w:rFonts w:cs="Times New Roman"/>
          <w:b/>
          <w:bCs/>
        </w:rPr>
        <w:t>P</w:t>
      </w:r>
      <w:r w:rsidRPr="002B1DFC">
        <w:rPr>
          <w:rFonts w:cs="Times New Roman"/>
          <w:b/>
          <w:bCs/>
        </w:rPr>
        <w:t>rotection).</w:t>
      </w:r>
      <w:r w:rsidRPr="002B1DFC">
        <w:rPr>
          <w:rFonts w:cs="Times New Roman"/>
        </w:rPr>
        <w:t xml:space="preserve"> This authority prepares the list of properly prepared requests and then the Ecological Commission of the Oblast Council with participation of other commissions and people deputies as needed allocates funding for some proposals. In most cases, more influential people deputies lobby decisions in favor of their constituencies. </w:t>
      </w:r>
      <w:r w:rsidR="00BB0F37">
        <w:rPr>
          <w:rFonts w:cs="Times New Roman"/>
        </w:rPr>
        <w:t>However,</w:t>
      </w:r>
      <w:r w:rsidR="00BB0F37" w:rsidRPr="002B1DFC">
        <w:rPr>
          <w:rFonts w:cs="Times New Roman"/>
        </w:rPr>
        <w:t xml:space="preserve"> </w:t>
      </w:r>
      <w:r w:rsidRPr="002B1DFC">
        <w:rPr>
          <w:rFonts w:cs="Times New Roman"/>
        </w:rPr>
        <w:t xml:space="preserve">even if the funding </w:t>
      </w:r>
      <w:r w:rsidR="00BB0F37">
        <w:rPr>
          <w:rFonts w:cs="Times New Roman"/>
        </w:rPr>
        <w:t>were</w:t>
      </w:r>
      <w:r w:rsidR="00BB0F37" w:rsidRPr="002B1DFC">
        <w:rPr>
          <w:rFonts w:cs="Times New Roman"/>
        </w:rPr>
        <w:t xml:space="preserve"> </w:t>
      </w:r>
      <w:r w:rsidRPr="002B1DFC">
        <w:rPr>
          <w:rFonts w:cs="Times New Roman"/>
        </w:rPr>
        <w:t>allocated, quite often the project</w:t>
      </w:r>
      <w:r w:rsidR="00BB0F37">
        <w:rPr>
          <w:rFonts w:cs="Times New Roman"/>
        </w:rPr>
        <w:t>, for various reasons,</w:t>
      </w:r>
      <w:r w:rsidRPr="002B1DFC">
        <w:rPr>
          <w:rFonts w:cs="Times New Roman"/>
        </w:rPr>
        <w:t xml:space="preserve"> </w:t>
      </w:r>
      <w:r w:rsidR="00BB0F37">
        <w:rPr>
          <w:rFonts w:cs="Times New Roman"/>
        </w:rPr>
        <w:t xml:space="preserve">would </w:t>
      </w:r>
      <w:r w:rsidRPr="002B1DFC">
        <w:rPr>
          <w:rFonts w:cs="Times New Roman"/>
        </w:rPr>
        <w:t xml:space="preserve">not </w:t>
      </w:r>
      <w:r w:rsidR="00D51AED">
        <w:rPr>
          <w:rFonts w:cs="Times New Roman"/>
        </w:rPr>
        <w:t xml:space="preserve">be </w:t>
      </w:r>
      <w:r w:rsidRPr="002B1DFC">
        <w:rPr>
          <w:rFonts w:cs="Times New Roman"/>
        </w:rPr>
        <w:t>implemented</w:t>
      </w:r>
      <w:r w:rsidR="00BB0F37">
        <w:rPr>
          <w:rFonts w:cs="Times New Roman"/>
        </w:rPr>
        <w:t xml:space="preserve">. A typical reason for such non-implementation </w:t>
      </w:r>
      <w:r w:rsidR="00025964">
        <w:rPr>
          <w:rFonts w:cs="Times New Roman"/>
        </w:rPr>
        <w:t xml:space="preserve">was the </w:t>
      </w:r>
      <w:r w:rsidR="00025964" w:rsidRPr="00025964">
        <w:rPr>
          <w:rFonts w:cs="Times New Roman"/>
        </w:rPr>
        <w:t xml:space="preserve">cumbersome system of tendering and </w:t>
      </w:r>
      <w:r w:rsidR="00BB0F37">
        <w:rPr>
          <w:rFonts w:cs="Times New Roman"/>
        </w:rPr>
        <w:t>that the</w:t>
      </w:r>
      <w:r w:rsidRPr="002B1DFC">
        <w:rPr>
          <w:rFonts w:cs="Times New Roman"/>
        </w:rPr>
        <w:t xml:space="preserve"> money </w:t>
      </w:r>
      <w:r w:rsidR="00BB0F37">
        <w:rPr>
          <w:rFonts w:cs="Times New Roman"/>
        </w:rPr>
        <w:t>was</w:t>
      </w:r>
      <w:r w:rsidRPr="002B1DFC">
        <w:rPr>
          <w:rFonts w:cs="Times New Roman"/>
        </w:rPr>
        <w:t xml:space="preserve"> made available </w:t>
      </w:r>
      <w:r w:rsidR="00BB0F37">
        <w:rPr>
          <w:rFonts w:cs="Times New Roman"/>
        </w:rPr>
        <w:t>to the</w:t>
      </w:r>
      <w:r w:rsidR="00BB0F37" w:rsidRPr="002B1DFC">
        <w:rPr>
          <w:rFonts w:cs="Times New Roman"/>
        </w:rPr>
        <w:t xml:space="preserve"> </w:t>
      </w:r>
      <w:r w:rsidRPr="002B1DFC">
        <w:rPr>
          <w:rFonts w:cs="Times New Roman"/>
        </w:rPr>
        <w:t xml:space="preserve">implementing agency too late in the year, and </w:t>
      </w:r>
      <w:r w:rsidR="00BB0F37">
        <w:rPr>
          <w:rFonts w:cs="Times New Roman"/>
        </w:rPr>
        <w:t xml:space="preserve">not enough time remained to do the </w:t>
      </w:r>
      <w:r w:rsidRPr="002B1DFC">
        <w:rPr>
          <w:rFonts w:cs="Times New Roman"/>
        </w:rPr>
        <w:t xml:space="preserve">work). Unspent money is not transferred to the next year, so the project must compete for funding again. </w:t>
      </w:r>
    </w:p>
    <w:p w14:paraId="241E8C6A" w14:textId="77777777" w:rsidR="000B7923" w:rsidRPr="002B1DFC" w:rsidRDefault="000B7923" w:rsidP="00D221E4">
      <w:pPr>
        <w:rPr>
          <w:rFonts w:cs="Times New Roman"/>
          <w:color w:val="0000FF"/>
        </w:rPr>
      </w:pPr>
    </w:p>
    <w:p w14:paraId="42FD9054"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b/>
          <w:bCs/>
        </w:rPr>
        <w:t>Regional priorities are often missing from the National Environmental Plan.</w:t>
      </w:r>
      <w:r w:rsidRPr="002B1DFC">
        <w:rPr>
          <w:rFonts w:cs="Times New Roman"/>
        </w:rPr>
        <w:t xml:space="preserve"> </w:t>
      </w:r>
      <w:r w:rsidR="006C180A">
        <w:rPr>
          <w:rFonts w:cs="Times New Roman"/>
        </w:rPr>
        <w:t>However,</w:t>
      </w:r>
      <w:r w:rsidR="006C180A" w:rsidRPr="002B1DFC">
        <w:rPr>
          <w:rFonts w:cs="Times New Roman"/>
        </w:rPr>
        <w:t xml:space="preserve"> </w:t>
      </w:r>
      <w:r w:rsidRPr="002B1DFC">
        <w:rPr>
          <w:rFonts w:cs="Times New Roman"/>
        </w:rPr>
        <w:t xml:space="preserve">even if a regional priority obtains </w:t>
      </w:r>
      <w:r w:rsidR="006C180A">
        <w:rPr>
          <w:rFonts w:cs="Times New Roman"/>
        </w:rPr>
        <w:t>the</w:t>
      </w:r>
      <w:r w:rsidRPr="002B1DFC">
        <w:rPr>
          <w:rFonts w:cs="Times New Roman"/>
        </w:rPr>
        <w:t xml:space="preserve"> status of </w:t>
      </w:r>
      <w:r w:rsidR="006C180A">
        <w:rPr>
          <w:rFonts w:cs="Times New Roman"/>
        </w:rPr>
        <w:t xml:space="preserve">a </w:t>
      </w:r>
      <w:r w:rsidRPr="002B1DFC">
        <w:rPr>
          <w:rFonts w:cs="Times New Roman"/>
        </w:rPr>
        <w:t>National Program, such programs are only partially funded. For example, by the Decree of the President of 2010</w:t>
      </w:r>
      <w:r w:rsidR="006C180A">
        <w:rPr>
          <w:rFonts w:cs="Times New Roman"/>
        </w:rPr>
        <w:t>, the</w:t>
      </w:r>
      <w:r w:rsidRPr="002B1DFC">
        <w:rPr>
          <w:rFonts w:cs="Times New Roman"/>
        </w:rPr>
        <w:t xml:space="preserve"> environmental situation around the city of </w:t>
      </w:r>
      <w:proofErr w:type="spellStart"/>
      <w:r w:rsidRPr="002B1DFC">
        <w:rPr>
          <w:rFonts w:cs="Times New Roman"/>
        </w:rPr>
        <w:t>Kalush</w:t>
      </w:r>
      <w:proofErr w:type="spellEnd"/>
      <w:r w:rsidRPr="002B1DFC">
        <w:rPr>
          <w:rFonts w:cs="Times New Roman"/>
        </w:rPr>
        <w:t xml:space="preserve"> (Ivano-Frankivsk oblast) was designated </w:t>
      </w:r>
      <w:r w:rsidR="006C180A">
        <w:rPr>
          <w:rFonts w:cs="Times New Roman"/>
        </w:rPr>
        <w:t>an</w:t>
      </w:r>
      <w:r w:rsidR="006C180A" w:rsidRPr="002B1DFC">
        <w:rPr>
          <w:rFonts w:cs="Times New Roman"/>
        </w:rPr>
        <w:t xml:space="preserve"> </w:t>
      </w:r>
      <w:r w:rsidR="006C180A">
        <w:rPr>
          <w:rFonts w:cs="Times New Roman"/>
        </w:rPr>
        <w:t>“</w:t>
      </w:r>
      <w:r w:rsidRPr="002B1DFC">
        <w:rPr>
          <w:rFonts w:cs="Times New Roman"/>
        </w:rPr>
        <w:t>ecological catastrophe</w:t>
      </w:r>
      <w:r w:rsidR="006C180A">
        <w:rPr>
          <w:rFonts w:cs="Times New Roman"/>
        </w:rPr>
        <w:t>”</w:t>
      </w:r>
      <w:r w:rsidRPr="002B1DFC">
        <w:rPr>
          <w:rFonts w:cs="Times New Roman"/>
        </w:rPr>
        <w:t xml:space="preserve">. A program for </w:t>
      </w:r>
      <w:r w:rsidR="005608F5">
        <w:rPr>
          <w:rFonts w:cs="Times New Roman"/>
        </w:rPr>
        <w:t>clean</w:t>
      </w:r>
      <w:r w:rsidR="00D51AED" w:rsidRPr="002B1DFC">
        <w:rPr>
          <w:rFonts w:cs="Times New Roman"/>
        </w:rPr>
        <w:t>up</w:t>
      </w:r>
      <w:r w:rsidRPr="002B1DFC">
        <w:rPr>
          <w:rFonts w:cs="Times New Roman"/>
        </w:rPr>
        <w:t xml:space="preserve"> and emergency works was started, but was discontinued. Only one component (liquidation of stored </w:t>
      </w:r>
      <w:proofErr w:type="spellStart"/>
      <w:r w:rsidRPr="002B1DFC">
        <w:rPr>
          <w:rFonts w:cs="Times New Roman"/>
        </w:rPr>
        <w:t>hexachlorobenzene</w:t>
      </w:r>
      <w:proofErr w:type="spellEnd"/>
      <w:r w:rsidRPr="002B1DFC">
        <w:rPr>
          <w:rFonts w:cs="Times New Roman"/>
        </w:rPr>
        <w:t xml:space="preserve">) was partially done, and now there are criminal investigations </w:t>
      </w:r>
      <w:r w:rsidR="006C180A">
        <w:rPr>
          <w:rFonts w:cs="Times New Roman"/>
        </w:rPr>
        <w:t>into</w:t>
      </w:r>
      <w:r w:rsidRPr="002B1DFC">
        <w:rPr>
          <w:rFonts w:cs="Times New Roman"/>
        </w:rPr>
        <w:t xml:space="preserve"> the use of </w:t>
      </w:r>
      <w:r w:rsidR="006C180A">
        <w:rPr>
          <w:rFonts w:cs="Times New Roman"/>
        </w:rPr>
        <w:t xml:space="preserve">related </w:t>
      </w:r>
      <w:r w:rsidR="00423639">
        <w:rPr>
          <w:rFonts w:cs="Times New Roman"/>
        </w:rPr>
        <w:t>funds</w:t>
      </w:r>
      <w:r w:rsidRPr="002B1DFC">
        <w:rPr>
          <w:rFonts w:cs="Times New Roman"/>
        </w:rPr>
        <w:t xml:space="preserve"> from the state budget. In May 2015, NGO </w:t>
      </w:r>
      <w:r w:rsidR="00AB5880">
        <w:rPr>
          <w:rFonts w:cs="Times New Roman"/>
        </w:rPr>
        <w:t>“</w:t>
      </w:r>
      <w:r w:rsidRPr="002B1DFC">
        <w:rPr>
          <w:rFonts w:cs="Times New Roman"/>
        </w:rPr>
        <w:t>EPL-</w:t>
      </w:r>
      <w:proofErr w:type="spellStart"/>
      <w:r w:rsidRPr="002B1DFC">
        <w:rPr>
          <w:rFonts w:cs="Times New Roman"/>
        </w:rPr>
        <w:t>Lviv</w:t>
      </w:r>
      <w:proofErr w:type="spellEnd"/>
      <w:r w:rsidR="00AB5880">
        <w:rPr>
          <w:rFonts w:cs="Times New Roman"/>
        </w:rPr>
        <w:t>”</w:t>
      </w:r>
      <w:r w:rsidRPr="002B1DFC">
        <w:rPr>
          <w:rFonts w:cs="Times New Roman"/>
        </w:rPr>
        <w:t xml:space="preserve"> reported that UAH 874 million spent in 2010</w:t>
      </w:r>
      <w:r w:rsidR="00BB0F37">
        <w:rPr>
          <w:rFonts w:cs="Times New Roman"/>
        </w:rPr>
        <w:t>–</w:t>
      </w:r>
      <w:r w:rsidRPr="002B1DFC">
        <w:rPr>
          <w:rFonts w:cs="Times New Roman"/>
        </w:rPr>
        <w:t xml:space="preserve">2013 for </w:t>
      </w:r>
      <w:r w:rsidR="005608F5">
        <w:rPr>
          <w:rFonts w:cs="Times New Roman"/>
        </w:rPr>
        <w:t>clean</w:t>
      </w:r>
      <w:r w:rsidR="00D51AED" w:rsidRPr="002B1DFC">
        <w:rPr>
          <w:rFonts w:cs="Times New Roman"/>
        </w:rPr>
        <w:t>up</w:t>
      </w:r>
      <w:r w:rsidRPr="002B1DFC">
        <w:rPr>
          <w:rFonts w:cs="Times New Roman"/>
        </w:rPr>
        <w:t xml:space="preserve"> did not reduce </w:t>
      </w:r>
      <w:proofErr w:type="spellStart"/>
      <w:r w:rsidRPr="002B1DFC">
        <w:rPr>
          <w:rFonts w:cs="Times New Roman"/>
        </w:rPr>
        <w:t>hexachlorobenzene</w:t>
      </w:r>
      <w:proofErr w:type="spellEnd"/>
      <w:r w:rsidR="00BB0F37">
        <w:rPr>
          <w:rFonts w:cs="Times New Roman"/>
        </w:rPr>
        <w:t xml:space="preserve"> contamination of the environment</w:t>
      </w:r>
      <w:r w:rsidRPr="002B1DFC">
        <w:rPr>
          <w:rFonts w:cs="Times New Roman"/>
        </w:rPr>
        <w:t>.</w:t>
      </w:r>
    </w:p>
    <w:p w14:paraId="1496CDD8" w14:textId="77777777" w:rsidR="000B7923" w:rsidRPr="002B1DFC" w:rsidRDefault="000B7923" w:rsidP="00D221E4">
      <w:pPr>
        <w:rPr>
          <w:rFonts w:cs="Times New Roman"/>
        </w:rPr>
      </w:pPr>
    </w:p>
    <w:p w14:paraId="78639D73" w14:textId="77777777" w:rsidR="000B7923" w:rsidRDefault="000B7923" w:rsidP="00F55709">
      <w:pPr>
        <w:pStyle w:val="ListParagraph"/>
        <w:numPr>
          <w:ilvl w:val="0"/>
          <w:numId w:val="68"/>
        </w:numPr>
        <w:tabs>
          <w:tab w:val="left" w:pos="360"/>
        </w:tabs>
        <w:ind w:left="0" w:firstLine="0"/>
        <w:rPr>
          <w:rFonts w:cs="Times New Roman"/>
        </w:rPr>
      </w:pPr>
      <w:r w:rsidRPr="002B1DFC">
        <w:rPr>
          <w:rFonts w:cs="Times New Roman"/>
        </w:rPr>
        <w:t>An assessment carried out in 2015 by Mama-86 with EU support (EU/Mama-86 2015) further highlights the disconnect between national environmental strategy and environmental action plans at the regional and district levels. The NES priorities do not translate into sub-national level priorities and vice versa</w:t>
      </w:r>
      <w:r w:rsidR="00BF2034">
        <w:rPr>
          <w:rFonts w:cs="Times New Roman"/>
        </w:rPr>
        <w:t>—that is,</w:t>
      </w:r>
      <w:r w:rsidRPr="002B1DFC">
        <w:rPr>
          <w:rFonts w:cs="Times New Roman"/>
        </w:rPr>
        <w:t xml:space="preserve"> the process of the national priority setting and setting priorities of the national action plans at the </w:t>
      </w:r>
      <w:r w:rsidR="00181805">
        <w:rPr>
          <w:rFonts w:cs="Times New Roman"/>
        </w:rPr>
        <w:t xml:space="preserve">region and district </w:t>
      </w:r>
      <w:r w:rsidRPr="002B1DFC">
        <w:rPr>
          <w:rFonts w:cs="Times New Roman"/>
        </w:rPr>
        <w:t>levels seem disconnected</w:t>
      </w:r>
      <w:r w:rsidR="00181805">
        <w:rPr>
          <w:rFonts w:cs="Times New Roman"/>
        </w:rPr>
        <w:t xml:space="preserve"> (see </w:t>
      </w:r>
      <w:r w:rsidR="006848FB">
        <w:rPr>
          <w:rFonts w:cs="Times New Roman"/>
        </w:rPr>
        <w:t>A</w:t>
      </w:r>
      <w:r w:rsidR="00181805">
        <w:rPr>
          <w:rFonts w:cs="Times New Roman"/>
        </w:rPr>
        <w:t xml:space="preserve">nnex </w:t>
      </w:r>
      <w:r w:rsidR="006848FB">
        <w:rPr>
          <w:rFonts w:cs="Times New Roman"/>
        </w:rPr>
        <w:t>3</w:t>
      </w:r>
      <w:r w:rsidR="00181805">
        <w:rPr>
          <w:rFonts w:cs="Times New Roman"/>
        </w:rPr>
        <w:t>)</w:t>
      </w:r>
      <w:r w:rsidRPr="002B1DFC">
        <w:rPr>
          <w:rFonts w:cs="Times New Roman"/>
        </w:rPr>
        <w:t xml:space="preserve">. </w:t>
      </w:r>
    </w:p>
    <w:p w14:paraId="209C37A5" w14:textId="77777777" w:rsidR="00DC2622" w:rsidRPr="002B1DFC" w:rsidRDefault="00DC2622" w:rsidP="001557B4">
      <w:pPr>
        <w:rPr>
          <w:rFonts w:cs="Times New Roman"/>
        </w:rPr>
      </w:pPr>
    </w:p>
    <w:p w14:paraId="240F79F4" w14:textId="77777777" w:rsidR="000B7923" w:rsidRPr="002B1DFC" w:rsidRDefault="000B7923" w:rsidP="002562D6">
      <w:pPr>
        <w:pStyle w:val="Heading2"/>
        <w:tabs>
          <w:tab w:val="clear" w:pos="576"/>
        </w:tabs>
      </w:pPr>
      <w:bookmarkStart w:id="87" w:name="_Toc440273966"/>
      <w:r w:rsidRPr="002B1DFC">
        <w:t>Decentralization of Environmental Management</w:t>
      </w:r>
      <w:bookmarkEnd w:id="87"/>
    </w:p>
    <w:p w14:paraId="00C64449" w14:textId="77777777" w:rsidR="000B7923" w:rsidRPr="002B1DFC" w:rsidRDefault="000B7923" w:rsidP="00F55709">
      <w:pPr>
        <w:pStyle w:val="ListParagraph"/>
        <w:numPr>
          <w:ilvl w:val="0"/>
          <w:numId w:val="68"/>
        </w:numPr>
        <w:tabs>
          <w:tab w:val="left" w:pos="360"/>
        </w:tabs>
        <w:spacing w:before="200"/>
        <w:ind w:left="0" w:firstLine="0"/>
        <w:rPr>
          <w:rFonts w:cs="Times New Roman"/>
        </w:rPr>
      </w:pPr>
      <w:r w:rsidRPr="002B1DFC">
        <w:rPr>
          <w:rFonts w:cs="Times New Roman"/>
        </w:rPr>
        <w:t xml:space="preserve">The environmental management system underwent significant changes due to the </w:t>
      </w:r>
      <w:r w:rsidR="00D51AED">
        <w:rPr>
          <w:rFonts w:cs="Times New Roman"/>
        </w:rPr>
        <w:t>L</w:t>
      </w:r>
      <w:r w:rsidRPr="002B1DFC">
        <w:rPr>
          <w:rFonts w:cs="Times New Roman"/>
        </w:rPr>
        <w:t xml:space="preserve">aw </w:t>
      </w:r>
      <w:r w:rsidR="00D51AED">
        <w:rPr>
          <w:rFonts w:cs="Times New Roman"/>
        </w:rPr>
        <w:t>N</w:t>
      </w:r>
      <w:r w:rsidRPr="002B1DFC">
        <w:rPr>
          <w:rFonts w:cs="Times New Roman"/>
        </w:rPr>
        <w:t xml:space="preserve">o. 5456-VI (2012) on </w:t>
      </w:r>
      <w:r w:rsidR="00D51AED">
        <w:rPr>
          <w:rFonts w:cs="Times New Roman"/>
        </w:rPr>
        <w:t>“</w:t>
      </w:r>
      <w:r w:rsidRPr="002B1DFC">
        <w:rPr>
          <w:rFonts w:cs="Times New Roman"/>
        </w:rPr>
        <w:t xml:space="preserve">Introducing </w:t>
      </w:r>
      <w:r w:rsidR="00D51AED">
        <w:rPr>
          <w:rFonts w:cs="Times New Roman"/>
        </w:rPr>
        <w:t>C</w:t>
      </w:r>
      <w:r w:rsidRPr="002B1DFC">
        <w:rPr>
          <w:rFonts w:cs="Times New Roman"/>
        </w:rPr>
        <w:t xml:space="preserve">hanges to </w:t>
      </w:r>
      <w:r w:rsidR="00D51AED">
        <w:rPr>
          <w:rFonts w:cs="Times New Roman"/>
        </w:rPr>
        <w:t>C</w:t>
      </w:r>
      <w:r w:rsidRPr="002B1DFC">
        <w:rPr>
          <w:rFonts w:cs="Times New Roman"/>
        </w:rPr>
        <w:t xml:space="preserve">ertain </w:t>
      </w:r>
      <w:r w:rsidR="00D51AED">
        <w:rPr>
          <w:rFonts w:cs="Times New Roman"/>
        </w:rPr>
        <w:t>L</w:t>
      </w:r>
      <w:r w:rsidRPr="002B1DFC">
        <w:rPr>
          <w:rFonts w:cs="Times New Roman"/>
        </w:rPr>
        <w:t xml:space="preserve">egislative </w:t>
      </w:r>
      <w:r w:rsidR="00D51AED">
        <w:rPr>
          <w:rFonts w:cs="Times New Roman"/>
        </w:rPr>
        <w:t>A</w:t>
      </w:r>
      <w:r w:rsidRPr="002B1DFC">
        <w:rPr>
          <w:rFonts w:cs="Times New Roman"/>
        </w:rPr>
        <w:t>cts of Ukraine with the</w:t>
      </w:r>
      <w:r w:rsidR="00D51AED">
        <w:rPr>
          <w:rFonts w:cs="Times New Roman"/>
        </w:rPr>
        <w:t xml:space="preserve"> A</w:t>
      </w:r>
      <w:r w:rsidRPr="002B1DFC">
        <w:rPr>
          <w:rFonts w:cs="Times New Roman"/>
        </w:rPr>
        <w:t xml:space="preserve">im of </w:t>
      </w:r>
      <w:r w:rsidR="00D51AED">
        <w:rPr>
          <w:rFonts w:cs="Times New Roman"/>
        </w:rPr>
        <w:t>O</w:t>
      </w:r>
      <w:r w:rsidRPr="002B1DFC">
        <w:rPr>
          <w:rFonts w:cs="Times New Roman"/>
        </w:rPr>
        <w:t xml:space="preserve">ptimization of </w:t>
      </w:r>
      <w:r w:rsidR="00D51AED">
        <w:rPr>
          <w:rFonts w:cs="Times New Roman"/>
        </w:rPr>
        <w:t>P</w:t>
      </w:r>
      <w:r w:rsidRPr="002B1DFC">
        <w:rPr>
          <w:rFonts w:cs="Times New Roman"/>
        </w:rPr>
        <w:t xml:space="preserve">owers and </w:t>
      </w:r>
      <w:r w:rsidR="00D51AED">
        <w:rPr>
          <w:rFonts w:cs="Times New Roman"/>
        </w:rPr>
        <w:t>A</w:t>
      </w:r>
      <w:r w:rsidRPr="002B1DFC">
        <w:rPr>
          <w:rFonts w:cs="Times New Roman"/>
        </w:rPr>
        <w:t xml:space="preserve">uthorities of the </w:t>
      </w:r>
      <w:r w:rsidR="00D51AED">
        <w:rPr>
          <w:rFonts w:cs="Times New Roman"/>
        </w:rPr>
        <w:t>E</w:t>
      </w:r>
      <w:r w:rsidRPr="002B1DFC">
        <w:rPr>
          <w:rFonts w:cs="Times New Roman"/>
        </w:rPr>
        <w:t xml:space="preserve">xecutive </w:t>
      </w:r>
      <w:r w:rsidR="00D51AED">
        <w:rPr>
          <w:rFonts w:cs="Times New Roman"/>
        </w:rPr>
        <w:t>A</w:t>
      </w:r>
      <w:r w:rsidRPr="002B1DFC">
        <w:rPr>
          <w:rFonts w:cs="Times New Roman"/>
        </w:rPr>
        <w:t xml:space="preserve">uthorities in the </w:t>
      </w:r>
      <w:r w:rsidR="00D51AED">
        <w:rPr>
          <w:rFonts w:cs="Times New Roman"/>
        </w:rPr>
        <w:t>S</w:t>
      </w:r>
      <w:r w:rsidRPr="002B1DFC">
        <w:rPr>
          <w:rFonts w:cs="Times New Roman"/>
        </w:rPr>
        <w:t xml:space="preserve">phere of </w:t>
      </w:r>
      <w:r w:rsidR="00D51AED">
        <w:rPr>
          <w:rFonts w:cs="Times New Roman"/>
        </w:rPr>
        <w:t>E</w:t>
      </w:r>
      <w:r w:rsidRPr="002B1DFC">
        <w:rPr>
          <w:rFonts w:cs="Times New Roman"/>
        </w:rPr>
        <w:t xml:space="preserve">cology and </w:t>
      </w:r>
      <w:r w:rsidR="00D51AED">
        <w:rPr>
          <w:rFonts w:cs="Times New Roman"/>
        </w:rPr>
        <w:t>N</w:t>
      </w:r>
      <w:r w:rsidRPr="002B1DFC">
        <w:rPr>
          <w:rFonts w:cs="Times New Roman"/>
        </w:rPr>
        <w:t xml:space="preserve">ature </w:t>
      </w:r>
      <w:r w:rsidR="00D51AED">
        <w:rPr>
          <w:rFonts w:cs="Times New Roman"/>
        </w:rPr>
        <w:t>R</w:t>
      </w:r>
      <w:r w:rsidRPr="002B1DFC">
        <w:rPr>
          <w:rFonts w:cs="Times New Roman"/>
        </w:rPr>
        <w:t xml:space="preserve">esources, </w:t>
      </w:r>
      <w:r w:rsidR="00D51AED">
        <w:rPr>
          <w:rFonts w:cs="Times New Roman"/>
        </w:rPr>
        <w:t>I</w:t>
      </w:r>
      <w:r w:rsidRPr="002B1DFC">
        <w:rPr>
          <w:rFonts w:cs="Times New Roman"/>
        </w:rPr>
        <w:t xml:space="preserve">ncluding </w:t>
      </w:r>
      <w:r w:rsidR="00D51AED">
        <w:rPr>
          <w:rFonts w:cs="Times New Roman"/>
        </w:rPr>
        <w:t>the L</w:t>
      </w:r>
      <w:r w:rsidRPr="002B1DFC">
        <w:rPr>
          <w:rFonts w:cs="Times New Roman"/>
        </w:rPr>
        <w:t xml:space="preserve">ocal </w:t>
      </w:r>
      <w:r w:rsidR="00D51AED">
        <w:rPr>
          <w:rFonts w:cs="Times New Roman"/>
        </w:rPr>
        <w:t>L</w:t>
      </w:r>
      <w:r w:rsidRPr="002B1DFC">
        <w:rPr>
          <w:rFonts w:cs="Times New Roman"/>
        </w:rPr>
        <w:t>evel</w:t>
      </w:r>
      <w:r w:rsidR="00D51AED">
        <w:rPr>
          <w:rFonts w:cs="Times New Roman"/>
        </w:rPr>
        <w:t>.” This law amended</w:t>
      </w:r>
      <w:r w:rsidRPr="002B1DFC">
        <w:rPr>
          <w:rFonts w:cs="Times New Roman"/>
        </w:rPr>
        <w:t xml:space="preserve"> a number of </w:t>
      </w:r>
      <w:r w:rsidR="00D51AED">
        <w:rPr>
          <w:rFonts w:cs="Times New Roman"/>
        </w:rPr>
        <w:t xml:space="preserve">earlier </w:t>
      </w:r>
      <w:r w:rsidRPr="002B1DFC">
        <w:rPr>
          <w:rFonts w:cs="Times New Roman"/>
        </w:rPr>
        <w:t xml:space="preserve">laws and codes, including </w:t>
      </w:r>
      <w:r w:rsidR="00D51AED">
        <w:rPr>
          <w:rFonts w:cs="Times New Roman"/>
        </w:rPr>
        <w:t xml:space="preserve">the </w:t>
      </w:r>
      <w:r w:rsidRPr="002B1DFC">
        <w:rPr>
          <w:rFonts w:cs="Times New Roman"/>
        </w:rPr>
        <w:t xml:space="preserve">Administrative Code, Water Code, Law on Environmental Protection, Law on Nature-Protection Fund, Law on Ecological expertise, among others. </w:t>
      </w:r>
      <w:r w:rsidR="00D51AED">
        <w:rPr>
          <w:rFonts w:cs="Times New Roman"/>
        </w:rPr>
        <w:t>In addition</w:t>
      </w:r>
      <w:r w:rsidRPr="002B1DFC">
        <w:rPr>
          <w:rFonts w:cs="Times New Roman"/>
        </w:rPr>
        <w:t>, by this law, a number of functions (permits for certain activities, monitoring, supervision, expert reviews</w:t>
      </w:r>
      <w:r w:rsidR="00591FD4">
        <w:rPr>
          <w:rFonts w:cs="Times New Roman"/>
        </w:rPr>
        <w:t>,</w:t>
      </w:r>
      <w:r w:rsidRPr="002B1DFC">
        <w:rPr>
          <w:rFonts w:cs="Times New Roman"/>
        </w:rPr>
        <w:t xml:space="preserve"> </w:t>
      </w:r>
      <w:r w:rsidR="00591FD4">
        <w:rPr>
          <w:rFonts w:cs="Times New Roman"/>
        </w:rPr>
        <w:t>and so forth</w:t>
      </w:r>
      <w:r w:rsidRPr="002B1DFC">
        <w:rPr>
          <w:rFonts w:cs="Times New Roman"/>
        </w:rPr>
        <w:t xml:space="preserve">) were transferred from the central government (MENR) to local government (oblast state administrations). </w:t>
      </w:r>
    </w:p>
    <w:p w14:paraId="5136524D" w14:textId="77777777" w:rsidR="000B7923" w:rsidRPr="002B1DFC" w:rsidRDefault="000B7923" w:rsidP="009B0E02">
      <w:pPr>
        <w:rPr>
          <w:rFonts w:cs="Times New Roman"/>
        </w:rPr>
      </w:pPr>
    </w:p>
    <w:p w14:paraId="2C002D24" w14:textId="60F6A3BC" w:rsidR="000B7923" w:rsidRPr="002B1DFC" w:rsidRDefault="000B7923" w:rsidP="00721C66">
      <w:pPr>
        <w:pStyle w:val="ListParagraph"/>
        <w:numPr>
          <w:ilvl w:val="0"/>
          <w:numId w:val="68"/>
        </w:numPr>
        <w:tabs>
          <w:tab w:val="left" w:pos="360"/>
        </w:tabs>
        <w:ind w:left="0" w:firstLine="0"/>
        <w:rPr>
          <w:rFonts w:cs="Times New Roman"/>
        </w:rPr>
      </w:pPr>
      <w:r w:rsidRPr="002B1DFC">
        <w:rPr>
          <w:rFonts w:cs="Times New Roman"/>
        </w:rPr>
        <w:t xml:space="preserve">This law was followed by the Resolution of the Cabinet of Ministers </w:t>
      </w:r>
      <w:r w:rsidR="00591FD4">
        <w:rPr>
          <w:rFonts w:cs="Times New Roman"/>
        </w:rPr>
        <w:t>N</w:t>
      </w:r>
      <w:r w:rsidRPr="002B1DFC">
        <w:rPr>
          <w:rFonts w:cs="Times New Roman"/>
        </w:rPr>
        <w:t xml:space="preserve">o. 159 (2013) </w:t>
      </w:r>
      <w:r w:rsidR="00AB5880">
        <w:rPr>
          <w:rFonts w:cs="Times New Roman"/>
        </w:rPr>
        <w:t>“</w:t>
      </w:r>
      <w:r w:rsidRPr="002B1DFC">
        <w:rPr>
          <w:rFonts w:cs="Times New Roman"/>
        </w:rPr>
        <w:t xml:space="preserve">On </w:t>
      </w:r>
      <w:r w:rsidR="00AB5880">
        <w:rPr>
          <w:rFonts w:cs="Times New Roman"/>
        </w:rPr>
        <w:t>L</w:t>
      </w:r>
      <w:r w:rsidRPr="002B1DFC">
        <w:rPr>
          <w:rFonts w:cs="Times New Roman"/>
        </w:rPr>
        <w:t xml:space="preserve">iquidation of the </w:t>
      </w:r>
      <w:r w:rsidR="00AB5880">
        <w:rPr>
          <w:rFonts w:cs="Times New Roman"/>
        </w:rPr>
        <w:t>T</w:t>
      </w:r>
      <w:r w:rsidRPr="002B1DFC">
        <w:rPr>
          <w:rFonts w:cs="Times New Roman"/>
        </w:rPr>
        <w:t xml:space="preserve">erritorial </w:t>
      </w:r>
      <w:r w:rsidR="00AB5880">
        <w:rPr>
          <w:rFonts w:cs="Times New Roman"/>
        </w:rPr>
        <w:t>B</w:t>
      </w:r>
      <w:r w:rsidRPr="002B1DFC">
        <w:rPr>
          <w:rFonts w:cs="Times New Roman"/>
        </w:rPr>
        <w:t>ranches of the Ministry of Environment</w:t>
      </w:r>
      <w:r w:rsidR="005A1195">
        <w:rPr>
          <w:rFonts w:cs="Times New Roman"/>
        </w:rPr>
        <w:t>.</w:t>
      </w:r>
      <w:r w:rsidR="00AB5880">
        <w:rPr>
          <w:rFonts w:cs="Times New Roman"/>
        </w:rPr>
        <w:t>”</w:t>
      </w:r>
      <w:r w:rsidRPr="002B1DFC">
        <w:rPr>
          <w:rFonts w:cs="Times New Roman"/>
        </w:rPr>
        <w:t xml:space="preserve"> </w:t>
      </w:r>
      <w:r w:rsidR="00AB5880">
        <w:rPr>
          <w:rFonts w:cs="Times New Roman"/>
        </w:rPr>
        <w:t>The</w:t>
      </w:r>
      <w:r w:rsidRPr="002B1DFC">
        <w:rPr>
          <w:rFonts w:cs="Times New Roman"/>
        </w:rPr>
        <w:t xml:space="preserve"> MENR</w:t>
      </w:r>
      <w:r w:rsidR="00AB5880">
        <w:rPr>
          <w:rFonts w:cs="Times New Roman"/>
        </w:rPr>
        <w:t>’s oblast branches</w:t>
      </w:r>
      <w:r w:rsidRPr="002B1DFC">
        <w:rPr>
          <w:rFonts w:cs="Times New Roman"/>
        </w:rPr>
        <w:t xml:space="preserve"> were abolished and respective departments in oblast state administrations and in the cities of Kyiv and Sevastopol were created. The Law entered into force in May 2013, when the responsibility for implementation of the state environmental policy in oblasts and Kyiv and Sevastopol cities was passed from MENR to respective State administrations. </w:t>
      </w:r>
    </w:p>
    <w:p w14:paraId="1DD082DD" w14:textId="77777777" w:rsidR="000B7923" w:rsidRPr="002B1DFC" w:rsidRDefault="000B7923" w:rsidP="009B0E02">
      <w:pPr>
        <w:rPr>
          <w:rFonts w:cs="Times New Roman"/>
        </w:rPr>
      </w:pPr>
    </w:p>
    <w:p w14:paraId="63392862"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From the second half o</w:t>
      </w:r>
      <w:r w:rsidR="00AB5880">
        <w:rPr>
          <w:rFonts w:cs="Times New Roman"/>
        </w:rPr>
        <w:t xml:space="preserve">f </w:t>
      </w:r>
      <w:r w:rsidRPr="002B1DFC">
        <w:rPr>
          <w:rFonts w:cs="Times New Roman"/>
        </w:rPr>
        <w:t xml:space="preserve">2013, oblast state administrations started creating their departments of environmental protection. For local authorities, only </w:t>
      </w:r>
      <w:r w:rsidR="00AB5880">
        <w:rPr>
          <w:rFonts w:cs="Times New Roman"/>
        </w:rPr>
        <w:t xml:space="preserve">the </w:t>
      </w:r>
      <w:r w:rsidRPr="002B1DFC">
        <w:rPr>
          <w:rFonts w:cs="Times New Roman"/>
        </w:rPr>
        <w:t xml:space="preserve">general regulation on a </w:t>
      </w:r>
      <w:r w:rsidR="00AB5880">
        <w:rPr>
          <w:rFonts w:cs="Times New Roman"/>
        </w:rPr>
        <w:t>“</w:t>
      </w:r>
      <w:r w:rsidRPr="002B1DFC">
        <w:rPr>
          <w:rFonts w:cs="Times New Roman"/>
        </w:rPr>
        <w:t xml:space="preserve">Structural </w:t>
      </w:r>
      <w:r w:rsidR="00AB5880">
        <w:rPr>
          <w:rFonts w:cs="Times New Roman"/>
        </w:rPr>
        <w:t>S</w:t>
      </w:r>
      <w:r w:rsidRPr="002B1DFC">
        <w:rPr>
          <w:rFonts w:cs="Times New Roman"/>
        </w:rPr>
        <w:t xml:space="preserve">ubdivision of </w:t>
      </w:r>
      <w:r w:rsidR="00AB5880">
        <w:rPr>
          <w:rFonts w:cs="Times New Roman"/>
        </w:rPr>
        <w:t>L</w:t>
      </w:r>
      <w:r w:rsidRPr="002B1DFC">
        <w:rPr>
          <w:rFonts w:cs="Times New Roman"/>
        </w:rPr>
        <w:t xml:space="preserve">ocal </w:t>
      </w:r>
      <w:r w:rsidR="00AB5880">
        <w:rPr>
          <w:rFonts w:cs="Times New Roman"/>
        </w:rPr>
        <w:t>S</w:t>
      </w:r>
      <w:r w:rsidRPr="002B1DFC">
        <w:rPr>
          <w:rFonts w:cs="Times New Roman"/>
        </w:rPr>
        <w:t xml:space="preserve">tate </w:t>
      </w:r>
      <w:r w:rsidR="00AB5880">
        <w:rPr>
          <w:rFonts w:cs="Times New Roman"/>
        </w:rPr>
        <w:t>A</w:t>
      </w:r>
      <w:r w:rsidRPr="002B1DFC">
        <w:rPr>
          <w:rFonts w:cs="Times New Roman"/>
        </w:rPr>
        <w:t>dministration</w:t>
      </w:r>
      <w:r w:rsidR="00AB5880">
        <w:rPr>
          <w:rFonts w:cs="Times New Roman"/>
        </w:rPr>
        <w:t>”</w:t>
      </w:r>
      <w:r w:rsidRPr="002B1DFC">
        <w:rPr>
          <w:rFonts w:cs="Times New Roman"/>
        </w:rPr>
        <w:t xml:space="preserve"> </w:t>
      </w:r>
      <w:r w:rsidR="00591FD4">
        <w:rPr>
          <w:rFonts w:cs="Times New Roman"/>
        </w:rPr>
        <w:t>No.</w:t>
      </w:r>
      <w:r w:rsidRPr="002B1DFC">
        <w:rPr>
          <w:rFonts w:cs="Times New Roman"/>
        </w:rPr>
        <w:t xml:space="preserve"> 887 of September </w:t>
      </w:r>
      <w:r w:rsidR="00AB5880">
        <w:rPr>
          <w:rFonts w:cs="Times New Roman"/>
        </w:rPr>
        <w:t xml:space="preserve">26, </w:t>
      </w:r>
      <w:r w:rsidRPr="002B1DFC">
        <w:rPr>
          <w:rFonts w:cs="Times New Roman"/>
        </w:rPr>
        <w:t xml:space="preserve">2012 was available as guidance, so there was no clear regulation </w:t>
      </w:r>
      <w:r w:rsidR="00AB5880">
        <w:rPr>
          <w:rFonts w:cs="Times New Roman"/>
        </w:rPr>
        <w:t>regarding</w:t>
      </w:r>
      <w:r w:rsidR="00AB5880" w:rsidRPr="002B1DFC">
        <w:rPr>
          <w:rFonts w:cs="Times New Roman"/>
        </w:rPr>
        <w:t xml:space="preserve"> </w:t>
      </w:r>
      <w:r w:rsidRPr="002B1DFC">
        <w:rPr>
          <w:rFonts w:cs="Times New Roman"/>
        </w:rPr>
        <w:t>the department</w:t>
      </w:r>
      <w:r w:rsidR="00AB5880">
        <w:rPr>
          <w:rFonts w:cs="Times New Roman"/>
        </w:rPr>
        <w:t>’</w:t>
      </w:r>
      <w:r w:rsidRPr="002B1DFC">
        <w:rPr>
          <w:rFonts w:cs="Times New Roman"/>
        </w:rPr>
        <w:t xml:space="preserve">s structure </w:t>
      </w:r>
      <w:r w:rsidR="00AB5880">
        <w:rPr>
          <w:rFonts w:cs="Times New Roman"/>
        </w:rPr>
        <w:t>or any</w:t>
      </w:r>
      <w:r w:rsidR="00AB5880" w:rsidRPr="002B1DFC">
        <w:rPr>
          <w:rFonts w:cs="Times New Roman"/>
        </w:rPr>
        <w:t xml:space="preserve"> </w:t>
      </w:r>
      <w:r w:rsidRPr="002B1DFC">
        <w:rPr>
          <w:rFonts w:cs="Times New Roman"/>
        </w:rPr>
        <w:t xml:space="preserve">detailed outline of functions, except that the </w:t>
      </w:r>
      <w:r w:rsidR="00AB5880">
        <w:rPr>
          <w:rFonts w:cs="Times New Roman"/>
        </w:rPr>
        <w:lastRenderedPageBreak/>
        <w:t xml:space="preserve">department’s </w:t>
      </w:r>
      <w:r w:rsidRPr="002B1DFC">
        <w:rPr>
          <w:rFonts w:cs="Times New Roman"/>
        </w:rPr>
        <w:t xml:space="preserve">goal was to </w:t>
      </w:r>
      <w:r w:rsidR="00D51AED">
        <w:rPr>
          <w:rFonts w:cs="Times New Roman"/>
        </w:rPr>
        <w:t>“</w:t>
      </w:r>
      <w:r w:rsidRPr="002B1DFC">
        <w:rPr>
          <w:rFonts w:cs="Times New Roman"/>
        </w:rPr>
        <w:t>implement the state environmental policy</w:t>
      </w:r>
      <w:r w:rsidR="00D51AED">
        <w:rPr>
          <w:rFonts w:cs="Times New Roman"/>
        </w:rPr>
        <w:t>.”</w:t>
      </w:r>
      <w:r w:rsidRPr="002B1DFC">
        <w:rPr>
          <w:rFonts w:cs="Times New Roman"/>
        </w:rPr>
        <w:t xml:space="preserve"> Many of these new departments were named </w:t>
      </w:r>
      <w:r w:rsidR="00D51AED">
        <w:rPr>
          <w:rFonts w:cs="Times New Roman"/>
        </w:rPr>
        <w:t>“</w:t>
      </w:r>
      <w:r w:rsidRPr="002B1DFC">
        <w:rPr>
          <w:rFonts w:cs="Times New Roman"/>
        </w:rPr>
        <w:t xml:space="preserve">Department of </w:t>
      </w:r>
      <w:r w:rsidR="00243EAB">
        <w:rPr>
          <w:rFonts w:cs="Times New Roman"/>
        </w:rPr>
        <w:t>Ecology and Natural</w:t>
      </w:r>
      <w:r w:rsidRPr="002B1DFC">
        <w:rPr>
          <w:rFonts w:cs="Times New Roman"/>
        </w:rPr>
        <w:t xml:space="preserve"> Resources</w:t>
      </w:r>
      <w:r w:rsidR="00D51AED">
        <w:rPr>
          <w:rFonts w:cs="Times New Roman"/>
        </w:rPr>
        <w:t>,”</w:t>
      </w:r>
      <w:r w:rsidRPr="002B1DFC">
        <w:rPr>
          <w:rFonts w:cs="Times New Roman"/>
        </w:rPr>
        <w:t xml:space="preserve"> which </w:t>
      </w:r>
      <w:r w:rsidR="00D51AED">
        <w:rPr>
          <w:rFonts w:cs="Times New Roman"/>
        </w:rPr>
        <w:t xml:space="preserve">accurately </w:t>
      </w:r>
      <w:r w:rsidRPr="002B1DFC">
        <w:rPr>
          <w:rFonts w:cs="Times New Roman"/>
        </w:rPr>
        <w:t>describes their functions</w:t>
      </w:r>
      <w:r w:rsidR="00D51AED">
        <w:rPr>
          <w:rFonts w:cs="Times New Roman"/>
        </w:rPr>
        <w:t>. However,</w:t>
      </w:r>
      <w:r w:rsidRPr="002B1DFC">
        <w:rPr>
          <w:rFonts w:cs="Times New Roman"/>
        </w:rPr>
        <w:t xml:space="preserve"> in some oblasts</w:t>
      </w:r>
      <w:r w:rsidR="00D51AED">
        <w:rPr>
          <w:rFonts w:cs="Times New Roman"/>
        </w:rPr>
        <w:t>,</w:t>
      </w:r>
      <w:r w:rsidRPr="002B1DFC">
        <w:rPr>
          <w:rFonts w:cs="Times New Roman"/>
        </w:rPr>
        <w:t xml:space="preserve"> the situation was different</w:t>
      </w:r>
      <w:r w:rsidR="00D51AED">
        <w:rPr>
          <w:rFonts w:cs="Times New Roman"/>
        </w:rPr>
        <w:t>—</w:t>
      </w:r>
      <w:r w:rsidRPr="002B1DFC">
        <w:rPr>
          <w:rFonts w:cs="Times New Roman"/>
        </w:rPr>
        <w:t>for example, in Chernivtsi oblast, a Department of Ecology and Tourism was created, and in Poltava oblast, a Directorate (</w:t>
      </w:r>
      <w:proofErr w:type="spellStart"/>
      <w:r w:rsidRPr="002B1DFC">
        <w:rPr>
          <w:rFonts w:cs="Times New Roman"/>
          <w:i/>
        </w:rPr>
        <w:t>Upravlinnia</w:t>
      </w:r>
      <w:proofErr w:type="spellEnd"/>
      <w:r w:rsidRPr="002B1DFC">
        <w:rPr>
          <w:rFonts w:cs="Times New Roman"/>
        </w:rPr>
        <w:t xml:space="preserve">) of </w:t>
      </w:r>
      <w:r w:rsidR="00243EAB">
        <w:rPr>
          <w:rFonts w:cs="Times New Roman"/>
        </w:rPr>
        <w:t>Ecology and Natural</w:t>
      </w:r>
      <w:r w:rsidRPr="002B1DFC">
        <w:rPr>
          <w:rFonts w:cs="Times New Roman"/>
        </w:rPr>
        <w:t xml:space="preserve"> Resources was created within the Department of Oil and Gas Complex, Ecology</w:t>
      </w:r>
      <w:r w:rsidR="00D51AED">
        <w:rPr>
          <w:rFonts w:cs="Times New Roman"/>
        </w:rPr>
        <w:t>,</w:t>
      </w:r>
      <w:r w:rsidRPr="002B1DFC">
        <w:rPr>
          <w:rFonts w:cs="Times New Roman"/>
        </w:rPr>
        <w:t xml:space="preserve"> and Nature Resources. </w:t>
      </w:r>
    </w:p>
    <w:p w14:paraId="22CF181C" w14:textId="77777777" w:rsidR="000B7923" w:rsidRPr="002B1DFC" w:rsidRDefault="000B7923" w:rsidP="009B0E02">
      <w:pPr>
        <w:rPr>
          <w:rFonts w:cs="Times New Roman"/>
        </w:rPr>
      </w:pPr>
    </w:p>
    <w:p w14:paraId="7DDCC236"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The structure of departments varies from oblast to oblast; it depends on the decision of OSA. Departments can have </w:t>
      </w:r>
      <w:r w:rsidR="006C180A">
        <w:rPr>
          <w:rFonts w:cs="Times New Roman"/>
        </w:rPr>
        <w:t>two or three</w:t>
      </w:r>
      <w:r w:rsidRPr="002B1DFC">
        <w:rPr>
          <w:rFonts w:cs="Times New Roman"/>
        </w:rPr>
        <w:t xml:space="preserve"> directorates (</w:t>
      </w:r>
      <w:proofErr w:type="spellStart"/>
      <w:r w:rsidRPr="002B1DFC">
        <w:rPr>
          <w:rFonts w:cs="Times New Roman"/>
          <w:i/>
        </w:rPr>
        <w:t>upravlinnia</w:t>
      </w:r>
      <w:proofErr w:type="spellEnd"/>
      <w:r w:rsidRPr="002B1DFC">
        <w:rPr>
          <w:rFonts w:cs="Times New Roman"/>
        </w:rPr>
        <w:t>)</w:t>
      </w:r>
      <w:r w:rsidR="006C180A">
        <w:rPr>
          <w:rFonts w:cs="Times New Roman"/>
        </w:rPr>
        <w:t>,</w:t>
      </w:r>
      <w:r w:rsidRPr="002B1DFC">
        <w:rPr>
          <w:rFonts w:cs="Times New Roman"/>
        </w:rPr>
        <w:t xml:space="preserve"> with </w:t>
      </w:r>
      <w:r w:rsidR="006C180A">
        <w:rPr>
          <w:rFonts w:cs="Times New Roman"/>
        </w:rPr>
        <w:t>three to five</w:t>
      </w:r>
      <w:r w:rsidRPr="002B1DFC">
        <w:rPr>
          <w:rFonts w:cs="Times New Roman"/>
        </w:rPr>
        <w:t xml:space="preserve"> divisions (</w:t>
      </w:r>
      <w:proofErr w:type="spellStart"/>
      <w:r w:rsidRPr="002B1DFC">
        <w:rPr>
          <w:rFonts w:cs="Times New Roman"/>
          <w:i/>
        </w:rPr>
        <w:t>viddil</w:t>
      </w:r>
      <w:proofErr w:type="spellEnd"/>
      <w:r w:rsidRPr="002B1DFC">
        <w:rPr>
          <w:rFonts w:cs="Times New Roman"/>
        </w:rPr>
        <w:t>) and sectors in each directorate, and divisions and sectors not in directorates. Names of directorates, divisions</w:t>
      </w:r>
      <w:r w:rsidR="006C180A">
        <w:rPr>
          <w:rFonts w:cs="Times New Roman"/>
        </w:rPr>
        <w:t>,</w:t>
      </w:r>
      <w:r w:rsidRPr="002B1DFC">
        <w:rPr>
          <w:rFonts w:cs="Times New Roman"/>
        </w:rPr>
        <w:t xml:space="preserve"> and sectors are different in different oblasts. All oblast departments have divisions for waste management, water resources, monitoring, protection of air</w:t>
      </w:r>
      <w:r w:rsidR="005608F5">
        <w:rPr>
          <w:rFonts w:cs="Times New Roman"/>
        </w:rPr>
        <w:t>,</w:t>
      </w:r>
      <w:r w:rsidRPr="002B1DFC">
        <w:rPr>
          <w:rFonts w:cs="Times New Roman"/>
        </w:rPr>
        <w:t xml:space="preserve"> </w:t>
      </w:r>
      <w:r w:rsidR="00591FD4">
        <w:rPr>
          <w:rFonts w:cs="Times New Roman"/>
        </w:rPr>
        <w:t>and so forth.</w:t>
      </w:r>
      <w:r w:rsidRPr="002B1DFC">
        <w:rPr>
          <w:rFonts w:cs="Times New Roman"/>
        </w:rPr>
        <w:t xml:space="preserve"> Some oblast</w:t>
      </w:r>
      <w:r w:rsidR="00D51AED">
        <w:rPr>
          <w:rFonts w:cs="Times New Roman"/>
        </w:rPr>
        <w:t>s</w:t>
      </w:r>
      <w:r w:rsidRPr="002B1DFC">
        <w:rPr>
          <w:rFonts w:cs="Times New Roman"/>
        </w:rPr>
        <w:t xml:space="preserve"> created separate divisions of the state ecological expertise (</w:t>
      </w:r>
      <w:r w:rsidR="00591FD4">
        <w:rPr>
          <w:rFonts w:cs="Times New Roman"/>
        </w:rPr>
        <w:t>for example,</w:t>
      </w:r>
      <w:r w:rsidRPr="002B1DFC">
        <w:rPr>
          <w:rFonts w:cs="Times New Roman"/>
        </w:rPr>
        <w:t xml:space="preserve"> </w:t>
      </w:r>
      <w:proofErr w:type="spellStart"/>
      <w:r w:rsidRPr="002B1DFC">
        <w:rPr>
          <w:rFonts w:cs="Times New Roman"/>
        </w:rPr>
        <w:t>Zaporizhzhya</w:t>
      </w:r>
      <w:proofErr w:type="spellEnd"/>
      <w:r w:rsidRPr="002B1DFC">
        <w:rPr>
          <w:rFonts w:cs="Times New Roman"/>
        </w:rPr>
        <w:t xml:space="preserve">), </w:t>
      </w:r>
      <w:r w:rsidR="005608F5">
        <w:rPr>
          <w:rFonts w:cs="Times New Roman"/>
        </w:rPr>
        <w:t>while others</w:t>
      </w:r>
      <w:r w:rsidR="005608F5" w:rsidRPr="002B1DFC">
        <w:rPr>
          <w:rFonts w:cs="Times New Roman"/>
        </w:rPr>
        <w:t xml:space="preserve"> </w:t>
      </w:r>
      <w:r w:rsidRPr="002B1DFC">
        <w:rPr>
          <w:rFonts w:cs="Times New Roman"/>
        </w:rPr>
        <w:t>combined this function with other functions. Obviously</w:t>
      </w:r>
      <w:r w:rsidR="006C180A">
        <w:rPr>
          <w:rFonts w:cs="Times New Roman"/>
        </w:rPr>
        <w:t>,</w:t>
      </w:r>
      <w:r w:rsidRPr="002B1DFC">
        <w:rPr>
          <w:rFonts w:cs="Times New Roman"/>
        </w:rPr>
        <w:t xml:space="preserve"> such diversity creates problems for interaction with the central government</w:t>
      </w:r>
      <w:r w:rsidR="006C180A">
        <w:rPr>
          <w:rFonts w:cs="Times New Roman"/>
        </w:rPr>
        <w:t>,</w:t>
      </w:r>
      <w:r w:rsidRPr="002B1DFC">
        <w:rPr>
          <w:rFonts w:cs="Times New Roman"/>
        </w:rPr>
        <w:t xml:space="preserve"> which is supposed to regulate</w:t>
      </w:r>
      <w:r w:rsidR="00D51AED">
        <w:rPr>
          <w:rFonts w:cs="Times New Roman"/>
        </w:rPr>
        <w:t xml:space="preserve"> the</w:t>
      </w:r>
      <w:r w:rsidRPr="002B1DFC">
        <w:rPr>
          <w:rFonts w:cs="Times New Roman"/>
        </w:rPr>
        <w:t xml:space="preserve"> activities of oblast departments. </w:t>
      </w:r>
      <w:r w:rsidR="00D51AED">
        <w:rPr>
          <w:rFonts w:cs="Times New Roman"/>
        </w:rPr>
        <w:t>T</w:t>
      </w:r>
      <w:r w:rsidRPr="002B1DFC">
        <w:rPr>
          <w:rFonts w:cs="Times New Roman"/>
        </w:rPr>
        <w:t xml:space="preserve">able </w:t>
      </w:r>
      <w:r w:rsidR="005060F5">
        <w:rPr>
          <w:rFonts w:cs="Times New Roman"/>
        </w:rPr>
        <w:t>8</w:t>
      </w:r>
      <w:r w:rsidRPr="002B1DFC">
        <w:rPr>
          <w:rFonts w:cs="Times New Roman"/>
        </w:rPr>
        <w:t xml:space="preserve"> </w:t>
      </w:r>
      <w:r w:rsidR="00D51AED">
        <w:rPr>
          <w:rFonts w:cs="Times New Roman"/>
        </w:rPr>
        <w:t>presents an overview</w:t>
      </w:r>
      <w:r w:rsidRPr="002B1DFC">
        <w:rPr>
          <w:rFonts w:cs="Times New Roman"/>
        </w:rPr>
        <w:t xml:space="preserve"> </w:t>
      </w:r>
      <w:r w:rsidR="00D51AED">
        <w:rPr>
          <w:rFonts w:cs="Times New Roman"/>
        </w:rPr>
        <w:t xml:space="preserve">of the </w:t>
      </w:r>
      <w:r w:rsidRPr="002B1DFC">
        <w:rPr>
          <w:rFonts w:cs="Times New Roman"/>
        </w:rPr>
        <w:t>structure of OSA environment departments.</w:t>
      </w:r>
    </w:p>
    <w:p w14:paraId="19137BDE" w14:textId="77777777" w:rsidR="000B7923" w:rsidRPr="002B1DFC" w:rsidRDefault="000B7923" w:rsidP="009B0E02">
      <w:pPr>
        <w:rPr>
          <w:rFonts w:cs="Times New Roman"/>
        </w:rPr>
      </w:pPr>
    </w:p>
    <w:p w14:paraId="1B83BD01" w14:textId="77777777" w:rsidR="000B7923" w:rsidRPr="002B1DFC" w:rsidRDefault="000B7923" w:rsidP="009B0E02">
      <w:pPr>
        <w:pStyle w:val="Caption"/>
      </w:pPr>
      <w:bookmarkStart w:id="88" w:name="_Toc440274000"/>
      <w:r w:rsidRPr="002B1DFC">
        <w:t xml:space="preserve">Table </w:t>
      </w:r>
      <w:r w:rsidRPr="002B1DFC">
        <w:fldChar w:fldCharType="begin"/>
      </w:r>
      <w:r w:rsidRPr="002B1DFC">
        <w:instrText xml:space="preserve"> SEQ Table \* ARABIC </w:instrText>
      </w:r>
      <w:r w:rsidRPr="002B1DFC">
        <w:fldChar w:fldCharType="separate"/>
      </w:r>
      <w:r w:rsidR="00356D5F">
        <w:t>8</w:t>
      </w:r>
      <w:r w:rsidRPr="002B1DFC">
        <w:fldChar w:fldCharType="end"/>
      </w:r>
      <w:r w:rsidRPr="002B1DFC">
        <w:t xml:space="preserve">. Overview </w:t>
      </w:r>
      <w:r w:rsidR="00D51AED">
        <w:t xml:space="preserve">of </w:t>
      </w:r>
      <w:r w:rsidRPr="002B1DFC">
        <w:t>Structure of OSA Environment Departments</w:t>
      </w:r>
      <w:bookmarkEnd w:id="88"/>
    </w:p>
    <w:tbl>
      <w:tblPr>
        <w:tblW w:w="5000" w:type="pct"/>
        <w:tblInd w:w="108" w:type="dxa"/>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1799"/>
        <w:gridCol w:w="2517"/>
        <w:gridCol w:w="2517"/>
        <w:gridCol w:w="2517"/>
      </w:tblGrid>
      <w:tr w:rsidR="000B7923" w:rsidRPr="002B1DFC" w14:paraId="515D7E4F" w14:textId="77777777" w:rsidTr="00CD2A22">
        <w:trPr>
          <w:tblHeader/>
        </w:trPr>
        <w:tc>
          <w:tcPr>
            <w:tcW w:w="962" w:type="pct"/>
            <w:tcBorders>
              <w:top w:val="single" w:sz="4" w:space="0" w:color="4F81BD"/>
              <w:left w:val="single" w:sz="4" w:space="0" w:color="4F81BD"/>
              <w:bottom w:val="nil"/>
              <w:right w:val="nil"/>
            </w:tcBorders>
            <w:shd w:val="clear" w:color="auto" w:fill="4F81BD"/>
          </w:tcPr>
          <w:p w14:paraId="27F6A289" w14:textId="77777777" w:rsidR="000B7923" w:rsidRPr="002B1DFC" w:rsidRDefault="000B7923" w:rsidP="00E8006B">
            <w:pPr>
              <w:rPr>
                <w:rFonts w:cs="Times New Roman"/>
                <w:b/>
                <w:bCs/>
                <w:color w:val="FFFFFF"/>
                <w:sz w:val="20"/>
                <w:szCs w:val="20"/>
              </w:rPr>
            </w:pPr>
          </w:p>
        </w:tc>
        <w:tc>
          <w:tcPr>
            <w:tcW w:w="1346" w:type="pct"/>
            <w:tcBorders>
              <w:top w:val="single" w:sz="4" w:space="0" w:color="4F81BD"/>
              <w:left w:val="nil"/>
              <w:bottom w:val="nil"/>
              <w:right w:val="nil"/>
            </w:tcBorders>
            <w:shd w:val="clear" w:color="auto" w:fill="4F81BD"/>
          </w:tcPr>
          <w:p w14:paraId="3BC62D13" w14:textId="77777777" w:rsidR="000B7923" w:rsidRPr="002B1DFC" w:rsidRDefault="000B7923" w:rsidP="00E8006B">
            <w:pPr>
              <w:rPr>
                <w:rFonts w:eastAsia="Times New Roman" w:cs="Times New Roman"/>
                <w:b/>
                <w:bCs/>
                <w:color w:val="FFFFFF"/>
                <w:sz w:val="20"/>
                <w:szCs w:val="20"/>
              </w:rPr>
            </w:pPr>
            <w:r w:rsidRPr="002B1DFC">
              <w:rPr>
                <w:rFonts w:eastAsia="Times New Roman" w:cs="Times New Roman"/>
                <w:b/>
                <w:bCs/>
                <w:color w:val="FFFFFF"/>
                <w:sz w:val="20"/>
                <w:szCs w:val="20"/>
              </w:rPr>
              <w:t>Ivano-Frankivsk</w:t>
            </w:r>
          </w:p>
        </w:tc>
        <w:tc>
          <w:tcPr>
            <w:tcW w:w="1346" w:type="pct"/>
            <w:tcBorders>
              <w:top w:val="single" w:sz="4" w:space="0" w:color="4F81BD"/>
              <w:left w:val="nil"/>
              <w:bottom w:val="nil"/>
              <w:right w:val="nil"/>
            </w:tcBorders>
            <w:shd w:val="clear" w:color="auto" w:fill="4F81BD"/>
          </w:tcPr>
          <w:p w14:paraId="3CBBFA6F" w14:textId="77777777" w:rsidR="000B7923" w:rsidRPr="002B1DFC" w:rsidRDefault="000B7923" w:rsidP="00E8006B">
            <w:pPr>
              <w:rPr>
                <w:rFonts w:eastAsia="Times New Roman" w:cs="Times New Roman"/>
                <w:b/>
                <w:bCs/>
                <w:color w:val="FFFFFF"/>
                <w:sz w:val="20"/>
                <w:szCs w:val="20"/>
              </w:rPr>
            </w:pPr>
            <w:r w:rsidRPr="002B1DFC">
              <w:rPr>
                <w:rFonts w:eastAsia="Times New Roman" w:cs="Times New Roman"/>
                <w:b/>
                <w:bCs/>
                <w:color w:val="FFFFFF"/>
                <w:sz w:val="20"/>
                <w:szCs w:val="20"/>
              </w:rPr>
              <w:t>Poltava</w:t>
            </w:r>
          </w:p>
        </w:tc>
        <w:tc>
          <w:tcPr>
            <w:tcW w:w="1346" w:type="pct"/>
            <w:tcBorders>
              <w:top w:val="single" w:sz="4" w:space="0" w:color="4F81BD"/>
              <w:left w:val="nil"/>
              <w:bottom w:val="nil"/>
              <w:right w:val="single" w:sz="4" w:space="0" w:color="4F81BD"/>
            </w:tcBorders>
            <w:shd w:val="clear" w:color="auto" w:fill="4F81BD"/>
          </w:tcPr>
          <w:p w14:paraId="12834793" w14:textId="77777777" w:rsidR="000B7923" w:rsidRPr="002B1DFC" w:rsidRDefault="000B7923" w:rsidP="00E8006B">
            <w:pPr>
              <w:rPr>
                <w:rFonts w:eastAsia="Times New Roman" w:cs="Times New Roman"/>
                <w:b/>
                <w:bCs/>
                <w:color w:val="FFFFFF"/>
                <w:sz w:val="20"/>
                <w:szCs w:val="20"/>
              </w:rPr>
            </w:pPr>
            <w:proofErr w:type="spellStart"/>
            <w:r w:rsidRPr="002B1DFC">
              <w:rPr>
                <w:rFonts w:eastAsia="Times New Roman" w:cs="Times New Roman"/>
                <w:b/>
                <w:bCs/>
                <w:color w:val="FFFFFF"/>
                <w:sz w:val="20"/>
                <w:szCs w:val="20"/>
              </w:rPr>
              <w:t>Vinnytsya</w:t>
            </w:r>
            <w:proofErr w:type="spellEnd"/>
          </w:p>
        </w:tc>
      </w:tr>
      <w:tr w:rsidR="000B7923" w:rsidRPr="002B1DFC" w14:paraId="286C7DDB" w14:textId="77777777" w:rsidTr="00CD2A22">
        <w:tc>
          <w:tcPr>
            <w:tcW w:w="962" w:type="pct"/>
            <w:tcBorders>
              <w:top w:val="single" w:sz="4" w:space="0" w:color="4F81BD"/>
              <w:left w:val="single" w:sz="4" w:space="0" w:color="4F81BD"/>
              <w:bottom w:val="single" w:sz="4" w:space="0" w:color="4F81BD"/>
              <w:right w:val="nil"/>
            </w:tcBorders>
            <w:shd w:val="clear" w:color="auto" w:fill="FFFFFF"/>
          </w:tcPr>
          <w:p w14:paraId="0AC3877A" w14:textId="77777777" w:rsidR="000B7923" w:rsidRPr="002B1DFC" w:rsidRDefault="000B7923" w:rsidP="002562D6">
            <w:pPr>
              <w:jc w:val="left"/>
              <w:rPr>
                <w:rFonts w:eastAsia="Times New Roman" w:cs="Times New Roman"/>
                <w:b/>
                <w:bCs/>
                <w:sz w:val="20"/>
                <w:szCs w:val="20"/>
              </w:rPr>
            </w:pPr>
            <w:r w:rsidRPr="002B1DFC">
              <w:rPr>
                <w:rFonts w:eastAsia="Times New Roman" w:cs="Times New Roman"/>
                <w:b/>
                <w:bCs/>
                <w:sz w:val="20"/>
                <w:szCs w:val="20"/>
              </w:rPr>
              <w:t>Key Environmental Issues</w:t>
            </w:r>
          </w:p>
          <w:p w14:paraId="0A310095" w14:textId="77777777" w:rsidR="000B7923" w:rsidRPr="002B1DFC" w:rsidRDefault="000B7923" w:rsidP="002562D6">
            <w:pPr>
              <w:jc w:val="left"/>
              <w:rPr>
                <w:rFonts w:eastAsia="Times New Roman" w:cs="Times New Roman"/>
                <w:b/>
                <w:bCs/>
                <w:sz w:val="20"/>
                <w:szCs w:val="20"/>
              </w:rPr>
            </w:pPr>
            <w:r w:rsidRPr="002B1DFC">
              <w:rPr>
                <w:rFonts w:eastAsia="Times New Roman" w:cs="Times New Roman"/>
                <w:b/>
                <w:bCs/>
                <w:sz w:val="20"/>
                <w:szCs w:val="20"/>
              </w:rPr>
              <w:t>(Regional Environmental Policy Priorities)</w:t>
            </w:r>
          </w:p>
        </w:tc>
        <w:tc>
          <w:tcPr>
            <w:tcW w:w="1346" w:type="pct"/>
            <w:tcBorders>
              <w:top w:val="single" w:sz="4" w:space="0" w:color="4F81BD"/>
              <w:left w:val="nil"/>
              <w:bottom w:val="single" w:sz="4" w:space="0" w:color="4F81BD"/>
              <w:right w:val="nil"/>
            </w:tcBorders>
          </w:tcPr>
          <w:p w14:paraId="14EFFC85" w14:textId="77777777" w:rsidR="000B7923" w:rsidRPr="002B1DFC" w:rsidRDefault="000B7923" w:rsidP="00810F94">
            <w:pPr>
              <w:jc w:val="left"/>
              <w:rPr>
                <w:rFonts w:eastAsia="Times New Roman" w:cs="Times New Roman"/>
                <w:sz w:val="20"/>
                <w:szCs w:val="20"/>
              </w:rPr>
            </w:pPr>
            <w:r w:rsidRPr="002B1DFC">
              <w:rPr>
                <w:rFonts w:eastAsia="Times New Roman" w:cs="Times New Roman"/>
                <w:sz w:val="20"/>
                <w:szCs w:val="20"/>
              </w:rPr>
              <w:t>- Reduc</w:t>
            </w:r>
            <w:r w:rsidR="00F902D2">
              <w:rPr>
                <w:rFonts w:eastAsia="Times New Roman" w:cs="Times New Roman"/>
                <w:sz w:val="20"/>
                <w:szCs w:val="20"/>
              </w:rPr>
              <w:t>ing</w:t>
            </w:r>
            <w:r w:rsidRPr="002B1DFC">
              <w:rPr>
                <w:rFonts w:eastAsia="Times New Roman" w:cs="Times New Roman"/>
                <w:sz w:val="20"/>
                <w:szCs w:val="20"/>
              </w:rPr>
              <w:t xml:space="preserve"> emissions and discharges of pollutants into the environment. </w:t>
            </w:r>
          </w:p>
          <w:p w14:paraId="55B72A1F" w14:textId="77777777" w:rsidR="000B7923" w:rsidRPr="002B1DFC" w:rsidRDefault="000B7923" w:rsidP="00810F94">
            <w:pPr>
              <w:jc w:val="left"/>
              <w:rPr>
                <w:rFonts w:eastAsia="Times New Roman" w:cs="Times New Roman"/>
                <w:sz w:val="20"/>
                <w:szCs w:val="20"/>
              </w:rPr>
            </w:pPr>
            <w:r w:rsidRPr="002B1DFC">
              <w:rPr>
                <w:rFonts w:eastAsia="Times New Roman" w:cs="Times New Roman"/>
                <w:sz w:val="20"/>
                <w:szCs w:val="20"/>
              </w:rPr>
              <w:t>- Safe</w:t>
            </w:r>
            <w:r w:rsidR="00F902D2">
              <w:rPr>
                <w:rFonts w:eastAsia="Times New Roman" w:cs="Times New Roman"/>
                <w:sz w:val="20"/>
                <w:szCs w:val="20"/>
              </w:rPr>
              <w:t>ly</w:t>
            </w:r>
            <w:r w:rsidRPr="002B1DFC">
              <w:rPr>
                <w:rFonts w:eastAsia="Times New Roman" w:cs="Times New Roman"/>
                <w:sz w:val="20"/>
                <w:szCs w:val="20"/>
              </w:rPr>
              <w:t xml:space="preserve"> handling of waste.</w:t>
            </w:r>
          </w:p>
          <w:p w14:paraId="6ED7BCC1" w14:textId="77777777" w:rsidR="000B7923" w:rsidRPr="002B1DFC" w:rsidRDefault="000B7923" w:rsidP="00810F94">
            <w:pPr>
              <w:jc w:val="left"/>
              <w:rPr>
                <w:rFonts w:eastAsia="Times New Roman" w:cs="Times New Roman"/>
                <w:sz w:val="20"/>
                <w:szCs w:val="20"/>
              </w:rPr>
            </w:pPr>
            <w:r w:rsidRPr="002B1DFC">
              <w:rPr>
                <w:rFonts w:eastAsia="Times New Roman" w:cs="Times New Roman"/>
                <w:sz w:val="20"/>
                <w:szCs w:val="20"/>
              </w:rPr>
              <w:t>- Achieving safe for human health of the environment</w:t>
            </w:r>
            <w:r w:rsidR="0001457B">
              <w:rPr>
                <w:rFonts w:eastAsia="Times New Roman" w:cs="Times New Roman"/>
                <w:sz w:val="20"/>
                <w:szCs w:val="20"/>
              </w:rPr>
              <w:t>.</w:t>
            </w:r>
          </w:p>
          <w:p w14:paraId="65711B9E" w14:textId="77777777" w:rsidR="000B7923" w:rsidRPr="002B1DFC" w:rsidRDefault="000B7923" w:rsidP="00810F94">
            <w:pPr>
              <w:jc w:val="left"/>
              <w:rPr>
                <w:rFonts w:eastAsia="Times New Roman" w:cs="Times New Roman"/>
                <w:sz w:val="20"/>
                <w:szCs w:val="20"/>
              </w:rPr>
            </w:pPr>
            <w:r w:rsidRPr="002B1DFC">
              <w:rPr>
                <w:rFonts w:eastAsia="Times New Roman" w:cs="Times New Roman"/>
                <w:sz w:val="20"/>
                <w:szCs w:val="20"/>
              </w:rPr>
              <w:t>- Ensuring environmentally sustainable nature</w:t>
            </w:r>
            <w:r w:rsidR="0001457B">
              <w:rPr>
                <w:rFonts w:eastAsia="Times New Roman" w:cs="Times New Roman"/>
                <w:sz w:val="20"/>
                <w:szCs w:val="20"/>
              </w:rPr>
              <w:t>.</w:t>
            </w:r>
          </w:p>
          <w:p w14:paraId="3F3D5EA1" w14:textId="77777777" w:rsidR="00F902D2" w:rsidRDefault="000B7923" w:rsidP="00810F94">
            <w:pPr>
              <w:jc w:val="left"/>
              <w:rPr>
                <w:rFonts w:eastAsia="Times New Roman" w:cs="Times New Roman"/>
                <w:sz w:val="20"/>
                <w:szCs w:val="20"/>
              </w:rPr>
            </w:pPr>
            <w:r w:rsidRPr="002B1DFC">
              <w:rPr>
                <w:rFonts w:eastAsia="Times New Roman" w:cs="Times New Roman"/>
                <w:sz w:val="20"/>
                <w:szCs w:val="20"/>
              </w:rPr>
              <w:t>- Halt</w:t>
            </w:r>
            <w:r w:rsidR="00F902D2">
              <w:rPr>
                <w:rFonts w:eastAsia="Times New Roman" w:cs="Times New Roman"/>
                <w:sz w:val="20"/>
                <w:szCs w:val="20"/>
              </w:rPr>
              <w:t xml:space="preserve">ing </w:t>
            </w:r>
            <w:r w:rsidRPr="002B1DFC">
              <w:rPr>
                <w:rFonts w:eastAsia="Times New Roman" w:cs="Times New Roman"/>
                <w:sz w:val="20"/>
                <w:szCs w:val="20"/>
              </w:rPr>
              <w:t xml:space="preserve">loss of biotic and landscape diversity. </w:t>
            </w:r>
          </w:p>
          <w:p w14:paraId="30642559" w14:textId="77777777" w:rsidR="000B7923" w:rsidRPr="002B1DFC" w:rsidRDefault="00F902D2" w:rsidP="00810F94">
            <w:pPr>
              <w:jc w:val="left"/>
              <w:rPr>
                <w:rFonts w:eastAsia="Times New Roman" w:cs="Times New Roman"/>
                <w:sz w:val="20"/>
                <w:szCs w:val="20"/>
              </w:rPr>
            </w:pPr>
            <w:r>
              <w:rPr>
                <w:rFonts w:eastAsia="Times New Roman" w:cs="Times New Roman"/>
                <w:sz w:val="20"/>
                <w:szCs w:val="20"/>
              </w:rPr>
              <w:t>- E</w:t>
            </w:r>
            <w:r w:rsidR="000B7923" w:rsidRPr="002B1DFC">
              <w:rPr>
                <w:rFonts w:eastAsia="Times New Roman" w:cs="Times New Roman"/>
                <w:sz w:val="20"/>
                <w:szCs w:val="20"/>
              </w:rPr>
              <w:t>stablishing an ecological network</w:t>
            </w:r>
            <w:r w:rsidR="0001457B">
              <w:rPr>
                <w:rFonts w:eastAsia="Times New Roman" w:cs="Times New Roman"/>
                <w:sz w:val="20"/>
                <w:szCs w:val="20"/>
              </w:rPr>
              <w:t>.</w:t>
            </w:r>
          </w:p>
          <w:p w14:paraId="0CF99F87" w14:textId="77777777" w:rsidR="000B7923" w:rsidRPr="002B1DFC" w:rsidRDefault="000B7923" w:rsidP="00810F94">
            <w:pPr>
              <w:jc w:val="left"/>
              <w:rPr>
                <w:rFonts w:eastAsia="Times New Roman" w:cs="Times New Roman"/>
                <w:sz w:val="20"/>
                <w:szCs w:val="20"/>
              </w:rPr>
            </w:pPr>
            <w:r w:rsidRPr="002B1DFC">
              <w:rPr>
                <w:rFonts w:eastAsia="Times New Roman" w:cs="Times New Roman"/>
                <w:sz w:val="20"/>
                <w:szCs w:val="20"/>
              </w:rPr>
              <w:t>- Raising public environmental awareness</w:t>
            </w:r>
            <w:r w:rsidR="0001457B">
              <w:rPr>
                <w:rFonts w:eastAsia="Times New Roman" w:cs="Times New Roman"/>
                <w:sz w:val="20"/>
                <w:szCs w:val="20"/>
              </w:rPr>
              <w:t>.</w:t>
            </w:r>
          </w:p>
        </w:tc>
        <w:tc>
          <w:tcPr>
            <w:tcW w:w="1346" w:type="pct"/>
            <w:tcBorders>
              <w:top w:val="single" w:sz="4" w:space="0" w:color="4F81BD"/>
              <w:left w:val="nil"/>
              <w:bottom w:val="single" w:sz="4" w:space="0" w:color="4F81BD"/>
              <w:right w:val="nil"/>
            </w:tcBorders>
          </w:tcPr>
          <w:p w14:paraId="5F69A980" w14:textId="77777777" w:rsidR="000B7923" w:rsidRPr="002B1DFC" w:rsidRDefault="000B7923" w:rsidP="00810F94">
            <w:pPr>
              <w:jc w:val="left"/>
              <w:rPr>
                <w:rFonts w:eastAsia="Times New Roman" w:cs="Times New Roman"/>
                <w:sz w:val="20"/>
                <w:szCs w:val="20"/>
              </w:rPr>
            </w:pPr>
            <w:r w:rsidRPr="002B1DFC">
              <w:rPr>
                <w:rFonts w:eastAsia="Times New Roman" w:cs="Times New Roman"/>
                <w:sz w:val="20"/>
                <w:szCs w:val="20"/>
              </w:rPr>
              <w:t>- Eliminati</w:t>
            </w:r>
            <w:r w:rsidR="00F902D2">
              <w:rPr>
                <w:rFonts w:eastAsia="Times New Roman" w:cs="Times New Roman"/>
                <w:sz w:val="20"/>
                <w:szCs w:val="20"/>
              </w:rPr>
              <w:t>ng</w:t>
            </w:r>
            <w:r w:rsidRPr="002B1DFC">
              <w:rPr>
                <w:rFonts w:eastAsia="Times New Roman" w:cs="Times New Roman"/>
                <w:sz w:val="20"/>
                <w:szCs w:val="20"/>
              </w:rPr>
              <w:t xml:space="preserve"> accumulated abandoned pesticides and improperly stored agrochemicals.</w:t>
            </w:r>
          </w:p>
          <w:p w14:paraId="73987AD3" w14:textId="77777777" w:rsidR="000B7923" w:rsidRPr="002B1DFC" w:rsidRDefault="000B7923" w:rsidP="00810F94">
            <w:pPr>
              <w:jc w:val="left"/>
              <w:rPr>
                <w:rFonts w:eastAsia="Times New Roman" w:cs="Times New Roman"/>
                <w:sz w:val="20"/>
                <w:szCs w:val="20"/>
              </w:rPr>
            </w:pPr>
            <w:r w:rsidRPr="002B1DFC">
              <w:rPr>
                <w:rFonts w:eastAsia="Times New Roman" w:cs="Times New Roman"/>
                <w:sz w:val="20"/>
                <w:szCs w:val="20"/>
              </w:rPr>
              <w:t>- Marking the boundaries of territories and objects of Nature Reserve Fund (NRF)</w:t>
            </w:r>
            <w:r w:rsidR="0001457B">
              <w:rPr>
                <w:rFonts w:eastAsia="Times New Roman" w:cs="Times New Roman"/>
                <w:sz w:val="20"/>
                <w:szCs w:val="20"/>
              </w:rPr>
              <w:t>.</w:t>
            </w:r>
          </w:p>
        </w:tc>
        <w:tc>
          <w:tcPr>
            <w:tcW w:w="1346" w:type="pct"/>
            <w:tcBorders>
              <w:top w:val="single" w:sz="4" w:space="0" w:color="4F81BD"/>
              <w:left w:val="nil"/>
              <w:bottom w:val="single" w:sz="4" w:space="0" w:color="4F81BD"/>
              <w:right w:val="single" w:sz="4" w:space="0" w:color="4F81BD"/>
            </w:tcBorders>
          </w:tcPr>
          <w:p w14:paraId="3BACDD00" w14:textId="77777777" w:rsidR="000B7923" w:rsidRPr="002B1DFC" w:rsidRDefault="000B7923" w:rsidP="00810F94">
            <w:pPr>
              <w:jc w:val="left"/>
              <w:rPr>
                <w:rFonts w:eastAsia="Times New Roman" w:cs="Times New Roman"/>
                <w:sz w:val="20"/>
                <w:szCs w:val="20"/>
              </w:rPr>
            </w:pPr>
            <w:r w:rsidRPr="002B1DFC">
              <w:rPr>
                <w:rFonts w:eastAsia="Times New Roman" w:cs="Times New Roman"/>
                <w:sz w:val="20"/>
                <w:szCs w:val="20"/>
              </w:rPr>
              <w:t xml:space="preserve">- </w:t>
            </w:r>
            <w:r w:rsidR="00F902D2">
              <w:rPr>
                <w:rFonts w:eastAsia="Times New Roman" w:cs="Times New Roman"/>
                <w:sz w:val="20"/>
                <w:szCs w:val="20"/>
              </w:rPr>
              <w:t>Raising e</w:t>
            </w:r>
            <w:r w:rsidRPr="002B1DFC">
              <w:rPr>
                <w:rFonts w:eastAsia="Times New Roman" w:cs="Times New Roman"/>
                <w:sz w:val="20"/>
                <w:szCs w:val="20"/>
              </w:rPr>
              <w:t>nvironmental awareness</w:t>
            </w:r>
            <w:r w:rsidR="0001457B">
              <w:rPr>
                <w:rFonts w:eastAsia="Times New Roman" w:cs="Times New Roman"/>
                <w:sz w:val="20"/>
                <w:szCs w:val="20"/>
              </w:rPr>
              <w:t>.</w:t>
            </w:r>
          </w:p>
          <w:p w14:paraId="71A715A6" w14:textId="77777777" w:rsidR="000B7923" w:rsidRPr="002B1DFC" w:rsidRDefault="000B7923" w:rsidP="00810F94">
            <w:pPr>
              <w:jc w:val="left"/>
              <w:rPr>
                <w:rFonts w:eastAsia="Times New Roman" w:cs="Times New Roman"/>
                <w:sz w:val="20"/>
                <w:szCs w:val="20"/>
              </w:rPr>
            </w:pPr>
            <w:r w:rsidRPr="002B1DFC">
              <w:rPr>
                <w:rFonts w:eastAsia="Times New Roman" w:cs="Times New Roman"/>
                <w:sz w:val="20"/>
                <w:szCs w:val="20"/>
              </w:rPr>
              <w:t>- Improv</w:t>
            </w:r>
            <w:r w:rsidR="00F902D2">
              <w:rPr>
                <w:rFonts w:eastAsia="Times New Roman" w:cs="Times New Roman"/>
                <w:sz w:val="20"/>
                <w:szCs w:val="20"/>
              </w:rPr>
              <w:t>ing the</w:t>
            </w:r>
            <w:r w:rsidRPr="002B1DFC">
              <w:rPr>
                <w:rFonts w:eastAsia="Times New Roman" w:cs="Times New Roman"/>
                <w:sz w:val="20"/>
                <w:szCs w:val="20"/>
              </w:rPr>
              <w:t xml:space="preserve"> environmental situation and environmental safety</w:t>
            </w:r>
            <w:r w:rsidR="0001457B">
              <w:rPr>
                <w:rFonts w:eastAsia="Times New Roman" w:cs="Times New Roman"/>
                <w:sz w:val="20"/>
                <w:szCs w:val="20"/>
              </w:rPr>
              <w:t>.</w:t>
            </w:r>
          </w:p>
          <w:p w14:paraId="31F67A8A" w14:textId="77777777" w:rsidR="006C180A" w:rsidRDefault="000B7923" w:rsidP="00810F94">
            <w:pPr>
              <w:jc w:val="left"/>
              <w:rPr>
                <w:rFonts w:eastAsia="Times New Roman" w:cs="Times New Roman"/>
                <w:sz w:val="20"/>
                <w:szCs w:val="20"/>
              </w:rPr>
            </w:pPr>
            <w:r w:rsidRPr="002B1DFC">
              <w:rPr>
                <w:rFonts w:eastAsia="Times New Roman" w:cs="Times New Roman"/>
                <w:sz w:val="20"/>
                <w:szCs w:val="20"/>
              </w:rPr>
              <w:t>- Slow</w:t>
            </w:r>
            <w:r w:rsidR="00F902D2">
              <w:rPr>
                <w:rFonts w:eastAsia="Times New Roman" w:cs="Times New Roman"/>
                <w:sz w:val="20"/>
                <w:szCs w:val="20"/>
              </w:rPr>
              <w:t>ing the</w:t>
            </w:r>
            <w:r w:rsidRPr="002B1DFC">
              <w:rPr>
                <w:rFonts w:eastAsia="Times New Roman" w:cs="Times New Roman"/>
                <w:sz w:val="20"/>
                <w:szCs w:val="20"/>
              </w:rPr>
              <w:t xml:space="preserve"> loss of biological and landscape diversity. </w:t>
            </w:r>
          </w:p>
          <w:p w14:paraId="57C7D613" w14:textId="77777777" w:rsidR="000B7923" w:rsidRPr="002B1DFC" w:rsidRDefault="000B7923" w:rsidP="00810F94">
            <w:pPr>
              <w:jc w:val="left"/>
              <w:rPr>
                <w:rFonts w:eastAsia="Times New Roman" w:cs="Times New Roman"/>
                <w:sz w:val="20"/>
                <w:szCs w:val="20"/>
              </w:rPr>
            </w:pPr>
            <w:r w:rsidRPr="002B1DFC">
              <w:rPr>
                <w:rFonts w:eastAsia="Times New Roman" w:cs="Times New Roman"/>
                <w:sz w:val="20"/>
                <w:szCs w:val="20"/>
              </w:rPr>
              <w:t>- Establish</w:t>
            </w:r>
            <w:r w:rsidR="00F902D2">
              <w:rPr>
                <w:rFonts w:eastAsia="Times New Roman" w:cs="Times New Roman"/>
                <w:sz w:val="20"/>
                <w:szCs w:val="20"/>
              </w:rPr>
              <w:t xml:space="preserve">ing </w:t>
            </w:r>
            <w:r w:rsidRPr="002B1DFC">
              <w:rPr>
                <w:rFonts w:eastAsia="Times New Roman" w:cs="Times New Roman"/>
                <w:sz w:val="20"/>
                <w:szCs w:val="20"/>
              </w:rPr>
              <w:t>ecological networks</w:t>
            </w:r>
            <w:r w:rsidR="0001457B">
              <w:rPr>
                <w:rFonts w:eastAsia="Times New Roman" w:cs="Times New Roman"/>
                <w:sz w:val="20"/>
                <w:szCs w:val="20"/>
              </w:rPr>
              <w:t>.</w:t>
            </w:r>
          </w:p>
        </w:tc>
      </w:tr>
      <w:tr w:rsidR="000B7923" w:rsidRPr="002B1DFC" w14:paraId="499799AE" w14:textId="77777777" w:rsidTr="00CD2A22">
        <w:tc>
          <w:tcPr>
            <w:tcW w:w="962" w:type="pct"/>
            <w:tcBorders>
              <w:left w:val="single" w:sz="4" w:space="0" w:color="4F81BD"/>
              <w:right w:val="nil"/>
            </w:tcBorders>
            <w:shd w:val="clear" w:color="auto" w:fill="FFFFFF"/>
          </w:tcPr>
          <w:p w14:paraId="65250410" w14:textId="77777777" w:rsidR="000B7923" w:rsidRPr="002B1DFC" w:rsidRDefault="000B7923" w:rsidP="002562D6">
            <w:pPr>
              <w:jc w:val="left"/>
              <w:rPr>
                <w:rFonts w:cs="Times New Roman"/>
                <w:b/>
                <w:bCs/>
                <w:sz w:val="20"/>
                <w:szCs w:val="20"/>
              </w:rPr>
            </w:pPr>
            <w:r w:rsidRPr="002B1DFC">
              <w:rPr>
                <w:rFonts w:eastAsia="Times New Roman" w:cs="Times New Roman"/>
                <w:b/>
                <w:bCs/>
                <w:sz w:val="20"/>
                <w:szCs w:val="20"/>
              </w:rPr>
              <w:t xml:space="preserve">Relevant </w:t>
            </w:r>
            <w:r w:rsidR="00810F94">
              <w:rPr>
                <w:rFonts w:eastAsia="Times New Roman" w:cs="Times New Roman"/>
                <w:b/>
                <w:bCs/>
                <w:sz w:val="20"/>
                <w:szCs w:val="20"/>
              </w:rPr>
              <w:t xml:space="preserve">OSA </w:t>
            </w:r>
            <w:r w:rsidRPr="002B1DFC">
              <w:rPr>
                <w:rFonts w:eastAsia="Times New Roman" w:cs="Times New Roman"/>
                <w:b/>
                <w:bCs/>
                <w:sz w:val="20"/>
                <w:szCs w:val="20"/>
              </w:rPr>
              <w:t>Department</w:t>
            </w:r>
          </w:p>
        </w:tc>
        <w:tc>
          <w:tcPr>
            <w:tcW w:w="1346" w:type="pct"/>
          </w:tcPr>
          <w:p w14:paraId="5819BAEB"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 xml:space="preserve">Ecology and Natural Resources Section </w:t>
            </w:r>
          </w:p>
        </w:tc>
        <w:tc>
          <w:tcPr>
            <w:tcW w:w="1346" w:type="pct"/>
          </w:tcPr>
          <w:p w14:paraId="6E24B2CB"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Department of Oil and Gas Complex, Ecology</w:t>
            </w:r>
            <w:r w:rsidR="00EF4ECC">
              <w:rPr>
                <w:rFonts w:eastAsia="Times New Roman" w:cs="Times New Roman"/>
                <w:sz w:val="20"/>
                <w:szCs w:val="20"/>
              </w:rPr>
              <w:t>,</w:t>
            </w:r>
            <w:r w:rsidRPr="002B1DFC">
              <w:rPr>
                <w:rFonts w:eastAsia="Times New Roman" w:cs="Times New Roman"/>
                <w:sz w:val="20"/>
                <w:szCs w:val="20"/>
              </w:rPr>
              <w:t xml:space="preserve"> and Nature Resources</w:t>
            </w:r>
          </w:p>
        </w:tc>
        <w:tc>
          <w:tcPr>
            <w:tcW w:w="1346" w:type="pct"/>
            <w:tcBorders>
              <w:right w:val="single" w:sz="4" w:space="0" w:color="4F81BD"/>
            </w:tcBorders>
          </w:tcPr>
          <w:p w14:paraId="10EC0564"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 xml:space="preserve">Department of Ecology and Natural Resources </w:t>
            </w:r>
          </w:p>
        </w:tc>
      </w:tr>
      <w:tr w:rsidR="000B7923" w:rsidRPr="002B1DFC" w14:paraId="1F1621CF" w14:textId="77777777" w:rsidTr="00CD2A22">
        <w:tc>
          <w:tcPr>
            <w:tcW w:w="962" w:type="pct"/>
            <w:tcBorders>
              <w:top w:val="single" w:sz="4" w:space="0" w:color="4F81BD"/>
              <w:left w:val="single" w:sz="4" w:space="0" w:color="4F81BD"/>
              <w:bottom w:val="single" w:sz="4" w:space="0" w:color="4F81BD"/>
              <w:right w:val="nil"/>
            </w:tcBorders>
            <w:shd w:val="clear" w:color="auto" w:fill="FFFFFF"/>
          </w:tcPr>
          <w:p w14:paraId="57EF8592" w14:textId="77777777" w:rsidR="000B7923" w:rsidRPr="002B1DFC" w:rsidRDefault="000B7923" w:rsidP="002562D6">
            <w:pPr>
              <w:jc w:val="left"/>
              <w:rPr>
                <w:rFonts w:eastAsia="Times New Roman" w:cs="Times New Roman"/>
                <w:b/>
                <w:bCs/>
                <w:sz w:val="20"/>
                <w:szCs w:val="20"/>
              </w:rPr>
            </w:pPr>
            <w:r w:rsidRPr="002B1DFC">
              <w:rPr>
                <w:rFonts w:eastAsia="Times New Roman" w:cs="Times New Roman"/>
                <w:b/>
                <w:bCs/>
                <w:sz w:val="20"/>
                <w:szCs w:val="20"/>
              </w:rPr>
              <w:t>Key Directorates (n</w:t>
            </w:r>
            <w:r w:rsidR="00591FD4">
              <w:rPr>
                <w:rFonts w:eastAsia="Times New Roman" w:cs="Times New Roman"/>
                <w:b/>
                <w:bCs/>
                <w:sz w:val="20"/>
                <w:szCs w:val="20"/>
              </w:rPr>
              <w:t>umber</w:t>
            </w:r>
            <w:r w:rsidRPr="002B1DFC">
              <w:rPr>
                <w:rFonts w:eastAsia="Times New Roman" w:cs="Times New Roman"/>
                <w:b/>
                <w:bCs/>
                <w:sz w:val="20"/>
                <w:szCs w:val="20"/>
              </w:rPr>
              <w:t xml:space="preserve"> of personnel</w:t>
            </w:r>
            <w:r w:rsidR="006C180A">
              <w:rPr>
                <w:rFonts w:eastAsia="Times New Roman" w:cs="Times New Roman"/>
                <w:b/>
                <w:bCs/>
                <w:sz w:val="20"/>
                <w:szCs w:val="20"/>
              </w:rPr>
              <w:t>,</w:t>
            </w:r>
            <w:r w:rsidRPr="002B1DFC">
              <w:rPr>
                <w:rFonts w:eastAsia="Times New Roman" w:cs="Times New Roman"/>
                <w:b/>
                <w:bCs/>
                <w:sz w:val="20"/>
                <w:szCs w:val="20"/>
              </w:rPr>
              <w:t xml:space="preserve"> if </w:t>
            </w:r>
            <w:r w:rsidR="00591FD4">
              <w:rPr>
                <w:rFonts w:eastAsia="Times New Roman" w:cs="Times New Roman"/>
                <w:b/>
                <w:bCs/>
                <w:sz w:val="20"/>
                <w:szCs w:val="20"/>
              </w:rPr>
              <w:t>number</w:t>
            </w:r>
            <w:r w:rsidR="006C180A">
              <w:rPr>
                <w:rFonts w:eastAsia="Times New Roman" w:cs="Times New Roman"/>
                <w:b/>
                <w:bCs/>
                <w:sz w:val="20"/>
                <w:szCs w:val="20"/>
              </w:rPr>
              <w:t xml:space="preserve"> </w:t>
            </w:r>
            <w:r w:rsidRPr="002B1DFC">
              <w:rPr>
                <w:rFonts w:eastAsia="Times New Roman" w:cs="Times New Roman"/>
                <w:b/>
                <w:bCs/>
                <w:sz w:val="20"/>
                <w:szCs w:val="20"/>
              </w:rPr>
              <w:t>available)</w:t>
            </w:r>
          </w:p>
        </w:tc>
        <w:tc>
          <w:tcPr>
            <w:tcW w:w="1346" w:type="pct"/>
            <w:tcBorders>
              <w:top w:val="single" w:sz="4" w:space="0" w:color="4F81BD"/>
              <w:bottom w:val="single" w:sz="4" w:space="0" w:color="4F81BD"/>
            </w:tcBorders>
          </w:tcPr>
          <w:p w14:paraId="1AE41852" w14:textId="77777777" w:rsidR="000B7923" w:rsidRPr="002B1DFC" w:rsidRDefault="000B7923" w:rsidP="002562D6">
            <w:pPr>
              <w:jc w:val="left"/>
              <w:rPr>
                <w:rFonts w:eastAsia="Times New Roman" w:cs="Times New Roman"/>
                <w:sz w:val="20"/>
                <w:szCs w:val="20"/>
              </w:rPr>
            </w:pPr>
            <w:r w:rsidRPr="002B1DFC">
              <w:rPr>
                <w:rFonts w:eastAsia="Times New Roman" w:cs="Times New Roman"/>
                <w:b/>
                <w:bCs/>
                <w:sz w:val="20"/>
                <w:szCs w:val="20"/>
                <w:u w:val="single"/>
              </w:rPr>
              <w:t>Sector</w:t>
            </w:r>
            <w:r w:rsidRPr="002B1DFC">
              <w:rPr>
                <w:rFonts w:eastAsia="Times New Roman" w:cs="Times New Roman"/>
                <w:sz w:val="20"/>
                <w:szCs w:val="20"/>
              </w:rPr>
              <w:t xml:space="preserve"> of documentary, personnel</w:t>
            </w:r>
            <w:r w:rsidR="00F902D2">
              <w:rPr>
                <w:rFonts w:eastAsia="Times New Roman" w:cs="Times New Roman"/>
                <w:sz w:val="20"/>
                <w:szCs w:val="20"/>
              </w:rPr>
              <w:t>,</w:t>
            </w:r>
            <w:r w:rsidRPr="002B1DFC">
              <w:rPr>
                <w:rFonts w:eastAsia="Times New Roman" w:cs="Times New Roman"/>
                <w:sz w:val="20"/>
                <w:szCs w:val="20"/>
              </w:rPr>
              <w:t xml:space="preserve"> and legal support</w:t>
            </w:r>
          </w:p>
          <w:p w14:paraId="3B85B2F1" w14:textId="77777777" w:rsidR="000B7923" w:rsidRPr="002B1DFC" w:rsidRDefault="000B7923" w:rsidP="002562D6">
            <w:pPr>
              <w:jc w:val="left"/>
              <w:rPr>
                <w:rFonts w:eastAsia="Times New Roman" w:cs="Times New Roman"/>
                <w:sz w:val="20"/>
                <w:szCs w:val="20"/>
              </w:rPr>
            </w:pPr>
          </w:p>
          <w:p w14:paraId="132EA763" w14:textId="77777777" w:rsidR="000B7923" w:rsidRPr="002B1DFC" w:rsidRDefault="000B7923" w:rsidP="002562D6">
            <w:pPr>
              <w:jc w:val="left"/>
              <w:rPr>
                <w:rFonts w:eastAsia="Times New Roman" w:cs="Times New Roman"/>
                <w:sz w:val="20"/>
                <w:szCs w:val="20"/>
              </w:rPr>
            </w:pPr>
            <w:r w:rsidRPr="002B1DFC">
              <w:rPr>
                <w:rFonts w:eastAsia="Times New Roman" w:cs="Times New Roman"/>
                <w:b/>
                <w:bCs/>
                <w:sz w:val="20"/>
                <w:szCs w:val="20"/>
                <w:u w:val="single"/>
              </w:rPr>
              <w:t xml:space="preserve">Department </w:t>
            </w:r>
            <w:r w:rsidRPr="002B1DFC">
              <w:rPr>
                <w:rFonts w:eastAsia="Times New Roman" w:cs="Times New Roman"/>
                <w:sz w:val="20"/>
                <w:szCs w:val="20"/>
              </w:rPr>
              <w:t>of</w:t>
            </w:r>
            <w:r w:rsidRPr="002B1DFC">
              <w:rPr>
                <w:rFonts w:eastAsia="Times New Roman" w:cs="Times New Roman"/>
                <w:b/>
                <w:bCs/>
                <w:sz w:val="20"/>
                <w:szCs w:val="20"/>
                <w:u w:val="single"/>
              </w:rPr>
              <w:t xml:space="preserve"> </w:t>
            </w:r>
            <w:r w:rsidR="00EF4ECC">
              <w:rPr>
                <w:rFonts w:eastAsia="Times New Roman" w:cs="Times New Roman"/>
                <w:sz w:val="20"/>
                <w:szCs w:val="20"/>
              </w:rPr>
              <w:t>A</w:t>
            </w:r>
            <w:r w:rsidRPr="002B1DFC">
              <w:rPr>
                <w:rFonts w:eastAsia="Times New Roman" w:cs="Times New Roman"/>
                <w:sz w:val="20"/>
                <w:szCs w:val="20"/>
              </w:rPr>
              <w:t xml:space="preserve">nthropogenic </w:t>
            </w:r>
            <w:r w:rsidR="00EF4ECC">
              <w:rPr>
                <w:rFonts w:eastAsia="Times New Roman" w:cs="Times New Roman"/>
                <w:sz w:val="20"/>
                <w:szCs w:val="20"/>
              </w:rPr>
              <w:t>L</w:t>
            </w:r>
            <w:r w:rsidRPr="002B1DFC">
              <w:rPr>
                <w:rFonts w:eastAsia="Times New Roman" w:cs="Times New Roman"/>
                <w:sz w:val="20"/>
                <w:szCs w:val="20"/>
              </w:rPr>
              <w:t xml:space="preserve">oad </w:t>
            </w:r>
            <w:r w:rsidR="00EF4ECC">
              <w:rPr>
                <w:rFonts w:eastAsia="Times New Roman" w:cs="Times New Roman"/>
                <w:sz w:val="20"/>
                <w:szCs w:val="20"/>
              </w:rPr>
              <w:t>R</w:t>
            </w:r>
            <w:r w:rsidRPr="002B1DFC">
              <w:rPr>
                <w:rFonts w:eastAsia="Times New Roman" w:cs="Times New Roman"/>
                <w:sz w:val="20"/>
                <w:szCs w:val="20"/>
              </w:rPr>
              <w:t xml:space="preserve">egulation, </w:t>
            </w:r>
            <w:r w:rsidR="00EF4ECC">
              <w:rPr>
                <w:rFonts w:eastAsia="Times New Roman" w:cs="Times New Roman"/>
                <w:sz w:val="20"/>
                <w:szCs w:val="20"/>
              </w:rPr>
              <w:t>E</w:t>
            </w:r>
            <w:r w:rsidRPr="002B1DFC">
              <w:rPr>
                <w:rFonts w:eastAsia="Times New Roman" w:cs="Times New Roman"/>
                <w:sz w:val="20"/>
                <w:szCs w:val="20"/>
              </w:rPr>
              <w:t xml:space="preserve">nvironmental </w:t>
            </w:r>
            <w:r w:rsidR="00EF4ECC">
              <w:rPr>
                <w:rFonts w:eastAsia="Times New Roman" w:cs="Times New Roman"/>
                <w:sz w:val="20"/>
                <w:szCs w:val="20"/>
              </w:rPr>
              <w:t>E</w:t>
            </w:r>
            <w:r w:rsidRPr="002B1DFC">
              <w:rPr>
                <w:rFonts w:eastAsia="Times New Roman" w:cs="Times New Roman"/>
                <w:sz w:val="20"/>
                <w:szCs w:val="20"/>
              </w:rPr>
              <w:t xml:space="preserve">xpertise, </w:t>
            </w:r>
            <w:r w:rsidR="00EF4ECC">
              <w:rPr>
                <w:rFonts w:eastAsia="Times New Roman" w:cs="Times New Roman"/>
                <w:sz w:val="20"/>
                <w:szCs w:val="20"/>
              </w:rPr>
              <w:t>W</w:t>
            </w:r>
            <w:r w:rsidRPr="002B1DFC">
              <w:rPr>
                <w:rFonts w:eastAsia="Times New Roman" w:cs="Times New Roman"/>
                <w:sz w:val="20"/>
                <w:szCs w:val="20"/>
              </w:rPr>
              <w:t xml:space="preserve">aste </w:t>
            </w:r>
            <w:r w:rsidR="00EF4ECC">
              <w:rPr>
                <w:rFonts w:eastAsia="Times New Roman" w:cs="Times New Roman"/>
                <w:sz w:val="20"/>
                <w:szCs w:val="20"/>
              </w:rPr>
              <w:t>M</w:t>
            </w:r>
            <w:r w:rsidRPr="002B1DFC">
              <w:rPr>
                <w:rFonts w:eastAsia="Times New Roman" w:cs="Times New Roman"/>
                <w:sz w:val="20"/>
                <w:szCs w:val="20"/>
              </w:rPr>
              <w:t>anagement</w:t>
            </w:r>
            <w:r w:rsidR="00F902D2">
              <w:rPr>
                <w:rFonts w:eastAsia="Times New Roman" w:cs="Times New Roman"/>
                <w:sz w:val="20"/>
                <w:szCs w:val="20"/>
              </w:rPr>
              <w:t>,</w:t>
            </w:r>
            <w:r w:rsidRPr="002B1DFC">
              <w:rPr>
                <w:rFonts w:eastAsia="Times New Roman" w:cs="Times New Roman"/>
                <w:sz w:val="20"/>
                <w:szCs w:val="20"/>
              </w:rPr>
              <w:t xml:space="preserve"> and </w:t>
            </w:r>
            <w:r w:rsidR="00EF4ECC">
              <w:rPr>
                <w:rFonts w:eastAsia="Times New Roman" w:cs="Times New Roman"/>
                <w:sz w:val="20"/>
                <w:szCs w:val="20"/>
              </w:rPr>
              <w:t>C</w:t>
            </w:r>
            <w:r w:rsidRPr="002B1DFC">
              <w:rPr>
                <w:rFonts w:eastAsia="Times New Roman" w:cs="Times New Roman"/>
                <w:sz w:val="20"/>
                <w:szCs w:val="20"/>
              </w:rPr>
              <w:t xml:space="preserve">oordination of </w:t>
            </w:r>
            <w:r w:rsidR="00EF4ECC">
              <w:rPr>
                <w:rFonts w:eastAsia="Times New Roman" w:cs="Times New Roman"/>
                <w:sz w:val="20"/>
                <w:szCs w:val="20"/>
              </w:rPr>
              <w:t>E</w:t>
            </w:r>
            <w:r w:rsidRPr="002B1DFC">
              <w:rPr>
                <w:rFonts w:eastAsia="Times New Roman" w:cs="Times New Roman"/>
                <w:sz w:val="20"/>
                <w:szCs w:val="20"/>
              </w:rPr>
              <w:t xml:space="preserve">nvironmental </w:t>
            </w:r>
            <w:r w:rsidR="00EF4ECC">
              <w:rPr>
                <w:rFonts w:eastAsia="Times New Roman" w:cs="Times New Roman"/>
                <w:sz w:val="20"/>
                <w:szCs w:val="20"/>
              </w:rPr>
              <w:t>P</w:t>
            </w:r>
            <w:r w:rsidRPr="002B1DFC">
              <w:rPr>
                <w:rFonts w:eastAsia="Times New Roman" w:cs="Times New Roman"/>
                <w:sz w:val="20"/>
                <w:szCs w:val="20"/>
              </w:rPr>
              <w:t xml:space="preserve">rotection </w:t>
            </w:r>
            <w:r w:rsidR="00EF4ECC">
              <w:rPr>
                <w:rFonts w:eastAsia="Times New Roman" w:cs="Times New Roman"/>
                <w:sz w:val="20"/>
                <w:szCs w:val="20"/>
              </w:rPr>
              <w:t>A</w:t>
            </w:r>
            <w:r w:rsidRPr="002B1DFC">
              <w:rPr>
                <w:rFonts w:eastAsia="Times New Roman" w:cs="Times New Roman"/>
                <w:sz w:val="20"/>
                <w:szCs w:val="20"/>
              </w:rPr>
              <w:t>ctivities</w:t>
            </w:r>
          </w:p>
          <w:p w14:paraId="7FD840A6" w14:textId="77777777" w:rsidR="000B7923" w:rsidRPr="002B1DFC" w:rsidRDefault="000B7923" w:rsidP="002562D6">
            <w:pPr>
              <w:jc w:val="left"/>
              <w:rPr>
                <w:rFonts w:eastAsia="Times New Roman" w:cs="Times New Roman"/>
                <w:sz w:val="20"/>
                <w:szCs w:val="20"/>
              </w:rPr>
            </w:pPr>
          </w:p>
          <w:p w14:paraId="26352FA5" w14:textId="77777777" w:rsidR="000B7923" w:rsidRPr="002B1DFC" w:rsidRDefault="000B7923" w:rsidP="002562D6">
            <w:pPr>
              <w:jc w:val="left"/>
              <w:rPr>
                <w:rFonts w:eastAsia="Times New Roman" w:cs="Times New Roman"/>
                <w:sz w:val="20"/>
                <w:szCs w:val="20"/>
              </w:rPr>
            </w:pPr>
            <w:r w:rsidRPr="002B1DFC">
              <w:rPr>
                <w:rFonts w:eastAsia="Times New Roman" w:cs="Times New Roman"/>
                <w:b/>
                <w:bCs/>
                <w:sz w:val="20"/>
                <w:szCs w:val="20"/>
                <w:u w:val="single"/>
              </w:rPr>
              <w:t>Department</w:t>
            </w:r>
            <w:r w:rsidRPr="002B1DFC">
              <w:rPr>
                <w:rFonts w:eastAsia="Times New Roman" w:cs="Times New Roman"/>
                <w:sz w:val="20"/>
                <w:szCs w:val="20"/>
              </w:rPr>
              <w:t xml:space="preserve"> of </w:t>
            </w:r>
            <w:r w:rsidR="0001457B">
              <w:rPr>
                <w:rFonts w:eastAsia="Times New Roman" w:cs="Times New Roman"/>
                <w:sz w:val="20"/>
                <w:szCs w:val="20"/>
              </w:rPr>
              <w:t>E</w:t>
            </w:r>
            <w:r w:rsidRPr="002B1DFC">
              <w:rPr>
                <w:rFonts w:eastAsia="Times New Roman" w:cs="Times New Roman"/>
                <w:sz w:val="20"/>
                <w:szCs w:val="20"/>
              </w:rPr>
              <w:t xml:space="preserve">nvironmental </w:t>
            </w:r>
            <w:r w:rsidR="0001457B">
              <w:rPr>
                <w:rFonts w:eastAsia="Times New Roman" w:cs="Times New Roman"/>
                <w:sz w:val="20"/>
                <w:szCs w:val="20"/>
              </w:rPr>
              <w:t>E</w:t>
            </w:r>
            <w:r w:rsidRPr="002B1DFC">
              <w:rPr>
                <w:rFonts w:eastAsia="Times New Roman" w:cs="Times New Roman"/>
                <w:sz w:val="20"/>
                <w:szCs w:val="20"/>
              </w:rPr>
              <w:t xml:space="preserve">conomics, </w:t>
            </w:r>
            <w:r w:rsidR="0001457B">
              <w:rPr>
                <w:rFonts w:eastAsia="Times New Roman" w:cs="Times New Roman"/>
                <w:sz w:val="20"/>
                <w:szCs w:val="20"/>
              </w:rPr>
              <w:t>E</w:t>
            </w:r>
            <w:r w:rsidRPr="002B1DFC">
              <w:rPr>
                <w:rFonts w:eastAsia="Times New Roman" w:cs="Times New Roman"/>
                <w:sz w:val="20"/>
                <w:szCs w:val="20"/>
              </w:rPr>
              <w:t xml:space="preserve">nvironmental </w:t>
            </w:r>
            <w:r w:rsidR="0001457B">
              <w:rPr>
                <w:rFonts w:eastAsia="Times New Roman" w:cs="Times New Roman"/>
                <w:sz w:val="20"/>
                <w:szCs w:val="20"/>
              </w:rPr>
              <w:t>M</w:t>
            </w:r>
            <w:r w:rsidRPr="002B1DFC">
              <w:rPr>
                <w:rFonts w:eastAsia="Times New Roman" w:cs="Times New Roman"/>
                <w:sz w:val="20"/>
                <w:szCs w:val="20"/>
              </w:rPr>
              <w:t xml:space="preserve">onitoring, </w:t>
            </w:r>
            <w:r w:rsidR="00F902D2">
              <w:rPr>
                <w:rFonts w:eastAsia="Times New Roman" w:cs="Times New Roman"/>
                <w:sz w:val="20"/>
                <w:szCs w:val="20"/>
              </w:rPr>
              <w:t xml:space="preserve">and </w:t>
            </w:r>
            <w:r w:rsidR="0001457B">
              <w:rPr>
                <w:rFonts w:eastAsia="Times New Roman" w:cs="Times New Roman"/>
                <w:sz w:val="20"/>
                <w:szCs w:val="20"/>
              </w:rPr>
              <w:t>P</w:t>
            </w:r>
            <w:r w:rsidRPr="002B1DFC">
              <w:rPr>
                <w:rFonts w:eastAsia="Times New Roman" w:cs="Times New Roman"/>
                <w:sz w:val="20"/>
                <w:szCs w:val="20"/>
              </w:rPr>
              <w:t xml:space="preserve">ublic and </w:t>
            </w:r>
            <w:r w:rsidR="0001457B">
              <w:rPr>
                <w:rFonts w:eastAsia="Times New Roman" w:cs="Times New Roman"/>
                <w:sz w:val="20"/>
                <w:szCs w:val="20"/>
              </w:rPr>
              <w:t>M</w:t>
            </w:r>
            <w:r w:rsidRPr="002B1DFC">
              <w:rPr>
                <w:rFonts w:eastAsia="Times New Roman" w:cs="Times New Roman"/>
                <w:sz w:val="20"/>
                <w:szCs w:val="20"/>
              </w:rPr>
              <w:t xml:space="preserve">edia </w:t>
            </w:r>
            <w:r w:rsidR="0001457B">
              <w:rPr>
                <w:rFonts w:eastAsia="Times New Roman" w:cs="Times New Roman"/>
                <w:sz w:val="20"/>
                <w:szCs w:val="20"/>
              </w:rPr>
              <w:t>R</w:t>
            </w:r>
            <w:r w:rsidRPr="002B1DFC">
              <w:rPr>
                <w:rFonts w:eastAsia="Times New Roman" w:cs="Times New Roman"/>
                <w:sz w:val="20"/>
                <w:szCs w:val="20"/>
              </w:rPr>
              <w:t xml:space="preserve">elations </w:t>
            </w:r>
          </w:p>
          <w:p w14:paraId="617192D9" w14:textId="77777777" w:rsidR="000B7923" w:rsidRPr="002B1DFC" w:rsidRDefault="000B7923" w:rsidP="002562D6">
            <w:pPr>
              <w:jc w:val="left"/>
              <w:rPr>
                <w:rFonts w:eastAsia="Times New Roman" w:cs="Times New Roman"/>
                <w:sz w:val="20"/>
                <w:szCs w:val="20"/>
              </w:rPr>
            </w:pPr>
          </w:p>
          <w:p w14:paraId="5D1B7ABA" w14:textId="77777777" w:rsidR="000B7923" w:rsidRPr="002B1DFC" w:rsidRDefault="000B7923" w:rsidP="002562D6">
            <w:pPr>
              <w:jc w:val="left"/>
              <w:rPr>
                <w:rFonts w:eastAsia="Times New Roman" w:cs="Times New Roman"/>
                <w:sz w:val="20"/>
                <w:szCs w:val="20"/>
              </w:rPr>
            </w:pPr>
            <w:r w:rsidRPr="002B1DFC">
              <w:rPr>
                <w:rFonts w:eastAsia="Times New Roman" w:cs="Times New Roman"/>
                <w:b/>
                <w:bCs/>
                <w:sz w:val="20"/>
                <w:szCs w:val="20"/>
                <w:u w:val="single"/>
              </w:rPr>
              <w:t>Department</w:t>
            </w:r>
            <w:r w:rsidRPr="002B1DFC">
              <w:rPr>
                <w:rFonts w:eastAsia="Times New Roman" w:cs="Times New Roman"/>
                <w:sz w:val="20"/>
                <w:szCs w:val="20"/>
              </w:rPr>
              <w:t xml:space="preserve"> of </w:t>
            </w:r>
            <w:r w:rsidR="0001457B">
              <w:rPr>
                <w:rFonts w:eastAsia="Times New Roman" w:cs="Times New Roman"/>
                <w:sz w:val="20"/>
                <w:szCs w:val="20"/>
              </w:rPr>
              <w:t>N</w:t>
            </w:r>
            <w:r w:rsidRPr="002B1DFC">
              <w:rPr>
                <w:rFonts w:eastAsia="Times New Roman" w:cs="Times New Roman"/>
                <w:sz w:val="20"/>
                <w:szCs w:val="20"/>
              </w:rPr>
              <w:t xml:space="preserve">ature </w:t>
            </w:r>
            <w:r w:rsidR="0001457B">
              <w:rPr>
                <w:rFonts w:eastAsia="Times New Roman" w:cs="Times New Roman"/>
                <w:sz w:val="20"/>
                <w:szCs w:val="20"/>
              </w:rPr>
              <w:t>R</w:t>
            </w:r>
            <w:r w:rsidRPr="002B1DFC">
              <w:rPr>
                <w:rFonts w:eastAsia="Times New Roman" w:cs="Times New Roman"/>
                <w:sz w:val="20"/>
                <w:szCs w:val="20"/>
              </w:rPr>
              <w:t xml:space="preserve">eserve </w:t>
            </w:r>
            <w:r w:rsidR="0001457B">
              <w:rPr>
                <w:rFonts w:eastAsia="Times New Roman" w:cs="Times New Roman"/>
                <w:sz w:val="20"/>
                <w:szCs w:val="20"/>
              </w:rPr>
              <w:t>F</w:t>
            </w:r>
            <w:r w:rsidRPr="002B1DFC">
              <w:rPr>
                <w:rFonts w:eastAsia="Times New Roman" w:cs="Times New Roman"/>
                <w:sz w:val="20"/>
                <w:szCs w:val="20"/>
              </w:rPr>
              <w:t xml:space="preserve">und and </w:t>
            </w:r>
            <w:r w:rsidR="0001457B">
              <w:rPr>
                <w:rFonts w:eastAsia="Times New Roman" w:cs="Times New Roman"/>
                <w:sz w:val="20"/>
                <w:szCs w:val="20"/>
              </w:rPr>
              <w:t>E</w:t>
            </w:r>
            <w:r w:rsidRPr="002B1DFC">
              <w:rPr>
                <w:rFonts w:eastAsia="Times New Roman" w:cs="Times New Roman"/>
                <w:sz w:val="20"/>
                <w:szCs w:val="20"/>
              </w:rPr>
              <w:t xml:space="preserve">cological </w:t>
            </w:r>
            <w:r w:rsidR="0001457B">
              <w:rPr>
                <w:rFonts w:eastAsia="Times New Roman" w:cs="Times New Roman"/>
                <w:sz w:val="20"/>
                <w:szCs w:val="20"/>
              </w:rPr>
              <w:t>N</w:t>
            </w:r>
            <w:r w:rsidRPr="002B1DFC">
              <w:rPr>
                <w:rFonts w:eastAsia="Times New Roman" w:cs="Times New Roman"/>
                <w:sz w:val="20"/>
                <w:szCs w:val="20"/>
              </w:rPr>
              <w:t xml:space="preserve">etworks, </w:t>
            </w:r>
            <w:r w:rsidR="0001457B">
              <w:rPr>
                <w:rFonts w:eastAsia="Times New Roman" w:cs="Times New Roman"/>
                <w:sz w:val="20"/>
                <w:szCs w:val="20"/>
              </w:rPr>
              <w:t>B</w:t>
            </w:r>
            <w:r w:rsidRPr="002B1DFC">
              <w:rPr>
                <w:rFonts w:eastAsia="Times New Roman" w:cs="Times New Roman"/>
                <w:sz w:val="20"/>
                <w:szCs w:val="20"/>
              </w:rPr>
              <w:t>iological</w:t>
            </w:r>
            <w:r w:rsidR="00EF4ECC">
              <w:rPr>
                <w:rFonts w:eastAsia="Times New Roman" w:cs="Times New Roman"/>
                <w:sz w:val="20"/>
                <w:szCs w:val="20"/>
              </w:rPr>
              <w:t>,</w:t>
            </w:r>
            <w:r w:rsidRPr="002B1DFC">
              <w:rPr>
                <w:rFonts w:eastAsia="Times New Roman" w:cs="Times New Roman"/>
                <w:sz w:val="20"/>
                <w:szCs w:val="20"/>
              </w:rPr>
              <w:t xml:space="preserve"> and </w:t>
            </w:r>
            <w:r w:rsidR="0001457B">
              <w:rPr>
                <w:rFonts w:eastAsia="Times New Roman" w:cs="Times New Roman"/>
                <w:sz w:val="20"/>
                <w:szCs w:val="20"/>
              </w:rPr>
              <w:t>L</w:t>
            </w:r>
            <w:r w:rsidRPr="002B1DFC">
              <w:rPr>
                <w:rFonts w:eastAsia="Times New Roman" w:cs="Times New Roman"/>
                <w:sz w:val="20"/>
                <w:szCs w:val="20"/>
              </w:rPr>
              <w:t xml:space="preserve">and </w:t>
            </w:r>
            <w:r w:rsidR="0001457B">
              <w:rPr>
                <w:rFonts w:eastAsia="Times New Roman" w:cs="Times New Roman"/>
                <w:sz w:val="20"/>
                <w:szCs w:val="20"/>
              </w:rPr>
              <w:t>R</w:t>
            </w:r>
            <w:r w:rsidRPr="002B1DFC">
              <w:rPr>
                <w:rFonts w:eastAsia="Times New Roman" w:cs="Times New Roman"/>
                <w:sz w:val="20"/>
                <w:szCs w:val="20"/>
              </w:rPr>
              <w:t>esources</w:t>
            </w:r>
          </w:p>
        </w:tc>
        <w:tc>
          <w:tcPr>
            <w:tcW w:w="1346" w:type="pct"/>
            <w:tcBorders>
              <w:top w:val="single" w:sz="4" w:space="0" w:color="4F81BD"/>
              <w:bottom w:val="single" w:sz="4" w:space="0" w:color="4F81BD"/>
            </w:tcBorders>
          </w:tcPr>
          <w:p w14:paraId="024020FE" w14:textId="4BC7ACAD" w:rsidR="000B7923" w:rsidRPr="002B1DFC" w:rsidRDefault="000B7923">
            <w:pPr>
              <w:jc w:val="left"/>
              <w:rPr>
                <w:rFonts w:eastAsia="Times New Roman" w:cs="Times New Roman"/>
                <w:sz w:val="20"/>
                <w:szCs w:val="20"/>
              </w:rPr>
            </w:pPr>
            <w:r w:rsidRPr="002B1DFC">
              <w:rPr>
                <w:rFonts w:eastAsia="Times New Roman" w:cs="Times New Roman"/>
                <w:b/>
                <w:bCs/>
                <w:sz w:val="20"/>
                <w:szCs w:val="20"/>
                <w:u w:val="single"/>
              </w:rPr>
              <w:lastRenderedPageBreak/>
              <w:t>Department</w:t>
            </w:r>
            <w:r w:rsidRPr="002B1DFC">
              <w:rPr>
                <w:rFonts w:eastAsia="Times New Roman" w:cs="Times New Roman"/>
                <w:sz w:val="20"/>
                <w:szCs w:val="20"/>
              </w:rPr>
              <w:t xml:space="preserve"> </w:t>
            </w:r>
            <w:r w:rsidR="00522FA3" w:rsidRPr="00522FA3">
              <w:rPr>
                <w:rFonts w:eastAsia="Times New Roman" w:cs="Times New Roman"/>
                <w:sz w:val="20"/>
                <w:szCs w:val="20"/>
              </w:rPr>
              <w:t>of financial -economic work and staffing (7)</w:t>
            </w:r>
          </w:p>
          <w:p w14:paraId="713E6791" w14:textId="77777777" w:rsidR="000B7923" w:rsidRPr="002B1DFC" w:rsidRDefault="000B7923" w:rsidP="002562D6">
            <w:pPr>
              <w:jc w:val="left"/>
              <w:rPr>
                <w:rFonts w:eastAsia="Times New Roman" w:cs="Times New Roman"/>
                <w:b/>
                <w:bCs/>
                <w:sz w:val="20"/>
                <w:szCs w:val="20"/>
              </w:rPr>
            </w:pPr>
          </w:p>
          <w:p w14:paraId="53627E68" w14:textId="77777777" w:rsidR="00522FA3" w:rsidRPr="00721C66" w:rsidRDefault="00522FA3" w:rsidP="00522FA3">
            <w:pPr>
              <w:jc w:val="left"/>
              <w:rPr>
                <w:rFonts w:eastAsia="Times New Roman" w:cs="Times New Roman"/>
                <w:sz w:val="20"/>
                <w:szCs w:val="20"/>
                <w:u w:val="single"/>
              </w:rPr>
            </w:pPr>
            <w:r w:rsidRPr="00522FA3">
              <w:rPr>
                <w:rFonts w:eastAsia="Times New Roman" w:cs="Times New Roman"/>
                <w:b/>
                <w:bCs/>
                <w:sz w:val="20"/>
                <w:szCs w:val="20"/>
                <w:u w:val="single"/>
              </w:rPr>
              <w:t xml:space="preserve">Department </w:t>
            </w:r>
            <w:r w:rsidRPr="00721C66">
              <w:rPr>
                <w:rFonts w:eastAsia="Times New Roman" w:cs="Times New Roman"/>
                <w:sz w:val="20"/>
                <w:szCs w:val="20"/>
                <w:u w:val="single"/>
              </w:rPr>
              <w:t>of Ecology and Natural Resources:</w:t>
            </w:r>
          </w:p>
          <w:p w14:paraId="04983540" w14:textId="12557B8C" w:rsidR="00522FA3" w:rsidRPr="00721C66" w:rsidRDefault="00522FA3">
            <w:pPr>
              <w:jc w:val="left"/>
              <w:rPr>
                <w:rFonts w:eastAsia="Times New Roman" w:cs="Times New Roman"/>
                <w:sz w:val="20"/>
                <w:szCs w:val="20"/>
              </w:rPr>
            </w:pPr>
            <w:r w:rsidRPr="00721C66">
              <w:rPr>
                <w:rFonts w:eastAsia="Times New Roman" w:cs="Times New Roman"/>
                <w:sz w:val="20"/>
                <w:szCs w:val="20"/>
              </w:rPr>
              <w:t>* Water and air regulation section (6);</w:t>
            </w:r>
          </w:p>
          <w:p w14:paraId="16E1F9C8" w14:textId="25943B00" w:rsidR="000B7923" w:rsidRPr="002B1DFC" w:rsidRDefault="00522FA3" w:rsidP="002562D6">
            <w:pPr>
              <w:jc w:val="left"/>
              <w:rPr>
                <w:rFonts w:eastAsia="Times New Roman" w:cs="Times New Roman"/>
                <w:sz w:val="20"/>
                <w:szCs w:val="20"/>
              </w:rPr>
            </w:pPr>
            <w:r w:rsidRPr="00721C66">
              <w:rPr>
                <w:rFonts w:eastAsia="Times New Roman" w:cs="Times New Roman"/>
                <w:sz w:val="20"/>
                <w:szCs w:val="20"/>
              </w:rPr>
              <w:t>* Regulation of land resources, mineral resources and ecological network section (5)</w:t>
            </w:r>
          </w:p>
          <w:p w14:paraId="22EB7ECF" w14:textId="5E7ABFF2" w:rsidR="008D22E3" w:rsidRPr="00721C66" w:rsidRDefault="008D22E3">
            <w:pPr>
              <w:jc w:val="left"/>
              <w:rPr>
                <w:rFonts w:eastAsia="Times New Roman" w:cs="Times New Roman"/>
                <w:sz w:val="20"/>
                <w:szCs w:val="20"/>
              </w:rPr>
            </w:pPr>
            <w:r>
              <w:rPr>
                <w:rFonts w:eastAsia="Times New Roman" w:cs="Times New Roman"/>
                <w:sz w:val="20"/>
                <w:szCs w:val="20"/>
              </w:rPr>
              <w:t>* B</w:t>
            </w:r>
            <w:r w:rsidRPr="00721C66">
              <w:rPr>
                <w:rFonts w:eastAsia="Times New Roman" w:cs="Times New Roman"/>
                <w:sz w:val="20"/>
                <w:szCs w:val="20"/>
              </w:rPr>
              <w:t xml:space="preserve">iotic resources and regulation of </w:t>
            </w:r>
            <w:r>
              <w:rPr>
                <w:rFonts w:eastAsia="Times New Roman" w:cs="Times New Roman"/>
                <w:sz w:val="20"/>
                <w:szCs w:val="20"/>
              </w:rPr>
              <w:t>t</w:t>
            </w:r>
            <w:r w:rsidRPr="00721C66">
              <w:rPr>
                <w:rFonts w:eastAsia="Times New Roman" w:cs="Times New Roman"/>
                <w:sz w:val="20"/>
                <w:szCs w:val="20"/>
              </w:rPr>
              <w:t xml:space="preserve">echnological </w:t>
            </w:r>
            <w:r>
              <w:rPr>
                <w:rFonts w:eastAsia="Times New Roman" w:cs="Times New Roman"/>
                <w:sz w:val="20"/>
                <w:szCs w:val="20"/>
              </w:rPr>
              <w:t>S</w:t>
            </w:r>
            <w:r w:rsidRPr="00721C66">
              <w:rPr>
                <w:rFonts w:eastAsia="Times New Roman" w:cs="Times New Roman"/>
                <w:sz w:val="20"/>
                <w:szCs w:val="20"/>
              </w:rPr>
              <w:t xml:space="preserve">afety </w:t>
            </w:r>
            <w:r>
              <w:rPr>
                <w:rFonts w:eastAsia="Times New Roman" w:cs="Times New Roman"/>
                <w:sz w:val="20"/>
                <w:szCs w:val="20"/>
              </w:rPr>
              <w:t xml:space="preserve">section </w:t>
            </w:r>
            <w:r w:rsidRPr="00721C66">
              <w:rPr>
                <w:rFonts w:eastAsia="Times New Roman" w:cs="Times New Roman"/>
                <w:sz w:val="20"/>
                <w:szCs w:val="20"/>
              </w:rPr>
              <w:t>(7);</w:t>
            </w:r>
          </w:p>
          <w:p w14:paraId="261BB4CE" w14:textId="2A4365F2" w:rsidR="000B7923" w:rsidRPr="002B1DFC" w:rsidRDefault="008D22E3" w:rsidP="002562D6">
            <w:pPr>
              <w:jc w:val="left"/>
              <w:rPr>
                <w:rFonts w:eastAsia="Times New Roman" w:cs="Times New Roman"/>
                <w:sz w:val="20"/>
                <w:szCs w:val="20"/>
              </w:rPr>
            </w:pPr>
            <w:r w:rsidRPr="00721C66">
              <w:rPr>
                <w:rFonts w:eastAsia="Times New Roman" w:cs="Times New Roman"/>
                <w:sz w:val="20"/>
                <w:szCs w:val="20"/>
              </w:rPr>
              <w:t xml:space="preserve">* </w:t>
            </w:r>
            <w:r>
              <w:rPr>
                <w:rFonts w:eastAsia="Times New Roman" w:cs="Times New Roman"/>
                <w:sz w:val="20"/>
                <w:szCs w:val="20"/>
              </w:rPr>
              <w:t>Ecological expertise</w:t>
            </w:r>
            <w:r w:rsidRPr="00721C66">
              <w:rPr>
                <w:rFonts w:eastAsia="Times New Roman" w:cs="Times New Roman"/>
                <w:sz w:val="20"/>
                <w:szCs w:val="20"/>
              </w:rPr>
              <w:t xml:space="preserve">, environmental monitoring </w:t>
            </w:r>
            <w:r w:rsidRPr="00721C66">
              <w:rPr>
                <w:rFonts w:eastAsia="Times New Roman" w:cs="Times New Roman"/>
                <w:sz w:val="20"/>
                <w:szCs w:val="20"/>
              </w:rPr>
              <w:lastRenderedPageBreak/>
              <w:t xml:space="preserve">and public relations </w:t>
            </w:r>
            <w:r>
              <w:rPr>
                <w:rFonts w:eastAsia="Times New Roman" w:cs="Times New Roman"/>
                <w:sz w:val="20"/>
                <w:szCs w:val="20"/>
              </w:rPr>
              <w:t xml:space="preserve">section </w:t>
            </w:r>
            <w:r w:rsidRPr="00721C66">
              <w:rPr>
                <w:rFonts w:eastAsia="Times New Roman" w:cs="Times New Roman"/>
                <w:sz w:val="20"/>
                <w:szCs w:val="20"/>
              </w:rPr>
              <w:t>(7)</w:t>
            </w:r>
          </w:p>
        </w:tc>
        <w:tc>
          <w:tcPr>
            <w:tcW w:w="1346" w:type="pct"/>
            <w:tcBorders>
              <w:top w:val="single" w:sz="4" w:space="0" w:color="4F81BD"/>
              <w:bottom w:val="single" w:sz="4" w:space="0" w:color="4F81BD"/>
              <w:right w:val="single" w:sz="4" w:space="0" w:color="4F81BD"/>
            </w:tcBorders>
          </w:tcPr>
          <w:p w14:paraId="0FF40E24" w14:textId="77777777" w:rsidR="000B7923" w:rsidRPr="002B1DFC" w:rsidRDefault="000B7923" w:rsidP="002562D6">
            <w:pPr>
              <w:jc w:val="left"/>
              <w:rPr>
                <w:rFonts w:eastAsia="Times New Roman" w:cs="Times New Roman"/>
                <w:sz w:val="20"/>
                <w:szCs w:val="20"/>
              </w:rPr>
            </w:pPr>
            <w:r w:rsidRPr="002B1DFC">
              <w:rPr>
                <w:rFonts w:eastAsia="Times New Roman" w:cs="Times New Roman"/>
                <w:b/>
                <w:bCs/>
                <w:sz w:val="20"/>
                <w:szCs w:val="20"/>
                <w:u w:val="single"/>
              </w:rPr>
              <w:lastRenderedPageBreak/>
              <w:t>Department</w:t>
            </w:r>
            <w:r w:rsidRPr="002B1DFC">
              <w:rPr>
                <w:rFonts w:eastAsia="Times New Roman" w:cs="Times New Roman"/>
                <w:sz w:val="20"/>
                <w:szCs w:val="20"/>
              </w:rPr>
              <w:t xml:space="preserve"> of Accounting and </w:t>
            </w:r>
            <w:r w:rsidR="0001457B">
              <w:rPr>
                <w:rFonts w:eastAsia="Times New Roman" w:cs="Times New Roman"/>
                <w:sz w:val="20"/>
                <w:szCs w:val="20"/>
              </w:rPr>
              <w:t>F</w:t>
            </w:r>
            <w:r w:rsidRPr="002B1DFC">
              <w:rPr>
                <w:rFonts w:eastAsia="Times New Roman" w:cs="Times New Roman"/>
                <w:sz w:val="20"/>
                <w:szCs w:val="20"/>
              </w:rPr>
              <w:t xml:space="preserve">inancial and </w:t>
            </w:r>
            <w:r w:rsidR="0001457B">
              <w:rPr>
                <w:rFonts w:eastAsia="Times New Roman" w:cs="Times New Roman"/>
                <w:sz w:val="20"/>
                <w:szCs w:val="20"/>
              </w:rPr>
              <w:t>E</w:t>
            </w:r>
            <w:r w:rsidRPr="002B1DFC">
              <w:rPr>
                <w:rFonts w:eastAsia="Times New Roman" w:cs="Times New Roman"/>
                <w:sz w:val="20"/>
                <w:szCs w:val="20"/>
              </w:rPr>
              <w:t xml:space="preserve">conomic </w:t>
            </w:r>
            <w:r w:rsidR="0001457B">
              <w:rPr>
                <w:rFonts w:eastAsia="Times New Roman" w:cs="Times New Roman"/>
                <w:sz w:val="20"/>
                <w:szCs w:val="20"/>
              </w:rPr>
              <w:t>S</w:t>
            </w:r>
            <w:r w:rsidRPr="002B1DFC">
              <w:rPr>
                <w:rFonts w:eastAsia="Times New Roman" w:cs="Times New Roman"/>
                <w:sz w:val="20"/>
                <w:szCs w:val="20"/>
              </w:rPr>
              <w:t>upport (7)</w:t>
            </w:r>
            <w:r w:rsidR="00F902D2">
              <w:rPr>
                <w:rFonts w:eastAsia="Times New Roman" w:cs="Times New Roman"/>
                <w:sz w:val="20"/>
                <w:szCs w:val="20"/>
              </w:rPr>
              <w:t>;</w:t>
            </w:r>
          </w:p>
          <w:p w14:paraId="20CF439C"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*Chief specialist legal adviser (1)</w:t>
            </w:r>
          </w:p>
          <w:p w14:paraId="4A618AEB" w14:textId="77777777" w:rsidR="000B7923" w:rsidRPr="002B1DFC" w:rsidRDefault="000B7923" w:rsidP="002562D6">
            <w:pPr>
              <w:jc w:val="left"/>
              <w:rPr>
                <w:rFonts w:eastAsia="Times New Roman" w:cs="Times New Roman"/>
                <w:b/>
                <w:bCs/>
                <w:sz w:val="20"/>
                <w:szCs w:val="20"/>
                <w:u w:val="single"/>
              </w:rPr>
            </w:pPr>
          </w:p>
          <w:p w14:paraId="1B1B2BA5" w14:textId="77777777" w:rsidR="000B7923" w:rsidRPr="002B1DFC" w:rsidRDefault="000B7923" w:rsidP="002562D6">
            <w:pPr>
              <w:jc w:val="left"/>
              <w:rPr>
                <w:rFonts w:eastAsia="Times New Roman" w:cs="Times New Roman"/>
                <w:sz w:val="20"/>
                <w:szCs w:val="20"/>
              </w:rPr>
            </w:pPr>
            <w:r w:rsidRPr="002B1DFC">
              <w:rPr>
                <w:rFonts w:eastAsia="Times New Roman" w:cs="Times New Roman"/>
                <w:b/>
                <w:bCs/>
                <w:sz w:val="20"/>
                <w:szCs w:val="20"/>
                <w:u w:val="single"/>
              </w:rPr>
              <w:t>Department</w:t>
            </w:r>
            <w:r w:rsidRPr="002B1DFC">
              <w:rPr>
                <w:rFonts w:eastAsia="Times New Roman" w:cs="Times New Roman"/>
                <w:sz w:val="20"/>
                <w:szCs w:val="20"/>
              </w:rPr>
              <w:t xml:space="preserve"> of </w:t>
            </w:r>
            <w:r w:rsidR="0001457B">
              <w:rPr>
                <w:rFonts w:eastAsia="Times New Roman" w:cs="Times New Roman"/>
                <w:sz w:val="20"/>
                <w:szCs w:val="20"/>
              </w:rPr>
              <w:t>P</w:t>
            </w:r>
            <w:r w:rsidRPr="002B1DFC">
              <w:rPr>
                <w:rFonts w:eastAsia="Times New Roman" w:cs="Times New Roman"/>
                <w:sz w:val="20"/>
                <w:szCs w:val="20"/>
              </w:rPr>
              <w:t xml:space="preserve">ermits, </w:t>
            </w:r>
            <w:r w:rsidR="0001457B">
              <w:rPr>
                <w:rFonts w:eastAsia="Times New Roman" w:cs="Times New Roman"/>
                <w:sz w:val="20"/>
                <w:szCs w:val="20"/>
              </w:rPr>
              <w:t>M</w:t>
            </w:r>
            <w:r w:rsidRPr="002B1DFC">
              <w:rPr>
                <w:rFonts w:eastAsia="Times New Roman" w:cs="Times New Roman"/>
                <w:sz w:val="20"/>
                <w:szCs w:val="20"/>
              </w:rPr>
              <w:t xml:space="preserve">anagement of  </w:t>
            </w:r>
            <w:r w:rsidR="0001457B">
              <w:rPr>
                <w:rFonts w:eastAsia="Times New Roman" w:cs="Times New Roman"/>
                <w:sz w:val="20"/>
                <w:szCs w:val="20"/>
              </w:rPr>
              <w:t>E</w:t>
            </w:r>
            <w:r w:rsidRPr="002B1DFC">
              <w:rPr>
                <w:rFonts w:eastAsia="Times New Roman" w:cs="Times New Roman"/>
                <w:sz w:val="20"/>
                <w:szCs w:val="20"/>
              </w:rPr>
              <w:t xml:space="preserve">nvironmental </w:t>
            </w:r>
            <w:r w:rsidR="0001457B">
              <w:rPr>
                <w:rFonts w:eastAsia="Times New Roman" w:cs="Times New Roman"/>
                <w:sz w:val="20"/>
                <w:szCs w:val="20"/>
              </w:rPr>
              <w:t>P</w:t>
            </w:r>
            <w:r w:rsidRPr="002B1DFC">
              <w:rPr>
                <w:rFonts w:eastAsia="Times New Roman" w:cs="Times New Roman"/>
                <w:sz w:val="20"/>
                <w:szCs w:val="20"/>
              </w:rPr>
              <w:t xml:space="preserve">rotection </w:t>
            </w:r>
            <w:r w:rsidR="0001457B">
              <w:rPr>
                <w:rFonts w:eastAsia="Times New Roman" w:cs="Times New Roman"/>
                <w:sz w:val="20"/>
                <w:szCs w:val="20"/>
              </w:rPr>
              <w:t>P</w:t>
            </w:r>
            <w:r w:rsidRPr="002B1DFC">
              <w:rPr>
                <w:rFonts w:eastAsia="Times New Roman" w:cs="Times New Roman"/>
                <w:sz w:val="20"/>
                <w:szCs w:val="20"/>
              </w:rPr>
              <w:t xml:space="preserve">rograms, </w:t>
            </w:r>
            <w:r w:rsidR="0001457B">
              <w:rPr>
                <w:rFonts w:eastAsia="Times New Roman" w:cs="Times New Roman"/>
                <w:sz w:val="20"/>
                <w:szCs w:val="20"/>
              </w:rPr>
              <w:t>M</w:t>
            </w:r>
            <w:r w:rsidRPr="002B1DFC">
              <w:rPr>
                <w:rFonts w:eastAsia="Times New Roman" w:cs="Times New Roman"/>
                <w:sz w:val="20"/>
                <w:szCs w:val="20"/>
              </w:rPr>
              <w:t>onitoring</w:t>
            </w:r>
            <w:r w:rsidR="0001457B">
              <w:rPr>
                <w:rFonts w:eastAsia="Times New Roman" w:cs="Times New Roman"/>
                <w:sz w:val="20"/>
                <w:szCs w:val="20"/>
              </w:rPr>
              <w:t>,</w:t>
            </w:r>
            <w:r w:rsidRPr="002B1DFC">
              <w:rPr>
                <w:rFonts w:eastAsia="Times New Roman" w:cs="Times New Roman"/>
                <w:sz w:val="20"/>
                <w:szCs w:val="20"/>
              </w:rPr>
              <w:t xml:space="preserve"> and </w:t>
            </w:r>
            <w:r w:rsidR="0001457B">
              <w:rPr>
                <w:rFonts w:eastAsia="Times New Roman" w:cs="Times New Roman"/>
                <w:sz w:val="20"/>
                <w:szCs w:val="20"/>
              </w:rPr>
              <w:t>C</w:t>
            </w:r>
            <w:r w:rsidRPr="002B1DFC">
              <w:rPr>
                <w:rFonts w:eastAsia="Times New Roman" w:cs="Times New Roman"/>
                <w:sz w:val="20"/>
                <w:szCs w:val="20"/>
              </w:rPr>
              <w:t>ommunications (1)</w:t>
            </w:r>
            <w:r w:rsidR="00F902D2">
              <w:rPr>
                <w:rFonts w:eastAsia="Times New Roman" w:cs="Times New Roman"/>
                <w:sz w:val="20"/>
                <w:szCs w:val="20"/>
              </w:rPr>
              <w:t>;</w:t>
            </w:r>
          </w:p>
          <w:p w14:paraId="7C661D59"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*Permits and environmental programs division (5)</w:t>
            </w:r>
            <w:r w:rsidR="00F902D2">
              <w:rPr>
                <w:rFonts w:eastAsia="Times New Roman" w:cs="Times New Roman"/>
                <w:sz w:val="20"/>
                <w:szCs w:val="20"/>
              </w:rPr>
              <w:t>;</w:t>
            </w:r>
          </w:p>
          <w:p w14:paraId="7480D950"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*Monitoring, public relations</w:t>
            </w:r>
            <w:r w:rsidR="00EF4ECC">
              <w:rPr>
                <w:rFonts w:eastAsia="Times New Roman" w:cs="Times New Roman"/>
                <w:sz w:val="20"/>
                <w:szCs w:val="20"/>
              </w:rPr>
              <w:t>,</w:t>
            </w:r>
            <w:r w:rsidRPr="002B1DFC">
              <w:rPr>
                <w:rFonts w:eastAsia="Times New Roman" w:cs="Times New Roman"/>
                <w:sz w:val="20"/>
                <w:szCs w:val="20"/>
              </w:rPr>
              <w:t xml:space="preserve"> and documentary support division (5)</w:t>
            </w:r>
          </w:p>
          <w:p w14:paraId="0E1DC72E" w14:textId="77777777" w:rsidR="000B7923" w:rsidRPr="002B1DFC" w:rsidRDefault="000B7923" w:rsidP="002562D6">
            <w:pPr>
              <w:jc w:val="left"/>
              <w:rPr>
                <w:rFonts w:eastAsia="Times New Roman" w:cs="Times New Roman"/>
                <w:b/>
                <w:bCs/>
                <w:sz w:val="20"/>
                <w:szCs w:val="20"/>
                <w:u w:val="single"/>
              </w:rPr>
            </w:pPr>
          </w:p>
          <w:p w14:paraId="276EDF98" w14:textId="77777777" w:rsidR="000B7923" w:rsidRPr="002B1DFC" w:rsidRDefault="000B7923" w:rsidP="002562D6">
            <w:pPr>
              <w:jc w:val="left"/>
              <w:rPr>
                <w:rFonts w:eastAsia="Times New Roman" w:cs="Times New Roman"/>
                <w:sz w:val="20"/>
                <w:szCs w:val="20"/>
              </w:rPr>
            </w:pPr>
            <w:r w:rsidRPr="002B1DFC">
              <w:rPr>
                <w:rFonts w:eastAsia="Times New Roman" w:cs="Times New Roman"/>
                <w:b/>
                <w:bCs/>
                <w:sz w:val="20"/>
                <w:szCs w:val="20"/>
                <w:u w:val="single"/>
              </w:rPr>
              <w:lastRenderedPageBreak/>
              <w:t xml:space="preserve">Department </w:t>
            </w:r>
            <w:r w:rsidRPr="002B1DFC">
              <w:rPr>
                <w:rFonts w:eastAsia="Times New Roman" w:cs="Times New Roman"/>
                <w:sz w:val="20"/>
                <w:szCs w:val="20"/>
              </w:rPr>
              <w:t xml:space="preserve">of Soil Protection, Bio-resources, </w:t>
            </w:r>
            <w:r w:rsidR="00EF4ECC">
              <w:rPr>
                <w:rFonts w:eastAsia="Times New Roman" w:cs="Times New Roman"/>
                <w:sz w:val="20"/>
                <w:szCs w:val="20"/>
              </w:rPr>
              <w:t>N</w:t>
            </w:r>
            <w:r w:rsidRPr="002B1DFC">
              <w:rPr>
                <w:rFonts w:eastAsia="Times New Roman" w:cs="Times New Roman"/>
                <w:sz w:val="20"/>
                <w:szCs w:val="20"/>
              </w:rPr>
              <w:t xml:space="preserve">ature </w:t>
            </w:r>
            <w:r w:rsidR="00EF4ECC">
              <w:rPr>
                <w:rFonts w:eastAsia="Times New Roman" w:cs="Times New Roman"/>
                <w:sz w:val="20"/>
                <w:szCs w:val="20"/>
              </w:rPr>
              <w:t>R</w:t>
            </w:r>
            <w:r w:rsidRPr="002B1DFC">
              <w:rPr>
                <w:rFonts w:eastAsia="Times New Roman" w:cs="Times New Roman"/>
                <w:sz w:val="20"/>
                <w:szCs w:val="20"/>
              </w:rPr>
              <w:t xml:space="preserve">eserve </w:t>
            </w:r>
            <w:r w:rsidR="00EF4ECC">
              <w:rPr>
                <w:rFonts w:eastAsia="Times New Roman" w:cs="Times New Roman"/>
                <w:sz w:val="20"/>
                <w:szCs w:val="20"/>
              </w:rPr>
              <w:t>M</w:t>
            </w:r>
            <w:r w:rsidRPr="002B1DFC">
              <w:rPr>
                <w:rFonts w:eastAsia="Times New Roman" w:cs="Times New Roman"/>
                <w:sz w:val="20"/>
                <w:szCs w:val="20"/>
              </w:rPr>
              <w:t>anagement</w:t>
            </w:r>
            <w:r w:rsidR="00EF4ECC">
              <w:rPr>
                <w:rFonts w:eastAsia="Times New Roman" w:cs="Times New Roman"/>
                <w:sz w:val="20"/>
                <w:szCs w:val="20"/>
              </w:rPr>
              <w:t xml:space="preserve">, </w:t>
            </w:r>
            <w:r w:rsidRPr="002B1DFC">
              <w:rPr>
                <w:rFonts w:eastAsia="Times New Roman" w:cs="Times New Roman"/>
                <w:sz w:val="20"/>
                <w:szCs w:val="20"/>
              </w:rPr>
              <w:t xml:space="preserve">and </w:t>
            </w:r>
            <w:r w:rsidR="00EF4ECC">
              <w:rPr>
                <w:rFonts w:eastAsia="Times New Roman" w:cs="Times New Roman"/>
                <w:sz w:val="20"/>
                <w:szCs w:val="20"/>
              </w:rPr>
              <w:t>I</w:t>
            </w:r>
            <w:r w:rsidRPr="002B1DFC">
              <w:rPr>
                <w:rFonts w:eastAsia="Times New Roman" w:cs="Times New Roman"/>
                <w:sz w:val="20"/>
                <w:szCs w:val="20"/>
              </w:rPr>
              <w:t xml:space="preserve">ntegrated </w:t>
            </w:r>
            <w:r w:rsidR="00EF4ECC">
              <w:rPr>
                <w:rFonts w:eastAsia="Times New Roman" w:cs="Times New Roman"/>
                <w:sz w:val="20"/>
                <w:szCs w:val="20"/>
              </w:rPr>
              <w:t>E</w:t>
            </w:r>
            <w:r w:rsidRPr="002B1DFC">
              <w:rPr>
                <w:rFonts w:eastAsia="Times New Roman" w:cs="Times New Roman"/>
                <w:sz w:val="20"/>
                <w:szCs w:val="20"/>
              </w:rPr>
              <w:t xml:space="preserve">nvironmental </w:t>
            </w:r>
            <w:r w:rsidR="00EF4ECC">
              <w:rPr>
                <w:rFonts w:eastAsia="Times New Roman" w:cs="Times New Roman"/>
                <w:sz w:val="20"/>
                <w:szCs w:val="20"/>
              </w:rPr>
              <w:t>M</w:t>
            </w:r>
            <w:r w:rsidRPr="002B1DFC">
              <w:rPr>
                <w:rFonts w:eastAsia="Times New Roman" w:cs="Times New Roman"/>
                <w:sz w:val="20"/>
                <w:szCs w:val="20"/>
              </w:rPr>
              <w:t>anagement (1)</w:t>
            </w:r>
            <w:r w:rsidR="00F902D2">
              <w:rPr>
                <w:rFonts w:eastAsia="Times New Roman" w:cs="Times New Roman"/>
                <w:sz w:val="20"/>
                <w:szCs w:val="20"/>
              </w:rPr>
              <w:t>;</w:t>
            </w:r>
          </w:p>
          <w:p w14:paraId="63848051"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 Soil protection, biological resources, Protected Areas and Ecological Expertise division (5)</w:t>
            </w:r>
            <w:r w:rsidR="00F902D2">
              <w:rPr>
                <w:rFonts w:eastAsia="Times New Roman" w:cs="Times New Roman"/>
                <w:sz w:val="20"/>
                <w:szCs w:val="20"/>
              </w:rPr>
              <w:t>;</w:t>
            </w:r>
          </w:p>
          <w:p w14:paraId="6D3B82CF"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 Integrated environmental management division (5)</w:t>
            </w:r>
          </w:p>
        </w:tc>
      </w:tr>
      <w:tr w:rsidR="000B7923" w:rsidRPr="002B1DFC" w14:paraId="04BD0F52" w14:textId="77777777" w:rsidTr="00CD2A22">
        <w:tc>
          <w:tcPr>
            <w:tcW w:w="962" w:type="pct"/>
            <w:tcBorders>
              <w:left w:val="single" w:sz="4" w:space="0" w:color="4F81BD"/>
              <w:right w:val="nil"/>
            </w:tcBorders>
            <w:shd w:val="clear" w:color="auto" w:fill="FFFFFF"/>
          </w:tcPr>
          <w:p w14:paraId="2F1BB72D" w14:textId="77777777" w:rsidR="000B7923" w:rsidRPr="002B1DFC" w:rsidRDefault="000B7923" w:rsidP="002562D6">
            <w:pPr>
              <w:jc w:val="left"/>
              <w:rPr>
                <w:rFonts w:eastAsia="Times New Roman" w:cs="Times New Roman"/>
                <w:b/>
                <w:bCs/>
                <w:sz w:val="20"/>
                <w:szCs w:val="20"/>
              </w:rPr>
            </w:pPr>
            <w:r w:rsidRPr="002B1DFC">
              <w:rPr>
                <w:rFonts w:eastAsia="Times New Roman" w:cs="Times New Roman"/>
                <w:b/>
                <w:bCs/>
                <w:sz w:val="20"/>
                <w:szCs w:val="20"/>
              </w:rPr>
              <w:lastRenderedPageBreak/>
              <w:t>No. of inspection</w:t>
            </w:r>
            <w:r w:rsidR="00F902D2">
              <w:rPr>
                <w:rFonts w:eastAsia="Times New Roman" w:cs="Times New Roman"/>
                <w:b/>
                <w:bCs/>
                <w:sz w:val="20"/>
                <w:szCs w:val="20"/>
              </w:rPr>
              <w:t>s</w:t>
            </w:r>
            <w:r w:rsidRPr="002B1DFC">
              <w:rPr>
                <w:rFonts w:eastAsia="Times New Roman" w:cs="Times New Roman"/>
                <w:b/>
                <w:bCs/>
                <w:sz w:val="20"/>
                <w:szCs w:val="20"/>
              </w:rPr>
              <w:t xml:space="preserve"> carried out by the SEI in 2014 (January–July)</w:t>
            </w:r>
          </w:p>
        </w:tc>
        <w:tc>
          <w:tcPr>
            <w:tcW w:w="1346" w:type="pct"/>
          </w:tcPr>
          <w:p w14:paraId="554EFCEF"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1</w:t>
            </w:r>
            <w:r w:rsidR="006C180A">
              <w:rPr>
                <w:rFonts w:eastAsia="Times New Roman" w:cs="Times New Roman"/>
                <w:sz w:val="20"/>
                <w:szCs w:val="20"/>
              </w:rPr>
              <w:t>,</w:t>
            </w:r>
            <w:r w:rsidRPr="002B1DFC">
              <w:rPr>
                <w:rFonts w:eastAsia="Times New Roman" w:cs="Times New Roman"/>
                <w:sz w:val="20"/>
                <w:szCs w:val="20"/>
              </w:rPr>
              <w:t>060 inspections carried out (632 planned and 428 unplanned visits)</w:t>
            </w:r>
          </w:p>
        </w:tc>
        <w:tc>
          <w:tcPr>
            <w:tcW w:w="1346" w:type="pct"/>
          </w:tcPr>
          <w:p w14:paraId="524A3085"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523 inspected facilities</w:t>
            </w:r>
          </w:p>
        </w:tc>
        <w:tc>
          <w:tcPr>
            <w:tcW w:w="1346" w:type="pct"/>
            <w:tcBorders>
              <w:right w:val="single" w:sz="4" w:space="0" w:color="4F81BD"/>
            </w:tcBorders>
          </w:tcPr>
          <w:p w14:paraId="0334340A"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450 inspected facilities</w:t>
            </w:r>
          </w:p>
        </w:tc>
      </w:tr>
      <w:tr w:rsidR="000B7923" w:rsidRPr="002B1DFC" w14:paraId="37008734" w14:textId="77777777" w:rsidTr="00CD2A22">
        <w:tc>
          <w:tcPr>
            <w:tcW w:w="962" w:type="pct"/>
            <w:tcBorders>
              <w:top w:val="single" w:sz="4" w:space="0" w:color="4F81BD"/>
              <w:left w:val="single" w:sz="4" w:space="0" w:color="4F81BD"/>
              <w:bottom w:val="single" w:sz="4" w:space="0" w:color="4F81BD"/>
              <w:right w:val="nil"/>
            </w:tcBorders>
            <w:shd w:val="clear" w:color="auto" w:fill="FFFFFF"/>
          </w:tcPr>
          <w:p w14:paraId="64016C4B" w14:textId="77777777" w:rsidR="000B7923" w:rsidRPr="002B1DFC" w:rsidRDefault="000B7923" w:rsidP="002562D6">
            <w:pPr>
              <w:jc w:val="left"/>
              <w:rPr>
                <w:rFonts w:eastAsia="Times New Roman" w:cs="Times New Roman"/>
                <w:b/>
                <w:bCs/>
                <w:sz w:val="20"/>
                <w:szCs w:val="20"/>
              </w:rPr>
            </w:pPr>
            <w:r w:rsidRPr="002B1DFC">
              <w:rPr>
                <w:rFonts w:eastAsia="Times New Roman" w:cs="Times New Roman"/>
                <w:b/>
                <w:bCs/>
                <w:sz w:val="20"/>
                <w:szCs w:val="20"/>
              </w:rPr>
              <w:t>No. of ecological expertise</w:t>
            </w:r>
            <w:r w:rsidR="005608F5">
              <w:rPr>
                <w:rFonts w:eastAsia="Times New Roman" w:cs="Times New Roman"/>
                <w:b/>
                <w:bCs/>
                <w:sz w:val="20"/>
                <w:szCs w:val="20"/>
              </w:rPr>
              <w:t xml:space="preserve"> consultation</w:t>
            </w:r>
            <w:r w:rsidRPr="002B1DFC">
              <w:rPr>
                <w:rFonts w:eastAsia="Times New Roman" w:cs="Times New Roman"/>
                <w:b/>
                <w:bCs/>
                <w:sz w:val="20"/>
                <w:szCs w:val="20"/>
              </w:rPr>
              <w:t>s carried out by the OSA in 2014</w:t>
            </w:r>
          </w:p>
        </w:tc>
        <w:tc>
          <w:tcPr>
            <w:tcW w:w="1346" w:type="pct"/>
            <w:tcBorders>
              <w:top w:val="single" w:sz="4" w:space="0" w:color="4F81BD"/>
              <w:bottom w:val="single" w:sz="4" w:space="0" w:color="4F81BD"/>
            </w:tcBorders>
          </w:tcPr>
          <w:p w14:paraId="25A4703A"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None (due to change in legislation)</w:t>
            </w:r>
          </w:p>
        </w:tc>
        <w:tc>
          <w:tcPr>
            <w:tcW w:w="1346" w:type="pct"/>
            <w:tcBorders>
              <w:top w:val="single" w:sz="4" w:space="0" w:color="4F81BD"/>
              <w:bottom w:val="single" w:sz="4" w:space="0" w:color="4F81BD"/>
            </w:tcBorders>
          </w:tcPr>
          <w:p w14:paraId="30721658"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 xml:space="preserve">185 EIA (OVNS) – 143 received </w:t>
            </w:r>
            <w:r w:rsidR="00F5323B">
              <w:rPr>
                <w:rFonts w:eastAsia="Times New Roman" w:cs="Times New Roman"/>
                <w:sz w:val="20"/>
                <w:szCs w:val="20"/>
              </w:rPr>
              <w:t xml:space="preserve">a </w:t>
            </w:r>
            <w:r w:rsidRPr="002B1DFC">
              <w:rPr>
                <w:rFonts w:eastAsia="Times New Roman" w:cs="Times New Roman"/>
                <w:sz w:val="20"/>
                <w:szCs w:val="20"/>
              </w:rPr>
              <w:t>positive conclusion and 35 returned for revision</w:t>
            </w:r>
          </w:p>
        </w:tc>
        <w:tc>
          <w:tcPr>
            <w:tcW w:w="1346" w:type="pct"/>
            <w:tcBorders>
              <w:top w:val="single" w:sz="4" w:space="0" w:color="4F81BD"/>
              <w:bottom w:val="single" w:sz="4" w:space="0" w:color="4F81BD"/>
              <w:right w:val="single" w:sz="4" w:space="0" w:color="4F81BD"/>
            </w:tcBorders>
          </w:tcPr>
          <w:p w14:paraId="23D00D6E"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 xml:space="preserve">None (due </w:t>
            </w:r>
            <w:r w:rsidR="005608F5" w:rsidRPr="002B1DFC">
              <w:rPr>
                <w:rFonts w:eastAsia="Times New Roman" w:cs="Times New Roman"/>
                <w:sz w:val="20"/>
                <w:szCs w:val="20"/>
              </w:rPr>
              <w:t xml:space="preserve">to </w:t>
            </w:r>
            <w:r w:rsidR="005608F5">
              <w:rPr>
                <w:rFonts w:eastAsia="Times New Roman" w:cs="Times New Roman"/>
                <w:sz w:val="20"/>
                <w:szCs w:val="20"/>
              </w:rPr>
              <w:t xml:space="preserve">a </w:t>
            </w:r>
            <w:r w:rsidRPr="002B1DFC">
              <w:rPr>
                <w:rFonts w:eastAsia="Times New Roman" w:cs="Times New Roman"/>
                <w:sz w:val="20"/>
                <w:szCs w:val="20"/>
              </w:rPr>
              <w:t xml:space="preserve">change in legislation). </w:t>
            </w:r>
          </w:p>
          <w:p w14:paraId="7F9FF82B"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Expertise provided for 8 urban planning projects, under the urban planning law. Of these</w:t>
            </w:r>
            <w:r w:rsidR="0001457B">
              <w:rPr>
                <w:rFonts w:eastAsia="Times New Roman" w:cs="Times New Roman"/>
                <w:sz w:val="20"/>
                <w:szCs w:val="20"/>
              </w:rPr>
              <w:t>,</w:t>
            </w:r>
            <w:r w:rsidRPr="002B1DFC">
              <w:rPr>
                <w:rFonts w:eastAsia="Times New Roman" w:cs="Times New Roman"/>
                <w:sz w:val="20"/>
                <w:szCs w:val="20"/>
              </w:rPr>
              <w:t xml:space="preserve"> 1 positive conclusion and 7 were returned for revision </w:t>
            </w:r>
          </w:p>
        </w:tc>
      </w:tr>
      <w:tr w:rsidR="000B7923" w:rsidRPr="002B1DFC" w14:paraId="08815B9F" w14:textId="77777777" w:rsidTr="00CD2A22">
        <w:tc>
          <w:tcPr>
            <w:tcW w:w="962" w:type="pct"/>
            <w:tcBorders>
              <w:left w:val="single" w:sz="4" w:space="0" w:color="4F81BD"/>
              <w:right w:val="nil"/>
            </w:tcBorders>
            <w:shd w:val="clear" w:color="auto" w:fill="FFFFFF"/>
          </w:tcPr>
          <w:p w14:paraId="2A4F99DA" w14:textId="77777777" w:rsidR="000B7923" w:rsidRPr="002B1DFC" w:rsidRDefault="000B7923" w:rsidP="002562D6">
            <w:pPr>
              <w:jc w:val="left"/>
              <w:rPr>
                <w:rFonts w:eastAsia="Times New Roman" w:cs="Times New Roman"/>
                <w:b/>
                <w:bCs/>
                <w:sz w:val="20"/>
                <w:szCs w:val="20"/>
              </w:rPr>
            </w:pPr>
            <w:r w:rsidRPr="002B1DFC">
              <w:rPr>
                <w:rFonts w:eastAsia="Times New Roman" w:cs="Times New Roman"/>
                <w:b/>
                <w:bCs/>
                <w:sz w:val="20"/>
                <w:szCs w:val="20"/>
              </w:rPr>
              <w:t>Environmental Permits</w:t>
            </w:r>
          </w:p>
        </w:tc>
        <w:tc>
          <w:tcPr>
            <w:tcW w:w="1346" w:type="pct"/>
          </w:tcPr>
          <w:p w14:paraId="4ACE105E" w14:textId="77777777" w:rsidR="000B7923" w:rsidRPr="002B1DFC" w:rsidRDefault="000B7923" w:rsidP="002562D6">
            <w:pPr>
              <w:jc w:val="left"/>
              <w:rPr>
                <w:rFonts w:eastAsia="Times New Roman" w:cs="Times New Roman"/>
                <w:sz w:val="20"/>
                <w:szCs w:val="20"/>
              </w:rPr>
            </w:pPr>
          </w:p>
        </w:tc>
        <w:tc>
          <w:tcPr>
            <w:tcW w:w="1346" w:type="pct"/>
          </w:tcPr>
          <w:p w14:paraId="5E56CD9F" w14:textId="77777777" w:rsidR="000B7923" w:rsidRPr="002B1DFC" w:rsidRDefault="000B7923" w:rsidP="002562D6">
            <w:pPr>
              <w:jc w:val="left"/>
              <w:rPr>
                <w:rFonts w:eastAsia="Times New Roman" w:cs="Times New Roman"/>
                <w:sz w:val="20"/>
                <w:szCs w:val="20"/>
              </w:rPr>
            </w:pPr>
          </w:p>
        </w:tc>
        <w:tc>
          <w:tcPr>
            <w:tcW w:w="1346" w:type="pct"/>
            <w:tcBorders>
              <w:right w:val="single" w:sz="4" w:space="0" w:color="4F81BD"/>
            </w:tcBorders>
          </w:tcPr>
          <w:p w14:paraId="431B470B" w14:textId="77777777" w:rsidR="000B7923" w:rsidRPr="002B1DFC" w:rsidRDefault="000B7923" w:rsidP="002562D6">
            <w:pPr>
              <w:jc w:val="left"/>
              <w:rPr>
                <w:rFonts w:eastAsia="Times New Roman" w:cs="Times New Roman"/>
                <w:sz w:val="20"/>
                <w:szCs w:val="20"/>
              </w:rPr>
            </w:pPr>
          </w:p>
        </w:tc>
      </w:tr>
      <w:tr w:rsidR="000B7923" w:rsidRPr="002B1DFC" w14:paraId="289759BF" w14:textId="77777777" w:rsidTr="00CD2A22">
        <w:tc>
          <w:tcPr>
            <w:tcW w:w="962" w:type="pct"/>
            <w:tcBorders>
              <w:top w:val="single" w:sz="4" w:space="0" w:color="4F81BD"/>
              <w:left w:val="single" w:sz="4" w:space="0" w:color="4F81BD"/>
              <w:bottom w:val="single" w:sz="4" w:space="0" w:color="4F81BD"/>
              <w:right w:val="nil"/>
            </w:tcBorders>
            <w:shd w:val="clear" w:color="auto" w:fill="FFFFFF"/>
          </w:tcPr>
          <w:p w14:paraId="65A4A871" w14:textId="77777777" w:rsidR="000B7923" w:rsidRPr="002B1DFC" w:rsidRDefault="000B7923" w:rsidP="002562D6">
            <w:pPr>
              <w:ind w:left="360"/>
              <w:jc w:val="left"/>
              <w:rPr>
                <w:rFonts w:eastAsia="Times New Roman" w:cs="Times New Roman"/>
                <w:b/>
                <w:bCs/>
                <w:sz w:val="20"/>
                <w:szCs w:val="20"/>
              </w:rPr>
            </w:pPr>
            <w:r w:rsidRPr="002B1DFC">
              <w:rPr>
                <w:rFonts w:eastAsia="Times New Roman" w:cs="Times New Roman"/>
                <w:sz w:val="20"/>
                <w:szCs w:val="20"/>
              </w:rPr>
              <w:t>Air emissions permits</w:t>
            </w:r>
          </w:p>
        </w:tc>
        <w:tc>
          <w:tcPr>
            <w:tcW w:w="1346" w:type="pct"/>
            <w:tcBorders>
              <w:top w:val="single" w:sz="4" w:space="0" w:color="4F81BD"/>
              <w:bottom w:val="single" w:sz="4" w:space="0" w:color="4F81BD"/>
            </w:tcBorders>
          </w:tcPr>
          <w:p w14:paraId="78DEF467"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245 permits issued</w:t>
            </w:r>
          </w:p>
        </w:tc>
        <w:tc>
          <w:tcPr>
            <w:tcW w:w="1346" w:type="pct"/>
            <w:tcBorders>
              <w:top w:val="single" w:sz="4" w:space="0" w:color="4F81BD"/>
              <w:bottom w:val="single" w:sz="4" w:space="0" w:color="4F81BD"/>
            </w:tcBorders>
          </w:tcPr>
          <w:p w14:paraId="1C530F34"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1</w:t>
            </w:r>
            <w:r w:rsidR="00F5323B">
              <w:rPr>
                <w:rFonts w:eastAsia="Times New Roman" w:cs="Times New Roman"/>
                <w:sz w:val="20"/>
                <w:szCs w:val="20"/>
              </w:rPr>
              <w:t>,</w:t>
            </w:r>
            <w:r w:rsidRPr="002B1DFC">
              <w:rPr>
                <w:rFonts w:eastAsia="Times New Roman" w:cs="Times New Roman"/>
                <w:sz w:val="20"/>
                <w:szCs w:val="20"/>
              </w:rPr>
              <w:t>022 requests</w:t>
            </w:r>
          </w:p>
          <w:p w14:paraId="397AF411"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 xml:space="preserve">795 permits issued </w:t>
            </w:r>
          </w:p>
        </w:tc>
        <w:tc>
          <w:tcPr>
            <w:tcW w:w="1346" w:type="pct"/>
            <w:tcBorders>
              <w:top w:val="single" w:sz="4" w:space="0" w:color="4F81BD"/>
              <w:bottom w:val="single" w:sz="4" w:space="0" w:color="4F81BD"/>
              <w:right w:val="single" w:sz="4" w:space="0" w:color="4F81BD"/>
            </w:tcBorders>
          </w:tcPr>
          <w:p w14:paraId="3CF1F02A"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353 permits issued</w:t>
            </w:r>
          </w:p>
        </w:tc>
      </w:tr>
      <w:tr w:rsidR="000B7923" w:rsidRPr="002B1DFC" w14:paraId="08C51123" w14:textId="77777777" w:rsidTr="00CD2A22">
        <w:tc>
          <w:tcPr>
            <w:tcW w:w="962" w:type="pct"/>
            <w:tcBorders>
              <w:left w:val="single" w:sz="4" w:space="0" w:color="4F81BD"/>
              <w:right w:val="nil"/>
            </w:tcBorders>
            <w:shd w:val="clear" w:color="auto" w:fill="FFFFFF"/>
          </w:tcPr>
          <w:p w14:paraId="515AA9BC" w14:textId="77777777" w:rsidR="000B7923" w:rsidRPr="002B1DFC" w:rsidRDefault="000B7923" w:rsidP="002562D6">
            <w:pPr>
              <w:ind w:left="360"/>
              <w:jc w:val="left"/>
              <w:rPr>
                <w:rFonts w:eastAsia="Times New Roman" w:cs="Times New Roman"/>
                <w:b/>
                <w:bCs/>
                <w:sz w:val="20"/>
                <w:szCs w:val="20"/>
              </w:rPr>
            </w:pPr>
            <w:r w:rsidRPr="002B1DFC">
              <w:rPr>
                <w:rFonts w:eastAsia="Times New Roman" w:cs="Times New Roman"/>
                <w:sz w:val="20"/>
                <w:szCs w:val="20"/>
              </w:rPr>
              <w:t>Special use of water resources</w:t>
            </w:r>
          </w:p>
        </w:tc>
        <w:tc>
          <w:tcPr>
            <w:tcW w:w="1346" w:type="pct"/>
          </w:tcPr>
          <w:p w14:paraId="1E2E77BA"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128 permits issued</w:t>
            </w:r>
          </w:p>
        </w:tc>
        <w:tc>
          <w:tcPr>
            <w:tcW w:w="1346" w:type="pct"/>
          </w:tcPr>
          <w:p w14:paraId="77B3D9A8"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280 requests</w:t>
            </w:r>
          </w:p>
          <w:p w14:paraId="49B1FFFC"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280 permits issued</w:t>
            </w:r>
            <w:r w:rsidR="00F5323B">
              <w:rPr>
                <w:rFonts w:eastAsia="Times New Roman" w:cs="Times New Roman"/>
                <w:sz w:val="20"/>
                <w:szCs w:val="20"/>
              </w:rPr>
              <w:t xml:space="preserve">, of which </w:t>
            </w:r>
            <w:r w:rsidRPr="002B1DFC">
              <w:rPr>
                <w:rFonts w:eastAsia="Times New Roman" w:cs="Times New Roman"/>
                <w:sz w:val="20"/>
                <w:szCs w:val="20"/>
              </w:rPr>
              <w:t xml:space="preserve">3 </w:t>
            </w:r>
            <w:r w:rsidR="00F5323B">
              <w:rPr>
                <w:rFonts w:eastAsia="Times New Roman" w:cs="Times New Roman"/>
                <w:sz w:val="20"/>
                <w:szCs w:val="20"/>
              </w:rPr>
              <w:t xml:space="preserve">were </w:t>
            </w:r>
            <w:r w:rsidRPr="002B1DFC">
              <w:rPr>
                <w:rFonts w:eastAsia="Times New Roman" w:cs="Times New Roman"/>
                <w:sz w:val="20"/>
                <w:szCs w:val="20"/>
              </w:rPr>
              <w:t>exploratory permits</w:t>
            </w:r>
          </w:p>
        </w:tc>
        <w:tc>
          <w:tcPr>
            <w:tcW w:w="1346" w:type="pct"/>
            <w:tcBorders>
              <w:right w:val="single" w:sz="4" w:space="0" w:color="4F81BD"/>
            </w:tcBorders>
          </w:tcPr>
          <w:p w14:paraId="4CB64D6C"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381 permits issued</w:t>
            </w:r>
          </w:p>
        </w:tc>
      </w:tr>
      <w:tr w:rsidR="000B7923" w:rsidRPr="002B1DFC" w14:paraId="73E98B25" w14:textId="77777777" w:rsidTr="00CD2A22">
        <w:tc>
          <w:tcPr>
            <w:tcW w:w="962" w:type="pct"/>
            <w:tcBorders>
              <w:top w:val="single" w:sz="4" w:space="0" w:color="4F81BD"/>
              <w:left w:val="single" w:sz="4" w:space="0" w:color="4F81BD"/>
              <w:bottom w:val="single" w:sz="4" w:space="0" w:color="4F81BD"/>
              <w:right w:val="nil"/>
            </w:tcBorders>
            <w:shd w:val="clear" w:color="auto" w:fill="FFFFFF"/>
          </w:tcPr>
          <w:p w14:paraId="0B2F2A95" w14:textId="77777777" w:rsidR="000B7923" w:rsidRPr="002B1DFC" w:rsidRDefault="000B7923" w:rsidP="002562D6">
            <w:pPr>
              <w:ind w:left="360"/>
              <w:jc w:val="left"/>
              <w:rPr>
                <w:rFonts w:eastAsia="Times New Roman" w:cs="Times New Roman"/>
                <w:b/>
                <w:bCs/>
                <w:sz w:val="20"/>
                <w:szCs w:val="20"/>
              </w:rPr>
            </w:pPr>
            <w:r w:rsidRPr="002B1DFC">
              <w:rPr>
                <w:rFonts w:eastAsia="Times New Roman" w:cs="Times New Roman"/>
                <w:sz w:val="20"/>
                <w:szCs w:val="20"/>
              </w:rPr>
              <w:t>Waste permits</w:t>
            </w:r>
          </w:p>
        </w:tc>
        <w:tc>
          <w:tcPr>
            <w:tcW w:w="1346" w:type="pct"/>
            <w:tcBorders>
              <w:top w:val="single" w:sz="4" w:space="0" w:color="4F81BD"/>
              <w:bottom w:val="single" w:sz="4" w:space="0" w:color="4F81BD"/>
            </w:tcBorders>
          </w:tcPr>
          <w:p w14:paraId="2B8158D1"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25 permits issued</w:t>
            </w:r>
          </w:p>
        </w:tc>
        <w:tc>
          <w:tcPr>
            <w:tcW w:w="1346" w:type="pct"/>
            <w:tcBorders>
              <w:top w:val="single" w:sz="4" w:space="0" w:color="4F81BD"/>
              <w:bottom w:val="single" w:sz="4" w:space="0" w:color="4F81BD"/>
            </w:tcBorders>
          </w:tcPr>
          <w:p w14:paraId="1C3916BB"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116 facilities have a “waste disposal site” passports</w:t>
            </w:r>
          </w:p>
          <w:p w14:paraId="5529BE60"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In 2014, 201 registration cards for waste creation, processing</w:t>
            </w:r>
            <w:r w:rsidR="00F5323B">
              <w:rPr>
                <w:rFonts w:eastAsia="Times New Roman" w:cs="Times New Roman"/>
                <w:sz w:val="20"/>
                <w:szCs w:val="20"/>
              </w:rPr>
              <w:t>,</w:t>
            </w:r>
            <w:r w:rsidRPr="002B1DFC">
              <w:rPr>
                <w:rFonts w:eastAsia="Times New Roman" w:cs="Times New Roman"/>
                <w:sz w:val="20"/>
                <w:szCs w:val="20"/>
              </w:rPr>
              <w:t xml:space="preserve"> and recycling were approved</w:t>
            </w:r>
          </w:p>
        </w:tc>
        <w:tc>
          <w:tcPr>
            <w:tcW w:w="1346" w:type="pct"/>
            <w:tcBorders>
              <w:top w:val="single" w:sz="4" w:space="0" w:color="4F81BD"/>
              <w:bottom w:val="single" w:sz="4" w:space="0" w:color="4F81BD"/>
              <w:right w:val="single" w:sz="4" w:space="0" w:color="4F81BD"/>
            </w:tcBorders>
          </w:tcPr>
          <w:p w14:paraId="3D795CCA"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443</w:t>
            </w:r>
          </w:p>
        </w:tc>
      </w:tr>
      <w:tr w:rsidR="000B7923" w:rsidRPr="002B1DFC" w14:paraId="0373C226" w14:textId="77777777" w:rsidTr="00CD2A22">
        <w:tc>
          <w:tcPr>
            <w:tcW w:w="962" w:type="pct"/>
            <w:tcBorders>
              <w:left w:val="single" w:sz="4" w:space="0" w:color="4F81BD"/>
              <w:right w:val="nil"/>
            </w:tcBorders>
            <w:shd w:val="clear" w:color="auto" w:fill="FFFFFF"/>
          </w:tcPr>
          <w:p w14:paraId="618BFB82" w14:textId="77777777" w:rsidR="000B7923" w:rsidRPr="002B1DFC" w:rsidRDefault="000B7923" w:rsidP="002562D6">
            <w:pPr>
              <w:ind w:left="360"/>
              <w:jc w:val="left"/>
              <w:rPr>
                <w:rFonts w:eastAsia="Times New Roman" w:cs="Times New Roman"/>
                <w:b/>
                <w:bCs/>
                <w:sz w:val="20"/>
                <w:szCs w:val="20"/>
              </w:rPr>
            </w:pPr>
            <w:r w:rsidRPr="002B1DFC">
              <w:rPr>
                <w:rFonts w:eastAsia="Times New Roman" w:cs="Times New Roman"/>
                <w:sz w:val="20"/>
                <w:szCs w:val="20"/>
              </w:rPr>
              <w:t>Hunting and fishing permits</w:t>
            </w:r>
          </w:p>
        </w:tc>
        <w:tc>
          <w:tcPr>
            <w:tcW w:w="1346" w:type="pct"/>
          </w:tcPr>
          <w:p w14:paraId="523C87D0" w14:textId="77777777" w:rsidR="000B7923" w:rsidRPr="002562D6" w:rsidRDefault="002562D6" w:rsidP="002562D6">
            <w:pPr>
              <w:jc w:val="left"/>
              <w:rPr>
                <w:rFonts w:eastAsia="Times New Roman" w:cs="Times New Roman"/>
                <w:sz w:val="20"/>
                <w:szCs w:val="20"/>
              </w:rPr>
            </w:pPr>
            <w:r w:rsidRPr="002562D6">
              <w:rPr>
                <w:rFonts w:eastAsia="Times New Roman" w:cs="Times New Roman"/>
                <w:sz w:val="20"/>
                <w:szCs w:val="20"/>
              </w:rPr>
              <w:t xml:space="preserve">None reported. </w:t>
            </w:r>
          </w:p>
        </w:tc>
        <w:tc>
          <w:tcPr>
            <w:tcW w:w="1346" w:type="pct"/>
          </w:tcPr>
          <w:p w14:paraId="77330B61"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58</w:t>
            </w:r>
          </w:p>
        </w:tc>
        <w:tc>
          <w:tcPr>
            <w:tcW w:w="1346" w:type="pct"/>
            <w:tcBorders>
              <w:right w:val="single" w:sz="4" w:space="0" w:color="4F81BD"/>
            </w:tcBorders>
          </w:tcPr>
          <w:p w14:paraId="7C4879C0" w14:textId="77777777" w:rsidR="000B7923" w:rsidRPr="002B1DFC" w:rsidRDefault="002562D6" w:rsidP="002562D6">
            <w:pPr>
              <w:jc w:val="left"/>
              <w:rPr>
                <w:rFonts w:eastAsia="Times New Roman" w:cs="Times New Roman"/>
                <w:sz w:val="20"/>
                <w:szCs w:val="20"/>
              </w:rPr>
            </w:pPr>
            <w:r w:rsidRPr="002562D6">
              <w:rPr>
                <w:rFonts w:eastAsia="Times New Roman" w:cs="Times New Roman"/>
                <w:sz w:val="20"/>
                <w:szCs w:val="20"/>
              </w:rPr>
              <w:t xml:space="preserve"> None reported</w:t>
            </w:r>
          </w:p>
        </w:tc>
      </w:tr>
      <w:tr w:rsidR="000B7923" w:rsidRPr="002B1DFC" w14:paraId="0AF8DBD0" w14:textId="77777777" w:rsidTr="00CD2A22">
        <w:tc>
          <w:tcPr>
            <w:tcW w:w="962" w:type="pct"/>
            <w:tcBorders>
              <w:top w:val="single" w:sz="4" w:space="0" w:color="4F81BD"/>
              <w:left w:val="single" w:sz="4" w:space="0" w:color="4F81BD"/>
              <w:bottom w:val="single" w:sz="4" w:space="0" w:color="4F81BD"/>
              <w:right w:val="nil"/>
            </w:tcBorders>
            <w:shd w:val="clear" w:color="auto" w:fill="FFFFFF"/>
          </w:tcPr>
          <w:p w14:paraId="0AEBE7FA" w14:textId="77777777" w:rsidR="000B7923" w:rsidRPr="002B1DFC" w:rsidRDefault="000B7923" w:rsidP="002562D6">
            <w:pPr>
              <w:jc w:val="left"/>
              <w:rPr>
                <w:rFonts w:eastAsia="Times New Roman" w:cs="Times New Roman"/>
                <w:b/>
                <w:bCs/>
                <w:sz w:val="20"/>
                <w:szCs w:val="20"/>
              </w:rPr>
            </w:pPr>
            <w:r w:rsidRPr="002B1DFC">
              <w:rPr>
                <w:rFonts w:eastAsia="Times New Roman" w:cs="Times New Roman"/>
                <w:b/>
                <w:bCs/>
                <w:sz w:val="20"/>
                <w:szCs w:val="20"/>
              </w:rPr>
              <w:t>Environmental Audit</w:t>
            </w:r>
          </w:p>
        </w:tc>
        <w:tc>
          <w:tcPr>
            <w:tcW w:w="1346" w:type="pct"/>
            <w:tcBorders>
              <w:top w:val="single" w:sz="4" w:space="0" w:color="4F81BD"/>
              <w:bottom w:val="single" w:sz="4" w:space="0" w:color="4F81BD"/>
            </w:tcBorders>
          </w:tcPr>
          <w:p w14:paraId="172F0FD4"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Department does not carry out environmental audit</w:t>
            </w:r>
            <w:r w:rsidR="00F5323B">
              <w:rPr>
                <w:rFonts w:eastAsia="Times New Roman" w:cs="Times New Roman"/>
                <w:sz w:val="20"/>
                <w:szCs w:val="20"/>
              </w:rPr>
              <w:t>,</w:t>
            </w:r>
            <w:r w:rsidRPr="002B1DFC">
              <w:rPr>
                <w:rFonts w:eastAsia="Times New Roman" w:cs="Times New Roman"/>
                <w:sz w:val="20"/>
                <w:szCs w:val="20"/>
              </w:rPr>
              <w:t xml:space="preserve"> as per article 14 of</w:t>
            </w:r>
            <w:r w:rsidR="00F5323B">
              <w:rPr>
                <w:rFonts w:eastAsia="Times New Roman" w:cs="Times New Roman"/>
                <w:sz w:val="20"/>
                <w:szCs w:val="20"/>
              </w:rPr>
              <w:t xml:space="preserve"> the</w:t>
            </w:r>
            <w:r w:rsidRPr="002B1DFC">
              <w:rPr>
                <w:rFonts w:eastAsia="Times New Roman" w:cs="Times New Roman"/>
                <w:sz w:val="20"/>
                <w:szCs w:val="20"/>
              </w:rPr>
              <w:t xml:space="preserve"> </w:t>
            </w:r>
            <w:r w:rsidR="00F5323B">
              <w:rPr>
                <w:rFonts w:eastAsia="Times New Roman" w:cs="Times New Roman"/>
                <w:sz w:val="20"/>
                <w:szCs w:val="20"/>
              </w:rPr>
              <w:t>L</w:t>
            </w:r>
            <w:r w:rsidRPr="002B1DFC">
              <w:rPr>
                <w:rFonts w:eastAsia="Times New Roman" w:cs="Times New Roman"/>
                <w:sz w:val="20"/>
                <w:szCs w:val="20"/>
              </w:rPr>
              <w:t xml:space="preserve">aw of </w:t>
            </w:r>
            <w:r w:rsidR="00F5323B">
              <w:rPr>
                <w:rFonts w:eastAsia="Times New Roman" w:cs="Times New Roman"/>
                <w:sz w:val="20"/>
                <w:szCs w:val="20"/>
              </w:rPr>
              <w:t>E</w:t>
            </w:r>
            <w:r w:rsidRPr="002B1DFC">
              <w:rPr>
                <w:rFonts w:eastAsia="Times New Roman" w:cs="Times New Roman"/>
                <w:sz w:val="20"/>
                <w:szCs w:val="20"/>
              </w:rPr>
              <w:t xml:space="preserve">nvironmental </w:t>
            </w:r>
            <w:r w:rsidR="00F5323B">
              <w:rPr>
                <w:rFonts w:eastAsia="Times New Roman" w:cs="Times New Roman"/>
                <w:sz w:val="20"/>
                <w:szCs w:val="20"/>
              </w:rPr>
              <w:t>A</w:t>
            </w:r>
            <w:r w:rsidRPr="002B1DFC">
              <w:rPr>
                <w:rFonts w:eastAsia="Times New Roman" w:cs="Times New Roman"/>
                <w:sz w:val="20"/>
                <w:szCs w:val="20"/>
              </w:rPr>
              <w:t>udit</w:t>
            </w:r>
            <w:r w:rsidR="00F5323B">
              <w:rPr>
                <w:rFonts w:eastAsia="Times New Roman" w:cs="Times New Roman"/>
                <w:sz w:val="20"/>
                <w:szCs w:val="20"/>
              </w:rPr>
              <w:t>,</w:t>
            </w:r>
            <w:r w:rsidRPr="002B1DFC">
              <w:rPr>
                <w:rFonts w:eastAsia="Times New Roman" w:cs="Times New Roman"/>
                <w:sz w:val="20"/>
                <w:szCs w:val="20"/>
              </w:rPr>
              <w:t xml:space="preserve"> which prohibits executive authority and local authority from carrying </w:t>
            </w:r>
            <w:r w:rsidR="00F5323B">
              <w:rPr>
                <w:rFonts w:eastAsia="Times New Roman" w:cs="Times New Roman"/>
                <w:sz w:val="20"/>
                <w:szCs w:val="20"/>
              </w:rPr>
              <w:t xml:space="preserve">out </w:t>
            </w:r>
            <w:r w:rsidRPr="002B1DFC">
              <w:rPr>
                <w:rFonts w:eastAsia="Times New Roman" w:cs="Times New Roman"/>
                <w:sz w:val="20"/>
                <w:szCs w:val="20"/>
              </w:rPr>
              <w:t>audits</w:t>
            </w:r>
          </w:p>
        </w:tc>
        <w:tc>
          <w:tcPr>
            <w:tcW w:w="1346" w:type="pct"/>
            <w:tcBorders>
              <w:top w:val="single" w:sz="4" w:space="0" w:color="4F81BD"/>
              <w:bottom w:val="single" w:sz="4" w:space="0" w:color="4F81BD"/>
            </w:tcBorders>
          </w:tcPr>
          <w:p w14:paraId="037EFFBA"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No information provided in the annual report</w:t>
            </w:r>
          </w:p>
        </w:tc>
        <w:tc>
          <w:tcPr>
            <w:tcW w:w="1346" w:type="pct"/>
            <w:tcBorders>
              <w:top w:val="single" w:sz="4" w:space="0" w:color="4F81BD"/>
              <w:bottom w:val="single" w:sz="4" w:space="0" w:color="4F81BD"/>
              <w:right w:val="single" w:sz="4" w:space="0" w:color="4F81BD"/>
            </w:tcBorders>
          </w:tcPr>
          <w:p w14:paraId="3A252F87"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Mandatory audit not carried out due to lack of funds.</w:t>
            </w:r>
          </w:p>
          <w:p w14:paraId="3F9D2748" w14:textId="77777777" w:rsidR="000B7923" w:rsidRPr="002B1DFC" w:rsidRDefault="000B7923" w:rsidP="002562D6">
            <w:pPr>
              <w:jc w:val="left"/>
              <w:rPr>
                <w:rFonts w:eastAsia="Times New Roman" w:cs="Times New Roman"/>
                <w:sz w:val="20"/>
                <w:szCs w:val="20"/>
              </w:rPr>
            </w:pPr>
            <w:r w:rsidRPr="002B1DFC">
              <w:rPr>
                <w:rFonts w:eastAsia="Times New Roman" w:cs="Times New Roman"/>
                <w:sz w:val="20"/>
                <w:szCs w:val="20"/>
              </w:rPr>
              <w:t>Report notes lack of information on voluntary audits carried out by firms</w:t>
            </w:r>
          </w:p>
        </w:tc>
      </w:tr>
    </w:tbl>
    <w:p w14:paraId="08156833" w14:textId="77777777" w:rsidR="000B7923" w:rsidRPr="002B1DFC" w:rsidRDefault="000B7923" w:rsidP="009B0E02">
      <w:pPr>
        <w:rPr>
          <w:rFonts w:cs="Times New Roman"/>
        </w:rPr>
      </w:pPr>
    </w:p>
    <w:p w14:paraId="384B1165" w14:textId="77777777" w:rsidR="000B7923" w:rsidRPr="002B1DFC" w:rsidRDefault="00F5323B" w:rsidP="00F55709">
      <w:pPr>
        <w:pStyle w:val="ListParagraph"/>
        <w:numPr>
          <w:ilvl w:val="0"/>
          <w:numId w:val="68"/>
        </w:numPr>
        <w:tabs>
          <w:tab w:val="left" w:pos="360"/>
        </w:tabs>
        <w:ind w:left="0" w:firstLine="0"/>
        <w:rPr>
          <w:rFonts w:cs="Times New Roman"/>
        </w:rPr>
      </w:pPr>
      <w:r w:rsidRPr="002B1DFC">
        <w:rPr>
          <w:rFonts w:cs="Times New Roman"/>
        </w:rPr>
        <w:t>Therefore</w:t>
      </w:r>
      <w:r w:rsidR="000B7923" w:rsidRPr="002B1DFC">
        <w:rPr>
          <w:rFonts w:cs="Times New Roman"/>
        </w:rPr>
        <w:t>, at present there are several government agencies in each oblast with environmental management responsibilities:</w:t>
      </w:r>
    </w:p>
    <w:p w14:paraId="32E71141" w14:textId="77777777" w:rsidR="000B7923" w:rsidRPr="002B1DFC" w:rsidRDefault="000B7923" w:rsidP="002562D6">
      <w:pPr>
        <w:numPr>
          <w:ilvl w:val="0"/>
          <w:numId w:val="13"/>
        </w:numPr>
        <w:rPr>
          <w:rFonts w:cs="Times New Roman"/>
        </w:rPr>
      </w:pPr>
      <w:r w:rsidRPr="002B1DFC">
        <w:rPr>
          <w:rFonts w:cs="Times New Roman"/>
        </w:rPr>
        <w:t>Branches of central government agencies (oblast ecological inspectorates, oblast water resources directorates and/or river basin directorates); and</w:t>
      </w:r>
    </w:p>
    <w:p w14:paraId="658DC1FA" w14:textId="77777777" w:rsidR="000B7923" w:rsidRPr="002B1DFC" w:rsidRDefault="000B7923" w:rsidP="002562D6">
      <w:pPr>
        <w:numPr>
          <w:ilvl w:val="0"/>
          <w:numId w:val="13"/>
        </w:numPr>
        <w:rPr>
          <w:rFonts w:cs="Times New Roman"/>
        </w:rPr>
      </w:pPr>
      <w:r w:rsidRPr="002B1DFC">
        <w:rPr>
          <w:rFonts w:cs="Times New Roman"/>
        </w:rPr>
        <w:t xml:space="preserve">Oblast departments of environment and </w:t>
      </w:r>
      <w:r w:rsidR="006020B3">
        <w:rPr>
          <w:rFonts w:cs="Times New Roman"/>
        </w:rPr>
        <w:t>natural resources</w:t>
      </w:r>
      <w:r w:rsidRPr="002B1DFC">
        <w:rPr>
          <w:rFonts w:cs="Times New Roman"/>
        </w:rPr>
        <w:t xml:space="preserve"> (as mentioned above, </w:t>
      </w:r>
      <w:r w:rsidR="00F5323B">
        <w:rPr>
          <w:rFonts w:cs="Times New Roman"/>
        </w:rPr>
        <w:t xml:space="preserve">the </w:t>
      </w:r>
      <w:r w:rsidRPr="002B1DFC">
        <w:rPr>
          <w:rFonts w:cs="Times New Roman"/>
        </w:rPr>
        <w:t xml:space="preserve">exact titles differ between oblasts). </w:t>
      </w:r>
    </w:p>
    <w:p w14:paraId="0A578C15" w14:textId="77777777" w:rsidR="000B7923" w:rsidRPr="002B1DFC" w:rsidRDefault="000B7923" w:rsidP="009B0E02">
      <w:pPr>
        <w:rPr>
          <w:rFonts w:cs="Times New Roman"/>
        </w:rPr>
      </w:pPr>
    </w:p>
    <w:p w14:paraId="5BA5C98F" w14:textId="24988555" w:rsidR="000B7923" w:rsidRPr="002B1DFC" w:rsidRDefault="000B7923">
      <w:pPr>
        <w:rPr>
          <w:rFonts w:cs="Times New Roman"/>
        </w:rPr>
      </w:pPr>
      <w:r w:rsidRPr="002B1DFC">
        <w:rPr>
          <w:rFonts w:cs="Times New Roman"/>
        </w:rPr>
        <w:t>Within the boundaries of the cities, the city administrations are responsible for environmental quality (waste removal, street cleaning, green zones</w:t>
      </w:r>
      <w:r w:rsidR="006C180A">
        <w:rPr>
          <w:rFonts w:cs="Times New Roman"/>
        </w:rPr>
        <w:t>, and so forth</w:t>
      </w:r>
      <w:r w:rsidRPr="002B1DFC">
        <w:rPr>
          <w:rFonts w:cs="Times New Roman"/>
        </w:rPr>
        <w:t>) through their departments</w:t>
      </w:r>
      <w:r w:rsidR="003C6A41">
        <w:rPr>
          <w:rFonts w:cs="Times New Roman"/>
        </w:rPr>
        <w:t xml:space="preserve"> / sections</w:t>
      </w:r>
      <w:r w:rsidRPr="002B1DFC">
        <w:rPr>
          <w:rFonts w:cs="Times New Roman"/>
        </w:rPr>
        <w:t xml:space="preserve"> of </w:t>
      </w:r>
      <w:r w:rsidR="003C6A41">
        <w:rPr>
          <w:rFonts w:cs="Times New Roman"/>
        </w:rPr>
        <w:t>housing and communal services</w:t>
      </w:r>
      <w:r w:rsidR="00721C66">
        <w:rPr>
          <w:rFonts w:cs="Times New Roman"/>
        </w:rPr>
        <w:t xml:space="preserve">, </w:t>
      </w:r>
      <w:r w:rsidR="00721C66" w:rsidRPr="002B1DFC">
        <w:rPr>
          <w:rFonts w:cs="Times New Roman"/>
        </w:rPr>
        <w:t>“</w:t>
      </w:r>
      <w:r w:rsidRPr="002B1DFC">
        <w:rPr>
          <w:rFonts w:cs="Times New Roman"/>
        </w:rPr>
        <w:t>amenities and nature protection</w:t>
      </w:r>
      <w:r w:rsidR="006C180A">
        <w:rPr>
          <w:rFonts w:cs="Times New Roman"/>
        </w:rPr>
        <w:t>”</w:t>
      </w:r>
      <w:r w:rsidRPr="002B1DFC">
        <w:rPr>
          <w:rFonts w:cs="Times New Roman"/>
        </w:rPr>
        <w:t xml:space="preserve"> (</w:t>
      </w:r>
      <w:proofErr w:type="spellStart"/>
      <w:r w:rsidRPr="002B1DFC">
        <w:rPr>
          <w:rFonts w:cs="Times New Roman"/>
          <w:i/>
        </w:rPr>
        <w:t>Departament</w:t>
      </w:r>
      <w:proofErr w:type="spellEnd"/>
      <w:r w:rsidRPr="002B1DFC">
        <w:rPr>
          <w:rFonts w:cs="Times New Roman"/>
          <w:i/>
        </w:rPr>
        <w:t xml:space="preserve"> </w:t>
      </w:r>
      <w:proofErr w:type="spellStart"/>
      <w:r w:rsidRPr="002B1DFC">
        <w:rPr>
          <w:rFonts w:cs="Times New Roman"/>
          <w:i/>
        </w:rPr>
        <w:t>blagoustroyu</w:t>
      </w:r>
      <w:proofErr w:type="spellEnd"/>
      <w:r w:rsidRPr="002B1DFC">
        <w:rPr>
          <w:rFonts w:cs="Times New Roman"/>
          <w:i/>
        </w:rPr>
        <w:t xml:space="preserve"> ta </w:t>
      </w:r>
      <w:proofErr w:type="spellStart"/>
      <w:r w:rsidRPr="002B1DFC">
        <w:rPr>
          <w:rFonts w:cs="Times New Roman"/>
          <w:i/>
        </w:rPr>
        <w:t>zberezhennia</w:t>
      </w:r>
      <w:proofErr w:type="spellEnd"/>
      <w:r w:rsidRPr="002B1DFC">
        <w:rPr>
          <w:rFonts w:cs="Times New Roman"/>
          <w:i/>
        </w:rPr>
        <w:t xml:space="preserve"> </w:t>
      </w:r>
      <w:proofErr w:type="spellStart"/>
      <w:r w:rsidRPr="002B1DFC">
        <w:rPr>
          <w:rFonts w:cs="Times New Roman"/>
          <w:i/>
        </w:rPr>
        <w:t>pryrodniogo</w:t>
      </w:r>
      <w:proofErr w:type="spellEnd"/>
      <w:r w:rsidRPr="002B1DFC">
        <w:rPr>
          <w:rFonts w:cs="Times New Roman"/>
          <w:i/>
        </w:rPr>
        <w:t xml:space="preserve"> </w:t>
      </w:r>
      <w:proofErr w:type="spellStart"/>
      <w:r w:rsidRPr="002B1DFC">
        <w:rPr>
          <w:rFonts w:cs="Times New Roman"/>
          <w:i/>
        </w:rPr>
        <w:t>seredovyscha</w:t>
      </w:r>
      <w:proofErr w:type="spellEnd"/>
      <w:r w:rsidR="003C6A41">
        <w:rPr>
          <w:rFonts w:cs="Times New Roman"/>
          <w:i/>
        </w:rPr>
        <w:t>)</w:t>
      </w:r>
      <w:r w:rsidR="006C180A">
        <w:rPr>
          <w:rFonts w:cs="Times New Roman"/>
        </w:rPr>
        <w:t>;</w:t>
      </w:r>
      <w:r w:rsidRPr="002B1DFC">
        <w:rPr>
          <w:rFonts w:cs="Times New Roman"/>
          <w:i/>
        </w:rPr>
        <w:t xml:space="preserve"> </w:t>
      </w:r>
      <w:r w:rsidR="006C180A">
        <w:rPr>
          <w:rFonts w:cs="Times New Roman"/>
        </w:rPr>
        <w:t xml:space="preserve">the </w:t>
      </w:r>
      <w:r w:rsidRPr="002B1DFC">
        <w:rPr>
          <w:rFonts w:cs="Times New Roman"/>
        </w:rPr>
        <w:t>names of the departments</w:t>
      </w:r>
      <w:r w:rsidR="003C6A41">
        <w:rPr>
          <w:rFonts w:cs="Times New Roman"/>
        </w:rPr>
        <w:t>/sections</w:t>
      </w:r>
      <w:r w:rsidRPr="002B1DFC">
        <w:rPr>
          <w:rFonts w:cs="Times New Roman"/>
        </w:rPr>
        <w:t xml:space="preserve"> differ </w:t>
      </w:r>
      <w:r w:rsidR="003C6A41">
        <w:rPr>
          <w:rFonts w:cs="Times New Roman"/>
        </w:rPr>
        <w:t>across different cities</w:t>
      </w:r>
      <w:r w:rsidRPr="002B1DFC">
        <w:rPr>
          <w:rFonts w:cs="Times New Roman"/>
        </w:rPr>
        <w:t xml:space="preserve">, but their functions are similar. </w:t>
      </w:r>
    </w:p>
    <w:p w14:paraId="02325B2E" w14:textId="77777777" w:rsidR="000B7923" w:rsidRPr="002B1DFC" w:rsidRDefault="000B7923" w:rsidP="009B0E02">
      <w:pPr>
        <w:rPr>
          <w:rFonts w:cs="Times New Roman"/>
        </w:rPr>
      </w:pPr>
    </w:p>
    <w:p w14:paraId="60E09A39" w14:textId="77777777" w:rsidR="000B7923" w:rsidRPr="002B1DFC" w:rsidRDefault="000B7923" w:rsidP="00F55709">
      <w:pPr>
        <w:pStyle w:val="ListParagraph"/>
        <w:numPr>
          <w:ilvl w:val="0"/>
          <w:numId w:val="68"/>
        </w:numPr>
        <w:tabs>
          <w:tab w:val="left" w:pos="360"/>
        </w:tabs>
        <w:ind w:left="0" w:firstLine="0"/>
      </w:pPr>
      <w:r w:rsidRPr="002B1DFC">
        <w:t xml:space="preserve">Finally, prosecutors supervise </w:t>
      </w:r>
      <w:r w:rsidR="00F5323B">
        <w:t xml:space="preserve">the </w:t>
      </w:r>
      <w:r w:rsidRPr="002B1DFC">
        <w:t xml:space="preserve">fulfillment of environmental legislation within the Prosecutor General's </w:t>
      </w:r>
      <w:r w:rsidRPr="00F55709">
        <w:rPr>
          <w:rFonts w:cs="Times New Roman"/>
        </w:rPr>
        <w:t>Office</w:t>
      </w:r>
      <w:r w:rsidRPr="002B1DFC">
        <w:t xml:space="preserve"> of Ukraine (if they have not been abolished in current changes)</w:t>
      </w:r>
      <w:r w:rsidR="00F5323B">
        <w:t xml:space="preserve"> </w:t>
      </w:r>
      <w:r w:rsidRPr="002B1DFC">
        <w:t>(</w:t>
      </w:r>
      <w:proofErr w:type="spellStart"/>
      <w:r w:rsidRPr="002B1DFC">
        <w:rPr>
          <w:i/>
        </w:rPr>
        <w:t>mizhrayonnyi</w:t>
      </w:r>
      <w:proofErr w:type="spellEnd"/>
      <w:r w:rsidRPr="002B1DFC">
        <w:rPr>
          <w:i/>
        </w:rPr>
        <w:t xml:space="preserve"> </w:t>
      </w:r>
      <w:proofErr w:type="spellStart"/>
      <w:r w:rsidRPr="002B1DFC">
        <w:rPr>
          <w:i/>
        </w:rPr>
        <w:t>prokyror</w:t>
      </w:r>
      <w:proofErr w:type="spellEnd"/>
      <w:r w:rsidRPr="002B1DFC">
        <w:rPr>
          <w:i/>
        </w:rPr>
        <w:t xml:space="preserve"> z </w:t>
      </w:r>
      <w:proofErr w:type="spellStart"/>
      <w:r w:rsidRPr="002B1DFC">
        <w:rPr>
          <w:i/>
        </w:rPr>
        <w:t>nahliadu</w:t>
      </w:r>
      <w:proofErr w:type="spellEnd"/>
      <w:r w:rsidRPr="002B1DFC">
        <w:rPr>
          <w:i/>
        </w:rPr>
        <w:t xml:space="preserve"> </w:t>
      </w:r>
      <w:proofErr w:type="spellStart"/>
      <w:r w:rsidRPr="002B1DFC">
        <w:rPr>
          <w:i/>
        </w:rPr>
        <w:t>za</w:t>
      </w:r>
      <w:proofErr w:type="spellEnd"/>
      <w:r w:rsidRPr="002B1DFC">
        <w:rPr>
          <w:i/>
        </w:rPr>
        <w:t xml:space="preserve"> </w:t>
      </w:r>
      <w:proofErr w:type="spellStart"/>
      <w:r w:rsidRPr="002B1DFC">
        <w:rPr>
          <w:i/>
        </w:rPr>
        <w:t>doderzhanniam</w:t>
      </w:r>
      <w:proofErr w:type="spellEnd"/>
      <w:r w:rsidRPr="002B1DFC">
        <w:rPr>
          <w:i/>
        </w:rPr>
        <w:t xml:space="preserve"> </w:t>
      </w:r>
      <w:proofErr w:type="spellStart"/>
      <w:r w:rsidRPr="002B1DFC">
        <w:rPr>
          <w:i/>
        </w:rPr>
        <w:t>pryrodoohoronnogo</w:t>
      </w:r>
      <w:proofErr w:type="spellEnd"/>
      <w:r w:rsidRPr="002B1DFC">
        <w:rPr>
          <w:i/>
        </w:rPr>
        <w:t xml:space="preserve"> </w:t>
      </w:r>
      <w:proofErr w:type="spellStart"/>
      <w:r w:rsidRPr="002B1DFC">
        <w:rPr>
          <w:i/>
        </w:rPr>
        <w:t>zakonodavstva</w:t>
      </w:r>
      <w:proofErr w:type="spellEnd"/>
      <w:r w:rsidRPr="002B1DFC">
        <w:rPr>
          <w:i/>
        </w:rPr>
        <w:t>)</w:t>
      </w:r>
      <w:r w:rsidRPr="002B1DFC">
        <w:t xml:space="preserve">. </w:t>
      </w:r>
    </w:p>
    <w:p w14:paraId="2389647D" w14:textId="77777777" w:rsidR="000B7923" w:rsidRPr="002B1DFC" w:rsidRDefault="000B7923" w:rsidP="009B0E02">
      <w:pPr>
        <w:rPr>
          <w:rFonts w:cs="Times New Roman"/>
        </w:rPr>
      </w:pPr>
    </w:p>
    <w:p w14:paraId="68E0C97A"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Technical and some environmental aspects (environmental impacts) in the area of civil engineering are regulated mainly by the Ministry of Regional Development, Construction, Housing and Communal Services (MRDC), while the compliance control and enforcement of environmental legislation are exercised by other executive authorities (MENR, State Ecological Inspectorate, State Geological Service, State Water Resources Agency, State Sanitary Epidemiological Service</w:t>
      </w:r>
      <w:r w:rsidR="00591FD4">
        <w:rPr>
          <w:rFonts w:cs="Times New Roman"/>
        </w:rPr>
        <w:t>,</w:t>
      </w:r>
      <w:r w:rsidRPr="002B1DFC">
        <w:rPr>
          <w:rFonts w:cs="Times New Roman"/>
        </w:rPr>
        <w:t xml:space="preserve"> </w:t>
      </w:r>
      <w:r w:rsidR="00591FD4">
        <w:rPr>
          <w:rFonts w:cs="Times New Roman"/>
        </w:rPr>
        <w:t>and so forth</w:t>
      </w:r>
      <w:r w:rsidRPr="002B1DFC">
        <w:rPr>
          <w:rFonts w:cs="Times New Roman"/>
        </w:rPr>
        <w:t>)</w:t>
      </w:r>
      <w:r w:rsidR="00591FD4">
        <w:rPr>
          <w:rFonts w:cs="Times New Roman"/>
        </w:rPr>
        <w:t>.</w:t>
      </w:r>
      <w:r w:rsidRPr="002B1DFC">
        <w:rPr>
          <w:rFonts w:cs="Times New Roman"/>
        </w:rPr>
        <w:t xml:space="preserve"> </w:t>
      </w:r>
      <w:bookmarkEnd w:id="84"/>
      <w:bookmarkEnd w:id="85"/>
    </w:p>
    <w:p w14:paraId="129E44C2" w14:textId="77777777" w:rsidR="000B7923" w:rsidRPr="002B1DFC" w:rsidRDefault="000B7923" w:rsidP="007B05D0">
      <w:pPr>
        <w:rPr>
          <w:rFonts w:cs="Times New Roman"/>
        </w:rPr>
      </w:pPr>
    </w:p>
    <w:p w14:paraId="5CC08E7B" w14:textId="77777777" w:rsidR="000B7923" w:rsidRPr="002B1DFC" w:rsidRDefault="000B7923" w:rsidP="00F55709">
      <w:pPr>
        <w:pStyle w:val="ListParagraph"/>
        <w:numPr>
          <w:ilvl w:val="0"/>
          <w:numId w:val="68"/>
        </w:numPr>
        <w:tabs>
          <w:tab w:val="left" w:pos="360"/>
        </w:tabs>
        <w:ind w:left="0" w:firstLine="0"/>
      </w:pPr>
      <w:r w:rsidRPr="002B1DFC">
        <w:rPr>
          <w:b/>
          <w:bCs/>
        </w:rPr>
        <w:t>A serious problem is a lack of continuity between oblast branches of MENR and environmental departments of OSAs.</w:t>
      </w:r>
      <w:r w:rsidRPr="002B1DFC">
        <w:t xml:space="preserve"> It means that departments do not have legal information of what was happening in the past (</w:t>
      </w:r>
      <w:r w:rsidR="00591FD4">
        <w:t xml:space="preserve">for </w:t>
      </w:r>
      <w:r w:rsidR="00591FD4" w:rsidRPr="00F55709">
        <w:rPr>
          <w:rFonts w:cs="Times New Roman"/>
        </w:rPr>
        <w:t>example</w:t>
      </w:r>
      <w:r w:rsidRPr="002B1DFC">
        <w:t xml:space="preserve">, decisions of ecological </w:t>
      </w:r>
      <w:r w:rsidR="00AA1E8B" w:rsidRPr="001557B4">
        <w:rPr>
          <w:iCs/>
        </w:rPr>
        <w:t>expertise</w:t>
      </w:r>
      <w:r w:rsidRPr="002B1DFC">
        <w:t>, records of past performance and violations of environmental regulations</w:t>
      </w:r>
      <w:r w:rsidR="00591FD4">
        <w:t>,</w:t>
      </w:r>
      <w:r w:rsidRPr="002B1DFC">
        <w:t xml:space="preserve"> </w:t>
      </w:r>
      <w:r w:rsidR="00591FD4">
        <w:t>and so forth)</w:t>
      </w:r>
      <w:r w:rsidRPr="002B1DFC">
        <w:t xml:space="preserve">. </w:t>
      </w:r>
    </w:p>
    <w:p w14:paraId="6226F3E0" w14:textId="77777777" w:rsidR="000B7923" w:rsidRPr="002B1DFC" w:rsidRDefault="000B7923" w:rsidP="002562D6">
      <w:pPr>
        <w:pStyle w:val="Heading2"/>
        <w:tabs>
          <w:tab w:val="clear" w:pos="576"/>
        </w:tabs>
        <w:ind w:left="540" w:hanging="540"/>
      </w:pPr>
      <w:bookmarkStart w:id="89" w:name="_Toc440273967"/>
      <w:r w:rsidRPr="002B1DFC">
        <w:t>Roles and Responsibilities of OSA Environment Departments</w:t>
      </w:r>
      <w:bookmarkEnd w:id="89"/>
      <w:r w:rsidRPr="002B1DFC">
        <w:t xml:space="preserve"> </w:t>
      </w:r>
    </w:p>
    <w:p w14:paraId="0B66C77F" w14:textId="77777777" w:rsidR="000B7923" w:rsidRPr="002B1DFC" w:rsidRDefault="000B7923" w:rsidP="00D55F76"/>
    <w:p w14:paraId="010014EE" w14:textId="77777777" w:rsidR="000B7923" w:rsidRPr="002B1DFC" w:rsidRDefault="000B7923" w:rsidP="00F55709">
      <w:pPr>
        <w:pStyle w:val="ListParagraph"/>
        <w:numPr>
          <w:ilvl w:val="0"/>
          <w:numId w:val="68"/>
        </w:numPr>
        <w:tabs>
          <w:tab w:val="left" w:pos="360"/>
        </w:tabs>
        <w:ind w:left="0" w:firstLine="0"/>
      </w:pPr>
      <w:r w:rsidRPr="002B1DFC">
        <w:t>The reorganization started by the Law of 16.10.2012 created numerous gaps between areas of responsibility of national and regional (oblast) agencies</w:t>
      </w:r>
      <w:r w:rsidR="005608F5">
        <w:t>. These gaps</w:t>
      </w:r>
      <w:r w:rsidRPr="002B1DFC">
        <w:t xml:space="preserve"> are not yet closed, partly because the needed regulations have not yet been developed. Below is a brief overview of the key responsibilities, which are discussed </w:t>
      </w:r>
      <w:r w:rsidR="00F5323B">
        <w:t xml:space="preserve">further </w:t>
      </w:r>
      <w:r w:rsidRPr="002B1DFC">
        <w:t xml:space="preserve">in </w:t>
      </w:r>
      <w:r w:rsidR="00F5323B">
        <w:t>c</w:t>
      </w:r>
      <w:r w:rsidRPr="002B1DFC">
        <w:t xml:space="preserve">hapter </w:t>
      </w:r>
      <w:r w:rsidR="00F5323B">
        <w:t>6</w:t>
      </w:r>
      <w:r w:rsidRPr="002B1DFC">
        <w:t>.</w:t>
      </w:r>
    </w:p>
    <w:p w14:paraId="7B2F8E01" w14:textId="77777777" w:rsidR="000B7923" w:rsidRPr="002B1DFC" w:rsidRDefault="000B7923" w:rsidP="00D55F76"/>
    <w:p w14:paraId="6A67A842" w14:textId="77777777" w:rsidR="00A968B3" w:rsidRPr="002B1DFC" w:rsidRDefault="00A968B3" w:rsidP="00F55709">
      <w:pPr>
        <w:pStyle w:val="ListParagraph"/>
        <w:numPr>
          <w:ilvl w:val="0"/>
          <w:numId w:val="68"/>
        </w:numPr>
        <w:tabs>
          <w:tab w:val="left" w:pos="360"/>
        </w:tabs>
        <w:ind w:left="0" w:firstLine="0"/>
      </w:pPr>
      <w:r w:rsidRPr="002B1DFC">
        <w:rPr>
          <w:b/>
          <w:bCs/>
        </w:rPr>
        <w:t>Environmental monitoring and enforcement</w:t>
      </w:r>
      <w:r w:rsidR="00F5323B">
        <w:rPr>
          <w:b/>
          <w:bCs/>
        </w:rPr>
        <w:t>.</w:t>
      </w:r>
      <w:r w:rsidRPr="002B1DFC">
        <w:rPr>
          <w:b/>
          <w:bCs/>
        </w:rPr>
        <w:t xml:space="preserve"> </w:t>
      </w:r>
      <w:r w:rsidR="005608F5">
        <w:t>The function of OSA’s e</w:t>
      </w:r>
      <w:r w:rsidRPr="002B1DFC">
        <w:t xml:space="preserve">nvironmental departments </w:t>
      </w:r>
      <w:r w:rsidR="005608F5">
        <w:t xml:space="preserve">is </w:t>
      </w:r>
      <w:r w:rsidRPr="002B1DFC">
        <w:t xml:space="preserve">to </w:t>
      </w:r>
      <w:r w:rsidR="00AB5880">
        <w:t>“p</w:t>
      </w:r>
      <w:r w:rsidRPr="002B1DFC">
        <w:t>articipate in the monitoring of environment</w:t>
      </w:r>
      <w:r w:rsidR="005608F5">
        <w:t>.</w:t>
      </w:r>
      <w:r w:rsidR="00AB5880">
        <w:t>”</w:t>
      </w:r>
      <w:r w:rsidRPr="002B1DFC">
        <w:t xml:space="preserve"> </w:t>
      </w:r>
      <w:r w:rsidR="005608F5">
        <w:t>However,</w:t>
      </w:r>
      <w:r w:rsidRPr="002B1DFC">
        <w:t xml:space="preserve"> this function has not </w:t>
      </w:r>
      <w:r w:rsidR="005608F5">
        <w:t xml:space="preserve">yet </w:t>
      </w:r>
      <w:r w:rsidRPr="002B1DFC">
        <w:t>been spe</w:t>
      </w:r>
      <w:r w:rsidR="005608F5">
        <w:t>lled out</w:t>
      </w:r>
      <w:r w:rsidRPr="002B1DFC">
        <w:t xml:space="preserve">. The </w:t>
      </w:r>
      <w:r w:rsidR="00D4686D">
        <w:t xml:space="preserve">responsibility </w:t>
      </w:r>
      <w:r w:rsidR="005608F5">
        <w:t xml:space="preserve">for </w:t>
      </w:r>
      <w:r w:rsidRPr="002B1DFC">
        <w:t>issu</w:t>
      </w:r>
      <w:r w:rsidR="005608F5">
        <w:t>ing</w:t>
      </w:r>
      <w:r w:rsidRPr="002B1DFC">
        <w:t xml:space="preserve"> orders in case of violation of norms and regulations; participat</w:t>
      </w:r>
      <w:r w:rsidR="005608F5">
        <w:t>ing</w:t>
      </w:r>
      <w:r w:rsidRPr="002B1DFC">
        <w:t xml:space="preserve"> in commissions to authorize </w:t>
      </w:r>
      <w:r w:rsidR="005608F5">
        <w:t xml:space="preserve">the </w:t>
      </w:r>
      <w:r w:rsidRPr="002B1DFC">
        <w:t>launching new enterprises; or control</w:t>
      </w:r>
      <w:r w:rsidR="005608F5">
        <w:t>ling</w:t>
      </w:r>
      <w:r w:rsidRPr="002B1DFC">
        <w:t xml:space="preserve"> transboundary transactions remained with the central level (</w:t>
      </w:r>
      <w:r w:rsidR="00591FD4">
        <w:t>that is,</w:t>
      </w:r>
      <w:r w:rsidRPr="002B1DFC">
        <w:t xml:space="preserve"> MENR)</w:t>
      </w:r>
      <w:r w:rsidR="00D4686D">
        <w:t xml:space="preserve"> and did not transfer to the new </w:t>
      </w:r>
      <w:r w:rsidR="005608F5">
        <w:t xml:space="preserve">OSA </w:t>
      </w:r>
      <w:r w:rsidR="00D4686D">
        <w:t>environment departments</w:t>
      </w:r>
      <w:r w:rsidRPr="002B1DFC">
        <w:t xml:space="preserve">. At the same time, the national environmental protection authority can issue orders to all </w:t>
      </w:r>
      <w:r w:rsidR="005608F5">
        <w:t>entities</w:t>
      </w:r>
      <w:r w:rsidRPr="002B1DFC">
        <w:t>, including regional environmental authorities (</w:t>
      </w:r>
      <w:r w:rsidR="00346254">
        <w:t>Art.</w:t>
      </w:r>
      <w:r w:rsidR="00F5323B">
        <w:t xml:space="preserve"> </w:t>
      </w:r>
      <w:r w:rsidRPr="002B1DFC">
        <w:t xml:space="preserve">202). See </w:t>
      </w:r>
      <w:r w:rsidR="00F5323B">
        <w:t>s</w:t>
      </w:r>
      <w:r w:rsidRPr="002B1DFC">
        <w:t>ection 6.2 below.</w:t>
      </w:r>
    </w:p>
    <w:p w14:paraId="25AEE6F0" w14:textId="77777777" w:rsidR="00A968B3" w:rsidRPr="002B1DFC" w:rsidRDefault="00A968B3" w:rsidP="00A968B3"/>
    <w:p w14:paraId="41DE3B70" w14:textId="0A3FC70E" w:rsidR="00A968B3" w:rsidRPr="002B1DFC" w:rsidRDefault="00A968B3" w:rsidP="00721C66">
      <w:pPr>
        <w:pStyle w:val="ListParagraph"/>
        <w:numPr>
          <w:ilvl w:val="0"/>
          <w:numId w:val="68"/>
        </w:numPr>
        <w:tabs>
          <w:tab w:val="left" w:pos="360"/>
        </w:tabs>
        <w:ind w:left="0" w:firstLine="0"/>
      </w:pPr>
      <w:r w:rsidRPr="002B1DFC">
        <w:rPr>
          <w:b/>
          <w:bCs/>
        </w:rPr>
        <w:t xml:space="preserve">Environmental permits and licensing. </w:t>
      </w:r>
      <w:r w:rsidR="00F5323B">
        <w:t xml:space="preserve">The </w:t>
      </w:r>
      <w:r w:rsidRPr="002B1DFC">
        <w:t>Law of 16.10.2012</w:t>
      </w:r>
      <w:r w:rsidR="00F5323B">
        <w:t xml:space="preserve"> divided </w:t>
      </w:r>
      <w:r w:rsidRPr="002B1DFC">
        <w:t xml:space="preserve">responsibilities for environmental </w:t>
      </w:r>
      <w:r w:rsidR="00AD6AF2">
        <w:t>permits</w:t>
      </w:r>
      <w:r w:rsidR="00AD6AF2" w:rsidRPr="002B1DFC">
        <w:t xml:space="preserve"> </w:t>
      </w:r>
      <w:r w:rsidRPr="002B1DFC">
        <w:t xml:space="preserve">between central </w:t>
      </w:r>
      <w:r w:rsidR="00D4686D">
        <w:t>authorities</w:t>
      </w:r>
      <w:r w:rsidR="00D4686D" w:rsidRPr="002B1DFC">
        <w:t xml:space="preserve"> </w:t>
      </w:r>
      <w:r w:rsidRPr="002B1DFC">
        <w:t xml:space="preserve">and </w:t>
      </w:r>
      <w:r w:rsidR="00F5323B">
        <w:t xml:space="preserve">OSA </w:t>
      </w:r>
      <w:r w:rsidRPr="002B1DFC">
        <w:t xml:space="preserve">departments. Most functions </w:t>
      </w:r>
      <w:r w:rsidR="00D4686D">
        <w:t>remain</w:t>
      </w:r>
      <w:r w:rsidR="00D4686D" w:rsidRPr="002B1DFC">
        <w:t xml:space="preserve"> </w:t>
      </w:r>
      <w:r w:rsidRPr="002B1DFC">
        <w:t xml:space="preserve">with the central </w:t>
      </w:r>
      <w:r w:rsidR="00D4686D">
        <w:t>authority</w:t>
      </w:r>
      <w:r w:rsidR="00D4686D" w:rsidRPr="002B1DFC">
        <w:t xml:space="preserve"> </w:t>
      </w:r>
      <w:r w:rsidRPr="002B1DFC">
        <w:t>(</w:t>
      </w:r>
      <w:r w:rsidR="00346254">
        <w:t>Art.</w:t>
      </w:r>
      <w:r w:rsidR="00F5323B">
        <w:t xml:space="preserve"> </w:t>
      </w:r>
      <w:r w:rsidRPr="002B1DFC">
        <w:t xml:space="preserve">202). </w:t>
      </w:r>
      <w:r w:rsidR="00F5323B">
        <w:t>The c</w:t>
      </w:r>
      <w:r w:rsidRPr="002B1DFC">
        <w:t xml:space="preserve">entral government </w:t>
      </w:r>
      <w:r w:rsidR="00E479B5">
        <w:t>authority</w:t>
      </w:r>
      <w:r w:rsidRPr="002B1DFC">
        <w:t xml:space="preserve"> also has the </w:t>
      </w:r>
      <w:r w:rsidR="00E479B5">
        <w:t>power</w:t>
      </w:r>
      <w:r w:rsidR="00F5323B">
        <w:t>,</w:t>
      </w:r>
      <w:r w:rsidRPr="002B1DFC">
        <w:t xml:space="preserve"> by issuing a mandatory order (</w:t>
      </w:r>
      <w:proofErr w:type="spellStart"/>
      <w:r w:rsidRPr="002B1DFC">
        <w:rPr>
          <w:i/>
        </w:rPr>
        <w:t>prypys</w:t>
      </w:r>
      <w:proofErr w:type="spellEnd"/>
      <w:r w:rsidRPr="002B1DFC">
        <w:t>)</w:t>
      </w:r>
      <w:r w:rsidR="00F5323B">
        <w:t>, to cancel</w:t>
      </w:r>
      <w:r w:rsidRPr="002B1DFC">
        <w:t xml:space="preserve"> any permit</w:t>
      </w:r>
      <w:r w:rsidR="00F5323B">
        <w:t xml:space="preserve"> or </w:t>
      </w:r>
      <w:r w:rsidRPr="002B1DFC">
        <w:t>license approved by regional organs. See section 6.3 below.</w:t>
      </w:r>
    </w:p>
    <w:p w14:paraId="059AFEA6" w14:textId="77777777" w:rsidR="00A968B3" w:rsidRPr="002B1DFC" w:rsidRDefault="00A968B3" w:rsidP="00A968B3"/>
    <w:p w14:paraId="2627DA4F" w14:textId="77777777" w:rsidR="000B7923" w:rsidRPr="002B1DFC" w:rsidRDefault="000B7923" w:rsidP="00F55709">
      <w:pPr>
        <w:pStyle w:val="ListParagraph"/>
        <w:numPr>
          <w:ilvl w:val="0"/>
          <w:numId w:val="68"/>
        </w:numPr>
        <w:tabs>
          <w:tab w:val="left" w:pos="360"/>
        </w:tabs>
        <w:ind w:left="0" w:firstLine="0"/>
      </w:pPr>
      <w:r w:rsidRPr="002B1DFC">
        <w:rPr>
          <w:b/>
          <w:bCs/>
        </w:rPr>
        <w:t xml:space="preserve">Environmental impact assessment. </w:t>
      </w:r>
      <w:r w:rsidRPr="002B1DFC">
        <w:t>The Law of 16.10.2012 envisages that both central government agency (MENR) and regional (oblast) departments of OSA can perform state ecological expertise (articles 201</w:t>
      </w:r>
      <w:r w:rsidR="006C180A">
        <w:t>–</w:t>
      </w:r>
      <w:r w:rsidRPr="002B1DFC">
        <w:t xml:space="preserve">204). </w:t>
      </w:r>
      <w:r w:rsidR="005608F5">
        <w:t>The c</w:t>
      </w:r>
      <w:r w:rsidRPr="002B1DFC">
        <w:t xml:space="preserve">entral government </w:t>
      </w:r>
      <w:r w:rsidR="00E479B5">
        <w:t>authority</w:t>
      </w:r>
      <w:r w:rsidRPr="002B1DFC">
        <w:t xml:space="preserve"> conducts state ecological </w:t>
      </w:r>
      <w:r w:rsidR="00D4686D">
        <w:t xml:space="preserve">expertise </w:t>
      </w:r>
      <w:r w:rsidRPr="002B1DFC">
        <w:t xml:space="preserve">for those projects, </w:t>
      </w:r>
      <w:r w:rsidR="00AB5880">
        <w:t>“</w:t>
      </w:r>
      <w:r w:rsidRPr="002B1DFC">
        <w:t>for which the decision is taken by the Cabinet of Ministers</w:t>
      </w:r>
      <w:r w:rsidR="00E479B5">
        <w:t>.</w:t>
      </w:r>
      <w:r w:rsidR="00AB5880">
        <w:t>”</w:t>
      </w:r>
      <w:r w:rsidRPr="002B1DFC">
        <w:t xml:space="preserve">  </w:t>
      </w:r>
      <w:r w:rsidR="00F5323B">
        <w:t>T</w:t>
      </w:r>
      <w:r w:rsidRPr="002B1DFC">
        <w:t xml:space="preserve">here is no regulatory document (similar to the Resolution of CMU of </w:t>
      </w:r>
      <w:r w:rsidRPr="002B1DFC">
        <w:rPr>
          <w:bCs/>
        </w:rPr>
        <w:t xml:space="preserve">31.10.1995 </w:t>
      </w:r>
      <w:r w:rsidR="00F5323B">
        <w:rPr>
          <w:bCs/>
        </w:rPr>
        <w:t>No.</w:t>
      </w:r>
      <w:r w:rsidRPr="002B1DFC">
        <w:rPr>
          <w:bCs/>
        </w:rPr>
        <w:t xml:space="preserve"> 870 </w:t>
      </w:r>
      <w:r w:rsidR="00F5323B">
        <w:rPr>
          <w:bCs/>
        </w:rPr>
        <w:t>“</w:t>
      </w:r>
      <w:r w:rsidRPr="002B1DFC">
        <w:rPr>
          <w:bCs/>
        </w:rPr>
        <w:t xml:space="preserve">On the </w:t>
      </w:r>
      <w:r w:rsidR="00F5323B">
        <w:rPr>
          <w:bCs/>
        </w:rPr>
        <w:t>P</w:t>
      </w:r>
      <w:r w:rsidRPr="002B1DFC">
        <w:rPr>
          <w:bCs/>
        </w:rPr>
        <w:t xml:space="preserve">rocedure of </w:t>
      </w:r>
      <w:r w:rsidR="00F5323B">
        <w:rPr>
          <w:bCs/>
        </w:rPr>
        <w:t>S</w:t>
      </w:r>
      <w:r w:rsidRPr="002B1DFC">
        <w:rPr>
          <w:bCs/>
        </w:rPr>
        <w:t xml:space="preserve">ubmission </w:t>
      </w:r>
      <w:r w:rsidR="00F5323B">
        <w:rPr>
          <w:bCs/>
        </w:rPr>
        <w:t>D</w:t>
      </w:r>
      <w:r w:rsidRPr="002B1DFC">
        <w:rPr>
          <w:bCs/>
        </w:rPr>
        <w:t xml:space="preserve">ocumentation for </w:t>
      </w:r>
      <w:r w:rsidR="00F5323B">
        <w:rPr>
          <w:bCs/>
        </w:rPr>
        <w:t>S</w:t>
      </w:r>
      <w:r w:rsidRPr="002B1DFC">
        <w:rPr>
          <w:bCs/>
        </w:rPr>
        <w:t xml:space="preserve">tate </w:t>
      </w:r>
      <w:r w:rsidR="00F5323B">
        <w:rPr>
          <w:bCs/>
        </w:rPr>
        <w:t>E</w:t>
      </w:r>
      <w:r w:rsidRPr="002B1DFC">
        <w:rPr>
          <w:bCs/>
        </w:rPr>
        <w:t xml:space="preserve">cological </w:t>
      </w:r>
      <w:r w:rsidR="00F5323B">
        <w:rPr>
          <w:bCs/>
        </w:rPr>
        <w:t>E</w:t>
      </w:r>
      <w:r w:rsidR="00AA1E8B">
        <w:rPr>
          <w:bCs/>
        </w:rPr>
        <w:t>xpertise</w:t>
      </w:r>
      <w:r w:rsidR="00F5323B">
        <w:rPr>
          <w:bCs/>
        </w:rPr>
        <w:t>”</w:t>
      </w:r>
      <w:r w:rsidRPr="002B1DFC">
        <w:rPr>
          <w:bCs/>
        </w:rPr>
        <w:t>)</w:t>
      </w:r>
      <w:r w:rsidR="00F5323B">
        <w:rPr>
          <w:bCs/>
        </w:rPr>
        <w:t xml:space="preserve"> that defines the authority of OSA departments. Consequently,</w:t>
      </w:r>
      <w:r w:rsidRPr="002B1DFC">
        <w:rPr>
          <w:bCs/>
        </w:rPr>
        <w:t xml:space="preserve"> departments </w:t>
      </w:r>
      <w:r w:rsidR="00F5323B">
        <w:rPr>
          <w:bCs/>
        </w:rPr>
        <w:t xml:space="preserve">do not have the legal grounds to </w:t>
      </w:r>
      <w:r w:rsidRPr="002B1DFC">
        <w:rPr>
          <w:bCs/>
        </w:rPr>
        <w:t>perform this function, and most of them do not perform this function</w:t>
      </w:r>
      <w:r w:rsidR="00F5323B">
        <w:rPr>
          <w:bCs/>
        </w:rPr>
        <w:t>. The most recent</w:t>
      </w:r>
      <w:r w:rsidRPr="002B1DFC">
        <w:rPr>
          <w:bCs/>
        </w:rPr>
        <w:t xml:space="preserve"> posts </w:t>
      </w:r>
      <w:r w:rsidR="00F5323B">
        <w:rPr>
          <w:bCs/>
        </w:rPr>
        <w:t xml:space="preserve">about </w:t>
      </w:r>
      <w:r w:rsidRPr="002B1DFC">
        <w:rPr>
          <w:bCs/>
        </w:rPr>
        <w:t xml:space="preserve">decisions </w:t>
      </w:r>
      <w:r w:rsidR="00F5323B">
        <w:rPr>
          <w:bCs/>
        </w:rPr>
        <w:t>regarding</w:t>
      </w:r>
      <w:r w:rsidR="00F5323B" w:rsidRPr="002B1DFC">
        <w:rPr>
          <w:bCs/>
        </w:rPr>
        <w:t xml:space="preserve"> </w:t>
      </w:r>
      <w:r w:rsidRPr="002B1DFC">
        <w:rPr>
          <w:bCs/>
        </w:rPr>
        <w:t xml:space="preserve">ecological </w:t>
      </w:r>
      <w:r w:rsidR="00AA1E8B">
        <w:rPr>
          <w:bCs/>
        </w:rPr>
        <w:t>expertise</w:t>
      </w:r>
      <w:r w:rsidR="00AA1E8B" w:rsidRPr="002B1DFC">
        <w:rPr>
          <w:bCs/>
        </w:rPr>
        <w:t xml:space="preserve"> </w:t>
      </w:r>
      <w:r w:rsidR="00F5323B">
        <w:rPr>
          <w:bCs/>
        </w:rPr>
        <w:t xml:space="preserve">that appear </w:t>
      </w:r>
      <w:r w:rsidRPr="002B1DFC">
        <w:rPr>
          <w:bCs/>
        </w:rPr>
        <w:t xml:space="preserve">on departments' </w:t>
      </w:r>
      <w:r w:rsidR="00F5323B">
        <w:rPr>
          <w:bCs/>
        </w:rPr>
        <w:t>W</w:t>
      </w:r>
      <w:r w:rsidRPr="002B1DFC">
        <w:rPr>
          <w:bCs/>
        </w:rPr>
        <w:t xml:space="preserve">eb sites are </w:t>
      </w:r>
      <w:r w:rsidRPr="002B1DFC">
        <w:rPr>
          <w:bCs/>
        </w:rPr>
        <w:lastRenderedPageBreak/>
        <w:t xml:space="preserve">dated 2013. </w:t>
      </w:r>
      <w:r w:rsidR="00F5323B">
        <w:rPr>
          <w:bCs/>
        </w:rPr>
        <w:t>However, t</w:t>
      </w:r>
      <w:r w:rsidRPr="002B1DFC">
        <w:rPr>
          <w:bCs/>
        </w:rPr>
        <w:t>here are</w:t>
      </w:r>
      <w:r w:rsidR="00F5323B">
        <w:rPr>
          <w:bCs/>
        </w:rPr>
        <w:t xml:space="preserve"> OSA</w:t>
      </w:r>
      <w:r w:rsidRPr="002B1DFC">
        <w:rPr>
          <w:bCs/>
        </w:rPr>
        <w:t xml:space="preserve"> departments </w:t>
      </w:r>
      <w:r w:rsidR="00F5323B">
        <w:rPr>
          <w:bCs/>
        </w:rPr>
        <w:t>that</w:t>
      </w:r>
      <w:r w:rsidRPr="002B1DFC">
        <w:rPr>
          <w:bCs/>
        </w:rPr>
        <w:t xml:space="preserve"> conduct </w:t>
      </w:r>
      <w:r w:rsidRPr="002B1DFC">
        <w:t xml:space="preserve">state ecological </w:t>
      </w:r>
      <w:r w:rsidR="00D4686D">
        <w:t xml:space="preserve">expertise </w:t>
      </w:r>
      <w:r w:rsidRPr="002B1DFC">
        <w:t>(</w:t>
      </w:r>
      <w:r w:rsidR="00591FD4">
        <w:t>for example</w:t>
      </w:r>
      <w:r w:rsidRPr="002B1DFC">
        <w:t xml:space="preserve">, in Poltava and </w:t>
      </w:r>
      <w:proofErr w:type="spellStart"/>
      <w:r w:rsidRPr="002B1DFC">
        <w:t>Zaporizhzhya</w:t>
      </w:r>
      <w:proofErr w:type="spellEnd"/>
      <w:r w:rsidRPr="002B1DFC">
        <w:t>)</w:t>
      </w:r>
      <w:r w:rsidRPr="002B1DFC">
        <w:rPr>
          <w:i/>
        </w:rPr>
        <w:t>.</w:t>
      </w:r>
      <w:r w:rsidRPr="002B1DFC">
        <w:t xml:space="preserve"> This is discussed </w:t>
      </w:r>
      <w:r w:rsidR="00F5323B">
        <w:t xml:space="preserve">further </w:t>
      </w:r>
      <w:r w:rsidRPr="002B1DFC">
        <w:t xml:space="preserve">in section </w:t>
      </w:r>
      <w:r w:rsidR="00A968B3" w:rsidRPr="002B1DFC">
        <w:t>6</w:t>
      </w:r>
      <w:r w:rsidRPr="002B1DFC">
        <w:t>.4 below.</w:t>
      </w:r>
    </w:p>
    <w:p w14:paraId="61EEBE6C" w14:textId="77777777" w:rsidR="000B7923" w:rsidRPr="002B1DFC" w:rsidRDefault="000B7923" w:rsidP="003D482E"/>
    <w:p w14:paraId="1F0C1824" w14:textId="77777777" w:rsidR="000B7923" w:rsidRPr="002B1DFC" w:rsidRDefault="000B7923" w:rsidP="00F55709">
      <w:pPr>
        <w:pStyle w:val="ListParagraph"/>
        <w:numPr>
          <w:ilvl w:val="0"/>
          <w:numId w:val="68"/>
        </w:numPr>
        <w:tabs>
          <w:tab w:val="left" w:pos="360"/>
        </w:tabs>
        <w:ind w:left="0" w:firstLine="0"/>
      </w:pPr>
      <w:r w:rsidRPr="002B1DFC">
        <w:rPr>
          <w:b/>
          <w:bCs/>
        </w:rPr>
        <w:t>Environmental disclosure</w:t>
      </w:r>
      <w:r w:rsidR="00F5323B">
        <w:t>.</w:t>
      </w:r>
      <w:r w:rsidRPr="002B1DFC">
        <w:t xml:space="preserve"> </w:t>
      </w:r>
      <w:r w:rsidRPr="002B1DFC">
        <w:rPr>
          <w:rFonts w:cs="Times New Roman"/>
          <w:color w:val="000000"/>
        </w:rPr>
        <w:t xml:space="preserve">Environmental departments share information they have with the public (upon request or through their </w:t>
      </w:r>
      <w:r w:rsidR="00501EDC">
        <w:rPr>
          <w:rFonts w:cs="Times New Roman"/>
          <w:color w:val="000000"/>
        </w:rPr>
        <w:t>W</w:t>
      </w:r>
      <w:r w:rsidRPr="002B1DFC">
        <w:rPr>
          <w:rFonts w:cs="Times New Roman"/>
          <w:color w:val="000000"/>
        </w:rPr>
        <w:t xml:space="preserve">eb sites), but often they do not have </w:t>
      </w:r>
      <w:r w:rsidR="00501EDC">
        <w:rPr>
          <w:rFonts w:cs="Times New Roman"/>
          <w:color w:val="000000"/>
        </w:rPr>
        <w:t xml:space="preserve">the </w:t>
      </w:r>
      <w:r w:rsidRPr="002B1DFC">
        <w:rPr>
          <w:rFonts w:cs="Times New Roman"/>
          <w:color w:val="000000"/>
        </w:rPr>
        <w:t>requested information. This lack of information is aggravated by the fact that archives of former oblast branches of MENR have not been transferred to oblast departments.</w:t>
      </w:r>
    </w:p>
    <w:p w14:paraId="2E06EDED" w14:textId="77777777" w:rsidR="000B7923" w:rsidRPr="002B1DFC" w:rsidRDefault="000B7923" w:rsidP="005A01C2">
      <w:pPr>
        <w:pStyle w:val="Heading2"/>
      </w:pPr>
      <w:bookmarkStart w:id="90" w:name="_Toc440273968"/>
      <w:r w:rsidRPr="002B1DFC">
        <w:t>Coordination with Sectoral Units / Departments</w:t>
      </w:r>
      <w:bookmarkEnd w:id="90"/>
    </w:p>
    <w:p w14:paraId="5AE27690" w14:textId="77777777" w:rsidR="000B7923" w:rsidRPr="002B1DFC" w:rsidRDefault="000B7923" w:rsidP="00AA5DA0"/>
    <w:p w14:paraId="3CEB4782" w14:textId="77777777" w:rsidR="000B7923" w:rsidRPr="002B1DFC" w:rsidRDefault="000B7923" w:rsidP="00F55709">
      <w:pPr>
        <w:pStyle w:val="ListParagraph"/>
        <w:numPr>
          <w:ilvl w:val="0"/>
          <w:numId w:val="68"/>
        </w:numPr>
        <w:tabs>
          <w:tab w:val="left" w:pos="360"/>
        </w:tabs>
        <w:ind w:left="0" w:firstLine="0"/>
      </w:pPr>
      <w:r w:rsidRPr="002B1DFC">
        <w:rPr>
          <w:rFonts w:cs="Times New Roman"/>
        </w:rPr>
        <w:t>Each oblast has several agencies with responsibilities for natur</w:t>
      </w:r>
      <w:r w:rsidR="00501EDC">
        <w:rPr>
          <w:rFonts w:cs="Times New Roman"/>
        </w:rPr>
        <w:t>al</w:t>
      </w:r>
      <w:r w:rsidRPr="002B1DFC">
        <w:rPr>
          <w:rFonts w:cs="Times New Roman"/>
        </w:rPr>
        <w:t xml:space="preserve"> resources, permitting, control</w:t>
      </w:r>
      <w:r w:rsidR="00501EDC">
        <w:rPr>
          <w:rFonts w:cs="Times New Roman"/>
        </w:rPr>
        <w:t>,</w:t>
      </w:r>
      <w:r w:rsidRPr="002B1DFC">
        <w:rPr>
          <w:rFonts w:cs="Times New Roman"/>
        </w:rPr>
        <w:t xml:space="preserve"> and enforcement. There is no procedure </w:t>
      </w:r>
      <w:r w:rsidR="00501EDC">
        <w:rPr>
          <w:rFonts w:cs="Times New Roman"/>
        </w:rPr>
        <w:t>to</w:t>
      </w:r>
      <w:r w:rsidRPr="002B1DFC">
        <w:rPr>
          <w:rFonts w:cs="Times New Roman"/>
        </w:rPr>
        <w:t xml:space="preserve"> provide coordination among them. </w:t>
      </w:r>
      <w:r w:rsidR="00501EDC">
        <w:rPr>
          <w:rFonts w:cs="Times New Roman"/>
        </w:rPr>
        <w:t>OSA’s e</w:t>
      </w:r>
      <w:r w:rsidRPr="002B1DFC">
        <w:rPr>
          <w:rFonts w:cs="Times New Roman"/>
        </w:rPr>
        <w:t xml:space="preserve">nvironmental </w:t>
      </w:r>
      <w:r w:rsidRPr="00F55709">
        <w:rPr>
          <w:rFonts w:cs="Times New Roman"/>
          <w:color w:val="000000"/>
        </w:rPr>
        <w:t>departments</w:t>
      </w:r>
      <w:r w:rsidRPr="002B1DFC">
        <w:rPr>
          <w:rFonts w:cs="Times New Roman"/>
        </w:rPr>
        <w:t xml:space="preserve"> work more closely with </w:t>
      </w:r>
      <w:r w:rsidR="00501EDC">
        <w:rPr>
          <w:rFonts w:cs="Times New Roman"/>
        </w:rPr>
        <w:t xml:space="preserve">the </w:t>
      </w:r>
      <w:r w:rsidRPr="002B1DFC">
        <w:rPr>
          <w:rFonts w:cs="Times New Roman"/>
        </w:rPr>
        <w:t xml:space="preserve">oblast branches of SWRA. There is virtually no coordination between oblast departments of environment and other agencies. Although oblast departments are by law </w:t>
      </w:r>
      <w:r w:rsidR="00501EDC">
        <w:rPr>
          <w:rFonts w:cs="Times New Roman"/>
        </w:rPr>
        <w:t>“</w:t>
      </w:r>
      <w:r w:rsidRPr="002B1DFC">
        <w:rPr>
          <w:rFonts w:cs="Times New Roman"/>
        </w:rPr>
        <w:t>regulated</w:t>
      </w:r>
      <w:r w:rsidR="00501EDC">
        <w:rPr>
          <w:rFonts w:cs="Times New Roman"/>
        </w:rPr>
        <w:t>”</w:t>
      </w:r>
      <w:r w:rsidRPr="002B1DFC">
        <w:rPr>
          <w:rFonts w:cs="Times New Roman"/>
        </w:rPr>
        <w:t xml:space="preserve"> by MENR, coordination mechanisms between the MENR and the newly established OSA environmental departments need to be put in place and strengthened.</w:t>
      </w:r>
    </w:p>
    <w:p w14:paraId="29230DDC" w14:textId="77777777" w:rsidR="00EC5D30" w:rsidRPr="002B1DFC" w:rsidRDefault="00EC5D30" w:rsidP="00AA5DA0"/>
    <w:p w14:paraId="40D77D46" w14:textId="77777777" w:rsidR="000B7923" w:rsidRPr="002B1DFC" w:rsidRDefault="000B7923" w:rsidP="00F55709">
      <w:pPr>
        <w:pStyle w:val="ListParagraph"/>
        <w:numPr>
          <w:ilvl w:val="0"/>
          <w:numId w:val="68"/>
        </w:numPr>
        <w:tabs>
          <w:tab w:val="left" w:pos="360"/>
        </w:tabs>
        <w:ind w:left="0" w:firstLine="0"/>
      </w:pPr>
      <w:r w:rsidRPr="002562D6">
        <w:rPr>
          <w:b/>
          <w:iCs/>
        </w:rPr>
        <w:t xml:space="preserve">Cooperation between OSA </w:t>
      </w:r>
      <w:r w:rsidR="001A4219">
        <w:rPr>
          <w:b/>
          <w:iCs/>
        </w:rPr>
        <w:t>D</w:t>
      </w:r>
      <w:r w:rsidRPr="002562D6">
        <w:rPr>
          <w:b/>
          <w:iCs/>
        </w:rPr>
        <w:t>epartments and SEI</w:t>
      </w:r>
      <w:r w:rsidR="001A4219">
        <w:t>.</w:t>
      </w:r>
      <w:r w:rsidRPr="002B1DFC">
        <w:t xml:space="preserve"> Another issue is cooperation between </w:t>
      </w:r>
      <w:r w:rsidR="005322FA">
        <w:t xml:space="preserve">OSA </w:t>
      </w:r>
      <w:r w:rsidRPr="002B1DFC">
        <w:t>departments and oblast branches of SEI. This cooperation was rather weak between oblast branches of MENR and SEI (</w:t>
      </w:r>
      <w:r w:rsidR="00591FD4">
        <w:t>for example</w:t>
      </w:r>
      <w:r w:rsidRPr="002B1DFC">
        <w:t>, there was no requirement that information about approved decision</w:t>
      </w:r>
      <w:r w:rsidR="005322FA">
        <w:t>s</w:t>
      </w:r>
      <w:r w:rsidRPr="002B1DFC">
        <w:t xml:space="preserve"> of ecological </w:t>
      </w:r>
      <w:r w:rsidR="00AA1E8B">
        <w:t>expertise</w:t>
      </w:r>
      <w:r w:rsidR="00AA1E8B" w:rsidRPr="002B1DFC">
        <w:t xml:space="preserve"> </w:t>
      </w:r>
      <w:r w:rsidRPr="002B1DFC">
        <w:t xml:space="preserve">or permits issued to enterprises by oblast branches of MENR </w:t>
      </w:r>
      <w:r w:rsidR="005322FA">
        <w:t>be</w:t>
      </w:r>
      <w:r w:rsidR="005322FA" w:rsidRPr="002B1DFC">
        <w:t xml:space="preserve"> </w:t>
      </w:r>
      <w:r w:rsidRPr="002B1DFC">
        <w:t xml:space="preserve">made known to SEI. </w:t>
      </w:r>
      <w:r w:rsidR="005322FA">
        <w:t>C</w:t>
      </w:r>
      <w:r w:rsidRPr="002B1DFC">
        <w:t xml:space="preserve">ooperation </w:t>
      </w:r>
      <w:r w:rsidR="005322FA">
        <w:t>became</w:t>
      </w:r>
      <w:r w:rsidR="005322FA" w:rsidRPr="002B1DFC">
        <w:t xml:space="preserve"> </w:t>
      </w:r>
      <w:r w:rsidRPr="002B1DFC">
        <w:t>even more problematic</w:t>
      </w:r>
      <w:r w:rsidR="005322FA">
        <w:t>,</w:t>
      </w:r>
      <w:r w:rsidRPr="002B1DFC">
        <w:t xml:space="preserve"> because </w:t>
      </w:r>
      <w:r w:rsidR="005322FA">
        <w:t xml:space="preserve">these </w:t>
      </w:r>
      <w:r w:rsidRPr="002B1DFC">
        <w:t xml:space="preserve">two agencies belong to different authorities (regional and national). </w:t>
      </w:r>
    </w:p>
    <w:p w14:paraId="25EDC3CB" w14:textId="77777777" w:rsidR="000B7923" w:rsidRDefault="000B7923" w:rsidP="002562D6">
      <w:pPr>
        <w:pStyle w:val="Heading2"/>
        <w:tabs>
          <w:tab w:val="clear" w:pos="576"/>
        </w:tabs>
        <w:ind w:left="360" w:hanging="360"/>
      </w:pPr>
      <w:bookmarkStart w:id="91" w:name="_Toc440273969"/>
      <w:r w:rsidRPr="002B1DFC">
        <w:t>Recommendations</w:t>
      </w:r>
      <w:bookmarkEnd w:id="91"/>
      <w:r w:rsidR="00B33945">
        <w:t xml:space="preserve"> </w:t>
      </w:r>
    </w:p>
    <w:p w14:paraId="2D7D02A9" w14:textId="77777777" w:rsidR="00BB0F37" w:rsidRPr="00BB0F37" w:rsidRDefault="00BB0F37" w:rsidP="002562D6"/>
    <w:p w14:paraId="2FDBE4E9" w14:textId="77777777" w:rsidR="00A05970" w:rsidRPr="00F55709" w:rsidRDefault="00A05970" w:rsidP="00F55709">
      <w:pPr>
        <w:pStyle w:val="ListParagraph"/>
        <w:numPr>
          <w:ilvl w:val="0"/>
          <w:numId w:val="68"/>
        </w:numPr>
        <w:tabs>
          <w:tab w:val="left" w:pos="360"/>
        </w:tabs>
        <w:ind w:left="0" w:firstLine="0"/>
        <w:rPr>
          <w:rFonts w:cs="Times New Roman"/>
        </w:rPr>
      </w:pPr>
      <w:bookmarkStart w:id="92" w:name="_Toc403738263"/>
      <w:r w:rsidRPr="00F55709">
        <w:rPr>
          <w:rFonts w:cs="Times New Roman"/>
        </w:rPr>
        <w:t xml:space="preserve">The present system of environmental management at the sub-national level requires considerable effort to develop and organize: legislative acts are not consistent, regulatory acts are often missing, functions of various </w:t>
      </w:r>
      <w:r w:rsidRPr="00F55709">
        <w:t>agencies</w:t>
      </w:r>
      <w:r w:rsidRPr="00F55709">
        <w:rPr>
          <w:rFonts w:cs="Times New Roman"/>
        </w:rPr>
        <w:t xml:space="preserve"> are not clearly defined which results in gaps for some functions on one hand, and overlap with the central level functions on the other. The process of instituting changes to legislation and introducing new laws is ongoing, and changes become even more frequent because of the process of adaptation of Ukrainian legislation to European norms. </w:t>
      </w:r>
    </w:p>
    <w:p w14:paraId="21E99E7B" w14:textId="77777777" w:rsidR="00A05970" w:rsidRPr="00882558" w:rsidRDefault="00A05970" w:rsidP="00A05970">
      <w:pPr>
        <w:rPr>
          <w:rFonts w:cs="Times New Roman"/>
          <w:color w:val="000000" w:themeColor="text1"/>
        </w:rPr>
      </w:pPr>
    </w:p>
    <w:p w14:paraId="1A719460" w14:textId="77777777" w:rsidR="00A05970" w:rsidRDefault="00A05970" w:rsidP="00F55709">
      <w:pPr>
        <w:pStyle w:val="ListParagraph"/>
        <w:numPr>
          <w:ilvl w:val="0"/>
          <w:numId w:val="68"/>
        </w:numPr>
        <w:tabs>
          <w:tab w:val="left" w:pos="360"/>
        </w:tabs>
        <w:ind w:left="0" w:firstLine="0"/>
        <w:rPr>
          <w:rFonts w:cs="Times New Roman"/>
        </w:rPr>
      </w:pPr>
      <w:r w:rsidRPr="002B1DFC">
        <w:rPr>
          <w:rFonts w:cs="Times New Roman"/>
        </w:rPr>
        <w:t xml:space="preserve">According to the </w:t>
      </w:r>
      <w:r w:rsidR="006848FB">
        <w:rPr>
          <w:rFonts w:cs="Times New Roman"/>
        </w:rPr>
        <w:t>P</w:t>
      </w:r>
      <w:r w:rsidRPr="002B1DFC">
        <w:rPr>
          <w:rFonts w:cs="Times New Roman"/>
        </w:rPr>
        <w:t>lan of Ukrainian President and the Government, by the end of 2015 the process of decentralization (based on necessary amendments to Constitution and other laws) should be underway. Decentralization will most likely change territorial system, the balance of power between national and local authorities in many areas of responsibility, budget procedures</w:t>
      </w:r>
      <w:r w:rsidR="00591FD4">
        <w:rPr>
          <w:rFonts w:cs="Times New Roman"/>
        </w:rPr>
        <w:t xml:space="preserve"> and so forth.</w:t>
      </w:r>
      <w:r w:rsidRPr="002B1DFC">
        <w:rPr>
          <w:rFonts w:cs="Times New Roman"/>
        </w:rPr>
        <w:t xml:space="preserve"> It is unlikely that current problems of environmental management could be resolved before the reshuffling of the whole government system has been completed (or at least until most fundamental changes have been made).</w:t>
      </w:r>
      <w:r>
        <w:rPr>
          <w:rFonts w:cs="Times New Roman"/>
        </w:rPr>
        <w:t xml:space="preserve"> </w:t>
      </w:r>
      <w:r w:rsidRPr="002B1DFC">
        <w:rPr>
          <w:rFonts w:cs="Times New Roman"/>
        </w:rPr>
        <w:t xml:space="preserve"> </w:t>
      </w:r>
    </w:p>
    <w:p w14:paraId="1255E97D" w14:textId="77777777" w:rsidR="00A05970" w:rsidRDefault="00A05970" w:rsidP="00A05970">
      <w:pPr>
        <w:rPr>
          <w:rFonts w:cs="Times New Roman"/>
        </w:rPr>
      </w:pPr>
    </w:p>
    <w:p w14:paraId="04EB263F" w14:textId="77777777" w:rsidR="00A05970" w:rsidRDefault="00A05970" w:rsidP="00A05970">
      <w:pPr>
        <w:numPr>
          <w:ilvl w:val="0"/>
          <w:numId w:val="48"/>
        </w:numPr>
        <w:rPr>
          <w:rFonts w:cs="Times New Roman"/>
        </w:rPr>
      </w:pPr>
      <w:r>
        <w:rPr>
          <w:rFonts w:cs="Times New Roman"/>
        </w:rPr>
        <w:t xml:space="preserve">Clarify the responsibilities of the regional OSA departments as per current legislation. </w:t>
      </w:r>
    </w:p>
    <w:p w14:paraId="4C26FD74" w14:textId="77777777" w:rsidR="00A05970" w:rsidRDefault="00A05970" w:rsidP="00A05970">
      <w:pPr>
        <w:ind w:left="360"/>
        <w:rPr>
          <w:rFonts w:cs="Times New Roman"/>
        </w:rPr>
      </w:pPr>
    </w:p>
    <w:p w14:paraId="0ED61852" w14:textId="77777777" w:rsidR="00A05970" w:rsidRPr="00ED662A" w:rsidRDefault="00A05970" w:rsidP="00A05970">
      <w:pPr>
        <w:numPr>
          <w:ilvl w:val="0"/>
          <w:numId w:val="48"/>
        </w:numPr>
        <w:rPr>
          <w:rFonts w:cs="Times New Roman"/>
        </w:rPr>
      </w:pPr>
      <w:r>
        <w:rPr>
          <w:rFonts w:cs="Times New Roman"/>
        </w:rPr>
        <w:t xml:space="preserve">Establish a consultation mechanism that will encompass broad spectrum of stakeholders, including central level authorities, private sector, civil society, academia and research. This consultation mechanism will be critical for ensuring broad participation in defining </w:t>
      </w:r>
      <w:r w:rsidRPr="0051472F">
        <w:rPr>
          <w:rFonts w:cs="Times New Roman"/>
        </w:rPr>
        <w:t>function</w:t>
      </w:r>
      <w:r w:rsidRPr="00ED662A">
        <w:rPr>
          <w:rFonts w:cs="Times New Roman"/>
        </w:rPr>
        <w:t>s, roles</w:t>
      </w:r>
      <w:r w:rsidR="00E479B5">
        <w:rPr>
          <w:rFonts w:cs="Times New Roman"/>
        </w:rPr>
        <w:t>,</w:t>
      </w:r>
      <w:r w:rsidRPr="00ED662A">
        <w:rPr>
          <w:rFonts w:cs="Times New Roman"/>
        </w:rPr>
        <w:t xml:space="preserve"> and responsibilities</w:t>
      </w:r>
      <w:r w:rsidR="006C180A">
        <w:rPr>
          <w:rFonts w:cs="Times New Roman"/>
        </w:rPr>
        <w:t>,</w:t>
      </w:r>
      <w:r>
        <w:rPr>
          <w:rFonts w:cs="Times New Roman"/>
        </w:rPr>
        <w:t xml:space="preserve"> and should be </w:t>
      </w:r>
      <w:r w:rsidRPr="00ED662A">
        <w:rPr>
          <w:rFonts w:cs="Times New Roman"/>
        </w:rPr>
        <w:t>launched as early as possible, so that possible approaches, proposals</w:t>
      </w:r>
      <w:r w:rsidR="006C180A">
        <w:rPr>
          <w:rFonts w:cs="Times New Roman"/>
        </w:rPr>
        <w:t>,</w:t>
      </w:r>
      <w:r w:rsidRPr="00ED662A">
        <w:rPr>
          <w:rFonts w:cs="Times New Roman"/>
        </w:rPr>
        <w:t xml:space="preserve"> and ideas are already at hand when the need for them arises</w:t>
      </w:r>
      <w:r w:rsidR="006C180A">
        <w:rPr>
          <w:rFonts w:cs="Times New Roman"/>
        </w:rPr>
        <w:t>—that is,</w:t>
      </w:r>
      <w:r w:rsidRPr="00ED662A">
        <w:rPr>
          <w:rFonts w:cs="Times New Roman"/>
        </w:rPr>
        <w:t xml:space="preserve"> when the shape of a new administrative and government system is fixed. Such consultation would also create better contacts and understanding among practitioners throughout the country, as well as within each area of environmental management.</w:t>
      </w:r>
    </w:p>
    <w:p w14:paraId="466FB8B6" w14:textId="77777777" w:rsidR="00A05970" w:rsidRDefault="00A05970" w:rsidP="00A05970">
      <w:pPr>
        <w:ind w:left="360"/>
        <w:rPr>
          <w:rFonts w:cs="Times New Roman"/>
        </w:rPr>
      </w:pPr>
    </w:p>
    <w:p w14:paraId="470DFD6D" w14:textId="77777777" w:rsidR="00A05970" w:rsidRDefault="00A05970" w:rsidP="00A05970">
      <w:pPr>
        <w:numPr>
          <w:ilvl w:val="0"/>
          <w:numId w:val="48"/>
        </w:numPr>
        <w:rPr>
          <w:rFonts w:cs="Times New Roman"/>
        </w:rPr>
      </w:pPr>
      <w:r>
        <w:rPr>
          <w:rFonts w:cs="Times New Roman"/>
        </w:rPr>
        <w:lastRenderedPageBreak/>
        <w:t xml:space="preserve">Delineate responsibilities between the central and regional levels of environmental management, including with central authorities, departments of central authorities in the regions, other regional and local level authorities. </w:t>
      </w:r>
    </w:p>
    <w:p w14:paraId="7EC01A3B" w14:textId="77777777" w:rsidR="00A05970" w:rsidRDefault="00A05970" w:rsidP="00A05970">
      <w:pPr>
        <w:rPr>
          <w:rFonts w:cs="Times New Roman"/>
        </w:rPr>
      </w:pPr>
    </w:p>
    <w:p w14:paraId="2ABB4F42" w14:textId="77777777" w:rsidR="00A05970" w:rsidRDefault="00A05970" w:rsidP="00A05970">
      <w:pPr>
        <w:numPr>
          <w:ilvl w:val="0"/>
          <w:numId w:val="48"/>
        </w:numPr>
        <w:rPr>
          <w:rFonts w:cs="Times New Roman"/>
        </w:rPr>
      </w:pPr>
      <w:r w:rsidRPr="002B1DFC">
        <w:rPr>
          <w:rFonts w:cs="Times New Roman"/>
        </w:rPr>
        <w:t xml:space="preserve">Establish a clear mechanism of coordination and monitoring activity in order to avoid </w:t>
      </w:r>
      <w:r>
        <w:rPr>
          <w:rFonts w:cs="Times New Roman"/>
        </w:rPr>
        <w:t>any gaps and reduce duplication of</w:t>
      </w:r>
      <w:r w:rsidRPr="002B1DFC">
        <w:rPr>
          <w:rFonts w:cs="Times New Roman"/>
        </w:rPr>
        <w:t xml:space="preserve"> functions between different organizations,</w:t>
      </w:r>
      <w:r>
        <w:rPr>
          <w:rFonts w:cs="Times New Roman"/>
        </w:rPr>
        <w:t xml:space="preserve"> </w:t>
      </w:r>
      <w:r w:rsidRPr="002B1DFC">
        <w:rPr>
          <w:rFonts w:cs="Times New Roman"/>
        </w:rPr>
        <w:t xml:space="preserve">and consolidate this mechanism at the legislative level introducing appropriate changes to current legal acts. </w:t>
      </w:r>
    </w:p>
    <w:p w14:paraId="6EDC5A56" w14:textId="77777777" w:rsidR="00A05970" w:rsidRDefault="00A05970" w:rsidP="00A05970">
      <w:pPr>
        <w:pStyle w:val="ListParagraph"/>
        <w:rPr>
          <w:rFonts w:cs="Times New Roman"/>
        </w:rPr>
      </w:pPr>
    </w:p>
    <w:p w14:paraId="16827A66" w14:textId="77777777" w:rsidR="00A05970" w:rsidRDefault="00A05970" w:rsidP="00A05970">
      <w:pPr>
        <w:numPr>
          <w:ilvl w:val="0"/>
          <w:numId w:val="48"/>
        </w:numPr>
        <w:rPr>
          <w:rFonts w:cs="Times New Roman"/>
        </w:rPr>
      </w:pPr>
      <w:r w:rsidRPr="00663979">
        <w:rPr>
          <w:rFonts w:cs="Times New Roman"/>
        </w:rPr>
        <w:t>Provide technical assistance to regional organs and mu</w:t>
      </w:r>
      <w:r w:rsidRPr="0059336D">
        <w:rPr>
          <w:rFonts w:cs="Times New Roman"/>
        </w:rPr>
        <w:t>nicipalities in implementation of their responsibilities in the area of environmental managemen</w:t>
      </w:r>
      <w:r>
        <w:rPr>
          <w:rFonts w:cs="Times New Roman"/>
        </w:rPr>
        <w:t xml:space="preserve">t in a continuous process. </w:t>
      </w:r>
    </w:p>
    <w:p w14:paraId="269E56ED" w14:textId="77777777" w:rsidR="000B7923" w:rsidRPr="002B1DFC" w:rsidRDefault="000B7923" w:rsidP="001557B4">
      <w:pPr>
        <w:rPr>
          <w:rFonts w:eastAsia="Times New Roman" w:cs="Times New Roman"/>
          <w:b/>
          <w:bCs/>
          <w:smallCaps/>
          <w:color w:val="365F91"/>
          <w:sz w:val="28"/>
          <w:szCs w:val="28"/>
        </w:rPr>
      </w:pPr>
    </w:p>
    <w:p w14:paraId="23797A98" w14:textId="77777777" w:rsidR="000B7923" w:rsidRPr="002B1DFC" w:rsidRDefault="00016BBB" w:rsidP="002562D6">
      <w:pPr>
        <w:pStyle w:val="Heading1"/>
        <w:tabs>
          <w:tab w:val="clear" w:pos="720"/>
          <w:tab w:val="left" w:pos="450"/>
        </w:tabs>
      </w:pPr>
      <w:r>
        <w:br w:type="page"/>
      </w:r>
      <w:bookmarkStart w:id="93" w:name="_Toc440273970"/>
      <w:r w:rsidR="000B7923" w:rsidRPr="002B1DFC">
        <w:lastRenderedPageBreak/>
        <w:t>Key Environmental Management Tools</w:t>
      </w:r>
      <w:bookmarkEnd w:id="93"/>
      <w:r w:rsidR="000B7923" w:rsidRPr="002B1DFC">
        <w:t xml:space="preserve"> </w:t>
      </w:r>
      <w:bookmarkEnd w:id="92"/>
    </w:p>
    <w:p w14:paraId="0660F16A" w14:textId="77777777" w:rsidR="000B7923"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This section looks at the key environmental management policy tools that are available / used in Ukraine for environmental management. </w:t>
      </w:r>
    </w:p>
    <w:p w14:paraId="501A1AF7" w14:textId="77777777" w:rsidR="00DC2622" w:rsidRPr="002B1DFC" w:rsidRDefault="00DC2622" w:rsidP="00F33595">
      <w:pPr>
        <w:rPr>
          <w:rFonts w:cs="Times New Roman"/>
        </w:rPr>
      </w:pPr>
    </w:p>
    <w:p w14:paraId="14895D0F" w14:textId="77777777" w:rsidR="000B7923" w:rsidRPr="002B1DFC" w:rsidRDefault="000B7923" w:rsidP="00DC2622">
      <w:pPr>
        <w:pStyle w:val="Heading2"/>
      </w:pPr>
      <w:bookmarkStart w:id="94" w:name="_Toc440273971"/>
      <w:bookmarkStart w:id="95" w:name="_Toc403738267"/>
      <w:bookmarkStart w:id="96" w:name="_Toc403738265"/>
      <w:r w:rsidRPr="002B1DFC">
        <w:t>Environmental Regulations and Standards</w:t>
      </w:r>
      <w:bookmarkEnd w:id="94"/>
      <w:r w:rsidRPr="002B1DFC">
        <w:t xml:space="preserve"> </w:t>
      </w:r>
    </w:p>
    <w:p w14:paraId="74C3CE6E" w14:textId="77777777" w:rsidR="000B7923" w:rsidRPr="002B1DFC" w:rsidRDefault="000B7923" w:rsidP="009858CC">
      <w:pPr>
        <w:rPr>
          <w:rFonts w:cs="Times New Roman"/>
        </w:rPr>
      </w:pPr>
    </w:p>
    <w:p w14:paraId="16D344D4"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Since Ukraine gained its independence, environmental regulations and standards were based on the use of maximum allowable concentrations, which were considered for permitting system.  In 2001, new changes were introduced to the Law “On Atmospheric Air Protection” taking into account air pollutants’ emissions from existing and new installations. Ukraine started on the path towards implementation and adoption of the EU IPPC Directive and use of the principle of Best Available Techniques (BAT).</w:t>
      </w:r>
    </w:p>
    <w:p w14:paraId="42043E06" w14:textId="77777777" w:rsidR="000B7923" w:rsidRPr="002B1DFC" w:rsidRDefault="000B7923" w:rsidP="009858CC">
      <w:pPr>
        <w:rPr>
          <w:rFonts w:cs="Times New Roman"/>
        </w:rPr>
      </w:pPr>
    </w:p>
    <w:p w14:paraId="37CC512F"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The same year</w:t>
      </w:r>
      <w:r w:rsidR="00E479B5">
        <w:rPr>
          <w:rFonts w:cs="Times New Roman"/>
        </w:rPr>
        <w:t>, CMU adopted the</w:t>
      </w:r>
      <w:r w:rsidRPr="002B1DFC">
        <w:rPr>
          <w:rFonts w:cs="Times New Roman"/>
        </w:rPr>
        <w:t xml:space="preserve"> Decree “About Approval of Procedure for the Development and Adoption the Standards for Pollutants’ Emissions Limits from Stationary Sources.</w:t>
      </w:r>
      <w:r w:rsidR="00E479B5">
        <w:rPr>
          <w:rFonts w:cs="Times New Roman"/>
        </w:rPr>
        <w:t>”</w:t>
      </w:r>
      <w:r w:rsidRPr="002B1DFC">
        <w:rPr>
          <w:rFonts w:cs="Times New Roman"/>
        </w:rPr>
        <w:t xml:space="preserve"> </w:t>
      </w:r>
      <w:r w:rsidR="00E479B5">
        <w:rPr>
          <w:rFonts w:cs="Times New Roman"/>
        </w:rPr>
        <w:t>MENR’s Order in 2004 approved the</w:t>
      </w:r>
      <w:r w:rsidR="00E479B5" w:rsidRPr="002B1DFC">
        <w:rPr>
          <w:rFonts w:cs="Times New Roman"/>
        </w:rPr>
        <w:t xml:space="preserve"> </w:t>
      </w:r>
      <w:r w:rsidRPr="002B1DFC">
        <w:rPr>
          <w:rFonts w:cs="Times New Roman"/>
        </w:rPr>
        <w:t>list of installations, for which these standards are developed. For the installations from this list, the technological standards are developed and approved by the MENR. During 2008</w:t>
      </w:r>
      <w:r w:rsidR="006C180A">
        <w:rPr>
          <w:rFonts w:cs="Times New Roman"/>
        </w:rPr>
        <w:t>–</w:t>
      </w:r>
      <w:r w:rsidR="00E479B5" w:rsidRPr="002B1DFC">
        <w:rPr>
          <w:rFonts w:cs="Times New Roman"/>
        </w:rPr>
        <w:t>2012,</w:t>
      </w:r>
      <w:r w:rsidRPr="002B1DFC">
        <w:rPr>
          <w:rFonts w:cs="Times New Roman"/>
        </w:rPr>
        <w:t xml:space="preserve"> various technological standards for different types of installation and facilities were adopted. </w:t>
      </w:r>
    </w:p>
    <w:p w14:paraId="34534C38" w14:textId="77777777" w:rsidR="000B7923" w:rsidRPr="002B1DFC" w:rsidRDefault="000B7923" w:rsidP="009858CC">
      <w:pPr>
        <w:rPr>
          <w:rFonts w:cs="Times New Roman"/>
        </w:rPr>
      </w:pPr>
    </w:p>
    <w:p w14:paraId="7A9FD981" w14:textId="77777777" w:rsidR="000B7923" w:rsidRPr="002B1DFC" w:rsidRDefault="00E479B5" w:rsidP="00F55709">
      <w:pPr>
        <w:pStyle w:val="ListParagraph"/>
        <w:numPr>
          <w:ilvl w:val="0"/>
          <w:numId w:val="68"/>
        </w:numPr>
        <w:tabs>
          <w:tab w:val="left" w:pos="360"/>
        </w:tabs>
        <w:ind w:left="0" w:firstLine="0"/>
        <w:rPr>
          <w:rFonts w:cs="Times New Roman"/>
        </w:rPr>
      </w:pPr>
      <w:r>
        <w:rPr>
          <w:rFonts w:cs="Times New Roman"/>
        </w:rPr>
        <w:t>MENR’s Order No. 309 on June 27, 2006, approved S</w:t>
      </w:r>
      <w:r w:rsidR="000B7923" w:rsidRPr="002B1DFC">
        <w:rPr>
          <w:rFonts w:cs="Times New Roman"/>
        </w:rPr>
        <w:t>tandards for Pollutants’ Emissions Limits from Stationary Sources (SPELSS) for existing and new installations. Emission limits are specified for particulate matter, carcinogenic pollutants, gaseous inorganic pollutants</w:t>
      </w:r>
      <w:r>
        <w:rPr>
          <w:rFonts w:cs="Times New Roman"/>
        </w:rPr>
        <w:t>,</w:t>
      </w:r>
      <w:r w:rsidR="000B7923" w:rsidRPr="002B1DFC">
        <w:rPr>
          <w:rFonts w:cs="Times New Roman"/>
        </w:rPr>
        <w:t xml:space="preserve"> and organic pollutants. Generally, 139 pollutants are regulated in Ukraine.  </w:t>
      </w:r>
    </w:p>
    <w:p w14:paraId="61682FE9" w14:textId="77777777" w:rsidR="000B7923" w:rsidRPr="002B1DFC" w:rsidRDefault="000B7923" w:rsidP="009858CC">
      <w:pPr>
        <w:rPr>
          <w:rFonts w:cs="Times New Roman"/>
        </w:rPr>
      </w:pPr>
    </w:p>
    <w:p w14:paraId="7502D5D5" w14:textId="77777777" w:rsidR="000B7923" w:rsidRPr="002B1DFC" w:rsidRDefault="00E479B5" w:rsidP="00F55709">
      <w:pPr>
        <w:pStyle w:val="ListParagraph"/>
        <w:numPr>
          <w:ilvl w:val="0"/>
          <w:numId w:val="68"/>
        </w:numPr>
        <w:tabs>
          <w:tab w:val="left" w:pos="360"/>
        </w:tabs>
        <w:ind w:left="0" w:firstLine="0"/>
        <w:rPr>
          <w:rFonts w:cs="Times New Roman"/>
        </w:rPr>
      </w:pPr>
      <w:r>
        <w:rPr>
          <w:rFonts w:cs="Times New Roman"/>
        </w:rPr>
        <w:t>T</w:t>
      </w:r>
      <w:r w:rsidR="000B7923" w:rsidRPr="002B1DFC">
        <w:rPr>
          <w:rFonts w:cs="Times New Roman"/>
        </w:rPr>
        <w:t>he Water Code</w:t>
      </w:r>
      <w:r>
        <w:rPr>
          <w:rFonts w:cs="Times New Roman"/>
        </w:rPr>
        <w:t xml:space="preserve"> and three CMU decrees regulate Standards for Pollutants’ Discharge Limits in Water Bodies. These decrees are</w:t>
      </w:r>
      <w:r w:rsidR="000B7923" w:rsidRPr="002B1DFC">
        <w:rPr>
          <w:rFonts w:cs="Times New Roman"/>
        </w:rPr>
        <w:t xml:space="preserve"> “About the Procedure of Development and Approval of Standards for Pollutants’ Discharge Limits and a List of the Pollutants, which Discharges are Regulated” (1996), “About Approval of the Rules of the Protection of Surface Waters from Pollution by the Return Waters” (1999)</w:t>
      </w:r>
      <w:r>
        <w:rPr>
          <w:rFonts w:cs="Times New Roman"/>
        </w:rPr>
        <w:t>,</w:t>
      </w:r>
      <w:r w:rsidR="000B7923" w:rsidRPr="002B1DFC">
        <w:rPr>
          <w:rFonts w:cs="Times New Roman"/>
        </w:rPr>
        <w:t xml:space="preserve"> and “Guidance about the Procedure of Development and Approval of Standards for Pollutants’ Discharge Limits in Water Bodies with Return Waters</w:t>
      </w:r>
      <w:r>
        <w:rPr>
          <w:rFonts w:cs="Times New Roman"/>
        </w:rPr>
        <w:t>,</w:t>
      </w:r>
      <w:r w:rsidR="000B7923" w:rsidRPr="002B1DFC">
        <w:rPr>
          <w:rFonts w:cs="Times New Roman"/>
        </w:rPr>
        <w:t xml:space="preserve">” adopted by the MENR in 1994. </w:t>
      </w:r>
    </w:p>
    <w:p w14:paraId="08D24491" w14:textId="77777777" w:rsidR="000B7923" w:rsidRPr="002B1DFC" w:rsidRDefault="000B7923" w:rsidP="009858CC">
      <w:pPr>
        <w:rPr>
          <w:rFonts w:cs="Times New Roman"/>
        </w:rPr>
      </w:pPr>
    </w:p>
    <w:p w14:paraId="059D2FA4" w14:textId="77777777" w:rsidR="000B7923" w:rsidRDefault="000B7923" w:rsidP="00F55709">
      <w:pPr>
        <w:pStyle w:val="ListParagraph"/>
        <w:numPr>
          <w:ilvl w:val="0"/>
          <w:numId w:val="68"/>
        </w:numPr>
        <w:tabs>
          <w:tab w:val="left" w:pos="360"/>
        </w:tabs>
        <w:ind w:left="0" w:firstLine="0"/>
        <w:rPr>
          <w:rFonts w:cs="Times New Roman"/>
        </w:rPr>
      </w:pPr>
      <w:r w:rsidRPr="002B1DFC">
        <w:rPr>
          <w:rFonts w:cs="Times New Roman"/>
        </w:rPr>
        <w:t>In all cases, it is mandatory to regulate 10 pollutants in return waters’ discharge. In addition, a regulation includes biological oxygen’ demand, chemical oxygen’ demand as well as indicators of bacteriological pollution, toxicity and radioactivity’ levels. There are also 132 pollutants, which discharge should be stopped, and they are regulated only in case of their detection in return waters. Additional 155 pollutants, which discharge should be reduced, are regulated in case of presence these substances in return waters.</w:t>
      </w:r>
    </w:p>
    <w:p w14:paraId="7A396C8F" w14:textId="77777777" w:rsidR="00DC2622" w:rsidRPr="002B1DFC" w:rsidRDefault="00DC2622" w:rsidP="009858CC">
      <w:pPr>
        <w:rPr>
          <w:rFonts w:cs="Times New Roman"/>
        </w:rPr>
      </w:pPr>
    </w:p>
    <w:p w14:paraId="08069CD1" w14:textId="77777777" w:rsidR="000B7923" w:rsidRPr="002B1DFC" w:rsidRDefault="000B7923" w:rsidP="00DC2622">
      <w:pPr>
        <w:pStyle w:val="Heading2"/>
      </w:pPr>
      <w:bookmarkStart w:id="97" w:name="_Toc440273972"/>
      <w:r w:rsidRPr="002B1DFC">
        <w:t>Environmental Monitoring and Compliance Enforcement</w:t>
      </w:r>
      <w:bookmarkEnd w:id="97"/>
    </w:p>
    <w:p w14:paraId="00BAC2F0" w14:textId="77777777" w:rsidR="000B7923" w:rsidRPr="002B1DFC" w:rsidRDefault="000B7923" w:rsidP="00E83690">
      <w:pPr>
        <w:rPr>
          <w:rFonts w:cs="Times New Roman"/>
        </w:rPr>
      </w:pPr>
    </w:p>
    <w:p w14:paraId="17D52FD5"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Ukraine’s Environmental Protection law foresees the establishment of state environmental monitoring system, conducting observations on environmental conditions and level of pollution. The foundations for the operation of an environmental monitoring system are established in the </w:t>
      </w:r>
      <w:r w:rsidR="006020B3">
        <w:rPr>
          <w:rFonts w:cs="Times New Roman"/>
        </w:rPr>
        <w:t>CMU Decree</w:t>
      </w:r>
      <w:r w:rsidRPr="002B1DFC">
        <w:rPr>
          <w:rFonts w:cs="Times New Roman"/>
        </w:rPr>
        <w:t xml:space="preserve"> on “State Environmental Monitoring System”, which was adopted in 1998 and last updated in 2013. </w:t>
      </w:r>
      <w:r w:rsidR="0001457B">
        <w:rPr>
          <w:rFonts w:cs="Times New Roman"/>
        </w:rPr>
        <w:t>Following are t</w:t>
      </w:r>
      <w:r w:rsidRPr="002B1DFC">
        <w:rPr>
          <w:rFonts w:cs="Times New Roman"/>
        </w:rPr>
        <w:t>he key legislative acts</w:t>
      </w:r>
      <w:r w:rsidR="0001457B">
        <w:rPr>
          <w:rFonts w:cs="Times New Roman"/>
        </w:rPr>
        <w:t xml:space="preserve"> that</w:t>
      </w:r>
      <w:r w:rsidRPr="002B1DFC">
        <w:rPr>
          <w:rFonts w:cs="Times New Roman"/>
        </w:rPr>
        <w:t xml:space="preserve"> regulate environmental monitoring: </w:t>
      </w:r>
    </w:p>
    <w:p w14:paraId="6898AC29" w14:textId="77777777" w:rsidR="000B7923" w:rsidRPr="002B1DFC" w:rsidRDefault="000B7923" w:rsidP="00B83095">
      <w:pPr>
        <w:pStyle w:val="ListParagraph"/>
        <w:numPr>
          <w:ilvl w:val="0"/>
          <w:numId w:val="19"/>
        </w:numPr>
        <w:rPr>
          <w:rFonts w:cs="Times New Roman"/>
        </w:rPr>
      </w:pPr>
      <w:r w:rsidRPr="002B1DFC">
        <w:rPr>
          <w:rFonts w:cs="Times New Roman"/>
        </w:rPr>
        <w:t>CMU’s decree “Approval of Provision of Land Monitoring” (1993);</w:t>
      </w:r>
    </w:p>
    <w:p w14:paraId="44118590" w14:textId="77777777" w:rsidR="000B7923" w:rsidRPr="002B1DFC" w:rsidRDefault="000B7923" w:rsidP="00B83095">
      <w:pPr>
        <w:pStyle w:val="ListParagraph"/>
        <w:numPr>
          <w:ilvl w:val="0"/>
          <w:numId w:val="19"/>
        </w:numPr>
        <w:rPr>
          <w:rFonts w:cs="Times New Roman"/>
        </w:rPr>
      </w:pPr>
      <w:r w:rsidRPr="002B1DFC">
        <w:rPr>
          <w:rFonts w:cs="Times New Roman"/>
        </w:rPr>
        <w:t>CMU’s decree “Approval of Provision of Conducting State Water Monitoring” (1996);</w:t>
      </w:r>
    </w:p>
    <w:p w14:paraId="6F3DAD3E" w14:textId="77777777" w:rsidR="000B7923" w:rsidRPr="002B1DFC" w:rsidRDefault="000B7923" w:rsidP="00B83095">
      <w:pPr>
        <w:pStyle w:val="ListParagraph"/>
        <w:numPr>
          <w:ilvl w:val="0"/>
          <w:numId w:val="19"/>
        </w:numPr>
        <w:rPr>
          <w:rFonts w:cs="Times New Roman"/>
        </w:rPr>
      </w:pPr>
      <w:r w:rsidRPr="002B1DFC">
        <w:rPr>
          <w:rFonts w:cs="Times New Roman"/>
        </w:rPr>
        <w:t>CMU’s decree “Approval of Provision of Organizing and Conducting Monitoring for Protection of Atmospheric Air” (1999);</w:t>
      </w:r>
      <w:r w:rsidR="0001457B">
        <w:rPr>
          <w:rFonts w:cs="Times New Roman"/>
        </w:rPr>
        <w:t xml:space="preserve"> and</w:t>
      </w:r>
    </w:p>
    <w:p w14:paraId="2C2C0BC0" w14:textId="77777777" w:rsidR="000B7923" w:rsidRPr="002B1DFC" w:rsidRDefault="000B7923" w:rsidP="00B83095">
      <w:pPr>
        <w:pStyle w:val="ListParagraph"/>
        <w:numPr>
          <w:ilvl w:val="0"/>
          <w:numId w:val="19"/>
        </w:numPr>
        <w:rPr>
          <w:rFonts w:cs="Times New Roman"/>
        </w:rPr>
      </w:pPr>
      <w:r w:rsidRPr="002B1DFC">
        <w:rPr>
          <w:rFonts w:cs="Times New Roman"/>
        </w:rPr>
        <w:lastRenderedPageBreak/>
        <w:t xml:space="preserve">CMU’s decree “Approval of Provision of Soil Monitoring of Agricultural Soils” (2004). </w:t>
      </w:r>
    </w:p>
    <w:p w14:paraId="30CB91B4" w14:textId="77777777" w:rsidR="000B7923" w:rsidRPr="002B1DFC" w:rsidRDefault="000B7923" w:rsidP="00E83690">
      <w:pPr>
        <w:rPr>
          <w:rFonts w:cs="Times New Roman"/>
        </w:rPr>
      </w:pPr>
    </w:p>
    <w:p w14:paraId="0CA16EC6" w14:textId="77777777" w:rsidR="000B7923" w:rsidRPr="002B1DFC" w:rsidRDefault="007171A1" w:rsidP="00F55709">
      <w:pPr>
        <w:pStyle w:val="ListParagraph"/>
        <w:numPr>
          <w:ilvl w:val="0"/>
          <w:numId w:val="68"/>
        </w:numPr>
        <w:tabs>
          <w:tab w:val="left" w:pos="360"/>
        </w:tabs>
        <w:ind w:left="0" w:firstLine="0"/>
        <w:rPr>
          <w:rFonts w:cs="Times New Roman"/>
        </w:rPr>
      </w:pPr>
      <w:r>
        <w:rPr>
          <w:rFonts w:cs="Times New Roman"/>
        </w:rPr>
        <w:t>Ten state entities provide the</w:t>
      </w:r>
      <w:r w:rsidR="000B7923" w:rsidRPr="002B1DFC">
        <w:rPr>
          <w:rFonts w:cs="Times New Roman"/>
        </w:rPr>
        <w:t xml:space="preserve"> function</w:t>
      </w:r>
      <w:r>
        <w:rPr>
          <w:rFonts w:cs="Times New Roman"/>
        </w:rPr>
        <w:t>s</w:t>
      </w:r>
      <w:r w:rsidR="000B7923" w:rsidRPr="002B1DFC">
        <w:rPr>
          <w:rFonts w:cs="Times New Roman"/>
        </w:rPr>
        <w:t xml:space="preserve"> of the State Environmental Monitoring System in Ukraine: </w:t>
      </w:r>
    </w:p>
    <w:p w14:paraId="2823673D" w14:textId="77777777" w:rsidR="000B7923" w:rsidRPr="002B1DFC" w:rsidRDefault="000B7923" w:rsidP="00EE2797">
      <w:pPr>
        <w:rPr>
          <w:rFonts w:cs="Times New Roman"/>
        </w:rPr>
      </w:pPr>
    </w:p>
    <w:p w14:paraId="713C69AC" w14:textId="77777777" w:rsidR="000B7923" w:rsidRPr="002B1DFC" w:rsidRDefault="000B7923" w:rsidP="00B83095">
      <w:pPr>
        <w:pStyle w:val="ListParagraph"/>
        <w:numPr>
          <w:ilvl w:val="0"/>
          <w:numId w:val="20"/>
        </w:numPr>
        <w:rPr>
          <w:rFonts w:cs="Times New Roman"/>
        </w:rPr>
      </w:pPr>
      <w:r w:rsidRPr="002B1DFC">
        <w:rPr>
          <w:rFonts w:cs="Times New Roman"/>
        </w:rPr>
        <w:t>Ministry of Ecology and Natural Resources</w:t>
      </w:r>
    </w:p>
    <w:p w14:paraId="35AED582" w14:textId="77777777" w:rsidR="000B7923" w:rsidRPr="002B1DFC" w:rsidRDefault="000B7923" w:rsidP="00B83095">
      <w:pPr>
        <w:pStyle w:val="ListParagraph"/>
        <w:numPr>
          <w:ilvl w:val="0"/>
          <w:numId w:val="20"/>
        </w:numPr>
        <w:rPr>
          <w:rFonts w:cs="Times New Roman"/>
        </w:rPr>
      </w:pPr>
      <w:r w:rsidRPr="002B1DFC">
        <w:rPr>
          <w:rFonts w:cs="Times New Roman"/>
        </w:rPr>
        <w:t>State Agency of Water Resources</w:t>
      </w:r>
    </w:p>
    <w:p w14:paraId="0F41B6F8" w14:textId="77777777" w:rsidR="000B7923" w:rsidRPr="002B1DFC" w:rsidRDefault="000B7923" w:rsidP="00B83095">
      <w:pPr>
        <w:pStyle w:val="ListParagraph"/>
        <w:numPr>
          <w:ilvl w:val="0"/>
          <w:numId w:val="20"/>
        </w:numPr>
        <w:rPr>
          <w:rFonts w:cs="Times New Roman"/>
        </w:rPr>
      </w:pPr>
      <w:r w:rsidRPr="002B1DFC">
        <w:rPr>
          <w:rFonts w:cs="Times New Roman"/>
        </w:rPr>
        <w:t xml:space="preserve">State Service of Geology and Mineral Resources </w:t>
      </w:r>
    </w:p>
    <w:p w14:paraId="6714FA4B" w14:textId="77777777" w:rsidR="000B7923" w:rsidRPr="002B1DFC" w:rsidRDefault="000B7923" w:rsidP="00B83095">
      <w:pPr>
        <w:pStyle w:val="ListParagraph"/>
        <w:numPr>
          <w:ilvl w:val="0"/>
          <w:numId w:val="20"/>
        </w:numPr>
        <w:rPr>
          <w:rFonts w:cs="Times New Roman"/>
        </w:rPr>
      </w:pPr>
      <w:r w:rsidRPr="002B1DFC">
        <w:rPr>
          <w:rFonts w:cs="Times New Roman"/>
        </w:rPr>
        <w:t xml:space="preserve">State Agency of Ukraine on Exclusion Zone Management </w:t>
      </w:r>
    </w:p>
    <w:p w14:paraId="2AD303E9" w14:textId="77777777" w:rsidR="000B7923" w:rsidRPr="002B1DFC" w:rsidRDefault="000B7923" w:rsidP="00B83095">
      <w:pPr>
        <w:pStyle w:val="ListParagraph"/>
        <w:numPr>
          <w:ilvl w:val="0"/>
          <w:numId w:val="20"/>
        </w:numPr>
        <w:rPr>
          <w:rFonts w:cs="Times New Roman"/>
        </w:rPr>
      </w:pPr>
      <w:r w:rsidRPr="002B1DFC">
        <w:rPr>
          <w:rFonts w:cs="Times New Roman"/>
        </w:rPr>
        <w:t xml:space="preserve">State </w:t>
      </w:r>
      <w:r w:rsidR="008662D1" w:rsidRPr="002B1DFC">
        <w:rPr>
          <w:rFonts w:cs="Times New Roman"/>
        </w:rPr>
        <w:t xml:space="preserve">Emergency </w:t>
      </w:r>
      <w:r w:rsidRPr="002B1DFC">
        <w:rPr>
          <w:rFonts w:cs="Times New Roman"/>
        </w:rPr>
        <w:t xml:space="preserve">Service </w:t>
      </w:r>
    </w:p>
    <w:p w14:paraId="7C49D45D" w14:textId="77777777" w:rsidR="000B7923" w:rsidRPr="002B1DFC" w:rsidRDefault="000B7923" w:rsidP="00B83095">
      <w:pPr>
        <w:pStyle w:val="ListParagraph"/>
        <w:numPr>
          <w:ilvl w:val="0"/>
          <w:numId w:val="20"/>
        </w:numPr>
        <w:rPr>
          <w:rFonts w:cs="Times New Roman"/>
        </w:rPr>
      </w:pPr>
      <w:r w:rsidRPr="002B1DFC">
        <w:rPr>
          <w:rFonts w:cs="Times New Roman"/>
        </w:rPr>
        <w:t xml:space="preserve">Sanitary-and-Epidemiologic Service of the Ministry of Health Protection </w:t>
      </w:r>
    </w:p>
    <w:p w14:paraId="3764E201" w14:textId="77777777" w:rsidR="000B7923" w:rsidRPr="002B1DFC" w:rsidRDefault="000B7923" w:rsidP="00B83095">
      <w:pPr>
        <w:pStyle w:val="ListParagraph"/>
        <w:numPr>
          <w:ilvl w:val="0"/>
          <w:numId w:val="20"/>
        </w:numPr>
        <w:rPr>
          <w:rFonts w:cs="Times New Roman"/>
        </w:rPr>
      </w:pPr>
      <w:r w:rsidRPr="002B1DFC">
        <w:rPr>
          <w:rFonts w:cs="Times New Roman"/>
        </w:rPr>
        <w:t xml:space="preserve">Ministry of Agrarian Policy and Food </w:t>
      </w:r>
    </w:p>
    <w:p w14:paraId="343F21B2" w14:textId="77777777" w:rsidR="000B7923" w:rsidRPr="002B1DFC" w:rsidRDefault="000B7923" w:rsidP="00B83095">
      <w:pPr>
        <w:pStyle w:val="ListParagraph"/>
        <w:numPr>
          <w:ilvl w:val="0"/>
          <w:numId w:val="20"/>
        </w:numPr>
        <w:rPr>
          <w:rFonts w:cs="Times New Roman"/>
        </w:rPr>
      </w:pPr>
      <w:r w:rsidRPr="002B1DFC">
        <w:rPr>
          <w:rFonts w:cs="Times New Roman"/>
        </w:rPr>
        <w:t xml:space="preserve">State Agency of Forest Resources </w:t>
      </w:r>
    </w:p>
    <w:p w14:paraId="74FC81A1" w14:textId="77777777" w:rsidR="000B7923" w:rsidRPr="002B1DFC" w:rsidRDefault="000B7923" w:rsidP="00B83095">
      <w:pPr>
        <w:pStyle w:val="ListParagraph"/>
        <w:numPr>
          <w:ilvl w:val="0"/>
          <w:numId w:val="20"/>
        </w:numPr>
        <w:rPr>
          <w:rFonts w:cs="Times New Roman"/>
        </w:rPr>
      </w:pPr>
      <w:r w:rsidRPr="002B1DFC">
        <w:rPr>
          <w:rFonts w:cs="Times New Roman"/>
        </w:rPr>
        <w:t>Ministry of Regional Development, Construction,  Housing and Communal Services</w:t>
      </w:r>
    </w:p>
    <w:p w14:paraId="1605E0C5" w14:textId="77777777" w:rsidR="000B7923" w:rsidRPr="002B1DFC" w:rsidRDefault="000B7923" w:rsidP="00B83095">
      <w:pPr>
        <w:pStyle w:val="ListParagraph"/>
        <w:numPr>
          <w:ilvl w:val="0"/>
          <w:numId w:val="20"/>
        </w:numPr>
        <w:rPr>
          <w:rFonts w:cs="Times New Roman"/>
        </w:rPr>
      </w:pPr>
      <w:r w:rsidRPr="002B1DFC">
        <w:rPr>
          <w:rFonts w:cs="Times New Roman"/>
        </w:rPr>
        <w:t xml:space="preserve">State Service of Ukraine for Geodesy, Cartography and Cadaster </w:t>
      </w:r>
    </w:p>
    <w:p w14:paraId="7A8CB2F7" w14:textId="77777777" w:rsidR="000B7923" w:rsidRPr="002B1DFC" w:rsidRDefault="000B7923" w:rsidP="00E83690">
      <w:pPr>
        <w:rPr>
          <w:rFonts w:cs="Times New Roman"/>
        </w:rPr>
      </w:pPr>
    </w:p>
    <w:p w14:paraId="02BA9FED"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2B1DFC">
        <w:rPr>
          <w:rFonts w:cs="Times New Roman"/>
        </w:rPr>
        <w:t xml:space="preserve">In 2007, </w:t>
      </w:r>
      <w:r w:rsidRPr="00882558">
        <w:rPr>
          <w:rFonts w:cs="Times New Roman"/>
          <w:color w:val="000000" w:themeColor="text1"/>
        </w:rPr>
        <w:t>the Cabinet of Ministers of Ukraine (CMU) approved the State-Targeted Ecologic Program of Conduction of Environmental Monitoring. The Program covered the period 2008</w:t>
      </w:r>
      <w:r w:rsidR="006C180A" w:rsidRPr="00882558">
        <w:rPr>
          <w:rFonts w:cs="Times New Roman"/>
          <w:color w:val="000000" w:themeColor="text1"/>
        </w:rPr>
        <w:t>–</w:t>
      </w:r>
      <w:r w:rsidRPr="00882558">
        <w:rPr>
          <w:rFonts w:cs="Times New Roman"/>
          <w:color w:val="000000" w:themeColor="text1"/>
        </w:rPr>
        <w:t xml:space="preserve">2012 and has not been updated for subsequent time periods. </w:t>
      </w:r>
    </w:p>
    <w:p w14:paraId="4C95F3AE" w14:textId="77777777" w:rsidR="000B7923" w:rsidRPr="00882558" w:rsidRDefault="000B7923" w:rsidP="00E83690">
      <w:pPr>
        <w:rPr>
          <w:rFonts w:cs="Times New Roman"/>
          <w:i/>
          <w:color w:val="000000" w:themeColor="text1"/>
        </w:rPr>
      </w:pPr>
    </w:p>
    <w:p w14:paraId="2FB236FA" w14:textId="77777777" w:rsidR="000B7923" w:rsidRPr="00882558" w:rsidRDefault="000B7923" w:rsidP="00E83690">
      <w:pPr>
        <w:rPr>
          <w:rFonts w:cs="Times New Roman"/>
          <w:i/>
          <w:color w:val="000000" w:themeColor="text1"/>
        </w:rPr>
      </w:pPr>
      <w:r w:rsidRPr="00882558">
        <w:rPr>
          <w:rFonts w:cs="Times New Roman"/>
          <w:i/>
          <w:color w:val="000000" w:themeColor="text1"/>
        </w:rPr>
        <w:t>Air quality monitoring</w:t>
      </w:r>
    </w:p>
    <w:p w14:paraId="62F3DA5A" w14:textId="77777777" w:rsidR="000B7923" w:rsidRPr="00882558" w:rsidRDefault="000B7923" w:rsidP="00E83690">
      <w:pPr>
        <w:rPr>
          <w:rFonts w:cs="Times New Roman"/>
          <w:color w:val="000000" w:themeColor="text1"/>
        </w:rPr>
      </w:pPr>
    </w:p>
    <w:p w14:paraId="400C9E1D"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 xml:space="preserve">Air quality monitoring is carried out in accordance with CMU’s decree on </w:t>
      </w:r>
      <w:r w:rsidR="00E479B5" w:rsidRPr="00882558">
        <w:rPr>
          <w:rFonts w:cs="Times New Roman"/>
          <w:color w:val="000000" w:themeColor="text1"/>
        </w:rPr>
        <w:t>“</w:t>
      </w:r>
      <w:r w:rsidRPr="00882558">
        <w:rPr>
          <w:rFonts w:cs="Times New Roman"/>
          <w:iCs/>
          <w:color w:val="000000" w:themeColor="text1"/>
        </w:rPr>
        <w:t>Organizing and Conducting Monitoring in the Sphere of Atmospheric Air Protection</w:t>
      </w:r>
      <w:r w:rsidR="00E479B5" w:rsidRPr="00882558">
        <w:rPr>
          <w:rFonts w:cs="Times New Roman"/>
          <w:iCs/>
          <w:color w:val="000000" w:themeColor="text1"/>
        </w:rPr>
        <w:t>”</w:t>
      </w:r>
      <w:r w:rsidRPr="00882558">
        <w:rPr>
          <w:rFonts w:cs="Times New Roman"/>
          <w:color w:val="000000" w:themeColor="text1"/>
        </w:rPr>
        <w:t xml:space="preserve"> (1999) by the </w:t>
      </w:r>
      <w:r w:rsidRPr="00882558">
        <w:rPr>
          <w:rFonts w:cs="Times New Roman"/>
          <w:b/>
          <w:bCs/>
          <w:color w:val="000000" w:themeColor="text1"/>
        </w:rPr>
        <w:t>State Service of Emergency Situations</w:t>
      </w:r>
      <w:r w:rsidRPr="00882558">
        <w:rPr>
          <w:rFonts w:cs="Times New Roman"/>
          <w:color w:val="000000" w:themeColor="text1"/>
        </w:rPr>
        <w:t xml:space="preserve"> of the Ministry of Defense, the </w:t>
      </w:r>
      <w:r w:rsidRPr="00882558">
        <w:rPr>
          <w:rFonts w:cs="Times New Roman"/>
          <w:b/>
          <w:bCs/>
          <w:color w:val="000000" w:themeColor="text1"/>
        </w:rPr>
        <w:t>Sanitary-and-Epidemiologic Service</w:t>
      </w:r>
      <w:r w:rsidRPr="00882558">
        <w:rPr>
          <w:rFonts w:cs="Times New Roman"/>
          <w:color w:val="000000" w:themeColor="text1"/>
        </w:rPr>
        <w:t xml:space="preserve">, </w:t>
      </w:r>
      <w:r w:rsidR="00E479B5" w:rsidRPr="00882558">
        <w:rPr>
          <w:rFonts w:cs="Times New Roman"/>
          <w:color w:val="000000" w:themeColor="text1"/>
        </w:rPr>
        <w:t xml:space="preserve">and </w:t>
      </w:r>
      <w:r w:rsidRPr="00882558">
        <w:rPr>
          <w:rFonts w:cs="Times New Roman"/>
          <w:b/>
          <w:bCs/>
          <w:color w:val="000000" w:themeColor="text1"/>
        </w:rPr>
        <w:t>MENR</w:t>
      </w:r>
      <w:r w:rsidR="00E479B5" w:rsidRPr="00882558">
        <w:rPr>
          <w:rFonts w:cs="Times New Roman"/>
          <w:b/>
          <w:bCs/>
          <w:color w:val="000000" w:themeColor="text1"/>
        </w:rPr>
        <w:t>,</w:t>
      </w:r>
      <w:r w:rsidRPr="00882558">
        <w:rPr>
          <w:rFonts w:cs="Times New Roman"/>
          <w:color w:val="000000" w:themeColor="text1"/>
        </w:rPr>
        <w:t xml:space="preserve"> as well as by enterprises and organizations</w:t>
      </w:r>
      <w:r w:rsidR="00E479B5" w:rsidRPr="00882558">
        <w:rPr>
          <w:rFonts w:cs="Times New Roman"/>
          <w:color w:val="000000" w:themeColor="text1"/>
        </w:rPr>
        <w:t xml:space="preserve"> whose</w:t>
      </w:r>
      <w:r w:rsidRPr="00882558">
        <w:rPr>
          <w:rFonts w:cs="Times New Roman"/>
          <w:color w:val="000000" w:themeColor="text1"/>
        </w:rPr>
        <w:t xml:space="preserve"> activity could lead to negative impacts on air quality. </w:t>
      </w:r>
    </w:p>
    <w:p w14:paraId="3F1A9C32" w14:textId="77777777" w:rsidR="000B7923" w:rsidRPr="00882558" w:rsidRDefault="000B7923" w:rsidP="00E83690">
      <w:pPr>
        <w:rPr>
          <w:rFonts w:cs="Times New Roman"/>
          <w:color w:val="000000" w:themeColor="text1"/>
        </w:rPr>
      </w:pPr>
    </w:p>
    <w:p w14:paraId="7AE705F3"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 xml:space="preserve">By CMU’s decree on “Approval of Provision about State Environmental Monitoring System” (1998), the </w:t>
      </w:r>
      <w:r w:rsidRPr="00882558">
        <w:rPr>
          <w:rFonts w:cs="Times New Roman"/>
          <w:b/>
          <w:bCs/>
          <w:color w:val="000000" w:themeColor="text1"/>
        </w:rPr>
        <w:t>State Service of Emergency</w:t>
      </w:r>
      <w:r w:rsidRPr="00882558">
        <w:rPr>
          <w:rFonts w:cs="Times New Roman"/>
          <w:color w:val="000000" w:themeColor="text1"/>
        </w:rPr>
        <w:t xml:space="preserve"> </w:t>
      </w:r>
      <w:r w:rsidRPr="00882558">
        <w:rPr>
          <w:rFonts w:cs="Times New Roman"/>
          <w:b/>
          <w:bCs/>
          <w:color w:val="000000" w:themeColor="text1"/>
        </w:rPr>
        <w:t>Situations</w:t>
      </w:r>
      <w:r w:rsidRPr="00882558">
        <w:rPr>
          <w:rFonts w:cs="Times New Roman"/>
          <w:color w:val="000000" w:themeColor="text1"/>
        </w:rPr>
        <w:t xml:space="preserve"> of the Ministry of Defense of Ukraine </w:t>
      </w:r>
      <w:r w:rsidR="00E479B5" w:rsidRPr="00882558">
        <w:rPr>
          <w:rFonts w:cs="Times New Roman"/>
          <w:color w:val="000000" w:themeColor="text1"/>
        </w:rPr>
        <w:t>monitors</w:t>
      </w:r>
      <w:r w:rsidRPr="00882558">
        <w:rPr>
          <w:rFonts w:cs="Times New Roman"/>
          <w:color w:val="000000" w:themeColor="text1"/>
        </w:rPr>
        <w:t xml:space="preserve"> air pollution and </w:t>
      </w:r>
      <w:r w:rsidR="00E479B5" w:rsidRPr="00882558">
        <w:rPr>
          <w:rFonts w:cs="Times New Roman"/>
          <w:color w:val="000000" w:themeColor="text1"/>
        </w:rPr>
        <w:t xml:space="preserve">the </w:t>
      </w:r>
      <w:r w:rsidRPr="00882558">
        <w:rPr>
          <w:rFonts w:cs="Times New Roman"/>
          <w:color w:val="000000" w:themeColor="text1"/>
        </w:rPr>
        <w:t>chemical composition of atmospheric precipitation (including snow cover). Air quality monitoring is conducted in 53 cities of Ukraine at 162 stationary stations, 2 route posts and 2 stations of transboundary transport</w:t>
      </w:r>
      <w:r w:rsidR="00E479B5" w:rsidRPr="00882558">
        <w:rPr>
          <w:rFonts w:cs="Times New Roman"/>
          <w:color w:val="000000" w:themeColor="text1"/>
        </w:rPr>
        <w:t>.</w:t>
      </w:r>
      <w:r w:rsidRPr="00882558">
        <w:rPr>
          <w:rStyle w:val="FootnoteReference"/>
          <w:color w:val="000000" w:themeColor="text1"/>
        </w:rPr>
        <w:footnoteReference w:id="4"/>
      </w:r>
      <w:r w:rsidRPr="00882558">
        <w:rPr>
          <w:rFonts w:cs="Times New Roman"/>
          <w:color w:val="000000" w:themeColor="text1"/>
        </w:rPr>
        <w:t xml:space="preserve"> Mandatory monitoring of air quality at the national level covers seven pollutants: dust, nitrogen dioxide (NO</w:t>
      </w:r>
      <w:r w:rsidRPr="00882558">
        <w:rPr>
          <w:rFonts w:cs="Times New Roman"/>
          <w:color w:val="000000" w:themeColor="text1"/>
          <w:vertAlign w:val="subscript"/>
        </w:rPr>
        <w:t>2</w:t>
      </w:r>
      <w:r w:rsidRPr="00882558">
        <w:rPr>
          <w:rFonts w:cs="Times New Roman"/>
          <w:color w:val="000000" w:themeColor="text1"/>
        </w:rPr>
        <w:t>), sulfur dioxide (SO</w:t>
      </w:r>
      <w:r w:rsidRPr="00882558">
        <w:rPr>
          <w:rFonts w:cs="Times New Roman"/>
          <w:color w:val="000000" w:themeColor="text1"/>
          <w:vertAlign w:val="subscript"/>
        </w:rPr>
        <w:t>2</w:t>
      </w:r>
      <w:r w:rsidRPr="00882558">
        <w:rPr>
          <w:rFonts w:cs="Times New Roman"/>
          <w:color w:val="000000" w:themeColor="text1"/>
        </w:rPr>
        <w:t>), carbon oxide (CO), formaldehyde (H</w:t>
      </w:r>
      <w:r w:rsidRPr="00882558">
        <w:rPr>
          <w:rFonts w:cs="Times New Roman"/>
          <w:color w:val="000000" w:themeColor="text1"/>
          <w:vertAlign w:val="subscript"/>
        </w:rPr>
        <w:t>2</w:t>
      </w:r>
      <w:r w:rsidRPr="00882558">
        <w:rPr>
          <w:rFonts w:cs="Times New Roman"/>
          <w:color w:val="000000" w:themeColor="text1"/>
        </w:rPr>
        <w:t>CO), lead</w:t>
      </w:r>
      <w:r w:rsidR="00E479B5" w:rsidRPr="00882558">
        <w:rPr>
          <w:rFonts w:cs="Times New Roman"/>
          <w:color w:val="000000" w:themeColor="text1"/>
        </w:rPr>
        <w:t>,</w:t>
      </w:r>
      <w:r w:rsidRPr="00882558">
        <w:rPr>
          <w:rFonts w:cs="Times New Roman"/>
          <w:color w:val="000000" w:themeColor="text1"/>
        </w:rPr>
        <w:t xml:space="preserve"> and </w:t>
      </w:r>
      <w:proofErr w:type="spellStart"/>
      <w:r w:rsidRPr="00882558">
        <w:rPr>
          <w:rFonts w:cs="Times New Roman"/>
          <w:color w:val="000000" w:themeColor="text1"/>
        </w:rPr>
        <w:t>benz</w:t>
      </w:r>
      <w:r w:rsidR="002562D6" w:rsidRPr="00882558">
        <w:rPr>
          <w:rFonts w:cs="Times New Roman"/>
          <w:color w:val="000000" w:themeColor="text1"/>
        </w:rPr>
        <w:t>o</w:t>
      </w:r>
      <w:r w:rsidRPr="00882558">
        <w:rPr>
          <w:rFonts w:cs="Times New Roman"/>
          <w:color w:val="000000" w:themeColor="text1"/>
        </w:rPr>
        <w:t>pyrene</w:t>
      </w:r>
      <w:proofErr w:type="spellEnd"/>
      <w:r w:rsidRPr="00882558">
        <w:rPr>
          <w:rFonts w:cs="Times New Roman"/>
          <w:color w:val="000000" w:themeColor="text1"/>
        </w:rPr>
        <w:t xml:space="preserve">. Some stations monitor additional pollutants. According to the </w:t>
      </w:r>
      <w:r w:rsidRPr="00882558">
        <w:rPr>
          <w:rFonts w:cs="Times New Roman"/>
          <w:i/>
          <w:iCs/>
          <w:color w:val="000000" w:themeColor="text1"/>
        </w:rPr>
        <w:t>Provision of Organizing and Conducting a Monitoring in the Sphere of Atmospheric Air Protection</w:t>
      </w:r>
      <w:r w:rsidRPr="00882558">
        <w:rPr>
          <w:rFonts w:cs="Times New Roman"/>
          <w:color w:val="000000" w:themeColor="text1"/>
        </w:rPr>
        <w:t xml:space="preserve">, a monitoring of other 29 pollutants is carried out only at the oblast level according to the regional programs. </w:t>
      </w:r>
    </w:p>
    <w:p w14:paraId="0BDC28AD" w14:textId="77777777" w:rsidR="000B7923" w:rsidRPr="00882558" w:rsidRDefault="000B7923" w:rsidP="00E83690">
      <w:pPr>
        <w:rPr>
          <w:rFonts w:cs="Times New Roman"/>
          <w:color w:val="000000" w:themeColor="text1"/>
        </w:rPr>
      </w:pPr>
    </w:p>
    <w:p w14:paraId="18112FD2"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 xml:space="preserve">The </w:t>
      </w:r>
      <w:r w:rsidRPr="00882558">
        <w:rPr>
          <w:rFonts w:cs="Times New Roman"/>
          <w:b/>
          <w:bCs/>
          <w:color w:val="000000" w:themeColor="text1"/>
        </w:rPr>
        <w:t>SEI</w:t>
      </w:r>
      <w:r w:rsidRPr="00882558">
        <w:rPr>
          <w:rFonts w:cs="Times New Roman"/>
          <w:color w:val="000000" w:themeColor="text1"/>
        </w:rPr>
        <w:t xml:space="preserve"> conducts selective sampling analysis of emission sources</w:t>
      </w:r>
      <w:r w:rsidR="00E479B5" w:rsidRPr="00882558">
        <w:rPr>
          <w:rFonts w:cs="Times New Roman"/>
          <w:color w:val="000000" w:themeColor="text1"/>
        </w:rPr>
        <w:t>,</w:t>
      </w:r>
      <w:r w:rsidRPr="00882558">
        <w:rPr>
          <w:rFonts w:cs="Times New Roman"/>
          <w:color w:val="000000" w:themeColor="text1"/>
        </w:rPr>
        <w:t xml:space="preserve"> and measures more than 65 elements</w:t>
      </w:r>
      <w:r w:rsidR="00F30524" w:rsidRPr="00882558">
        <w:rPr>
          <w:rFonts w:cs="Times New Roman"/>
          <w:color w:val="000000" w:themeColor="text1"/>
        </w:rPr>
        <w:t xml:space="preserve"> (Decree of the President of Ukraine of 13.04.2011 No. 454/2011 “On Regulations on State Ecological Inspectorate of Ukraine”)</w:t>
      </w:r>
      <w:r w:rsidR="006C180A" w:rsidRPr="00882558">
        <w:rPr>
          <w:rFonts w:cs="Times New Roman"/>
          <w:color w:val="000000" w:themeColor="text1"/>
        </w:rPr>
        <w:t>.</w:t>
      </w:r>
      <w:r w:rsidRPr="00882558">
        <w:rPr>
          <w:rFonts w:cs="Times New Roman"/>
          <w:color w:val="000000" w:themeColor="text1"/>
        </w:rPr>
        <w:t xml:space="preserve"> In 2012, the instrument-and-laboratory control for compliance with the standards for pollutants’ emissions limits was conducted by the SEI at 1</w:t>
      </w:r>
      <w:r w:rsidR="006C180A" w:rsidRPr="00882558">
        <w:rPr>
          <w:rFonts w:cs="Times New Roman"/>
          <w:color w:val="000000" w:themeColor="text1"/>
        </w:rPr>
        <w:t>,</w:t>
      </w:r>
      <w:r w:rsidRPr="00882558">
        <w:rPr>
          <w:rFonts w:cs="Times New Roman"/>
          <w:color w:val="000000" w:themeColor="text1"/>
        </w:rPr>
        <w:t>054 enterprises with 2</w:t>
      </w:r>
      <w:r w:rsidR="006C180A" w:rsidRPr="00882558">
        <w:rPr>
          <w:rFonts w:cs="Times New Roman"/>
          <w:color w:val="000000" w:themeColor="text1"/>
        </w:rPr>
        <w:t>,</w:t>
      </w:r>
      <w:r w:rsidRPr="00882558">
        <w:rPr>
          <w:rFonts w:cs="Times New Roman"/>
          <w:color w:val="000000" w:themeColor="text1"/>
        </w:rPr>
        <w:t xml:space="preserve">800 stationary sources of emissions checked and 13,000 samples conducted. Violations of standards were observed at 431 sources of emissions, and additionally, 279 sources of emissions worked without obtaining permits. The largest number of enterprises was checked by </w:t>
      </w:r>
      <w:r w:rsidR="006C180A" w:rsidRPr="00882558">
        <w:rPr>
          <w:rFonts w:cs="Times New Roman"/>
          <w:color w:val="000000" w:themeColor="text1"/>
        </w:rPr>
        <w:t>i</w:t>
      </w:r>
      <w:r w:rsidRPr="00882558">
        <w:rPr>
          <w:rFonts w:cs="Times New Roman"/>
          <w:color w:val="000000" w:themeColor="text1"/>
        </w:rPr>
        <w:t xml:space="preserve">nspection in the following regions: Dnipropetrovsk – 105, Donetsk – 90, Chernivtsi – 72, </w:t>
      </w:r>
      <w:proofErr w:type="spellStart"/>
      <w:r w:rsidRPr="00882558">
        <w:rPr>
          <w:rFonts w:cs="Times New Roman"/>
          <w:color w:val="000000" w:themeColor="text1"/>
        </w:rPr>
        <w:t>Zakarpattya</w:t>
      </w:r>
      <w:proofErr w:type="spellEnd"/>
      <w:r w:rsidRPr="00882558">
        <w:rPr>
          <w:rFonts w:cs="Times New Roman"/>
          <w:color w:val="000000" w:themeColor="text1"/>
        </w:rPr>
        <w:t xml:space="preserve"> – 72, </w:t>
      </w:r>
      <w:proofErr w:type="spellStart"/>
      <w:r w:rsidRPr="00882558">
        <w:rPr>
          <w:rFonts w:cs="Times New Roman"/>
          <w:color w:val="000000" w:themeColor="text1"/>
        </w:rPr>
        <w:t>Zaporizhzhya</w:t>
      </w:r>
      <w:proofErr w:type="spellEnd"/>
      <w:r w:rsidRPr="00882558">
        <w:rPr>
          <w:rFonts w:cs="Times New Roman"/>
          <w:color w:val="000000" w:themeColor="text1"/>
        </w:rPr>
        <w:t xml:space="preserve"> – 67, </w:t>
      </w:r>
      <w:proofErr w:type="spellStart"/>
      <w:r w:rsidRPr="00882558">
        <w:rPr>
          <w:rFonts w:cs="Times New Roman"/>
          <w:color w:val="000000" w:themeColor="text1"/>
        </w:rPr>
        <w:t>Lviv</w:t>
      </w:r>
      <w:proofErr w:type="spellEnd"/>
      <w:r w:rsidRPr="00882558">
        <w:rPr>
          <w:rFonts w:cs="Times New Roman"/>
          <w:color w:val="000000" w:themeColor="text1"/>
        </w:rPr>
        <w:t xml:space="preserve"> – 65</w:t>
      </w:r>
      <w:r w:rsidR="006C180A" w:rsidRPr="00882558">
        <w:rPr>
          <w:rFonts w:cs="Times New Roman"/>
          <w:color w:val="000000" w:themeColor="text1"/>
        </w:rPr>
        <w:t>,</w:t>
      </w:r>
      <w:r w:rsidRPr="00882558">
        <w:rPr>
          <w:rFonts w:cs="Times New Roman"/>
          <w:color w:val="000000" w:themeColor="text1"/>
        </w:rPr>
        <w:t xml:space="preserve"> and </w:t>
      </w:r>
      <w:proofErr w:type="spellStart"/>
      <w:r w:rsidRPr="00882558">
        <w:rPr>
          <w:rFonts w:cs="Times New Roman"/>
          <w:color w:val="000000" w:themeColor="text1"/>
        </w:rPr>
        <w:t>Kharkiv</w:t>
      </w:r>
      <w:proofErr w:type="spellEnd"/>
      <w:r w:rsidRPr="00882558">
        <w:rPr>
          <w:rFonts w:cs="Times New Roman"/>
          <w:color w:val="000000" w:themeColor="text1"/>
        </w:rPr>
        <w:t xml:space="preserve"> – 56. The </w:t>
      </w:r>
      <w:r w:rsidR="006C180A" w:rsidRPr="00882558">
        <w:rPr>
          <w:rFonts w:cs="Times New Roman"/>
          <w:color w:val="000000" w:themeColor="text1"/>
        </w:rPr>
        <w:t>smalles</w:t>
      </w:r>
      <w:r w:rsidR="00E479B5" w:rsidRPr="00882558">
        <w:rPr>
          <w:rFonts w:cs="Times New Roman"/>
          <w:color w:val="000000" w:themeColor="text1"/>
        </w:rPr>
        <w:t>t</w:t>
      </w:r>
      <w:r w:rsidR="006C180A" w:rsidRPr="00882558">
        <w:rPr>
          <w:rFonts w:cs="Times New Roman"/>
          <w:color w:val="000000" w:themeColor="text1"/>
        </w:rPr>
        <w:t xml:space="preserve"> </w:t>
      </w:r>
      <w:r w:rsidRPr="00882558">
        <w:rPr>
          <w:rFonts w:cs="Times New Roman"/>
          <w:color w:val="000000" w:themeColor="text1"/>
        </w:rPr>
        <w:t xml:space="preserve">number of enterprises was checked in Rivne – 13, </w:t>
      </w:r>
      <w:proofErr w:type="spellStart"/>
      <w:r w:rsidRPr="00882558">
        <w:rPr>
          <w:rFonts w:cs="Times New Roman"/>
          <w:color w:val="000000" w:themeColor="text1"/>
        </w:rPr>
        <w:t>Vinnytsya</w:t>
      </w:r>
      <w:proofErr w:type="spellEnd"/>
      <w:r w:rsidRPr="00882558">
        <w:rPr>
          <w:rFonts w:cs="Times New Roman"/>
          <w:color w:val="000000" w:themeColor="text1"/>
        </w:rPr>
        <w:t xml:space="preserve"> – 12</w:t>
      </w:r>
      <w:r w:rsidR="006C180A" w:rsidRPr="00882558">
        <w:rPr>
          <w:rFonts w:cs="Times New Roman"/>
          <w:color w:val="000000" w:themeColor="text1"/>
        </w:rPr>
        <w:t>,</w:t>
      </w:r>
      <w:r w:rsidRPr="00882558">
        <w:rPr>
          <w:rFonts w:cs="Times New Roman"/>
          <w:color w:val="000000" w:themeColor="text1"/>
        </w:rPr>
        <w:t xml:space="preserve"> and Poltava – 17</w:t>
      </w:r>
      <w:r w:rsidR="00FD25E4" w:rsidRPr="00882558">
        <w:rPr>
          <w:rFonts w:cs="Times New Roman"/>
          <w:color w:val="000000" w:themeColor="text1"/>
        </w:rPr>
        <w:t xml:space="preserve"> (MENR 2013a)</w:t>
      </w:r>
      <w:r w:rsidR="006C180A" w:rsidRPr="00882558">
        <w:rPr>
          <w:rFonts w:cs="Times New Roman"/>
          <w:color w:val="000000" w:themeColor="text1"/>
        </w:rPr>
        <w:t>.</w:t>
      </w:r>
      <w:r w:rsidRPr="00882558">
        <w:rPr>
          <w:rFonts w:cs="Times New Roman"/>
          <w:color w:val="000000" w:themeColor="text1"/>
        </w:rPr>
        <w:t xml:space="preserve"> </w:t>
      </w:r>
    </w:p>
    <w:p w14:paraId="66643CE4" w14:textId="77777777" w:rsidR="000B7923" w:rsidRPr="00882558" w:rsidRDefault="000B7923" w:rsidP="00E83690">
      <w:pPr>
        <w:rPr>
          <w:rFonts w:cs="Times New Roman"/>
          <w:color w:val="000000" w:themeColor="text1"/>
        </w:rPr>
      </w:pPr>
    </w:p>
    <w:p w14:paraId="2E80DA1C"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lastRenderedPageBreak/>
        <w:t xml:space="preserve">The </w:t>
      </w:r>
      <w:r w:rsidRPr="00882558">
        <w:rPr>
          <w:rFonts w:cs="Times New Roman"/>
          <w:b/>
          <w:bCs/>
          <w:color w:val="000000" w:themeColor="text1"/>
        </w:rPr>
        <w:t>Sanitary-and-Epidemiologic Service</w:t>
      </w:r>
      <w:r w:rsidRPr="00882558">
        <w:rPr>
          <w:rFonts w:cs="Times New Roman"/>
          <w:color w:val="000000" w:themeColor="text1"/>
        </w:rPr>
        <w:t xml:space="preserve"> of the Ministry of Health Protection of Ukraine provides monitoring of ambient air quality in the residential and recreation zones, including areas of highways, sanitary-hygienic zones, territories of schools, medical building</w:t>
      </w:r>
      <w:r w:rsidR="00591FD4" w:rsidRPr="00882558">
        <w:rPr>
          <w:rFonts w:cs="Times New Roman"/>
          <w:color w:val="000000" w:themeColor="text1"/>
        </w:rPr>
        <w:t>, and so forth</w:t>
      </w:r>
      <w:r w:rsidRPr="00882558">
        <w:rPr>
          <w:rFonts w:cs="Times New Roman"/>
          <w:color w:val="000000" w:themeColor="text1"/>
        </w:rPr>
        <w:t xml:space="preserve"> Additionally, analysis of atmospheric air quality could be conducted in case of citizen complaints</w:t>
      </w:r>
      <w:r w:rsidR="006C180A" w:rsidRPr="00882558">
        <w:rPr>
          <w:rFonts w:cs="Times New Roman"/>
          <w:color w:val="000000" w:themeColor="text1"/>
        </w:rPr>
        <w:t>.</w:t>
      </w:r>
      <w:r w:rsidRPr="00882558">
        <w:rPr>
          <w:rStyle w:val="FootnoteReference"/>
          <w:color w:val="000000" w:themeColor="text1"/>
        </w:rPr>
        <w:footnoteReference w:id="5"/>
      </w:r>
      <w:r w:rsidRPr="00882558">
        <w:rPr>
          <w:rFonts w:cs="Times New Roman"/>
          <w:color w:val="000000" w:themeColor="text1"/>
          <w:vertAlign w:val="superscript"/>
        </w:rPr>
        <w:t>,</w:t>
      </w:r>
      <w:r w:rsidRPr="00882558">
        <w:rPr>
          <w:rStyle w:val="FootnoteReference"/>
          <w:color w:val="000000" w:themeColor="text1"/>
        </w:rPr>
        <w:footnoteReference w:id="6"/>
      </w:r>
      <w:r w:rsidRPr="00882558">
        <w:rPr>
          <w:rFonts w:cs="Times New Roman"/>
          <w:color w:val="000000" w:themeColor="text1"/>
          <w:vertAlign w:val="superscript"/>
        </w:rPr>
        <w:t>,</w:t>
      </w:r>
      <w:r w:rsidRPr="00882558">
        <w:rPr>
          <w:rStyle w:val="FootnoteReference"/>
          <w:color w:val="000000" w:themeColor="text1"/>
        </w:rPr>
        <w:footnoteReference w:id="7"/>
      </w:r>
      <w:r w:rsidRPr="00882558">
        <w:rPr>
          <w:rFonts w:cs="Times New Roman"/>
          <w:color w:val="000000" w:themeColor="text1"/>
        </w:rPr>
        <w:t xml:space="preserve"> </w:t>
      </w:r>
    </w:p>
    <w:p w14:paraId="203C3180" w14:textId="77777777" w:rsidR="000B7923" w:rsidRPr="00882558" w:rsidRDefault="000B7923" w:rsidP="00E83690">
      <w:pPr>
        <w:rPr>
          <w:rFonts w:cs="Times New Roman"/>
          <w:i/>
          <w:color w:val="000000" w:themeColor="text1"/>
        </w:rPr>
      </w:pPr>
    </w:p>
    <w:p w14:paraId="4043C05C" w14:textId="77777777" w:rsidR="000B7923" w:rsidRPr="00882558" w:rsidRDefault="000B7923" w:rsidP="00E83690">
      <w:pPr>
        <w:rPr>
          <w:rFonts w:cs="Times New Roman"/>
          <w:i/>
          <w:color w:val="000000" w:themeColor="text1"/>
        </w:rPr>
      </w:pPr>
      <w:r w:rsidRPr="00882558">
        <w:rPr>
          <w:rFonts w:cs="Times New Roman"/>
          <w:i/>
          <w:color w:val="000000" w:themeColor="text1"/>
        </w:rPr>
        <w:t>Water Quality Monitoring</w:t>
      </w:r>
    </w:p>
    <w:p w14:paraId="0237607E" w14:textId="77777777" w:rsidR="000B7923" w:rsidRPr="00882558" w:rsidRDefault="000B7923" w:rsidP="00E83690">
      <w:pPr>
        <w:rPr>
          <w:rFonts w:cs="Times New Roman"/>
          <w:color w:val="000000" w:themeColor="text1"/>
        </w:rPr>
      </w:pPr>
    </w:p>
    <w:p w14:paraId="217D77CD"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 xml:space="preserve">The </w:t>
      </w:r>
      <w:r w:rsidRPr="00882558">
        <w:rPr>
          <w:rFonts w:cs="Times New Roman"/>
          <w:b/>
          <w:bCs/>
          <w:color w:val="000000" w:themeColor="text1"/>
        </w:rPr>
        <w:t>State Service of Emergency Situation</w:t>
      </w:r>
      <w:r w:rsidRPr="00882558">
        <w:rPr>
          <w:rFonts w:cs="Times New Roman"/>
          <w:color w:val="000000" w:themeColor="text1"/>
        </w:rPr>
        <w:t xml:space="preserve"> conducts monitoring of hydro-chemical water conditions at 151 water bodies; hydro-biological observations at 45 water bodies measuring 46 elements/parameters; and observations of chronic toxicity are provided for 8 water bodies. In addition, indicators of radioactive pollution of surface water are followed. Monitoring of coastal waters is carried out at several Black Sea and Azov Sea monitoring stations, where from 16 to 26 hydro-chemical parameters and bed silt are measured</w:t>
      </w:r>
      <w:r w:rsidR="00E479B5" w:rsidRPr="00882558">
        <w:rPr>
          <w:rFonts w:cs="Times New Roman"/>
          <w:color w:val="000000" w:themeColor="text1"/>
        </w:rPr>
        <w:t>.</w:t>
      </w:r>
      <w:r w:rsidRPr="00882558">
        <w:rPr>
          <w:rStyle w:val="FootnoteReference"/>
          <w:color w:val="000000" w:themeColor="text1"/>
        </w:rPr>
        <w:footnoteReference w:id="8"/>
      </w:r>
      <w:r w:rsidRPr="00882558">
        <w:rPr>
          <w:rFonts w:cs="Times New Roman"/>
          <w:color w:val="000000" w:themeColor="text1"/>
        </w:rPr>
        <w:t xml:space="preserve"> </w:t>
      </w:r>
    </w:p>
    <w:p w14:paraId="6569A586" w14:textId="77777777" w:rsidR="000B7923" w:rsidRPr="00882558" w:rsidRDefault="000B7923" w:rsidP="00E83690">
      <w:pPr>
        <w:rPr>
          <w:rFonts w:cs="Times New Roman"/>
          <w:color w:val="000000" w:themeColor="text1"/>
        </w:rPr>
      </w:pPr>
    </w:p>
    <w:p w14:paraId="21000369" w14:textId="324764DD" w:rsidR="000B7923" w:rsidRPr="002B1DFC" w:rsidRDefault="000B7923" w:rsidP="00B76BDA">
      <w:pPr>
        <w:pStyle w:val="ListParagraph"/>
        <w:numPr>
          <w:ilvl w:val="0"/>
          <w:numId w:val="68"/>
        </w:numPr>
        <w:tabs>
          <w:tab w:val="left" w:pos="360"/>
        </w:tabs>
        <w:ind w:left="0" w:firstLine="0"/>
        <w:rPr>
          <w:rFonts w:cs="Times New Roman"/>
        </w:rPr>
      </w:pPr>
      <w:r w:rsidRPr="00882558">
        <w:rPr>
          <w:rFonts w:cs="Times New Roman"/>
          <w:b/>
          <w:bCs/>
          <w:color w:val="000000" w:themeColor="text1"/>
        </w:rPr>
        <w:t xml:space="preserve">State Ecological </w:t>
      </w:r>
      <w:r w:rsidR="00A80CE6" w:rsidRPr="00882558">
        <w:rPr>
          <w:rFonts w:cs="Times New Roman"/>
          <w:b/>
          <w:bCs/>
          <w:color w:val="000000" w:themeColor="text1"/>
        </w:rPr>
        <w:t>Inspectorate</w:t>
      </w:r>
      <w:r w:rsidR="00A80CE6" w:rsidRPr="00882558">
        <w:rPr>
          <w:rFonts w:cs="Times New Roman"/>
          <w:color w:val="000000" w:themeColor="text1"/>
        </w:rPr>
        <w:t xml:space="preserve"> </w:t>
      </w:r>
      <w:r w:rsidRPr="00882558">
        <w:rPr>
          <w:rFonts w:cs="Times New Roman"/>
          <w:color w:val="000000" w:themeColor="text1"/>
        </w:rPr>
        <w:t xml:space="preserve">collects water samples from the water bodies and receives data for 60 measured parameters. State Ecological </w:t>
      </w:r>
      <w:r w:rsidR="00A80CE6" w:rsidRPr="00882558">
        <w:rPr>
          <w:rFonts w:cs="Times New Roman"/>
          <w:color w:val="000000" w:themeColor="text1"/>
        </w:rPr>
        <w:t xml:space="preserve">Inspectorates </w:t>
      </w:r>
      <w:r w:rsidRPr="00882558">
        <w:rPr>
          <w:rFonts w:cs="Times New Roman"/>
          <w:color w:val="000000" w:themeColor="text1"/>
        </w:rPr>
        <w:t xml:space="preserve">of the Protection of Black and Azov seas have their own observation systems. They coastal water samples are collected monthly and analysis of impact of pollution sources is carried out, as well as monitoring </w:t>
      </w:r>
      <w:r w:rsidRPr="002B1DFC">
        <w:rPr>
          <w:rFonts w:cs="Times New Roman"/>
        </w:rPr>
        <w:t>of pollution discharge from the ships and pollution from oil and gas production</w:t>
      </w:r>
      <w:r w:rsidR="00E479B5">
        <w:rPr>
          <w:rFonts w:cs="Times New Roman"/>
        </w:rPr>
        <w:t>.</w:t>
      </w:r>
      <w:r w:rsidRPr="002B1DFC">
        <w:rPr>
          <w:rStyle w:val="FootnoteReference"/>
        </w:rPr>
        <w:footnoteReference w:id="9"/>
      </w:r>
      <w:r w:rsidRPr="002B1DFC">
        <w:rPr>
          <w:rFonts w:cs="Times New Roman"/>
        </w:rPr>
        <w:t xml:space="preserve"> In 2012, the instrument-and-laboratory control for compliance with the standards for pollutants’ discharge limits was conducted by the State Ecological </w:t>
      </w:r>
      <w:r w:rsidR="00A80CE6">
        <w:rPr>
          <w:rFonts w:cs="Times New Roman"/>
        </w:rPr>
        <w:t>Inspectorate</w:t>
      </w:r>
      <w:r w:rsidR="00A80CE6" w:rsidRPr="002B1DFC">
        <w:rPr>
          <w:rFonts w:cs="Times New Roman"/>
        </w:rPr>
        <w:t xml:space="preserve"> </w:t>
      </w:r>
      <w:r w:rsidRPr="002B1DFC">
        <w:rPr>
          <w:rFonts w:cs="Times New Roman"/>
        </w:rPr>
        <w:t>at 1</w:t>
      </w:r>
      <w:r w:rsidR="004A6AAF">
        <w:rPr>
          <w:rFonts w:cs="Times New Roman"/>
        </w:rPr>
        <w:t>,</w:t>
      </w:r>
      <w:r w:rsidRPr="002B1DFC">
        <w:rPr>
          <w:rFonts w:cs="Times New Roman"/>
        </w:rPr>
        <w:t xml:space="preserve">228 enterprises, </w:t>
      </w:r>
      <w:r w:rsidR="004A6AAF">
        <w:rPr>
          <w:rFonts w:cs="Times New Roman"/>
        </w:rPr>
        <w:t>at which</w:t>
      </w:r>
      <w:r w:rsidR="004A6AAF" w:rsidRPr="002B1DFC">
        <w:rPr>
          <w:rFonts w:cs="Times New Roman"/>
        </w:rPr>
        <w:t xml:space="preserve"> </w:t>
      </w:r>
      <w:r w:rsidRPr="002B1DFC">
        <w:rPr>
          <w:rFonts w:cs="Times New Roman"/>
        </w:rPr>
        <w:t xml:space="preserve">1,514 effluent water discharges were checked. The largest number </w:t>
      </w:r>
      <w:r w:rsidR="004A6AAF">
        <w:rPr>
          <w:rFonts w:cs="Times New Roman"/>
        </w:rPr>
        <w:t xml:space="preserve">(157) </w:t>
      </w:r>
      <w:r w:rsidRPr="002B1DFC">
        <w:rPr>
          <w:rFonts w:cs="Times New Roman"/>
        </w:rPr>
        <w:t xml:space="preserve">of inspections </w:t>
      </w:r>
      <w:r w:rsidR="004A6AAF">
        <w:rPr>
          <w:rFonts w:cs="Times New Roman"/>
        </w:rPr>
        <w:t>took place</w:t>
      </w:r>
      <w:r w:rsidRPr="002B1DFC">
        <w:rPr>
          <w:rFonts w:cs="Times New Roman"/>
        </w:rPr>
        <w:t xml:space="preserve"> in Dnipropetrovsk region</w:t>
      </w:r>
      <w:r w:rsidR="004A6AAF">
        <w:rPr>
          <w:rFonts w:cs="Times New Roman"/>
        </w:rPr>
        <w:t>;</w:t>
      </w:r>
      <w:r w:rsidRPr="002B1DFC">
        <w:rPr>
          <w:rFonts w:cs="Times New Roman"/>
        </w:rPr>
        <w:t xml:space="preserve"> </w:t>
      </w:r>
      <w:r w:rsidR="004A6AAF">
        <w:rPr>
          <w:rFonts w:cs="Times New Roman"/>
        </w:rPr>
        <w:t xml:space="preserve">143 took place in the </w:t>
      </w:r>
      <w:r w:rsidRPr="002B1DFC">
        <w:rPr>
          <w:rFonts w:cs="Times New Roman"/>
        </w:rPr>
        <w:t>Donetsk region</w:t>
      </w:r>
      <w:r w:rsidR="004A6AAF">
        <w:rPr>
          <w:rFonts w:cs="Times New Roman"/>
        </w:rPr>
        <w:t xml:space="preserve">, and another 143 took place in the </w:t>
      </w:r>
      <w:r w:rsidRPr="002B1DFC">
        <w:rPr>
          <w:rFonts w:cs="Times New Roman"/>
        </w:rPr>
        <w:t xml:space="preserve">Lvov region. The </w:t>
      </w:r>
      <w:r w:rsidR="004A6AAF">
        <w:rPr>
          <w:rFonts w:cs="Times New Roman"/>
        </w:rPr>
        <w:t>smallest</w:t>
      </w:r>
      <w:r w:rsidR="004A6AAF" w:rsidRPr="002B1DFC">
        <w:rPr>
          <w:rFonts w:cs="Times New Roman"/>
        </w:rPr>
        <w:t xml:space="preserve"> </w:t>
      </w:r>
      <w:r w:rsidRPr="002B1DFC">
        <w:rPr>
          <w:rFonts w:cs="Times New Roman"/>
        </w:rPr>
        <w:t xml:space="preserve">number </w:t>
      </w:r>
      <w:r w:rsidR="004A6AAF">
        <w:rPr>
          <w:rFonts w:cs="Times New Roman"/>
        </w:rPr>
        <w:t xml:space="preserve">(9) </w:t>
      </w:r>
      <w:r w:rsidRPr="002B1DFC">
        <w:rPr>
          <w:rFonts w:cs="Times New Roman"/>
        </w:rPr>
        <w:t xml:space="preserve">of inspections was conducted </w:t>
      </w:r>
      <w:r w:rsidR="004A6AAF">
        <w:rPr>
          <w:rFonts w:cs="Times New Roman"/>
        </w:rPr>
        <w:t xml:space="preserve">in </w:t>
      </w:r>
      <w:r w:rsidRPr="002B1DFC">
        <w:rPr>
          <w:rFonts w:cs="Times New Roman"/>
        </w:rPr>
        <w:t xml:space="preserve">Sevastopol </w:t>
      </w:r>
      <w:r w:rsidR="004A6AAF">
        <w:rPr>
          <w:rFonts w:cs="Times New Roman"/>
        </w:rPr>
        <w:t>C</w:t>
      </w:r>
      <w:r w:rsidRPr="002B1DFC">
        <w:rPr>
          <w:rFonts w:cs="Times New Roman"/>
        </w:rPr>
        <w:t>ity</w:t>
      </w:r>
      <w:r w:rsidR="00E479B5">
        <w:rPr>
          <w:rFonts w:cs="Times New Roman"/>
        </w:rPr>
        <w:t>, and nine</w:t>
      </w:r>
      <w:r w:rsidR="004A6AAF">
        <w:rPr>
          <w:rFonts w:cs="Times New Roman"/>
        </w:rPr>
        <w:t xml:space="preserve"> were conducted in the</w:t>
      </w:r>
      <w:r w:rsidRPr="002B1DFC">
        <w:rPr>
          <w:rFonts w:cs="Times New Roman"/>
        </w:rPr>
        <w:t xml:space="preserve"> </w:t>
      </w:r>
      <w:proofErr w:type="spellStart"/>
      <w:r w:rsidRPr="002B1DFC">
        <w:rPr>
          <w:rFonts w:cs="Times New Roman"/>
        </w:rPr>
        <w:t>Volyn</w:t>
      </w:r>
      <w:proofErr w:type="spellEnd"/>
      <w:r w:rsidRPr="002B1DFC">
        <w:rPr>
          <w:rFonts w:cs="Times New Roman"/>
        </w:rPr>
        <w:t xml:space="preserve"> region. The largest number of </w:t>
      </w:r>
      <w:r w:rsidR="004A6AAF">
        <w:rPr>
          <w:rFonts w:cs="Times New Roman"/>
        </w:rPr>
        <w:t xml:space="preserve">instances in which standards were </w:t>
      </w:r>
      <w:r w:rsidRPr="002B1DFC">
        <w:rPr>
          <w:rFonts w:cs="Times New Roman"/>
        </w:rPr>
        <w:t>exceed</w:t>
      </w:r>
      <w:r w:rsidR="004A6AAF">
        <w:rPr>
          <w:rFonts w:cs="Times New Roman"/>
        </w:rPr>
        <w:t>ed</w:t>
      </w:r>
      <w:r w:rsidRPr="002B1DFC">
        <w:rPr>
          <w:rFonts w:cs="Times New Roman"/>
        </w:rPr>
        <w:t xml:space="preserve"> was observed in </w:t>
      </w:r>
      <w:r w:rsidR="004A6AAF">
        <w:rPr>
          <w:rFonts w:cs="Times New Roman"/>
        </w:rPr>
        <w:t xml:space="preserve">the </w:t>
      </w:r>
      <w:r w:rsidRPr="002B1DFC">
        <w:rPr>
          <w:rFonts w:cs="Times New Roman"/>
        </w:rPr>
        <w:t>Ternopol, Dnipropetrovsk</w:t>
      </w:r>
      <w:r w:rsidR="004A6AAF">
        <w:rPr>
          <w:rFonts w:cs="Times New Roman"/>
        </w:rPr>
        <w:t>,</w:t>
      </w:r>
      <w:r w:rsidRPr="002B1DFC">
        <w:rPr>
          <w:rFonts w:cs="Times New Roman"/>
        </w:rPr>
        <w:t xml:space="preserve"> and Donetsk regions, and the </w:t>
      </w:r>
      <w:r w:rsidR="004A6AAF">
        <w:rPr>
          <w:rFonts w:cs="Times New Roman"/>
        </w:rPr>
        <w:t>smallest</w:t>
      </w:r>
      <w:r w:rsidR="004A6AAF" w:rsidRPr="002B1DFC">
        <w:rPr>
          <w:rFonts w:cs="Times New Roman"/>
        </w:rPr>
        <w:t xml:space="preserve"> </w:t>
      </w:r>
      <w:r w:rsidRPr="002B1DFC">
        <w:rPr>
          <w:rFonts w:cs="Times New Roman"/>
        </w:rPr>
        <w:t xml:space="preserve">number of </w:t>
      </w:r>
      <w:r w:rsidR="004A6AAF">
        <w:rPr>
          <w:rFonts w:cs="Times New Roman"/>
        </w:rPr>
        <w:t xml:space="preserve">instances in which standards were </w:t>
      </w:r>
      <w:r w:rsidRPr="002B1DFC">
        <w:rPr>
          <w:rFonts w:cs="Times New Roman"/>
        </w:rPr>
        <w:t>exceed</w:t>
      </w:r>
      <w:r w:rsidR="004A6AAF">
        <w:rPr>
          <w:rFonts w:cs="Times New Roman"/>
        </w:rPr>
        <w:t>ed</w:t>
      </w:r>
      <w:r w:rsidRPr="002B1DFC">
        <w:rPr>
          <w:rFonts w:cs="Times New Roman"/>
        </w:rPr>
        <w:t xml:space="preserve"> was observed in </w:t>
      </w:r>
      <w:r w:rsidR="004A6AAF">
        <w:rPr>
          <w:rFonts w:cs="Times New Roman"/>
        </w:rPr>
        <w:t xml:space="preserve">the </w:t>
      </w:r>
      <w:proofErr w:type="spellStart"/>
      <w:r w:rsidRPr="002B1DFC">
        <w:rPr>
          <w:rFonts w:cs="Times New Roman"/>
        </w:rPr>
        <w:t>Kharkiv</w:t>
      </w:r>
      <w:proofErr w:type="spellEnd"/>
      <w:r w:rsidRPr="002B1DFC">
        <w:rPr>
          <w:rFonts w:cs="Times New Roman"/>
        </w:rPr>
        <w:t xml:space="preserve"> and Cherkassy regions</w:t>
      </w:r>
      <w:r w:rsidR="004A6AAF">
        <w:rPr>
          <w:rFonts w:cs="Times New Roman"/>
        </w:rPr>
        <w:t>.</w:t>
      </w:r>
      <w:r w:rsidRPr="002B1DFC">
        <w:rPr>
          <w:rStyle w:val="FootnoteReference"/>
        </w:rPr>
        <w:footnoteReference w:id="10"/>
      </w:r>
      <w:r w:rsidRPr="002B1DFC">
        <w:rPr>
          <w:rFonts w:cs="Times New Roman"/>
        </w:rPr>
        <w:t xml:space="preserve"> </w:t>
      </w:r>
    </w:p>
    <w:p w14:paraId="188FA50B" w14:textId="77777777" w:rsidR="000B7923" w:rsidRPr="002B1DFC" w:rsidRDefault="000B7923" w:rsidP="00E83690">
      <w:pPr>
        <w:rPr>
          <w:rFonts w:cs="Times New Roman"/>
        </w:rPr>
      </w:pPr>
    </w:p>
    <w:p w14:paraId="59BB5EED"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The </w:t>
      </w:r>
      <w:r w:rsidRPr="002B1DFC">
        <w:rPr>
          <w:rFonts w:cs="Times New Roman"/>
          <w:b/>
          <w:bCs/>
        </w:rPr>
        <w:t>State Agency of Water Resources</w:t>
      </w:r>
      <w:r w:rsidRPr="002B1DFC">
        <w:rPr>
          <w:rFonts w:cs="Times New Roman"/>
        </w:rPr>
        <w:t xml:space="preserve"> of Ukraine monitoring water quality in rivers, water reservoirs, canals, irrigation systems, water supply systems, transboundary watercourses and water bodies in the area of impact of nuclear power plants. Water quality control is conducted for physical and chemical parameters at 72 water reservoirs, 164 rivers, 14 irrigation systems</w:t>
      </w:r>
      <w:r w:rsidR="004A6AAF">
        <w:rPr>
          <w:rFonts w:cs="Times New Roman"/>
        </w:rPr>
        <w:t>,</w:t>
      </w:r>
      <w:r w:rsidRPr="002B1DFC">
        <w:rPr>
          <w:rFonts w:cs="Times New Roman"/>
        </w:rPr>
        <w:t xml:space="preserve"> and</w:t>
      </w:r>
      <w:r w:rsidR="004A6AAF">
        <w:rPr>
          <w:rFonts w:cs="Times New Roman"/>
        </w:rPr>
        <w:t xml:space="preserve"> 5 canals of complex purpose</w:t>
      </w:r>
      <w:r w:rsidRPr="002B1DFC">
        <w:rPr>
          <w:rFonts w:cs="Times New Roman"/>
        </w:rPr>
        <w:t xml:space="preserve">. </w:t>
      </w:r>
    </w:p>
    <w:p w14:paraId="04359254" w14:textId="77777777" w:rsidR="000B7923" w:rsidRPr="002B1DFC" w:rsidRDefault="000B7923" w:rsidP="00E83690">
      <w:pPr>
        <w:rPr>
          <w:rFonts w:cs="Times New Roman"/>
        </w:rPr>
      </w:pPr>
    </w:p>
    <w:p w14:paraId="163B4708"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The </w:t>
      </w:r>
      <w:r w:rsidRPr="002B1DFC">
        <w:rPr>
          <w:rFonts w:cs="Times New Roman"/>
          <w:b/>
          <w:bCs/>
        </w:rPr>
        <w:t>Sanitary-and-Epidemiologic Service</w:t>
      </w:r>
      <w:r w:rsidRPr="002B1DFC">
        <w:rPr>
          <w:rFonts w:cs="Times New Roman"/>
        </w:rPr>
        <w:t xml:space="preserve"> provides observations of sources of centralized and decentralized water supply (including groundwater) as well as recreation zones along the rivers, marine and water reservoirs. </w:t>
      </w:r>
    </w:p>
    <w:p w14:paraId="7B20BF51" w14:textId="77777777" w:rsidR="000B7923" w:rsidRPr="002B1DFC" w:rsidRDefault="000B7923" w:rsidP="00E83690">
      <w:pPr>
        <w:rPr>
          <w:rFonts w:cs="Times New Roman"/>
        </w:rPr>
      </w:pPr>
    </w:p>
    <w:p w14:paraId="32587638" w14:textId="77777777" w:rsidR="000B7923" w:rsidRPr="002B1DFC" w:rsidRDefault="00E479B5" w:rsidP="00F55709">
      <w:pPr>
        <w:pStyle w:val="ListParagraph"/>
        <w:numPr>
          <w:ilvl w:val="0"/>
          <w:numId w:val="68"/>
        </w:numPr>
        <w:tabs>
          <w:tab w:val="left" w:pos="360"/>
        </w:tabs>
        <w:ind w:left="0" w:firstLine="0"/>
        <w:rPr>
          <w:rFonts w:cs="Times New Roman"/>
        </w:rPr>
      </w:pPr>
      <w:r w:rsidRPr="0061686D">
        <w:rPr>
          <w:rFonts w:cs="Times New Roman"/>
          <w:bCs/>
        </w:rPr>
        <w:t xml:space="preserve">The </w:t>
      </w:r>
      <w:r w:rsidR="000B7923" w:rsidRPr="002B1DFC">
        <w:rPr>
          <w:rFonts w:cs="Times New Roman"/>
          <w:b/>
          <w:bCs/>
        </w:rPr>
        <w:t>State Service of Geology and Mineral Resources</w:t>
      </w:r>
      <w:r w:rsidR="000B7923" w:rsidRPr="002B1DFC">
        <w:rPr>
          <w:rFonts w:cs="Times New Roman"/>
        </w:rPr>
        <w:t xml:space="preserve"> of the MENR conducts monitoring of groundwater, particularly the assessment of groundwater incidence and its geochemical composition by measuring 22 parameters, including heavy metals and pesticides</w:t>
      </w:r>
      <w:r w:rsidR="004A6AAF">
        <w:rPr>
          <w:rFonts w:cs="Times New Roman"/>
        </w:rPr>
        <w:t>.</w:t>
      </w:r>
      <w:r w:rsidR="000B7923" w:rsidRPr="002B1DFC">
        <w:rPr>
          <w:rStyle w:val="FootnoteReference"/>
        </w:rPr>
        <w:footnoteReference w:id="11"/>
      </w:r>
      <w:r w:rsidR="000B7923" w:rsidRPr="002B1DFC">
        <w:rPr>
          <w:rFonts w:cs="Times New Roman"/>
        </w:rPr>
        <w:t xml:space="preserve"> </w:t>
      </w:r>
    </w:p>
    <w:p w14:paraId="06BC1C7C" w14:textId="77777777" w:rsidR="000B7923" w:rsidRPr="002B1DFC" w:rsidRDefault="000B7923" w:rsidP="00E83690">
      <w:pPr>
        <w:rPr>
          <w:rFonts w:cs="Times New Roman"/>
          <w:i/>
          <w:iCs/>
        </w:rPr>
      </w:pPr>
    </w:p>
    <w:p w14:paraId="799D883A"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i/>
          <w:iCs/>
        </w:rPr>
        <w:t>Self-Monitoring</w:t>
      </w:r>
      <w:r w:rsidRPr="002B1DFC">
        <w:rPr>
          <w:rFonts w:cs="Times New Roman"/>
        </w:rPr>
        <w:t xml:space="preserve">: </w:t>
      </w:r>
      <w:r w:rsidR="004A6AAF">
        <w:rPr>
          <w:rFonts w:cs="Times New Roman"/>
        </w:rPr>
        <w:t>I</w:t>
      </w:r>
      <w:r w:rsidRPr="002B1DFC">
        <w:rPr>
          <w:rFonts w:cs="Times New Roman"/>
        </w:rPr>
        <w:t xml:space="preserve">n 2012, a draft CMU decree on “Approval of Procedure for Conducting Environmental Monitoring by the Enterprises, Agencies and Organizations that Have or May Have Adverse </w:t>
      </w:r>
      <w:r w:rsidRPr="002B1DFC">
        <w:rPr>
          <w:rFonts w:cs="Times New Roman"/>
        </w:rPr>
        <w:lastRenderedPageBreak/>
        <w:t xml:space="preserve">Impact on the Environment” was prepared with the objective </w:t>
      </w:r>
      <w:r w:rsidR="004A6AAF">
        <w:rPr>
          <w:rFonts w:cs="Times New Roman"/>
        </w:rPr>
        <w:t>of improving</w:t>
      </w:r>
      <w:r w:rsidRPr="002B1DFC">
        <w:rPr>
          <w:rFonts w:cs="Times New Roman"/>
        </w:rPr>
        <w:t xml:space="preserve"> the normative base in environmental monitoring. This legal act foresees the establishment of a single procedure for carrying out monitoring in order to observe the impact of industrial companies’ activity on the environment, and provide the efficient submission of information. However, this document has not been adopted as of writing of this report (August 2015). </w:t>
      </w:r>
    </w:p>
    <w:p w14:paraId="2B800857" w14:textId="77777777" w:rsidR="000B7923" w:rsidRPr="002B1DFC" w:rsidRDefault="000B7923" w:rsidP="00E83690">
      <w:pPr>
        <w:rPr>
          <w:rFonts w:cs="Times New Roman"/>
          <w:i/>
          <w:iCs/>
        </w:rPr>
      </w:pPr>
    </w:p>
    <w:p w14:paraId="69CCC167" w14:textId="77777777" w:rsidR="000B7923" w:rsidRPr="002B1DFC" w:rsidRDefault="000B7923" w:rsidP="00E83690">
      <w:pPr>
        <w:rPr>
          <w:rFonts w:cs="Times New Roman"/>
          <w:i/>
          <w:iCs/>
          <w:color w:val="000000"/>
        </w:rPr>
      </w:pPr>
      <w:r w:rsidRPr="002B1DFC">
        <w:rPr>
          <w:rFonts w:cs="Times New Roman"/>
          <w:i/>
          <w:iCs/>
          <w:color w:val="000000"/>
        </w:rPr>
        <w:t xml:space="preserve">Environmental Monitoring at </w:t>
      </w:r>
      <w:r w:rsidR="004A6AAF">
        <w:rPr>
          <w:rFonts w:cs="Times New Roman"/>
          <w:i/>
          <w:iCs/>
          <w:color w:val="000000"/>
        </w:rPr>
        <w:t xml:space="preserve">the </w:t>
      </w:r>
      <w:r w:rsidRPr="002B1DFC">
        <w:rPr>
          <w:rFonts w:cs="Times New Roman"/>
          <w:i/>
          <w:iCs/>
          <w:color w:val="000000"/>
        </w:rPr>
        <w:t xml:space="preserve">Oblast </w:t>
      </w:r>
      <w:r w:rsidR="004A6AAF">
        <w:rPr>
          <w:rFonts w:cs="Times New Roman"/>
          <w:i/>
          <w:iCs/>
          <w:color w:val="000000"/>
        </w:rPr>
        <w:t>L</w:t>
      </w:r>
      <w:r w:rsidRPr="002B1DFC">
        <w:rPr>
          <w:rFonts w:cs="Times New Roman"/>
          <w:i/>
          <w:iCs/>
          <w:color w:val="000000"/>
        </w:rPr>
        <w:t>evel:</w:t>
      </w:r>
    </w:p>
    <w:p w14:paraId="6F24776A" w14:textId="77777777" w:rsidR="000B7923" w:rsidRPr="002B1DFC" w:rsidRDefault="000B7923" w:rsidP="00E83690">
      <w:pPr>
        <w:rPr>
          <w:rFonts w:cs="Times New Roman"/>
          <w:color w:val="000000"/>
        </w:rPr>
      </w:pPr>
    </w:p>
    <w:p w14:paraId="65060608" w14:textId="77777777" w:rsidR="000B7923" w:rsidRPr="00882558" w:rsidRDefault="004A6AAF" w:rsidP="00F55709">
      <w:pPr>
        <w:pStyle w:val="ListParagraph"/>
        <w:numPr>
          <w:ilvl w:val="0"/>
          <w:numId w:val="68"/>
        </w:numPr>
        <w:tabs>
          <w:tab w:val="left" w:pos="360"/>
        </w:tabs>
        <w:ind w:left="0" w:firstLine="0"/>
        <w:rPr>
          <w:rFonts w:cs="Times New Roman"/>
          <w:color w:val="000000" w:themeColor="text1"/>
        </w:rPr>
      </w:pPr>
      <w:r>
        <w:rPr>
          <w:rFonts w:cs="Times New Roman"/>
          <w:color w:val="000000"/>
        </w:rPr>
        <w:t xml:space="preserve">OSA’s </w:t>
      </w:r>
      <w:r w:rsidR="000B7923" w:rsidRPr="002B1DFC">
        <w:rPr>
          <w:rFonts w:cs="Times New Roman"/>
          <w:color w:val="000000"/>
        </w:rPr>
        <w:t xml:space="preserve">Environmental </w:t>
      </w:r>
      <w:r>
        <w:rPr>
          <w:rFonts w:cs="Times New Roman"/>
          <w:color w:val="000000"/>
        </w:rPr>
        <w:t>D</w:t>
      </w:r>
      <w:r w:rsidR="000B7923" w:rsidRPr="002B1DFC">
        <w:rPr>
          <w:rFonts w:cs="Times New Roman"/>
          <w:color w:val="000000"/>
        </w:rPr>
        <w:t xml:space="preserve">epartments have the function of </w:t>
      </w:r>
      <w:r>
        <w:rPr>
          <w:rFonts w:cs="Times New Roman"/>
          <w:color w:val="000000"/>
        </w:rPr>
        <w:t>“</w:t>
      </w:r>
      <w:r w:rsidR="000B7923" w:rsidRPr="002B1DFC">
        <w:rPr>
          <w:rFonts w:cs="Times New Roman"/>
          <w:color w:val="000000"/>
        </w:rPr>
        <w:t>Participation in the monitoring of environment</w:t>
      </w:r>
      <w:r>
        <w:rPr>
          <w:rFonts w:cs="Times New Roman"/>
          <w:color w:val="000000"/>
        </w:rPr>
        <w:t>,”</w:t>
      </w:r>
      <w:r w:rsidR="000B7923" w:rsidRPr="002B1DFC">
        <w:rPr>
          <w:rFonts w:cs="Times New Roman"/>
          <w:color w:val="000000"/>
        </w:rPr>
        <w:t xml:space="preserve"> but this </w:t>
      </w:r>
      <w:r w:rsidR="000B7923" w:rsidRPr="00F55709">
        <w:rPr>
          <w:rFonts w:cs="Times New Roman"/>
        </w:rPr>
        <w:t>function</w:t>
      </w:r>
      <w:r w:rsidR="000B7923" w:rsidRPr="002B1DFC">
        <w:rPr>
          <w:rFonts w:cs="Times New Roman"/>
          <w:color w:val="000000"/>
        </w:rPr>
        <w:t xml:space="preserve"> has not been specified yet. As discussed above, a number of other central and </w:t>
      </w:r>
      <w:r w:rsidR="000B7923" w:rsidRPr="00882558">
        <w:rPr>
          <w:rFonts w:cs="Times New Roman"/>
          <w:color w:val="000000" w:themeColor="text1"/>
        </w:rPr>
        <w:t xml:space="preserve">regional government agencies have various responsibilities in the area of environmental monitoring (MENR, SEI, SWRA, </w:t>
      </w:r>
      <w:r w:rsidRPr="00882558">
        <w:rPr>
          <w:rFonts w:cs="Times New Roman"/>
          <w:color w:val="000000" w:themeColor="text1"/>
        </w:rPr>
        <w:t xml:space="preserve">and other units </w:t>
      </w:r>
      <w:r w:rsidR="000B7923" w:rsidRPr="00882558">
        <w:rPr>
          <w:rFonts w:cs="Times New Roman"/>
          <w:color w:val="000000" w:themeColor="text1"/>
        </w:rPr>
        <w:t xml:space="preserve">responsible for forestry, fisheries, land resources, hydrometeorology, and geology). At present, oblast councils do not provide funding for environmental monitoring (for environmental departments), and </w:t>
      </w:r>
      <w:r w:rsidRPr="00882558">
        <w:rPr>
          <w:rFonts w:cs="Times New Roman"/>
          <w:color w:val="000000" w:themeColor="text1"/>
        </w:rPr>
        <w:t xml:space="preserve">a </w:t>
      </w:r>
      <w:r w:rsidR="000B7923" w:rsidRPr="00882558">
        <w:rPr>
          <w:rFonts w:cs="Times New Roman"/>
          <w:color w:val="000000" w:themeColor="text1"/>
        </w:rPr>
        <w:t xml:space="preserve">similar issue exists at </w:t>
      </w:r>
      <w:r w:rsidRPr="00882558">
        <w:rPr>
          <w:rFonts w:cs="Times New Roman"/>
          <w:color w:val="000000" w:themeColor="text1"/>
        </w:rPr>
        <w:t xml:space="preserve">SEI’s </w:t>
      </w:r>
      <w:r w:rsidR="000B7923" w:rsidRPr="00882558">
        <w:rPr>
          <w:rFonts w:cs="Times New Roman"/>
          <w:color w:val="000000" w:themeColor="text1"/>
        </w:rPr>
        <w:t xml:space="preserve">oblast branches, which do not receive funding from national SEI. </w:t>
      </w:r>
    </w:p>
    <w:p w14:paraId="332249BB" w14:textId="77777777" w:rsidR="000B7923" w:rsidRPr="00882558" w:rsidRDefault="000B7923" w:rsidP="00E83690">
      <w:pPr>
        <w:rPr>
          <w:rFonts w:cs="Times New Roman"/>
          <w:b/>
          <w:bCs/>
          <w:color w:val="000000" w:themeColor="text1"/>
        </w:rPr>
      </w:pPr>
    </w:p>
    <w:p w14:paraId="45736932" w14:textId="57E1C6A1"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u w:val="single"/>
        </w:rPr>
        <w:t>Enforcement</w:t>
      </w:r>
      <w:r w:rsidRPr="00882558">
        <w:rPr>
          <w:rFonts w:cs="Times New Roman"/>
          <w:color w:val="000000" w:themeColor="text1"/>
        </w:rPr>
        <w:t xml:space="preserve">: Because of the reform of 2012, OSA environmental departments lost authority to issue orders in case of violation of norms and regulations, including violations of conditions of licenses, resource use or emissions. Oblast level environmental authorities do </w:t>
      </w:r>
      <w:r w:rsidR="007D3BCF" w:rsidRPr="00882558">
        <w:rPr>
          <w:rFonts w:cs="Times New Roman"/>
          <w:color w:val="000000" w:themeColor="text1"/>
        </w:rPr>
        <w:t>not</w:t>
      </w:r>
      <w:r w:rsidRPr="00882558">
        <w:rPr>
          <w:rFonts w:cs="Times New Roman"/>
          <w:color w:val="000000" w:themeColor="text1"/>
        </w:rPr>
        <w:t xml:space="preserve"> participate in</w:t>
      </w:r>
      <w:r w:rsidR="00AD6AF2">
        <w:rPr>
          <w:rFonts w:cs="Times New Roman"/>
          <w:color w:val="000000" w:themeColor="text1"/>
        </w:rPr>
        <w:t xml:space="preserve"> the work of</w:t>
      </w:r>
      <w:r w:rsidRPr="00882558">
        <w:rPr>
          <w:rFonts w:cs="Times New Roman"/>
          <w:color w:val="000000" w:themeColor="text1"/>
        </w:rPr>
        <w:t xml:space="preserve"> commissions that authorize launching new enterprises or buildings or objects of infrastructure; they do not have control over transboundary transactions even if these transactions take place on their territory. All these responsibilities stay with the national authorities. At the same time, the MENR can issue orders to all subjects, including regional environmental authorities (</w:t>
      </w:r>
      <w:r w:rsidR="00346254" w:rsidRPr="00882558">
        <w:rPr>
          <w:rFonts w:cs="Times New Roman"/>
          <w:color w:val="000000" w:themeColor="text1"/>
        </w:rPr>
        <w:t>Art.</w:t>
      </w:r>
      <w:r w:rsidR="004A6AAF" w:rsidRPr="00882558">
        <w:rPr>
          <w:rFonts w:cs="Times New Roman"/>
          <w:color w:val="000000" w:themeColor="text1"/>
        </w:rPr>
        <w:t xml:space="preserve"> </w:t>
      </w:r>
      <w:r w:rsidRPr="00882558">
        <w:rPr>
          <w:rFonts w:cs="Times New Roman"/>
          <w:color w:val="000000" w:themeColor="text1"/>
        </w:rPr>
        <w:t>202).</w:t>
      </w:r>
    </w:p>
    <w:p w14:paraId="779769F8" w14:textId="77777777" w:rsidR="000B7923" w:rsidRPr="00882558" w:rsidRDefault="000B7923" w:rsidP="00E83690">
      <w:pPr>
        <w:rPr>
          <w:rFonts w:cs="Times New Roman"/>
          <w:color w:val="000000" w:themeColor="text1"/>
        </w:rPr>
      </w:pPr>
    </w:p>
    <w:p w14:paraId="06C941E3"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A serious problem is a lack of continuity between oblast branches of MENR and environmental departments of OSAs. It means that departments do not have legal information of what was happening in the past (</w:t>
      </w:r>
      <w:r w:rsidR="00591FD4" w:rsidRPr="00882558">
        <w:rPr>
          <w:rFonts w:cs="Times New Roman"/>
          <w:color w:val="000000" w:themeColor="text1"/>
        </w:rPr>
        <w:t>for example</w:t>
      </w:r>
      <w:r w:rsidRPr="00882558">
        <w:rPr>
          <w:rFonts w:cs="Times New Roman"/>
          <w:color w:val="000000" w:themeColor="text1"/>
        </w:rPr>
        <w:t>, decisions of ecological expertise, records of past performance and violations of environmental regulations</w:t>
      </w:r>
      <w:r w:rsidR="00591FD4" w:rsidRPr="00882558">
        <w:rPr>
          <w:rFonts w:cs="Times New Roman"/>
          <w:color w:val="000000" w:themeColor="text1"/>
        </w:rPr>
        <w:t>, and so forth</w:t>
      </w:r>
      <w:r w:rsidRPr="00882558">
        <w:rPr>
          <w:rFonts w:cs="Times New Roman"/>
          <w:color w:val="000000" w:themeColor="text1"/>
        </w:rPr>
        <w:t>).</w:t>
      </w:r>
    </w:p>
    <w:p w14:paraId="71F15F6E" w14:textId="77777777" w:rsidR="000B7923" w:rsidRPr="00882558" w:rsidRDefault="000B7923" w:rsidP="00E83690">
      <w:pPr>
        <w:rPr>
          <w:rFonts w:cs="Times New Roman"/>
          <w:color w:val="000000" w:themeColor="text1"/>
        </w:rPr>
      </w:pPr>
    </w:p>
    <w:p w14:paraId="53E6E11E"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Another issue is cooperation between departments of OSA and oblast branches of SEI. This cooperation was rather weak between oblast branches of MENR and SEI (</w:t>
      </w:r>
      <w:r w:rsidR="00591FD4" w:rsidRPr="00882558">
        <w:rPr>
          <w:rFonts w:cs="Times New Roman"/>
          <w:color w:val="000000" w:themeColor="text1"/>
        </w:rPr>
        <w:t>for example</w:t>
      </w:r>
      <w:r w:rsidRPr="00882558">
        <w:rPr>
          <w:rFonts w:cs="Times New Roman"/>
          <w:color w:val="000000" w:themeColor="text1"/>
        </w:rPr>
        <w:t xml:space="preserve">, there was no requirement that information about approved decision of ecological expertise or permits issued to enterprises by oblast branches of MENR was made known to SEI). Now cooperation becomes even more problematic because two agencies belong to different authorities (regional and national). </w:t>
      </w:r>
    </w:p>
    <w:p w14:paraId="5B5713F0" w14:textId="77777777" w:rsidR="000B7923" w:rsidRPr="00882558" w:rsidRDefault="000B7923" w:rsidP="00E83690">
      <w:pPr>
        <w:rPr>
          <w:rFonts w:cs="Times New Roman"/>
          <w:color w:val="000000" w:themeColor="text1"/>
        </w:rPr>
      </w:pPr>
    </w:p>
    <w:p w14:paraId="36A4C870"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The Provision about State Environmental Monitoring System, adopted by the CMU in 1998 and updated in 2013 refers to collaboration between different stakeholders regarding monitoring information, however, there is no clear responsibilities and enforcement between the state bodies at national and regional levels, particular in case of last administrative reforms and review of functions between different organizations in environmental sphere;</w:t>
      </w:r>
    </w:p>
    <w:p w14:paraId="6AAA39E4" w14:textId="77777777" w:rsidR="000B7923" w:rsidRPr="00882558" w:rsidRDefault="000B7923" w:rsidP="00E83690">
      <w:pPr>
        <w:rPr>
          <w:rFonts w:cs="Times New Roman"/>
          <w:color w:val="000000" w:themeColor="text1"/>
        </w:rPr>
      </w:pPr>
    </w:p>
    <w:p w14:paraId="1F7BCB6D" w14:textId="77777777" w:rsidR="000B7923" w:rsidRPr="00882558" w:rsidRDefault="000B7923" w:rsidP="00E83690">
      <w:pPr>
        <w:rPr>
          <w:rFonts w:cs="Times New Roman"/>
          <w:i/>
          <w:iCs/>
          <w:color w:val="000000" w:themeColor="text1"/>
        </w:rPr>
      </w:pPr>
      <w:r w:rsidRPr="00882558">
        <w:rPr>
          <w:rFonts w:cs="Times New Roman"/>
          <w:i/>
          <w:iCs/>
          <w:color w:val="000000" w:themeColor="text1"/>
        </w:rPr>
        <w:t>Moratorium on Inspections</w:t>
      </w:r>
    </w:p>
    <w:p w14:paraId="6B37E824" w14:textId="77777777" w:rsidR="000B7923" w:rsidRPr="00882558" w:rsidRDefault="000B7923" w:rsidP="00E83690">
      <w:pPr>
        <w:rPr>
          <w:rFonts w:cs="Times New Roman"/>
          <w:color w:val="000000" w:themeColor="text1"/>
        </w:rPr>
      </w:pPr>
    </w:p>
    <w:p w14:paraId="5AD19B39" w14:textId="150F407C" w:rsidR="000B7923" w:rsidRPr="00882558" w:rsidRDefault="000B7923" w:rsidP="00B76BDA">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In August 2014, the Cabinet of Ministers of Ukraine imposed a moratorium on inspections of the enterprises and organizations by the State Inspections till the end of year: inspections may only be carried out based on a court decision</w:t>
      </w:r>
      <w:r w:rsidR="00DD6773" w:rsidRPr="00882558">
        <w:rPr>
          <w:rFonts w:cs="Times New Roman"/>
          <w:color w:val="000000" w:themeColor="text1"/>
        </w:rPr>
        <w:t>.</w:t>
      </w:r>
      <w:r w:rsidRPr="00882558">
        <w:rPr>
          <w:rStyle w:val="FootnoteReference"/>
          <w:color w:val="000000" w:themeColor="text1"/>
        </w:rPr>
        <w:footnoteReference w:id="12"/>
      </w:r>
      <w:r w:rsidRPr="00882558">
        <w:rPr>
          <w:rFonts w:cs="Times New Roman"/>
          <w:color w:val="000000" w:themeColor="text1"/>
        </w:rPr>
        <w:t xml:space="preserve"> Later, the Law of Ukraine</w:t>
      </w:r>
      <w:r w:rsidRPr="00882558">
        <w:rPr>
          <w:rStyle w:val="FootnoteReference"/>
          <w:color w:val="000000" w:themeColor="text1"/>
        </w:rPr>
        <w:footnoteReference w:id="13"/>
      </w:r>
      <w:r w:rsidRPr="00882558">
        <w:rPr>
          <w:rFonts w:cs="Times New Roman"/>
          <w:color w:val="000000" w:themeColor="text1"/>
        </w:rPr>
        <w:t xml:space="preserve"> </w:t>
      </w:r>
      <w:r w:rsidR="00DD6773" w:rsidRPr="00882558">
        <w:rPr>
          <w:rFonts w:cs="Times New Roman"/>
          <w:color w:val="000000" w:themeColor="text1"/>
        </w:rPr>
        <w:t xml:space="preserve">established </w:t>
      </w:r>
      <w:r w:rsidRPr="00882558">
        <w:rPr>
          <w:rFonts w:cs="Times New Roman"/>
          <w:color w:val="000000" w:themeColor="text1"/>
        </w:rPr>
        <w:t xml:space="preserve">that inspections of enterprises during </w:t>
      </w:r>
      <w:r w:rsidRPr="00882558">
        <w:rPr>
          <w:rFonts w:cs="Times New Roman"/>
          <w:color w:val="000000" w:themeColor="text1"/>
        </w:rPr>
        <w:lastRenderedPageBreak/>
        <w:t>January</w:t>
      </w:r>
      <w:r w:rsidR="004A6AAF" w:rsidRPr="00882558">
        <w:rPr>
          <w:rFonts w:cs="Times New Roman"/>
          <w:color w:val="000000" w:themeColor="text1"/>
        </w:rPr>
        <w:t>–</w:t>
      </w:r>
      <w:r w:rsidRPr="00882558">
        <w:rPr>
          <w:rFonts w:cs="Times New Roman"/>
          <w:color w:val="000000" w:themeColor="text1"/>
        </w:rPr>
        <w:t xml:space="preserve">June 2015 could be conducted only </w:t>
      </w:r>
      <w:r w:rsidR="00DD6773" w:rsidRPr="00882558">
        <w:rPr>
          <w:rFonts w:cs="Times New Roman"/>
          <w:color w:val="000000" w:themeColor="text1"/>
        </w:rPr>
        <w:t xml:space="preserve">with CMU’s </w:t>
      </w:r>
      <w:r w:rsidRPr="00882558">
        <w:rPr>
          <w:rFonts w:cs="Times New Roman"/>
          <w:color w:val="000000" w:themeColor="text1"/>
        </w:rPr>
        <w:t xml:space="preserve">permission or </w:t>
      </w:r>
      <w:r w:rsidR="00DD6773" w:rsidRPr="00882558">
        <w:rPr>
          <w:rFonts w:cs="Times New Roman"/>
          <w:color w:val="000000" w:themeColor="text1"/>
        </w:rPr>
        <w:t xml:space="preserve">by </w:t>
      </w:r>
      <w:r w:rsidRPr="00882558">
        <w:rPr>
          <w:rFonts w:cs="Times New Roman"/>
          <w:color w:val="000000" w:themeColor="text1"/>
        </w:rPr>
        <w:t xml:space="preserve">request of the enterprise. These changes </w:t>
      </w:r>
      <w:r w:rsidR="00E479B5" w:rsidRPr="00882558">
        <w:rPr>
          <w:rFonts w:cs="Times New Roman"/>
          <w:color w:val="000000" w:themeColor="text1"/>
        </w:rPr>
        <w:t>affect</w:t>
      </w:r>
      <w:r w:rsidRPr="00882558">
        <w:rPr>
          <w:rFonts w:cs="Times New Roman"/>
          <w:color w:val="000000" w:themeColor="text1"/>
        </w:rPr>
        <w:t xml:space="preserve"> the work of the State Ecological </w:t>
      </w:r>
      <w:r w:rsidR="00A80CE6" w:rsidRPr="00882558">
        <w:rPr>
          <w:rFonts w:cs="Times New Roman"/>
          <w:color w:val="000000" w:themeColor="text1"/>
        </w:rPr>
        <w:t>Inspectorate</w:t>
      </w:r>
      <w:r w:rsidRPr="00882558">
        <w:rPr>
          <w:rFonts w:cs="Times New Roman"/>
          <w:color w:val="000000" w:themeColor="text1"/>
        </w:rPr>
        <w:t xml:space="preserve">, which does not have right to inspect enterprises for their adherence to environmental standards. </w:t>
      </w:r>
    </w:p>
    <w:p w14:paraId="363CB425" w14:textId="77777777" w:rsidR="000B7923" w:rsidRPr="00882558" w:rsidRDefault="000B7923" w:rsidP="00E83690">
      <w:pPr>
        <w:rPr>
          <w:rFonts w:cs="Times New Roman"/>
          <w:color w:val="000000" w:themeColor="text1"/>
        </w:rPr>
      </w:pPr>
    </w:p>
    <w:p w14:paraId="51D7D27F" w14:textId="77777777" w:rsidR="000B7923" w:rsidRPr="00882558" w:rsidRDefault="000B7923" w:rsidP="00E83690">
      <w:pPr>
        <w:rPr>
          <w:rFonts w:cs="Times New Roman"/>
          <w:i/>
          <w:iCs/>
          <w:color w:val="000000" w:themeColor="text1"/>
        </w:rPr>
      </w:pPr>
      <w:r w:rsidRPr="00882558">
        <w:rPr>
          <w:rFonts w:cs="Times New Roman"/>
          <w:i/>
          <w:iCs/>
          <w:color w:val="000000" w:themeColor="text1"/>
        </w:rPr>
        <w:t>Collaboration</w:t>
      </w:r>
    </w:p>
    <w:p w14:paraId="5FB330EB" w14:textId="77777777" w:rsidR="000B7923" w:rsidRPr="00882558" w:rsidRDefault="000B7923" w:rsidP="00E83690">
      <w:pPr>
        <w:rPr>
          <w:rFonts w:cs="Times New Roman"/>
          <w:color w:val="000000" w:themeColor="text1"/>
        </w:rPr>
      </w:pPr>
    </w:p>
    <w:p w14:paraId="78689EF4" w14:textId="77777777" w:rsidR="000B7923" w:rsidRPr="00882558" w:rsidRDefault="000B7923" w:rsidP="00F55709">
      <w:pPr>
        <w:pStyle w:val="ListParagraph"/>
        <w:numPr>
          <w:ilvl w:val="0"/>
          <w:numId w:val="68"/>
        </w:numPr>
        <w:tabs>
          <w:tab w:val="left" w:pos="360"/>
        </w:tabs>
        <w:ind w:left="0" w:firstLine="0"/>
        <w:rPr>
          <w:rFonts w:cs="Times New Roman"/>
          <w:color w:val="000000" w:themeColor="text1"/>
        </w:rPr>
      </w:pPr>
      <w:r w:rsidRPr="00882558">
        <w:rPr>
          <w:rFonts w:cs="Times New Roman"/>
          <w:color w:val="000000" w:themeColor="text1"/>
        </w:rPr>
        <w:t>Collaboration between ministries, agencies</w:t>
      </w:r>
      <w:r w:rsidR="00DD6773" w:rsidRPr="00882558">
        <w:rPr>
          <w:rFonts w:cs="Times New Roman"/>
          <w:color w:val="000000" w:themeColor="text1"/>
        </w:rPr>
        <w:t>,</w:t>
      </w:r>
      <w:r w:rsidRPr="00882558">
        <w:rPr>
          <w:rFonts w:cs="Times New Roman"/>
          <w:color w:val="000000" w:themeColor="text1"/>
        </w:rPr>
        <w:t xml:space="preserve"> and other state organizations is mostly conducted by the use of established intergovernmental commissions, working groups in different issues, participation in the round tables, joint conferences and events as well as by the official correspondence (request of information, agreement a draft law</w:t>
      </w:r>
      <w:r w:rsidR="00591FD4" w:rsidRPr="00882558">
        <w:rPr>
          <w:rFonts w:cs="Times New Roman"/>
          <w:color w:val="000000" w:themeColor="text1"/>
        </w:rPr>
        <w:t>, and so forth</w:t>
      </w:r>
      <w:r w:rsidRPr="00882558">
        <w:rPr>
          <w:rFonts w:cs="Times New Roman"/>
          <w:color w:val="000000" w:themeColor="text1"/>
        </w:rPr>
        <w:t>)</w:t>
      </w:r>
      <w:r w:rsidR="00810F73" w:rsidRPr="00882558">
        <w:rPr>
          <w:rFonts w:cs="Times New Roman"/>
          <w:color w:val="000000" w:themeColor="text1"/>
        </w:rPr>
        <w:t xml:space="preserve"> and informal contacts</w:t>
      </w:r>
      <w:r w:rsidRPr="00882558">
        <w:rPr>
          <w:rFonts w:cs="Times New Roman"/>
          <w:color w:val="000000" w:themeColor="text1"/>
        </w:rPr>
        <w:t xml:space="preserve">. For the purpose of coordination and collaboration on environmental monitoring between all stakeholders, in 2001 the Interagency Commission on Environmental Monitoring was established by the CMU’s decree. However, this Commission was liquidated in 2010. </w:t>
      </w:r>
    </w:p>
    <w:p w14:paraId="60A6F2F2" w14:textId="77777777" w:rsidR="000B7923" w:rsidRPr="00882558" w:rsidRDefault="000B7923" w:rsidP="00E83690">
      <w:pPr>
        <w:rPr>
          <w:rFonts w:cs="Times New Roman"/>
          <w:color w:val="000000" w:themeColor="text1"/>
        </w:rPr>
      </w:pPr>
    </w:p>
    <w:p w14:paraId="7FC314F0" w14:textId="77777777" w:rsidR="000B7923" w:rsidRDefault="000B7923" w:rsidP="00F55709">
      <w:pPr>
        <w:pStyle w:val="ListParagraph"/>
        <w:numPr>
          <w:ilvl w:val="0"/>
          <w:numId w:val="68"/>
        </w:numPr>
        <w:tabs>
          <w:tab w:val="left" w:pos="360"/>
        </w:tabs>
        <w:ind w:left="0" w:firstLine="0"/>
        <w:rPr>
          <w:rFonts w:cs="Times New Roman"/>
          <w:color w:val="000000"/>
        </w:rPr>
      </w:pPr>
      <w:r w:rsidRPr="00882558">
        <w:rPr>
          <w:rFonts w:cs="Times New Roman"/>
          <w:color w:val="000000" w:themeColor="text1"/>
        </w:rPr>
        <w:t xml:space="preserve">The MENR concluded bilateral agreements with other ministries and agencies (for instance, with the State Service of Emergency Situations, Ministry of Regional Development, Construction, Housing and Communal Services, State Agency for Water Resources) and developed relevant regulations of information exchange between </w:t>
      </w:r>
      <w:r w:rsidRPr="002B1DFC">
        <w:rPr>
          <w:rFonts w:cs="Times New Roman"/>
          <w:color w:val="000000"/>
        </w:rPr>
        <w:t>the stakeholders. MENR gathers all information, which is passed to the Information Analytical Center (IAC) of the MENR</w:t>
      </w:r>
      <w:r w:rsidR="00E479B5">
        <w:rPr>
          <w:rFonts w:cs="Times New Roman"/>
          <w:color w:val="000000"/>
        </w:rPr>
        <w:t>.</w:t>
      </w:r>
      <w:r w:rsidRPr="002B1DFC">
        <w:rPr>
          <w:rStyle w:val="FootnoteReference"/>
          <w:color w:val="000000"/>
        </w:rPr>
        <w:footnoteReference w:id="14"/>
      </w:r>
      <w:r w:rsidRPr="002B1DFC">
        <w:rPr>
          <w:rFonts w:cs="Times New Roman"/>
          <w:color w:val="000000"/>
        </w:rPr>
        <w:t xml:space="preserve"> Based on the received data, the </w:t>
      </w:r>
      <w:r w:rsidR="005A1195">
        <w:rPr>
          <w:rFonts w:cs="Times New Roman"/>
          <w:color w:val="000000"/>
        </w:rPr>
        <w:t>ministry</w:t>
      </w:r>
      <w:r w:rsidRPr="002B1DFC">
        <w:rPr>
          <w:rFonts w:cs="Times New Roman"/>
          <w:color w:val="000000"/>
        </w:rPr>
        <w:t xml:space="preserve"> issues the information-analytical overview “Environmental Conditions in Ukraine” and publishe</w:t>
      </w:r>
      <w:r w:rsidR="00E479B5">
        <w:rPr>
          <w:rFonts w:cs="Times New Roman"/>
          <w:color w:val="000000"/>
        </w:rPr>
        <w:t>s</w:t>
      </w:r>
      <w:r w:rsidRPr="002B1DFC">
        <w:rPr>
          <w:rFonts w:cs="Times New Roman"/>
          <w:color w:val="000000"/>
        </w:rPr>
        <w:t xml:space="preserve"> it on MENR’s </w:t>
      </w:r>
      <w:r w:rsidR="00E479B5">
        <w:rPr>
          <w:rFonts w:cs="Times New Roman"/>
          <w:color w:val="000000"/>
        </w:rPr>
        <w:t>W</w:t>
      </w:r>
      <w:r w:rsidRPr="002B1DFC">
        <w:rPr>
          <w:rFonts w:cs="Times New Roman"/>
          <w:color w:val="000000"/>
        </w:rPr>
        <w:t>eb</w:t>
      </w:r>
      <w:r w:rsidR="00E479B5">
        <w:rPr>
          <w:rFonts w:cs="Times New Roman"/>
          <w:color w:val="000000"/>
        </w:rPr>
        <w:t xml:space="preserve"> </w:t>
      </w:r>
      <w:r w:rsidRPr="002B1DFC">
        <w:rPr>
          <w:rFonts w:cs="Times New Roman"/>
          <w:color w:val="000000"/>
        </w:rPr>
        <w:t xml:space="preserve">site. Unfortunately, access to the IAC’s information for </w:t>
      </w:r>
      <w:r w:rsidR="00E479B5">
        <w:rPr>
          <w:rFonts w:cs="Times New Roman"/>
          <w:color w:val="000000"/>
        </w:rPr>
        <w:t xml:space="preserve">the </w:t>
      </w:r>
      <w:r w:rsidRPr="002B1DFC">
        <w:rPr>
          <w:rFonts w:cs="Times New Roman"/>
          <w:color w:val="000000"/>
        </w:rPr>
        <w:t>public is limited and require</w:t>
      </w:r>
      <w:r w:rsidR="00E479B5">
        <w:rPr>
          <w:rFonts w:cs="Times New Roman"/>
          <w:color w:val="000000"/>
        </w:rPr>
        <w:t>s</w:t>
      </w:r>
      <w:r w:rsidRPr="002B1DFC">
        <w:rPr>
          <w:rFonts w:cs="Times New Roman"/>
          <w:color w:val="000000"/>
        </w:rPr>
        <w:t xml:space="preserve"> receiving </w:t>
      </w:r>
      <w:r w:rsidR="00E479B5">
        <w:rPr>
          <w:rFonts w:cs="Times New Roman"/>
          <w:color w:val="000000"/>
        </w:rPr>
        <w:t xml:space="preserve">a </w:t>
      </w:r>
      <w:r w:rsidRPr="002B1DFC">
        <w:rPr>
          <w:rFonts w:cs="Times New Roman"/>
          <w:color w:val="000000"/>
        </w:rPr>
        <w:t>login and password. Additionally, IAC’s functioning and issu</w:t>
      </w:r>
      <w:r w:rsidR="00E479B5">
        <w:rPr>
          <w:rFonts w:cs="Times New Roman"/>
          <w:color w:val="000000"/>
        </w:rPr>
        <w:t>ance of</w:t>
      </w:r>
      <w:r w:rsidRPr="002B1DFC">
        <w:rPr>
          <w:rFonts w:cs="Times New Roman"/>
          <w:color w:val="000000"/>
        </w:rPr>
        <w:t xml:space="preserve"> the information-analytical overview depends on </w:t>
      </w:r>
      <w:r w:rsidR="00E479B5">
        <w:rPr>
          <w:rFonts w:cs="Times New Roman"/>
          <w:color w:val="000000"/>
        </w:rPr>
        <w:t xml:space="preserve">the </w:t>
      </w:r>
      <w:r w:rsidRPr="002B1DFC">
        <w:rPr>
          <w:rFonts w:cs="Times New Roman"/>
          <w:color w:val="000000"/>
        </w:rPr>
        <w:t xml:space="preserve">availability of </w:t>
      </w:r>
      <w:r w:rsidR="00E479B5">
        <w:rPr>
          <w:rFonts w:cs="Times New Roman"/>
          <w:color w:val="000000"/>
        </w:rPr>
        <w:t>funding</w:t>
      </w:r>
      <w:r w:rsidR="00E479B5" w:rsidRPr="002B1DFC">
        <w:rPr>
          <w:rFonts w:cs="Times New Roman"/>
          <w:color w:val="000000"/>
        </w:rPr>
        <w:t xml:space="preserve"> </w:t>
      </w:r>
      <w:r w:rsidRPr="002B1DFC">
        <w:rPr>
          <w:rFonts w:cs="Times New Roman"/>
          <w:color w:val="000000"/>
        </w:rPr>
        <w:t xml:space="preserve">to support this activity. Thus, the IAC’s </w:t>
      </w:r>
      <w:r w:rsidR="00591FD4">
        <w:rPr>
          <w:rFonts w:cs="Times New Roman"/>
          <w:color w:val="000000"/>
        </w:rPr>
        <w:t>Web site</w:t>
      </w:r>
      <w:r w:rsidRPr="002B1DFC">
        <w:rPr>
          <w:rFonts w:cs="Times New Roman"/>
          <w:color w:val="000000"/>
        </w:rPr>
        <w:t xml:space="preserve"> was </w:t>
      </w:r>
      <w:r w:rsidR="00E479B5">
        <w:rPr>
          <w:rFonts w:cs="Times New Roman"/>
          <w:color w:val="000000"/>
        </w:rPr>
        <w:t>last updated</w:t>
      </w:r>
      <w:r w:rsidR="00E479B5" w:rsidRPr="002B1DFC">
        <w:rPr>
          <w:rFonts w:cs="Times New Roman"/>
          <w:color w:val="000000"/>
        </w:rPr>
        <w:t xml:space="preserve"> </w:t>
      </w:r>
      <w:r w:rsidRPr="002B1DFC">
        <w:rPr>
          <w:rFonts w:cs="Times New Roman"/>
          <w:color w:val="000000"/>
        </w:rPr>
        <w:t xml:space="preserve">in July 2014, and the last information-analytical overview “Environmental Conditions in Ukraine” was published on MENR’s </w:t>
      </w:r>
      <w:r w:rsidR="00E479B5">
        <w:rPr>
          <w:rFonts w:cs="Times New Roman"/>
          <w:color w:val="000000"/>
        </w:rPr>
        <w:t>W</w:t>
      </w:r>
      <w:r w:rsidRPr="002B1DFC">
        <w:rPr>
          <w:rFonts w:cs="Times New Roman"/>
          <w:color w:val="000000"/>
        </w:rPr>
        <w:t>eb</w:t>
      </w:r>
      <w:r w:rsidR="00E479B5">
        <w:rPr>
          <w:rFonts w:cs="Times New Roman"/>
          <w:color w:val="000000"/>
        </w:rPr>
        <w:t xml:space="preserve"> </w:t>
      </w:r>
      <w:r w:rsidRPr="002B1DFC">
        <w:rPr>
          <w:rFonts w:cs="Times New Roman"/>
          <w:color w:val="000000"/>
        </w:rPr>
        <w:t xml:space="preserve">site for the first quarter </w:t>
      </w:r>
      <w:r w:rsidR="004A6AAF">
        <w:rPr>
          <w:rFonts w:cs="Times New Roman"/>
          <w:color w:val="000000"/>
        </w:rPr>
        <w:t xml:space="preserve">of </w:t>
      </w:r>
      <w:r w:rsidRPr="002B1DFC">
        <w:rPr>
          <w:rFonts w:cs="Times New Roman"/>
          <w:color w:val="000000"/>
        </w:rPr>
        <w:t xml:space="preserve">2013. </w:t>
      </w:r>
    </w:p>
    <w:p w14:paraId="7A073205" w14:textId="77777777" w:rsidR="00DC2622" w:rsidRPr="002B1DFC" w:rsidRDefault="00DC2622" w:rsidP="00E83690">
      <w:pPr>
        <w:rPr>
          <w:rFonts w:cs="Times New Roman"/>
          <w:color w:val="000000"/>
        </w:rPr>
      </w:pPr>
    </w:p>
    <w:p w14:paraId="0116ED52" w14:textId="77777777" w:rsidR="000B7923" w:rsidRPr="002B1DFC" w:rsidRDefault="000B7923" w:rsidP="002562D6">
      <w:pPr>
        <w:pStyle w:val="Heading2"/>
        <w:tabs>
          <w:tab w:val="clear" w:pos="576"/>
          <w:tab w:val="num" w:pos="540"/>
        </w:tabs>
        <w:ind w:left="0" w:firstLine="0"/>
      </w:pPr>
      <w:bookmarkStart w:id="98" w:name="_Toc433625801"/>
      <w:bookmarkStart w:id="99" w:name="_Toc440273973"/>
      <w:r w:rsidRPr="002B1DFC">
        <w:t>Environmental Permits and Licensing</w:t>
      </w:r>
      <w:bookmarkEnd w:id="98"/>
      <w:bookmarkEnd w:id="99"/>
    </w:p>
    <w:p w14:paraId="679B0DDF" w14:textId="77777777" w:rsidR="000B7923" w:rsidRPr="002B1DFC" w:rsidRDefault="000B7923" w:rsidP="00E83690">
      <w:pPr>
        <w:rPr>
          <w:rFonts w:cs="Times New Roman"/>
        </w:rPr>
      </w:pPr>
      <w:r w:rsidRPr="002B1DFC">
        <w:rPr>
          <w:rFonts w:cs="Times New Roman"/>
        </w:rPr>
        <w:t xml:space="preserve"> </w:t>
      </w:r>
    </w:p>
    <w:p w14:paraId="42700EDC"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Environmental licensing system in Ukraine is characterized by a large number of permits that are issued by government authorities. </w:t>
      </w:r>
    </w:p>
    <w:p w14:paraId="5FF6F3F9" w14:textId="77777777" w:rsidR="000B7923" w:rsidRPr="002B1DFC" w:rsidRDefault="000B7923" w:rsidP="00723F3B">
      <w:pPr>
        <w:rPr>
          <w:rFonts w:cs="Times New Roman"/>
        </w:rPr>
      </w:pPr>
    </w:p>
    <w:p w14:paraId="1FFA806F"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Key permits include</w:t>
      </w:r>
      <w:r w:rsidR="007A6CC1">
        <w:rPr>
          <w:rFonts w:cs="Times New Roman"/>
        </w:rPr>
        <w:t xml:space="preserve"> the following</w:t>
      </w:r>
      <w:r w:rsidRPr="002B1DFC">
        <w:rPr>
          <w:rFonts w:cs="Times New Roman"/>
        </w:rPr>
        <w:t xml:space="preserve">: </w:t>
      </w:r>
    </w:p>
    <w:p w14:paraId="681DE828" w14:textId="77777777" w:rsidR="000B7923" w:rsidRPr="002B1DFC" w:rsidRDefault="000B7923" w:rsidP="00B83095">
      <w:pPr>
        <w:pStyle w:val="ListParagraph"/>
        <w:numPr>
          <w:ilvl w:val="0"/>
          <w:numId w:val="16"/>
        </w:numPr>
        <w:rPr>
          <w:rFonts w:cs="Times New Roman"/>
        </w:rPr>
      </w:pPr>
      <w:r w:rsidRPr="002B1DFC">
        <w:rPr>
          <w:rFonts w:cs="Times New Roman"/>
        </w:rPr>
        <w:t>Permit for the development of standards for the emission of pollutants from stationary sources;</w:t>
      </w:r>
    </w:p>
    <w:p w14:paraId="5E602B75" w14:textId="77777777" w:rsidR="000B7923" w:rsidRPr="002B1DFC" w:rsidRDefault="000B7923" w:rsidP="00B83095">
      <w:pPr>
        <w:pStyle w:val="ListParagraph"/>
        <w:numPr>
          <w:ilvl w:val="0"/>
          <w:numId w:val="16"/>
        </w:numPr>
        <w:rPr>
          <w:rFonts w:cs="Times New Roman"/>
        </w:rPr>
      </w:pPr>
      <w:r w:rsidRPr="002B1DFC">
        <w:rPr>
          <w:rFonts w:cs="Times New Roman"/>
        </w:rPr>
        <w:t xml:space="preserve">Permit for the emissions of pollutants from stationary sources to atmospheric air; </w:t>
      </w:r>
    </w:p>
    <w:p w14:paraId="2A701B0C" w14:textId="77777777" w:rsidR="000B7923" w:rsidRPr="002B1DFC" w:rsidRDefault="000B7923" w:rsidP="00B83095">
      <w:pPr>
        <w:pStyle w:val="ListParagraph"/>
        <w:numPr>
          <w:ilvl w:val="0"/>
          <w:numId w:val="16"/>
        </w:numPr>
        <w:rPr>
          <w:rFonts w:cs="Times New Roman"/>
        </w:rPr>
      </w:pPr>
      <w:r w:rsidRPr="002B1DFC">
        <w:rPr>
          <w:rFonts w:cs="Times New Roman"/>
        </w:rPr>
        <w:t xml:space="preserve">Permit for special water use; </w:t>
      </w:r>
    </w:p>
    <w:p w14:paraId="29CA5249" w14:textId="77777777" w:rsidR="000B7923" w:rsidRPr="002B1DFC" w:rsidRDefault="000B7923" w:rsidP="00B83095">
      <w:pPr>
        <w:pStyle w:val="ListParagraph"/>
        <w:numPr>
          <w:ilvl w:val="0"/>
          <w:numId w:val="16"/>
        </w:numPr>
        <w:rPr>
          <w:rFonts w:cs="Times New Roman"/>
        </w:rPr>
      </w:pPr>
      <w:r w:rsidRPr="002B1DFC">
        <w:rPr>
          <w:rFonts w:cs="Times New Roman"/>
        </w:rPr>
        <w:t xml:space="preserve">Permit for the development of pollution discharge limits in water bodies; </w:t>
      </w:r>
    </w:p>
    <w:p w14:paraId="523177DE" w14:textId="0E601DFB" w:rsidR="000B7923" w:rsidRPr="00882558" w:rsidRDefault="000B7923" w:rsidP="007B0BF5">
      <w:pPr>
        <w:pStyle w:val="ListParagraph"/>
        <w:numPr>
          <w:ilvl w:val="0"/>
          <w:numId w:val="16"/>
        </w:numPr>
        <w:rPr>
          <w:rFonts w:cs="Times New Roman"/>
        </w:rPr>
      </w:pPr>
      <w:r w:rsidRPr="00882558">
        <w:rPr>
          <w:rFonts w:cs="Times New Roman"/>
        </w:rPr>
        <w:t>Permit for waste storage and utilization</w:t>
      </w:r>
      <w:r w:rsidR="007A6CC1" w:rsidRPr="00882558">
        <w:rPr>
          <w:rFonts w:cs="Times New Roman"/>
        </w:rPr>
        <w:t>;</w:t>
      </w:r>
      <w:r w:rsidRPr="00882558">
        <w:rPr>
          <w:rFonts w:cs="Times New Roman"/>
        </w:rPr>
        <w:t xml:space="preserve"> and others. </w:t>
      </w:r>
    </w:p>
    <w:p w14:paraId="4ED05F1B" w14:textId="77777777" w:rsidR="000B7923" w:rsidRPr="002B1DFC" w:rsidRDefault="000B7923" w:rsidP="00EC1B5C">
      <w:pPr>
        <w:rPr>
          <w:rFonts w:cs="Times New Roman"/>
        </w:rPr>
      </w:pPr>
    </w:p>
    <w:p w14:paraId="2ADD7862"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In total, 59,219 permits were issued by the MENR and its regional departments (which are liquidated now) for special use of natural resources in 2012</w:t>
      </w:r>
      <w:r w:rsidR="002B327E">
        <w:rPr>
          <w:rFonts w:cs="Times New Roman"/>
        </w:rPr>
        <w:t xml:space="preserve"> (MENR 2013a)</w:t>
      </w:r>
      <w:r w:rsidR="007A6CC1">
        <w:rPr>
          <w:rFonts w:cs="Times New Roman"/>
        </w:rPr>
        <w:t>.</w:t>
      </w:r>
      <w:r w:rsidRPr="002B1DFC">
        <w:rPr>
          <w:rFonts w:cs="Times New Roman"/>
        </w:rPr>
        <w:t xml:space="preserve">  </w:t>
      </w:r>
    </w:p>
    <w:p w14:paraId="0D601ED2" w14:textId="77777777" w:rsidR="000B7923" w:rsidRPr="002B1DFC" w:rsidRDefault="000B7923" w:rsidP="00EC1B5C">
      <w:pPr>
        <w:rPr>
          <w:rFonts w:cs="Times New Roman"/>
        </w:rPr>
      </w:pPr>
    </w:p>
    <w:p w14:paraId="3B8B2240" w14:textId="77777777" w:rsidR="00DC2622" w:rsidRDefault="000B7923" w:rsidP="00F55709">
      <w:pPr>
        <w:pStyle w:val="ListParagraph"/>
        <w:numPr>
          <w:ilvl w:val="0"/>
          <w:numId w:val="68"/>
        </w:numPr>
        <w:tabs>
          <w:tab w:val="left" w:pos="360"/>
        </w:tabs>
        <w:ind w:left="0" w:firstLine="0"/>
        <w:rPr>
          <w:rFonts w:cs="Times New Roman"/>
        </w:rPr>
      </w:pPr>
      <w:r w:rsidRPr="002B1DFC">
        <w:rPr>
          <w:rFonts w:cs="Times New Roman"/>
          <w:i/>
          <w:iCs/>
        </w:rPr>
        <w:t>Environmental Permits and Licensing at the Oblast Level</w:t>
      </w:r>
      <w:r w:rsidRPr="002B1DFC">
        <w:rPr>
          <w:rFonts w:cs="Times New Roman"/>
        </w:rPr>
        <w:t xml:space="preserve">: By the </w:t>
      </w:r>
      <w:r w:rsidR="00E479B5">
        <w:rPr>
          <w:rFonts w:cs="Times New Roman"/>
        </w:rPr>
        <w:t>L</w:t>
      </w:r>
      <w:r w:rsidRPr="002B1DFC">
        <w:rPr>
          <w:rFonts w:cs="Times New Roman"/>
        </w:rPr>
        <w:t xml:space="preserve">aw </w:t>
      </w:r>
      <w:r w:rsidR="00E479B5">
        <w:rPr>
          <w:rFonts w:cs="Times New Roman"/>
        </w:rPr>
        <w:t>N</w:t>
      </w:r>
      <w:r w:rsidRPr="002B1DFC">
        <w:rPr>
          <w:rFonts w:cs="Times New Roman"/>
        </w:rPr>
        <w:t>o.</w:t>
      </w:r>
      <w:r w:rsidR="00E479B5">
        <w:rPr>
          <w:rFonts w:cs="Times New Roman"/>
        </w:rPr>
        <w:t xml:space="preserve"> </w:t>
      </w:r>
      <w:r w:rsidRPr="002B1DFC">
        <w:rPr>
          <w:rFonts w:cs="Times New Roman"/>
        </w:rPr>
        <w:t xml:space="preserve">5460-VI of </w:t>
      </w:r>
      <w:r w:rsidR="00D60574">
        <w:rPr>
          <w:rFonts w:cs="Times New Roman"/>
        </w:rPr>
        <w:t xml:space="preserve">October 16, </w:t>
      </w:r>
      <w:r w:rsidRPr="002B1DFC">
        <w:rPr>
          <w:rFonts w:cs="Times New Roman"/>
        </w:rPr>
        <w:t>2012</w:t>
      </w:r>
      <w:r w:rsidR="00E479B5">
        <w:rPr>
          <w:rFonts w:cs="Times New Roman"/>
        </w:rPr>
        <w:t>,</w:t>
      </w:r>
      <w:r w:rsidRPr="002B1DFC">
        <w:rPr>
          <w:rFonts w:cs="Times New Roman"/>
        </w:rPr>
        <w:t xml:space="preserve"> responsibilities for environmental permits were divided </w:t>
      </w:r>
      <w:r w:rsidR="00E479B5" w:rsidRPr="002B1DFC">
        <w:rPr>
          <w:rFonts w:cs="Times New Roman"/>
        </w:rPr>
        <w:t>between</w:t>
      </w:r>
      <w:r w:rsidR="00E479B5">
        <w:rPr>
          <w:rFonts w:cs="Times New Roman"/>
        </w:rPr>
        <w:t xml:space="preserve"> the </w:t>
      </w:r>
      <w:r w:rsidRPr="002B1DFC">
        <w:rPr>
          <w:rFonts w:cs="Times New Roman"/>
        </w:rPr>
        <w:t xml:space="preserve">central government and </w:t>
      </w:r>
      <w:r w:rsidR="00E479B5">
        <w:rPr>
          <w:rFonts w:cs="Times New Roman"/>
        </w:rPr>
        <w:t xml:space="preserve">OSA </w:t>
      </w:r>
      <w:r w:rsidRPr="002B1DFC">
        <w:rPr>
          <w:rFonts w:cs="Times New Roman"/>
        </w:rPr>
        <w:t>departments. Most environmental licensing functions remained with the central agency (</w:t>
      </w:r>
      <w:r w:rsidR="00346254">
        <w:rPr>
          <w:rFonts w:cs="Times New Roman"/>
        </w:rPr>
        <w:t>Art.</w:t>
      </w:r>
      <w:r w:rsidR="004A6AAF">
        <w:rPr>
          <w:rFonts w:cs="Times New Roman"/>
        </w:rPr>
        <w:t xml:space="preserve"> </w:t>
      </w:r>
      <w:r w:rsidRPr="002B1DFC">
        <w:rPr>
          <w:rFonts w:cs="Times New Roman"/>
        </w:rPr>
        <w:t>202). Central government also maintained the authority to cancel, by issuing a mandatory order (</w:t>
      </w:r>
      <w:proofErr w:type="spellStart"/>
      <w:r w:rsidRPr="002B1DFC">
        <w:rPr>
          <w:rFonts w:cs="Times New Roman"/>
          <w:i/>
        </w:rPr>
        <w:t>prypys</w:t>
      </w:r>
      <w:proofErr w:type="spellEnd"/>
      <w:r w:rsidRPr="002B1DFC">
        <w:rPr>
          <w:rFonts w:cs="Times New Roman"/>
        </w:rPr>
        <w:t xml:space="preserve">), any permit or license approved by regional authorities.  Table </w:t>
      </w:r>
      <w:r w:rsidR="005060F5">
        <w:rPr>
          <w:rFonts w:cs="Times New Roman"/>
        </w:rPr>
        <w:t>9</w:t>
      </w:r>
      <w:r w:rsidRPr="002B1DFC">
        <w:rPr>
          <w:rFonts w:cs="Times New Roman"/>
        </w:rPr>
        <w:t xml:space="preserve"> provides a list of permits / licenses within the realm of responsibility of the OSA environmental departments:</w:t>
      </w:r>
    </w:p>
    <w:p w14:paraId="63ADC16C" w14:textId="77777777" w:rsidR="000B7923" w:rsidRPr="002B1DFC" w:rsidRDefault="000B7923" w:rsidP="00076172">
      <w:pPr>
        <w:rPr>
          <w:rFonts w:cs="Times New Roman"/>
        </w:rPr>
      </w:pPr>
      <w:r w:rsidRPr="002B1DFC">
        <w:rPr>
          <w:rFonts w:cs="Times New Roman"/>
        </w:rPr>
        <w:t xml:space="preserve"> </w:t>
      </w:r>
    </w:p>
    <w:p w14:paraId="1BE233B6" w14:textId="77777777" w:rsidR="000B7923" w:rsidRPr="002B1DFC" w:rsidRDefault="000B7923" w:rsidP="00E80283">
      <w:pPr>
        <w:pStyle w:val="Caption"/>
        <w:rPr>
          <w:noProof w:val="0"/>
          <w:lang w:val="en-US"/>
        </w:rPr>
      </w:pPr>
      <w:bookmarkStart w:id="100" w:name="_Toc440274001"/>
      <w:r w:rsidRPr="002B1DFC">
        <w:rPr>
          <w:noProof w:val="0"/>
          <w:lang w:val="en-US"/>
        </w:rPr>
        <w:lastRenderedPageBreak/>
        <w:t xml:space="preserve">Table </w:t>
      </w:r>
      <w:r w:rsidRPr="002B1DFC">
        <w:rPr>
          <w:noProof w:val="0"/>
          <w:lang w:val="en-US"/>
        </w:rPr>
        <w:fldChar w:fldCharType="begin"/>
      </w:r>
      <w:r w:rsidRPr="002B1DFC">
        <w:rPr>
          <w:noProof w:val="0"/>
          <w:lang w:val="en-US"/>
        </w:rPr>
        <w:instrText xml:space="preserve"> SEQ Table \* ARABIC </w:instrText>
      </w:r>
      <w:r w:rsidRPr="002B1DFC">
        <w:rPr>
          <w:noProof w:val="0"/>
          <w:lang w:val="en-US"/>
        </w:rPr>
        <w:fldChar w:fldCharType="separate"/>
      </w:r>
      <w:r w:rsidR="00356D5F">
        <w:rPr>
          <w:lang w:val="en-US"/>
        </w:rPr>
        <w:t>9</w:t>
      </w:r>
      <w:r w:rsidRPr="002B1DFC">
        <w:rPr>
          <w:noProof w:val="0"/>
          <w:lang w:val="en-US"/>
        </w:rPr>
        <w:fldChar w:fldCharType="end"/>
      </w:r>
      <w:r w:rsidRPr="002B1DFC">
        <w:rPr>
          <w:noProof w:val="0"/>
          <w:lang w:val="en-US"/>
        </w:rPr>
        <w:t xml:space="preserve">. OSA Environment Departments </w:t>
      </w:r>
      <w:r w:rsidR="00DC2622">
        <w:rPr>
          <w:noProof w:val="0"/>
          <w:lang w:val="en-US"/>
        </w:rPr>
        <w:t>H</w:t>
      </w:r>
      <w:r w:rsidRPr="002B1DFC">
        <w:rPr>
          <w:noProof w:val="0"/>
          <w:lang w:val="en-US"/>
        </w:rPr>
        <w:t>ave Authority over the Following Tasks</w:t>
      </w:r>
      <w:bookmarkEnd w:id="100"/>
    </w:p>
    <w:tbl>
      <w:tblPr>
        <w:tblW w:w="5000" w:type="pct"/>
        <w:tblInd w:w="108" w:type="dxa"/>
        <w:tblBorders>
          <w:top w:val="single" w:sz="4" w:space="0" w:color="4F81BD"/>
          <w:left w:val="single" w:sz="4" w:space="0" w:color="4F81BD"/>
          <w:bottom w:val="single" w:sz="4" w:space="0" w:color="4F81BD"/>
          <w:right w:val="single" w:sz="4" w:space="0" w:color="4F81BD"/>
        </w:tblBorders>
        <w:tblLook w:val="0020" w:firstRow="1" w:lastRow="0" w:firstColumn="0" w:lastColumn="0" w:noHBand="0" w:noVBand="0"/>
      </w:tblPr>
      <w:tblGrid>
        <w:gridCol w:w="1688"/>
        <w:gridCol w:w="3830"/>
        <w:gridCol w:w="3832"/>
      </w:tblGrid>
      <w:tr w:rsidR="000B7923" w:rsidRPr="002B1DFC" w14:paraId="2B80265E" w14:textId="77777777">
        <w:tc>
          <w:tcPr>
            <w:tcW w:w="903" w:type="pct"/>
            <w:tcBorders>
              <w:top w:val="single" w:sz="4" w:space="0" w:color="4F81BD"/>
              <w:left w:val="single" w:sz="4" w:space="0" w:color="4F81BD"/>
            </w:tcBorders>
            <w:shd w:val="clear" w:color="auto" w:fill="4F81BD"/>
          </w:tcPr>
          <w:p w14:paraId="4FE6A109" w14:textId="77777777" w:rsidR="000B7923" w:rsidRPr="002B1DFC" w:rsidRDefault="000B7923" w:rsidP="00993845">
            <w:pPr>
              <w:rPr>
                <w:rFonts w:eastAsia="Times New Roman" w:cs="Times New Roman"/>
                <w:b/>
                <w:bCs/>
                <w:color w:val="FFFFFF"/>
              </w:rPr>
            </w:pPr>
            <w:r w:rsidRPr="002B1DFC">
              <w:rPr>
                <w:rFonts w:eastAsia="Times New Roman" w:cs="Times New Roman"/>
                <w:b/>
                <w:bCs/>
                <w:color w:val="FFFFFF"/>
              </w:rPr>
              <w:t>Issue</w:t>
            </w:r>
          </w:p>
        </w:tc>
        <w:tc>
          <w:tcPr>
            <w:tcW w:w="2048" w:type="pct"/>
            <w:tcBorders>
              <w:top w:val="single" w:sz="4" w:space="0" w:color="4F81BD"/>
            </w:tcBorders>
            <w:shd w:val="clear" w:color="auto" w:fill="4F81BD"/>
          </w:tcPr>
          <w:p w14:paraId="5DBCC0E4" w14:textId="77777777" w:rsidR="000B7923" w:rsidRPr="002B1DFC" w:rsidRDefault="000B7923" w:rsidP="002562D6">
            <w:pPr>
              <w:jc w:val="left"/>
              <w:rPr>
                <w:rFonts w:eastAsia="Times New Roman" w:cs="Times New Roman"/>
                <w:b/>
                <w:bCs/>
                <w:color w:val="FFFFFF"/>
              </w:rPr>
            </w:pPr>
            <w:r w:rsidRPr="002B1DFC">
              <w:rPr>
                <w:rFonts w:eastAsia="Times New Roman" w:cs="Times New Roman"/>
                <w:b/>
                <w:bCs/>
                <w:color w:val="FFFFFF"/>
              </w:rPr>
              <w:t>OSA Environment Department Responsibility</w:t>
            </w:r>
          </w:p>
        </w:tc>
        <w:tc>
          <w:tcPr>
            <w:tcW w:w="2049" w:type="pct"/>
            <w:tcBorders>
              <w:top w:val="single" w:sz="4" w:space="0" w:color="4F81BD"/>
              <w:right w:val="single" w:sz="4" w:space="0" w:color="4F81BD"/>
            </w:tcBorders>
            <w:shd w:val="clear" w:color="auto" w:fill="4F81BD"/>
          </w:tcPr>
          <w:p w14:paraId="2D40D6E0" w14:textId="77777777" w:rsidR="000B7923" w:rsidRPr="002B1DFC" w:rsidRDefault="000B7923" w:rsidP="00993845">
            <w:pPr>
              <w:rPr>
                <w:rFonts w:eastAsia="Times New Roman" w:cs="Times New Roman"/>
                <w:b/>
                <w:bCs/>
                <w:color w:val="FFFFFF"/>
              </w:rPr>
            </w:pPr>
            <w:r w:rsidRPr="002B1DFC">
              <w:rPr>
                <w:rFonts w:eastAsia="Times New Roman" w:cs="Times New Roman"/>
                <w:b/>
                <w:bCs/>
                <w:color w:val="FFFFFF"/>
              </w:rPr>
              <w:t>Comment</w:t>
            </w:r>
          </w:p>
        </w:tc>
      </w:tr>
      <w:tr w:rsidR="000B7923" w:rsidRPr="002B1DFC" w14:paraId="230DFD73" w14:textId="77777777" w:rsidTr="00E436AA">
        <w:tc>
          <w:tcPr>
            <w:tcW w:w="903" w:type="pct"/>
            <w:vMerge w:val="restart"/>
            <w:tcBorders>
              <w:left w:val="single" w:sz="4" w:space="0" w:color="4F81BD"/>
            </w:tcBorders>
          </w:tcPr>
          <w:p w14:paraId="6E4CB990" w14:textId="77777777" w:rsidR="000B7923" w:rsidRPr="002B1DFC" w:rsidRDefault="000B7923" w:rsidP="00993845">
            <w:pPr>
              <w:rPr>
                <w:rFonts w:eastAsia="Times New Roman" w:cs="Times New Roman"/>
              </w:rPr>
            </w:pPr>
            <w:r w:rsidRPr="002B1DFC">
              <w:rPr>
                <w:rFonts w:eastAsia="Times New Roman" w:cs="Times New Roman"/>
              </w:rPr>
              <w:t>Waste management</w:t>
            </w:r>
          </w:p>
        </w:tc>
        <w:tc>
          <w:tcPr>
            <w:tcW w:w="2048" w:type="pct"/>
            <w:tcBorders>
              <w:bottom w:val="single" w:sz="4" w:space="0" w:color="5B9BD5"/>
            </w:tcBorders>
          </w:tcPr>
          <w:p w14:paraId="1077CC37" w14:textId="77777777" w:rsidR="000B7923" w:rsidRPr="002B1DFC" w:rsidRDefault="000B7923" w:rsidP="00993845">
            <w:pPr>
              <w:rPr>
                <w:rFonts w:eastAsia="Times New Roman" w:cs="Times New Roman"/>
              </w:rPr>
            </w:pPr>
            <w:r w:rsidRPr="002B1DFC">
              <w:rPr>
                <w:rFonts w:eastAsia="Times New Roman" w:cs="Times New Roman"/>
              </w:rPr>
              <w:t xml:space="preserve">Approval of passports for waste disposal sites </w:t>
            </w:r>
          </w:p>
        </w:tc>
        <w:tc>
          <w:tcPr>
            <w:tcW w:w="2049" w:type="pct"/>
            <w:tcBorders>
              <w:bottom w:val="single" w:sz="4" w:space="0" w:color="5B9BD5"/>
              <w:right w:val="single" w:sz="4" w:space="0" w:color="4F81BD"/>
            </w:tcBorders>
          </w:tcPr>
          <w:p w14:paraId="5EE21A0B" w14:textId="77777777" w:rsidR="000B7923" w:rsidRPr="002B1DFC" w:rsidRDefault="000B7923" w:rsidP="003F0B09">
            <w:pPr>
              <w:rPr>
                <w:rFonts w:eastAsia="Times New Roman" w:cs="Times New Roman"/>
              </w:rPr>
            </w:pPr>
            <w:r w:rsidRPr="002B1DFC">
              <w:rPr>
                <w:rFonts w:eastAsia="Times New Roman" w:cs="Times New Roman"/>
              </w:rPr>
              <w:t xml:space="preserve">It is not clear </w:t>
            </w:r>
            <w:r w:rsidR="004A6AAF">
              <w:rPr>
                <w:rFonts w:eastAsia="Times New Roman" w:cs="Times New Roman"/>
              </w:rPr>
              <w:t>which</w:t>
            </w:r>
            <w:r w:rsidR="004A6AAF" w:rsidRPr="002B1DFC">
              <w:rPr>
                <w:rFonts w:eastAsia="Times New Roman" w:cs="Times New Roman"/>
              </w:rPr>
              <w:t xml:space="preserve"> </w:t>
            </w:r>
            <w:r w:rsidRPr="002B1DFC">
              <w:rPr>
                <w:rFonts w:eastAsia="Times New Roman" w:cs="Times New Roman"/>
              </w:rPr>
              <w:t>permits should be issued by OSA, and which by rayon state administrations - regulations missing</w:t>
            </w:r>
          </w:p>
        </w:tc>
      </w:tr>
      <w:tr w:rsidR="000B7923" w:rsidRPr="002B1DFC" w14:paraId="14263E9B" w14:textId="77777777" w:rsidTr="00E436AA">
        <w:tc>
          <w:tcPr>
            <w:tcW w:w="903" w:type="pct"/>
            <w:vMerge/>
            <w:tcBorders>
              <w:left w:val="single" w:sz="4" w:space="0" w:color="4F81BD"/>
            </w:tcBorders>
          </w:tcPr>
          <w:p w14:paraId="6AC0FC5E" w14:textId="77777777" w:rsidR="000B7923" w:rsidRPr="002B1DFC" w:rsidRDefault="000B7923" w:rsidP="00993845">
            <w:pPr>
              <w:rPr>
                <w:rFonts w:eastAsia="Times New Roman" w:cs="Times New Roman"/>
              </w:rPr>
            </w:pPr>
          </w:p>
        </w:tc>
        <w:tc>
          <w:tcPr>
            <w:tcW w:w="2048" w:type="pct"/>
            <w:tcBorders>
              <w:top w:val="single" w:sz="4" w:space="0" w:color="5B9BD5"/>
              <w:bottom w:val="single" w:sz="4" w:space="0" w:color="5B9BD5"/>
            </w:tcBorders>
          </w:tcPr>
          <w:p w14:paraId="089E88F4" w14:textId="77777777" w:rsidR="000B7923" w:rsidRPr="002B1DFC" w:rsidRDefault="000B7923" w:rsidP="00993845">
            <w:pPr>
              <w:rPr>
                <w:rFonts w:eastAsia="Times New Roman" w:cs="Times New Roman"/>
              </w:rPr>
            </w:pPr>
            <w:r w:rsidRPr="002B1DFC">
              <w:rPr>
                <w:rFonts w:eastAsia="Times New Roman" w:cs="Times New Roman"/>
              </w:rPr>
              <w:t>Approval of registration documents for waste creation, processing</w:t>
            </w:r>
            <w:r w:rsidR="00D60574">
              <w:rPr>
                <w:rFonts w:eastAsia="Times New Roman" w:cs="Times New Roman"/>
              </w:rPr>
              <w:t>,</w:t>
            </w:r>
            <w:r w:rsidRPr="002B1DFC">
              <w:rPr>
                <w:rFonts w:eastAsia="Times New Roman" w:cs="Times New Roman"/>
              </w:rPr>
              <w:t xml:space="preserve"> and disposal </w:t>
            </w:r>
          </w:p>
        </w:tc>
        <w:tc>
          <w:tcPr>
            <w:tcW w:w="2049" w:type="pct"/>
            <w:tcBorders>
              <w:top w:val="single" w:sz="4" w:space="0" w:color="5B9BD5"/>
              <w:bottom w:val="single" w:sz="4" w:space="0" w:color="5B9BD5"/>
              <w:right w:val="single" w:sz="4" w:space="0" w:color="4F81BD"/>
            </w:tcBorders>
          </w:tcPr>
          <w:p w14:paraId="44F8B435" w14:textId="4BC407E7" w:rsidR="000B7923" w:rsidRPr="002B1DFC" w:rsidRDefault="00AD6AF2" w:rsidP="00993845">
            <w:pPr>
              <w:rPr>
                <w:rFonts w:eastAsia="Times New Roman" w:cs="Times New Roman"/>
              </w:rPr>
            </w:pPr>
            <w:r>
              <w:rPr>
                <w:rFonts w:eastAsia="Times New Roman" w:cs="Times New Roman"/>
              </w:rPr>
              <w:t>I</w:t>
            </w:r>
            <w:r w:rsidR="000B7923" w:rsidRPr="002B1DFC">
              <w:rPr>
                <w:rFonts w:eastAsia="Times New Roman" w:cs="Times New Roman"/>
              </w:rPr>
              <w:t>t is not clear, whether there should be one document for all operations, or a separate document for each one</w:t>
            </w:r>
          </w:p>
        </w:tc>
      </w:tr>
      <w:tr w:rsidR="00D31370" w:rsidRPr="002B1DFC" w14:paraId="7B818EAC" w14:textId="77777777" w:rsidTr="00E436AA">
        <w:tc>
          <w:tcPr>
            <w:tcW w:w="903" w:type="pct"/>
            <w:vMerge/>
            <w:tcBorders>
              <w:left w:val="single" w:sz="4" w:space="0" w:color="4F81BD"/>
            </w:tcBorders>
          </w:tcPr>
          <w:p w14:paraId="1A3C829F" w14:textId="77777777" w:rsidR="00D31370" w:rsidRPr="002B1DFC" w:rsidRDefault="00D31370" w:rsidP="00D31370">
            <w:pPr>
              <w:rPr>
                <w:rFonts w:eastAsia="Times New Roman" w:cs="Times New Roman"/>
              </w:rPr>
            </w:pPr>
          </w:p>
        </w:tc>
        <w:tc>
          <w:tcPr>
            <w:tcW w:w="2048" w:type="pct"/>
            <w:tcBorders>
              <w:top w:val="single" w:sz="4" w:space="0" w:color="5B9BD5"/>
              <w:bottom w:val="single" w:sz="4" w:space="0" w:color="5B9BD5"/>
            </w:tcBorders>
          </w:tcPr>
          <w:p w14:paraId="1E6BDE16" w14:textId="77777777" w:rsidR="00D31370" w:rsidRPr="002B1DFC" w:rsidRDefault="00D31370" w:rsidP="00D31370">
            <w:pPr>
              <w:rPr>
                <w:rFonts w:eastAsia="Times New Roman" w:cs="Times New Roman"/>
              </w:rPr>
            </w:pPr>
            <w:r w:rsidRPr="002B1DFC">
              <w:rPr>
                <w:rFonts w:eastAsia="Times New Roman" w:cs="Times New Roman"/>
              </w:rPr>
              <w:t>Registration of declarations of the creation of wastes by enterprises</w:t>
            </w:r>
          </w:p>
        </w:tc>
        <w:tc>
          <w:tcPr>
            <w:tcW w:w="2049" w:type="pct"/>
            <w:tcBorders>
              <w:top w:val="single" w:sz="4" w:space="0" w:color="5B9BD5"/>
              <w:bottom w:val="single" w:sz="4" w:space="0" w:color="5B9BD5"/>
              <w:right w:val="single" w:sz="4" w:space="0" w:color="4F81BD"/>
            </w:tcBorders>
          </w:tcPr>
          <w:p w14:paraId="2B33C10B" w14:textId="50517A9C" w:rsidR="00137914" w:rsidRPr="00721C66" w:rsidRDefault="00137914" w:rsidP="00721C66">
            <w:pPr>
              <w:rPr>
                <w:rFonts w:eastAsia="Times New Roman" w:cs="Times New Roman"/>
              </w:rPr>
            </w:pPr>
            <w:r w:rsidRPr="00721C66">
              <w:rPr>
                <w:rFonts w:eastAsia="Times New Roman" w:cs="Times New Roman"/>
              </w:rPr>
              <w:t>There is no written procedure for registration of declarations at the permitting centers.</w:t>
            </w:r>
          </w:p>
        </w:tc>
      </w:tr>
      <w:tr w:rsidR="000B7923" w:rsidRPr="002B1DFC" w14:paraId="62C83A01" w14:textId="77777777" w:rsidTr="00E436AA">
        <w:tc>
          <w:tcPr>
            <w:tcW w:w="903" w:type="pct"/>
            <w:tcBorders>
              <w:left w:val="single" w:sz="4" w:space="0" w:color="4F81BD"/>
            </w:tcBorders>
          </w:tcPr>
          <w:p w14:paraId="344B47DC" w14:textId="77777777" w:rsidR="000B7923" w:rsidRPr="002B1DFC" w:rsidRDefault="000B7923" w:rsidP="00993845">
            <w:pPr>
              <w:rPr>
                <w:rFonts w:eastAsia="Times New Roman" w:cs="Times New Roman"/>
              </w:rPr>
            </w:pPr>
            <w:r w:rsidRPr="002B1DFC">
              <w:rPr>
                <w:rFonts w:eastAsia="Times New Roman" w:cs="Times New Roman"/>
              </w:rPr>
              <w:t>Land resources</w:t>
            </w:r>
          </w:p>
        </w:tc>
        <w:tc>
          <w:tcPr>
            <w:tcW w:w="2048" w:type="pct"/>
            <w:tcBorders>
              <w:top w:val="single" w:sz="4" w:space="0" w:color="5B9BD5"/>
              <w:bottom w:val="single" w:sz="4" w:space="0" w:color="5B9BD5"/>
            </w:tcBorders>
          </w:tcPr>
          <w:p w14:paraId="471081A3" w14:textId="77777777" w:rsidR="000B7923" w:rsidRDefault="00D60574" w:rsidP="00993845">
            <w:pPr>
              <w:rPr>
                <w:rFonts w:eastAsia="Times New Roman" w:cs="Times New Roman"/>
              </w:rPr>
            </w:pPr>
            <w:r>
              <w:rPr>
                <w:rFonts w:eastAsia="Times New Roman" w:cs="Times New Roman"/>
              </w:rPr>
              <w:t>“</w:t>
            </w:r>
            <w:r w:rsidR="000B7923" w:rsidRPr="002B1DFC">
              <w:rPr>
                <w:rFonts w:eastAsia="Times New Roman" w:cs="Times New Roman"/>
              </w:rPr>
              <w:t>No objection</w:t>
            </w:r>
            <w:r>
              <w:rPr>
                <w:rFonts w:eastAsia="Times New Roman" w:cs="Times New Roman"/>
              </w:rPr>
              <w:t>”</w:t>
            </w:r>
            <w:r w:rsidRPr="002B1DFC">
              <w:rPr>
                <w:rFonts w:eastAsia="Times New Roman" w:cs="Times New Roman"/>
              </w:rPr>
              <w:t xml:space="preserve"> </w:t>
            </w:r>
            <w:r w:rsidR="000B7923" w:rsidRPr="002B1DFC">
              <w:rPr>
                <w:rFonts w:eastAsia="Times New Roman" w:cs="Times New Roman"/>
              </w:rPr>
              <w:t>for land allocation in areas of NPF or water protection areas</w:t>
            </w:r>
          </w:p>
          <w:p w14:paraId="5F4A2553" w14:textId="77777777" w:rsidR="00810F94" w:rsidRPr="002B1DFC" w:rsidRDefault="00810F94" w:rsidP="00993845">
            <w:pPr>
              <w:rPr>
                <w:rFonts w:eastAsia="Times New Roman" w:cs="Times New Roman"/>
              </w:rPr>
            </w:pPr>
          </w:p>
        </w:tc>
        <w:tc>
          <w:tcPr>
            <w:tcW w:w="2049" w:type="pct"/>
            <w:tcBorders>
              <w:top w:val="single" w:sz="4" w:space="0" w:color="5B9BD5"/>
              <w:bottom w:val="single" w:sz="4" w:space="0" w:color="5B9BD5"/>
              <w:right w:val="single" w:sz="4" w:space="0" w:color="4F81BD"/>
            </w:tcBorders>
          </w:tcPr>
          <w:p w14:paraId="3A86DC8F" w14:textId="18F76D43" w:rsidR="000B7923" w:rsidRPr="002B1DFC" w:rsidRDefault="000B7923" w:rsidP="00993845">
            <w:pPr>
              <w:rPr>
                <w:rFonts w:eastAsia="Times New Roman" w:cs="Times New Roman"/>
              </w:rPr>
            </w:pPr>
          </w:p>
        </w:tc>
      </w:tr>
      <w:tr w:rsidR="000B7923" w:rsidRPr="002B1DFC" w14:paraId="4702B03D" w14:textId="77777777" w:rsidTr="00E436AA">
        <w:tc>
          <w:tcPr>
            <w:tcW w:w="903" w:type="pct"/>
            <w:tcBorders>
              <w:left w:val="single" w:sz="4" w:space="0" w:color="4F81BD"/>
            </w:tcBorders>
          </w:tcPr>
          <w:p w14:paraId="36663352" w14:textId="77777777" w:rsidR="000B7923" w:rsidRPr="002B1DFC" w:rsidRDefault="000B7923" w:rsidP="00993845">
            <w:pPr>
              <w:rPr>
                <w:rFonts w:eastAsia="Times New Roman" w:cs="Times New Roman"/>
              </w:rPr>
            </w:pPr>
            <w:r w:rsidRPr="002B1DFC">
              <w:rPr>
                <w:rFonts w:eastAsia="Times New Roman" w:cs="Times New Roman"/>
              </w:rPr>
              <w:t>Atmospheric air</w:t>
            </w:r>
          </w:p>
        </w:tc>
        <w:tc>
          <w:tcPr>
            <w:tcW w:w="2048" w:type="pct"/>
            <w:tcBorders>
              <w:top w:val="single" w:sz="4" w:space="0" w:color="5B9BD5"/>
              <w:bottom w:val="single" w:sz="4" w:space="0" w:color="5B9BD5"/>
            </w:tcBorders>
          </w:tcPr>
          <w:p w14:paraId="09CBAD67" w14:textId="77777777" w:rsidR="000B7923" w:rsidRPr="002B1DFC" w:rsidRDefault="000B7923" w:rsidP="00993845">
            <w:pPr>
              <w:rPr>
                <w:rFonts w:eastAsia="Times New Roman" w:cs="Times New Roman"/>
              </w:rPr>
            </w:pPr>
            <w:r w:rsidRPr="002B1DFC">
              <w:rPr>
                <w:rFonts w:eastAsia="Times New Roman" w:cs="Times New Roman"/>
              </w:rPr>
              <w:t xml:space="preserve">Permits for emissions of pollutants by stationary sources into atmospheric air </w:t>
            </w:r>
          </w:p>
        </w:tc>
        <w:tc>
          <w:tcPr>
            <w:tcW w:w="2049" w:type="pct"/>
            <w:tcBorders>
              <w:top w:val="single" w:sz="4" w:space="0" w:color="5B9BD5"/>
              <w:bottom w:val="single" w:sz="4" w:space="0" w:color="5B9BD5"/>
              <w:right w:val="single" w:sz="4" w:space="0" w:color="4F81BD"/>
            </w:tcBorders>
          </w:tcPr>
          <w:p w14:paraId="65C80F60" w14:textId="4BDD9157" w:rsidR="000B7923" w:rsidRPr="002B1DFC" w:rsidRDefault="000B7923" w:rsidP="003F0B09">
            <w:pPr>
              <w:rPr>
                <w:rFonts w:eastAsia="Times New Roman" w:cs="Times New Roman"/>
              </w:rPr>
            </w:pPr>
            <w:r w:rsidRPr="002B1DFC">
              <w:rPr>
                <w:rFonts w:eastAsia="Times New Roman" w:cs="Times New Roman"/>
              </w:rPr>
              <w:t xml:space="preserve">For enterprises </w:t>
            </w:r>
            <w:r w:rsidR="004A6AAF">
              <w:rPr>
                <w:rFonts w:eastAsia="Times New Roman" w:cs="Times New Roman"/>
              </w:rPr>
              <w:t>in</w:t>
            </w:r>
            <w:r w:rsidRPr="002B1DFC">
              <w:rPr>
                <w:rFonts w:eastAsia="Times New Roman" w:cs="Times New Roman"/>
              </w:rPr>
              <w:t xml:space="preserve"> the second</w:t>
            </w:r>
            <w:r w:rsidR="00137914">
              <w:rPr>
                <w:rFonts w:eastAsia="Times New Roman" w:cs="Times New Roman"/>
              </w:rPr>
              <w:t xml:space="preserve"> and third</w:t>
            </w:r>
            <w:r w:rsidRPr="002B1DFC">
              <w:rPr>
                <w:rFonts w:eastAsia="Times New Roman" w:cs="Times New Roman"/>
              </w:rPr>
              <w:t xml:space="preserve"> group. </w:t>
            </w:r>
            <w:r w:rsidR="004A6AAF">
              <w:rPr>
                <w:rFonts w:eastAsia="Times New Roman" w:cs="Times New Roman"/>
              </w:rPr>
              <w:t>Enterprises in the f</w:t>
            </w:r>
            <w:r w:rsidRPr="002B1DFC">
              <w:rPr>
                <w:rFonts w:eastAsia="Times New Roman" w:cs="Times New Roman"/>
              </w:rPr>
              <w:t xml:space="preserve">irst group </w:t>
            </w:r>
            <w:r w:rsidR="004A6AAF">
              <w:rPr>
                <w:rFonts w:eastAsia="Times New Roman" w:cs="Times New Roman"/>
              </w:rPr>
              <w:t xml:space="preserve">are </w:t>
            </w:r>
            <w:r w:rsidRPr="002B1DFC">
              <w:rPr>
                <w:rFonts w:eastAsia="Times New Roman" w:cs="Times New Roman"/>
              </w:rPr>
              <w:t xml:space="preserve">the responsibility of the central </w:t>
            </w:r>
            <w:r w:rsidR="00E479B5">
              <w:rPr>
                <w:rFonts w:eastAsia="Times New Roman" w:cs="Times New Roman"/>
              </w:rPr>
              <w:t>authority</w:t>
            </w:r>
          </w:p>
        </w:tc>
      </w:tr>
      <w:tr w:rsidR="000B7923" w:rsidRPr="002B1DFC" w14:paraId="56FE47AF" w14:textId="77777777" w:rsidTr="00E436AA">
        <w:tc>
          <w:tcPr>
            <w:tcW w:w="903" w:type="pct"/>
            <w:tcBorders>
              <w:left w:val="single" w:sz="4" w:space="0" w:color="4F81BD"/>
              <w:bottom w:val="single" w:sz="4" w:space="0" w:color="4F81BD"/>
            </w:tcBorders>
          </w:tcPr>
          <w:p w14:paraId="4D2FF03F" w14:textId="77777777" w:rsidR="000B7923" w:rsidRPr="002B1DFC" w:rsidRDefault="000B7923" w:rsidP="00993845">
            <w:pPr>
              <w:rPr>
                <w:rFonts w:eastAsia="Times New Roman" w:cs="Times New Roman"/>
              </w:rPr>
            </w:pPr>
            <w:r w:rsidRPr="002B1DFC">
              <w:rPr>
                <w:rFonts w:eastAsia="Times New Roman" w:cs="Times New Roman"/>
              </w:rPr>
              <w:t>Water resources</w:t>
            </w:r>
          </w:p>
        </w:tc>
        <w:tc>
          <w:tcPr>
            <w:tcW w:w="2048" w:type="pct"/>
            <w:tcBorders>
              <w:top w:val="single" w:sz="4" w:space="0" w:color="5B9BD5"/>
              <w:bottom w:val="single" w:sz="4" w:space="0" w:color="4F81BD"/>
            </w:tcBorders>
          </w:tcPr>
          <w:p w14:paraId="432083CB" w14:textId="77777777" w:rsidR="000B7923" w:rsidRPr="002B1DFC" w:rsidRDefault="000B7923" w:rsidP="00993845">
            <w:pPr>
              <w:rPr>
                <w:rFonts w:eastAsia="Times New Roman" w:cs="Times New Roman"/>
              </w:rPr>
            </w:pPr>
            <w:r w:rsidRPr="002B1DFC">
              <w:rPr>
                <w:rFonts w:eastAsia="Times New Roman" w:cs="Times New Roman"/>
              </w:rPr>
              <w:t xml:space="preserve">Permits for special water use from water sources of national significance </w:t>
            </w:r>
          </w:p>
        </w:tc>
        <w:tc>
          <w:tcPr>
            <w:tcW w:w="2049" w:type="pct"/>
            <w:tcBorders>
              <w:top w:val="single" w:sz="4" w:space="0" w:color="5B9BD5"/>
              <w:bottom w:val="single" w:sz="4" w:space="0" w:color="4F81BD"/>
              <w:right w:val="single" w:sz="4" w:space="0" w:color="4F81BD"/>
            </w:tcBorders>
          </w:tcPr>
          <w:p w14:paraId="516CD398" w14:textId="77777777" w:rsidR="000B7923" w:rsidRPr="002B1DFC" w:rsidRDefault="000B7923" w:rsidP="008870E0">
            <w:pPr>
              <w:numPr>
                <w:ilvl w:val="0"/>
                <w:numId w:val="8"/>
              </w:numPr>
              <w:rPr>
                <w:rFonts w:eastAsia="Times New Roman" w:cs="Times New Roman"/>
              </w:rPr>
            </w:pPr>
          </w:p>
        </w:tc>
      </w:tr>
    </w:tbl>
    <w:p w14:paraId="7410D9C4" w14:textId="77777777" w:rsidR="000B7923" w:rsidRPr="002B1DFC" w:rsidRDefault="000B7923" w:rsidP="00E80283">
      <w:pPr>
        <w:rPr>
          <w:rFonts w:cs="Times New Roman"/>
        </w:rPr>
      </w:pPr>
    </w:p>
    <w:p w14:paraId="457F2233"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The table above is by no means exhaustive, and many issues remain unresolved (as is seen from the description of permits above) as of the time of writing of this report (August 2015). Regulations are being prepared and approved by local authorities</w:t>
      </w:r>
      <w:r w:rsidR="004A6AAF">
        <w:rPr>
          <w:rFonts w:cs="Times New Roman"/>
        </w:rPr>
        <w:t>,</w:t>
      </w:r>
      <w:r w:rsidRPr="002B1DFC">
        <w:rPr>
          <w:rFonts w:cs="Times New Roman"/>
        </w:rPr>
        <w:t xml:space="preserve"> and these should be developed and approved by every oblast. For example, in </w:t>
      </w:r>
      <w:proofErr w:type="spellStart"/>
      <w:r w:rsidRPr="002B1DFC">
        <w:rPr>
          <w:rFonts w:cs="Times New Roman"/>
        </w:rPr>
        <w:t>Lviv</w:t>
      </w:r>
      <w:proofErr w:type="spellEnd"/>
      <w:r w:rsidR="004A6AAF">
        <w:rPr>
          <w:rFonts w:cs="Times New Roman"/>
        </w:rPr>
        <w:t>,</w:t>
      </w:r>
      <w:r w:rsidRPr="002B1DFC">
        <w:rPr>
          <w:rFonts w:cs="Times New Roman"/>
        </w:rPr>
        <w:t xml:space="preserve"> oblast regulation on </w:t>
      </w:r>
      <w:r w:rsidR="004A6AAF">
        <w:rPr>
          <w:rFonts w:cs="Times New Roman"/>
        </w:rPr>
        <w:t>“</w:t>
      </w:r>
      <w:r w:rsidRPr="002B1DFC">
        <w:rPr>
          <w:rFonts w:cs="Times New Roman"/>
        </w:rPr>
        <w:t>administrative service</w:t>
      </w:r>
      <w:r w:rsidR="004A6AAF">
        <w:rPr>
          <w:rFonts w:cs="Times New Roman"/>
        </w:rPr>
        <w:t>”</w:t>
      </w:r>
      <w:r w:rsidRPr="002B1DFC">
        <w:rPr>
          <w:rFonts w:cs="Times New Roman"/>
        </w:rPr>
        <w:t xml:space="preserve"> </w:t>
      </w:r>
      <w:r w:rsidR="004A6AAF">
        <w:rPr>
          <w:rFonts w:cs="Times New Roman"/>
        </w:rPr>
        <w:t>“</w:t>
      </w:r>
      <w:r w:rsidRPr="002B1DFC">
        <w:rPr>
          <w:rFonts w:cs="Times New Roman"/>
        </w:rPr>
        <w:t>Permit for emissions in the air for enterprises of groups II and III</w:t>
      </w:r>
      <w:r w:rsidR="004A6AAF">
        <w:rPr>
          <w:rFonts w:cs="Times New Roman"/>
        </w:rPr>
        <w:t>”</w:t>
      </w:r>
      <w:r w:rsidRPr="002B1DFC">
        <w:rPr>
          <w:rFonts w:cs="Times New Roman"/>
        </w:rPr>
        <w:t xml:space="preserve"> was approved by the Head of </w:t>
      </w:r>
      <w:proofErr w:type="spellStart"/>
      <w:r w:rsidRPr="002B1DFC">
        <w:rPr>
          <w:rFonts w:cs="Times New Roman"/>
        </w:rPr>
        <w:t>Lviv</w:t>
      </w:r>
      <w:proofErr w:type="spellEnd"/>
      <w:r w:rsidRPr="002B1DFC">
        <w:rPr>
          <w:rFonts w:cs="Times New Roman"/>
        </w:rPr>
        <w:t xml:space="preserve"> OSA on</w:t>
      </w:r>
      <w:r w:rsidR="004A6AAF">
        <w:rPr>
          <w:rFonts w:cs="Times New Roman"/>
        </w:rPr>
        <w:t xml:space="preserve"> </w:t>
      </w:r>
      <w:r w:rsidRPr="002B1DFC">
        <w:rPr>
          <w:rFonts w:cs="Times New Roman"/>
        </w:rPr>
        <w:t xml:space="preserve">March </w:t>
      </w:r>
      <w:r w:rsidR="004A6AAF">
        <w:rPr>
          <w:rFonts w:cs="Times New Roman"/>
        </w:rPr>
        <w:t xml:space="preserve">10, </w:t>
      </w:r>
      <w:r w:rsidRPr="002B1DFC">
        <w:rPr>
          <w:rFonts w:cs="Times New Roman"/>
        </w:rPr>
        <w:t>2015</w:t>
      </w:r>
      <w:r w:rsidR="004A6AAF">
        <w:rPr>
          <w:rFonts w:cs="Times New Roman"/>
        </w:rPr>
        <w:t>,</w:t>
      </w:r>
      <w:r w:rsidRPr="002B1DFC">
        <w:rPr>
          <w:rFonts w:cs="Times New Roman"/>
        </w:rPr>
        <w:t xml:space="preserve"> and on </w:t>
      </w:r>
      <w:r w:rsidR="004A6AAF">
        <w:rPr>
          <w:rFonts w:cs="Times New Roman"/>
        </w:rPr>
        <w:t xml:space="preserve">the </w:t>
      </w:r>
      <w:r w:rsidRPr="002B1DFC">
        <w:rPr>
          <w:rFonts w:cs="Times New Roman"/>
        </w:rPr>
        <w:t xml:space="preserve">lease of water objects on April </w:t>
      </w:r>
      <w:r w:rsidR="004A6AAF">
        <w:rPr>
          <w:rFonts w:cs="Times New Roman"/>
        </w:rPr>
        <w:t xml:space="preserve">23, </w:t>
      </w:r>
      <w:r w:rsidRPr="002B1DFC">
        <w:rPr>
          <w:rFonts w:cs="Times New Roman"/>
        </w:rPr>
        <w:t xml:space="preserve">2015. A new law </w:t>
      </w:r>
      <w:r w:rsidR="004A6AAF">
        <w:rPr>
          <w:rFonts w:cs="Times New Roman"/>
        </w:rPr>
        <w:t>“</w:t>
      </w:r>
      <w:r w:rsidRPr="002B1DFC">
        <w:rPr>
          <w:rFonts w:cs="Times New Roman"/>
        </w:rPr>
        <w:t>On licensing of certain business activities</w:t>
      </w:r>
      <w:r w:rsidR="004A6AAF">
        <w:rPr>
          <w:rFonts w:cs="Times New Roman"/>
        </w:rPr>
        <w:t>”</w:t>
      </w:r>
      <w:r w:rsidRPr="002B1DFC">
        <w:rPr>
          <w:rFonts w:cs="Times New Roman"/>
        </w:rPr>
        <w:t xml:space="preserve"> should enter into force on June</w:t>
      </w:r>
      <w:r w:rsidR="004A6AAF">
        <w:rPr>
          <w:rFonts w:cs="Times New Roman"/>
        </w:rPr>
        <w:t xml:space="preserve"> 28</w:t>
      </w:r>
      <w:r w:rsidRPr="002B1DFC">
        <w:rPr>
          <w:rFonts w:cs="Times New Roman"/>
        </w:rPr>
        <w:t xml:space="preserve">, 2015, but there are </w:t>
      </w:r>
      <w:r w:rsidR="004A6AAF">
        <w:rPr>
          <w:rFonts w:cs="Times New Roman"/>
        </w:rPr>
        <w:t xml:space="preserve">still </w:t>
      </w:r>
      <w:r w:rsidRPr="002B1DFC">
        <w:rPr>
          <w:rFonts w:cs="Times New Roman"/>
        </w:rPr>
        <w:t xml:space="preserve">no regulatory documents </w:t>
      </w:r>
      <w:r w:rsidR="004A6AAF">
        <w:rPr>
          <w:rFonts w:cs="Times New Roman"/>
        </w:rPr>
        <w:t>to</w:t>
      </w:r>
      <w:r w:rsidRPr="002B1DFC">
        <w:rPr>
          <w:rFonts w:cs="Times New Roman"/>
        </w:rPr>
        <w:t xml:space="preserve"> clarify the responsibilities of oblast environmental departments. </w:t>
      </w:r>
    </w:p>
    <w:p w14:paraId="394FCAE1" w14:textId="77777777" w:rsidR="000B7923" w:rsidRPr="002B1DFC" w:rsidRDefault="000B7923" w:rsidP="00E80283">
      <w:pPr>
        <w:rPr>
          <w:rFonts w:cs="Times New Roman"/>
        </w:rPr>
      </w:pPr>
    </w:p>
    <w:p w14:paraId="4526F719"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Below is an overview of the key permits:</w:t>
      </w:r>
    </w:p>
    <w:p w14:paraId="02E2605D" w14:textId="77777777" w:rsidR="000B7923" w:rsidRPr="002B1DFC" w:rsidRDefault="000B7923" w:rsidP="00E80283">
      <w:pPr>
        <w:rPr>
          <w:rFonts w:cs="Times New Roman"/>
        </w:rPr>
      </w:pPr>
    </w:p>
    <w:p w14:paraId="419780F0"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i/>
        </w:rPr>
        <w:t xml:space="preserve">Air Emissions Permits: </w:t>
      </w:r>
      <w:r w:rsidRPr="002B1DFC">
        <w:rPr>
          <w:rFonts w:cs="Times New Roman"/>
        </w:rPr>
        <w:t>In 2002, the CMU adopted a Decree on “approval of the procedure for works and payment associated with the issuance of permits for emissions of pollutants into the atmosphere from stationary sources, keeping records of number of enterprises, organizations, and individual entrepreneurs who have received such permits” that established a single mechanism for the issuance of permits.</w:t>
      </w:r>
    </w:p>
    <w:p w14:paraId="6C3A5705" w14:textId="77777777" w:rsidR="000B7923" w:rsidRPr="002B1DFC" w:rsidRDefault="000B7923" w:rsidP="008A3811">
      <w:pPr>
        <w:rPr>
          <w:rFonts w:cs="Times New Roman"/>
        </w:rPr>
      </w:pPr>
    </w:p>
    <w:p w14:paraId="152957E0" w14:textId="648D6737" w:rsidR="000B7923" w:rsidRPr="002B1DFC" w:rsidRDefault="000B7923" w:rsidP="00721C66">
      <w:pPr>
        <w:pStyle w:val="ListParagraph"/>
        <w:numPr>
          <w:ilvl w:val="0"/>
          <w:numId w:val="68"/>
        </w:numPr>
        <w:tabs>
          <w:tab w:val="left" w:pos="360"/>
        </w:tabs>
        <w:ind w:left="0" w:firstLine="0"/>
        <w:rPr>
          <w:rFonts w:cs="Times New Roman"/>
        </w:rPr>
      </w:pPr>
      <w:r w:rsidRPr="002B1DFC">
        <w:rPr>
          <w:rFonts w:cs="Times New Roman"/>
        </w:rPr>
        <w:t>According to the Law “On Atmospheric Air Protection</w:t>
      </w:r>
      <w:r w:rsidR="002B1250">
        <w:rPr>
          <w:rFonts w:cs="Times New Roman"/>
        </w:rPr>
        <w:t>,</w:t>
      </w:r>
      <w:r w:rsidRPr="002B1DFC">
        <w:rPr>
          <w:rFonts w:cs="Times New Roman"/>
        </w:rPr>
        <w:t xml:space="preserve">” industrial companies should obtain an air emissions permit. Before 2013, such permits were issued by the MENR’s regional departments. However, after the regional departments were abolished in 2013, the permits for Group I (enterprises, which are at the state recordkeeping and should implement environmental safety technology) are issued by the MENR, and permits for groups II and III are issued by the </w:t>
      </w:r>
      <w:r w:rsidR="00137914">
        <w:rPr>
          <w:rFonts w:cs="Times New Roman"/>
        </w:rPr>
        <w:t xml:space="preserve">oblast </w:t>
      </w:r>
      <w:r w:rsidRPr="002B1DFC">
        <w:rPr>
          <w:rFonts w:cs="Times New Roman"/>
        </w:rPr>
        <w:t>state administrations</w:t>
      </w:r>
      <w:r w:rsidR="00137914">
        <w:rPr>
          <w:rFonts w:cs="Times New Roman"/>
        </w:rPr>
        <w:t xml:space="preserve"> within a period of thirty calendar days</w:t>
      </w:r>
      <w:r w:rsidRPr="002B1DFC">
        <w:rPr>
          <w:rFonts w:cs="Times New Roman"/>
        </w:rPr>
        <w:t xml:space="preserve">. The issuance of a </w:t>
      </w:r>
      <w:r w:rsidR="002B1250" w:rsidRPr="002B1DFC">
        <w:rPr>
          <w:rFonts w:cs="Times New Roman"/>
        </w:rPr>
        <w:t>permit</w:t>
      </w:r>
      <w:r w:rsidRPr="002B1DFC">
        <w:rPr>
          <w:rFonts w:cs="Times New Roman"/>
        </w:rPr>
        <w:t xml:space="preserve"> requires </w:t>
      </w:r>
      <w:r w:rsidR="00721C66" w:rsidRPr="002B1DFC">
        <w:rPr>
          <w:rFonts w:cs="Times New Roman"/>
        </w:rPr>
        <w:t xml:space="preserve">receiving </w:t>
      </w:r>
      <w:r w:rsidR="00721C66">
        <w:rPr>
          <w:rFonts w:cs="Times New Roman"/>
        </w:rPr>
        <w:t>concurrence</w:t>
      </w:r>
      <w:r w:rsidR="00137914">
        <w:rPr>
          <w:rFonts w:cs="Times New Roman"/>
        </w:rPr>
        <w:t xml:space="preserve"> </w:t>
      </w:r>
      <w:r w:rsidRPr="002B1DFC">
        <w:rPr>
          <w:rFonts w:cs="Times New Roman"/>
        </w:rPr>
        <w:t xml:space="preserve">from the Sanitary-and-Epidemiologic Service during </w:t>
      </w:r>
      <w:r w:rsidR="00137914">
        <w:rPr>
          <w:rFonts w:cs="Times New Roman"/>
        </w:rPr>
        <w:t>15</w:t>
      </w:r>
      <w:r w:rsidR="00137914" w:rsidRPr="002B1DFC">
        <w:rPr>
          <w:rFonts w:cs="Times New Roman"/>
        </w:rPr>
        <w:t xml:space="preserve"> </w:t>
      </w:r>
      <w:r w:rsidRPr="002B1DFC">
        <w:rPr>
          <w:rFonts w:cs="Times New Roman"/>
        </w:rPr>
        <w:t xml:space="preserve">days </w:t>
      </w:r>
      <w:r w:rsidR="00137914">
        <w:rPr>
          <w:rFonts w:cs="Times New Roman"/>
        </w:rPr>
        <w:t>from the date of document receipt</w:t>
      </w:r>
      <w:r w:rsidRPr="002B1DFC">
        <w:rPr>
          <w:rFonts w:cs="Times New Roman"/>
        </w:rPr>
        <w:t>.  The validity term of the permit for Group I is 7 years, Group II – 10 years and Group III – unlimited. MENR keeps a record of about 2,500 Group I enterprises, and 185 permits were issued in 2014</w:t>
      </w:r>
      <w:r w:rsidR="00F30524">
        <w:rPr>
          <w:rFonts w:cs="Times New Roman"/>
        </w:rPr>
        <w:t xml:space="preserve"> (MENR 2015</w:t>
      </w:r>
      <w:r w:rsidR="00C8434D">
        <w:rPr>
          <w:rFonts w:cs="Times New Roman"/>
        </w:rPr>
        <w:t>b</w:t>
      </w:r>
      <w:r w:rsidR="00F30524">
        <w:rPr>
          <w:rFonts w:cs="Times New Roman"/>
        </w:rPr>
        <w:t>)</w:t>
      </w:r>
      <w:r w:rsidR="00D60574">
        <w:rPr>
          <w:rFonts w:cs="Times New Roman"/>
        </w:rPr>
        <w:t>.</w:t>
      </w:r>
      <w:r w:rsidRPr="002B1DFC">
        <w:rPr>
          <w:rFonts w:cs="Times New Roman"/>
        </w:rPr>
        <w:t xml:space="preserve"> </w:t>
      </w:r>
    </w:p>
    <w:p w14:paraId="6E1CE5FE" w14:textId="77777777" w:rsidR="000B7923" w:rsidRPr="002B1DFC" w:rsidRDefault="000B7923" w:rsidP="008A3811">
      <w:pPr>
        <w:rPr>
          <w:rFonts w:cs="Times New Roman"/>
        </w:rPr>
      </w:pPr>
    </w:p>
    <w:p w14:paraId="65B03543" w14:textId="679D5616" w:rsidR="000B7923" w:rsidRPr="002B1DFC" w:rsidRDefault="00946138" w:rsidP="006C1F52">
      <w:pPr>
        <w:pStyle w:val="ListParagraph"/>
        <w:numPr>
          <w:ilvl w:val="0"/>
          <w:numId w:val="68"/>
        </w:numPr>
        <w:tabs>
          <w:tab w:val="left" w:pos="360"/>
        </w:tabs>
        <w:ind w:left="0" w:firstLine="0"/>
        <w:rPr>
          <w:rFonts w:cs="Times New Roman"/>
        </w:rPr>
      </w:pPr>
      <w:r>
        <w:rPr>
          <w:rFonts w:cs="Times New Roman"/>
          <w:i/>
        </w:rPr>
        <w:t xml:space="preserve">Permits for </w:t>
      </w:r>
      <w:r w:rsidR="00721C66">
        <w:rPr>
          <w:rFonts w:cs="Times New Roman"/>
          <w:i/>
        </w:rPr>
        <w:t>S</w:t>
      </w:r>
      <w:r>
        <w:rPr>
          <w:rFonts w:cs="Times New Roman"/>
          <w:i/>
        </w:rPr>
        <w:t xml:space="preserve">pecial </w:t>
      </w:r>
      <w:r w:rsidR="00721C66">
        <w:rPr>
          <w:rFonts w:cs="Times New Roman"/>
          <w:i/>
        </w:rPr>
        <w:t>W</w:t>
      </w:r>
      <w:r w:rsidR="000B7923" w:rsidRPr="002B1DFC">
        <w:rPr>
          <w:rFonts w:cs="Times New Roman"/>
          <w:i/>
        </w:rPr>
        <w:t>ater</w:t>
      </w:r>
      <w:r>
        <w:rPr>
          <w:rFonts w:cs="Times New Roman"/>
          <w:i/>
        </w:rPr>
        <w:t xml:space="preserve"> </w:t>
      </w:r>
      <w:r w:rsidR="00721C66">
        <w:rPr>
          <w:rFonts w:cs="Times New Roman"/>
          <w:i/>
        </w:rPr>
        <w:t>U</w:t>
      </w:r>
      <w:r>
        <w:rPr>
          <w:rFonts w:cs="Times New Roman"/>
          <w:i/>
        </w:rPr>
        <w:t>se</w:t>
      </w:r>
      <w:r w:rsidR="000B7923" w:rsidRPr="002B1DFC">
        <w:rPr>
          <w:rFonts w:cs="Times New Roman"/>
          <w:i/>
        </w:rPr>
        <w:t xml:space="preserve">: </w:t>
      </w:r>
      <w:r w:rsidR="000B7923" w:rsidRPr="002B1DFC">
        <w:rPr>
          <w:rFonts w:cs="Times New Roman"/>
        </w:rPr>
        <w:t xml:space="preserve">The main legislative acts that regulate the issuance of permits </w:t>
      </w:r>
      <w:r>
        <w:rPr>
          <w:rFonts w:cs="Times New Roman"/>
        </w:rPr>
        <w:t xml:space="preserve">for special water use </w:t>
      </w:r>
      <w:r w:rsidR="000B7923" w:rsidRPr="002B1DFC">
        <w:rPr>
          <w:rFonts w:cs="Times New Roman"/>
        </w:rPr>
        <w:t>are:</w:t>
      </w:r>
    </w:p>
    <w:p w14:paraId="33F82C13" w14:textId="77777777" w:rsidR="000B7923" w:rsidRPr="002B1DFC" w:rsidRDefault="006020B3" w:rsidP="006C1F52">
      <w:pPr>
        <w:pStyle w:val="ListParagraph"/>
        <w:numPr>
          <w:ilvl w:val="0"/>
          <w:numId w:val="10"/>
        </w:numPr>
        <w:ind w:left="360"/>
        <w:rPr>
          <w:rFonts w:cs="Times New Roman"/>
        </w:rPr>
      </w:pPr>
      <w:r>
        <w:rPr>
          <w:rFonts w:cs="Times New Roman"/>
        </w:rPr>
        <w:lastRenderedPageBreak/>
        <w:t>CMU Decree</w:t>
      </w:r>
      <w:r w:rsidR="000B7923" w:rsidRPr="002B1DFC">
        <w:rPr>
          <w:rFonts w:cs="Times New Roman"/>
        </w:rPr>
        <w:t xml:space="preserve"> on “Procedure of Approval and Issuance of Permits for Special Water Use”;</w:t>
      </w:r>
    </w:p>
    <w:p w14:paraId="52BF9B7C" w14:textId="77777777" w:rsidR="000B7923" w:rsidRPr="002B1DFC" w:rsidRDefault="006020B3" w:rsidP="006C1F52">
      <w:pPr>
        <w:pStyle w:val="ListParagraph"/>
        <w:numPr>
          <w:ilvl w:val="0"/>
          <w:numId w:val="10"/>
        </w:numPr>
        <w:ind w:left="360"/>
        <w:rPr>
          <w:rFonts w:cs="Times New Roman"/>
        </w:rPr>
      </w:pPr>
      <w:r>
        <w:rPr>
          <w:rFonts w:cs="Times New Roman"/>
        </w:rPr>
        <w:t>CMU Decree</w:t>
      </w:r>
      <w:r w:rsidR="000B7923" w:rsidRPr="002B1DFC">
        <w:rPr>
          <w:rFonts w:cs="Times New Roman"/>
        </w:rPr>
        <w:t xml:space="preserve"> on “Procedure of Development and Approval of Pollution Discharge Limits and the List of Polluting Substances, for which the Discharge Limits are Set”; </w:t>
      </w:r>
    </w:p>
    <w:p w14:paraId="1BBCC1EF" w14:textId="77777777" w:rsidR="000B7923" w:rsidRPr="002B1DFC" w:rsidRDefault="000B7923" w:rsidP="006C1F52">
      <w:pPr>
        <w:pStyle w:val="ListParagraph"/>
        <w:numPr>
          <w:ilvl w:val="0"/>
          <w:numId w:val="10"/>
        </w:numPr>
        <w:ind w:left="360"/>
        <w:rPr>
          <w:rFonts w:cs="Times New Roman"/>
        </w:rPr>
      </w:pPr>
      <w:r w:rsidRPr="002B1DFC">
        <w:rPr>
          <w:rFonts w:cs="Times New Roman"/>
        </w:rPr>
        <w:t xml:space="preserve">Ministry of Environment and Nuclear Safety </w:t>
      </w:r>
      <w:r w:rsidR="00D60574">
        <w:rPr>
          <w:rFonts w:cs="Times New Roman"/>
        </w:rPr>
        <w:t>O</w:t>
      </w:r>
      <w:r w:rsidRPr="002B1DFC">
        <w:rPr>
          <w:rFonts w:cs="Times New Roman"/>
        </w:rPr>
        <w:t xml:space="preserve">rder on “The Guidance on the Procedure for Developing and Setting the Discharge Limit Values for Polluting Substances Released into Surface Waters with Effluent Discharges”. </w:t>
      </w:r>
    </w:p>
    <w:p w14:paraId="3368B827" w14:textId="77777777" w:rsidR="000B7923" w:rsidRPr="002B1DFC" w:rsidRDefault="000B7923" w:rsidP="006C1F52">
      <w:pPr>
        <w:rPr>
          <w:rFonts w:cs="Times New Roman"/>
        </w:rPr>
      </w:pPr>
    </w:p>
    <w:p w14:paraId="536D9133" w14:textId="77777777" w:rsidR="000B7923" w:rsidRPr="002B1DFC" w:rsidRDefault="000B7923" w:rsidP="006C1F52">
      <w:pPr>
        <w:pStyle w:val="ListParagraph"/>
        <w:numPr>
          <w:ilvl w:val="0"/>
          <w:numId w:val="68"/>
        </w:numPr>
        <w:tabs>
          <w:tab w:val="left" w:pos="360"/>
        </w:tabs>
        <w:ind w:left="0" w:firstLine="0"/>
        <w:rPr>
          <w:rFonts w:cs="Times New Roman"/>
        </w:rPr>
      </w:pPr>
      <w:r w:rsidRPr="002B1DFC">
        <w:rPr>
          <w:rFonts w:cs="Times New Roman"/>
        </w:rPr>
        <w:t xml:space="preserve">As is the case with air permits, prior to 2013, permits for special water use were issued by the regional departments of the MENR. The </w:t>
      </w:r>
      <w:r w:rsidR="004A6AAF">
        <w:rPr>
          <w:rFonts w:cs="Times New Roman"/>
        </w:rPr>
        <w:t>permit</w:t>
      </w:r>
      <w:r w:rsidRPr="002B1DFC">
        <w:rPr>
          <w:rFonts w:cs="Times New Roman"/>
        </w:rPr>
        <w:t xml:space="preserve"> could be </w:t>
      </w:r>
      <w:r w:rsidR="004A6AAF">
        <w:rPr>
          <w:rFonts w:cs="Times New Roman"/>
        </w:rPr>
        <w:t xml:space="preserve">valid </w:t>
      </w:r>
      <w:r w:rsidRPr="002B1DFC">
        <w:rPr>
          <w:rFonts w:cs="Times New Roman"/>
        </w:rPr>
        <w:t xml:space="preserve">for </w:t>
      </w:r>
      <w:r w:rsidR="004A6AAF">
        <w:rPr>
          <w:rFonts w:cs="Times New Roman"/>
        </w:rPr>
        <w:t xml:space="preserve">a </w:t>
      </w:r>
      <w:r w:rsidRPr="002B1DFC">
        <w:rPr>
          <w:rFonts w:cs="Times New Roman"/>
        </w:rPr>
        <w:t>short</w:t>
      </w:r>
      <w:r w:rsidR="004A6AAF">
        <w:rPr>
          <w:rFonts w:cs="Times New Roman"/>
        </w:rPr>
        <w:t xml:space="preserve"> </w:t>
      </w:r>
      <w:r w:rsidRPr="002B1DFC">
        <w:rPr>
          <w:rFonts w:cs="Times New Roman"/>
        </w:rPr>
        <w:t xml:space="preserve">term (3 years) </w:t>
      </w:r>
      <w:r w:rsidR="004A6AAF">
        <w:rPr>
          <w:rFonts w:cs="Times New Roman"/>
        </w:rPr>
        <w:t>or for a</w:t>
      </w:r>
      <w:r w:rsidR="004A6AAF" w:rsidRPr="002B1DFC">
        <w:rPr>
          <w:rFonts w:cs="Times New Roman"/>
        </w:rPr>
        <w:t xml:space="preserve"> </w:t>
      </w:r>
      <w:r w:rsidRPr="002B1DFC">
        <w:rPr>
          <w:rFonts w:cs="Times New Roman"/>
        </w:rPr>
        <w:t xml:space="preserve">long-term (from 3 </w:t>
      </w:r>
      <w:r w:rsidR="004A6AAF">
        <w:rPr>
          <w:rFonts w:cs="Times New Roman"/>
        </w:rPr>
        <w:t>to</w:t>
      </w:r>
      <w:r w:rsidR="004A6AAF" w:rsidRPr="002B1DFC">
        <w:rPr>
          <w:rFonts w:cs="Times New Roman"/>
        </w:rPr>
        <w:t xml:space="preserve"> </w:t>
      </w:r>
      <w:r w:rsidRPr="002B1DFC">
        <w:rPr>
          <w:rFonts w:cs="Times New Roman"/>
        </w:rPr>
        <w:t>25 years)</w:t>
      </w:r>
      <w:r w:rsidR="004A6AAF">
        <w:rPr>
          <w:rFonts w:cs="Times New Roman"/>
        </w:rPr>
        <w:t>,</w:t>
      </w:r>
      <w:r w:rsidRPr="002B1DFC">
        <w:rPr>
          <w:rFonts w:cs="Times New Roman"/>
        </w:rPr>
        <w:t xml:space="preserve"> depending on the situation and compliance with the pollution</w:t>
      </w:r>
      <w:r w:rsidR="004A6AAF">
        <w:rPr>
          <w:rFonts w:cs="Times New Roman"/>
        </w:rPr>
        <w:t>-</w:t>
      </w:r>
      <w:r w:rsidRPr="002B1DFC">
        <w:rPr>
          <w:rFonts w:cs="Times New Roman"/>
        </w:rPr>
        <w:t xml:space="preserve">discharge limits. </w:t>
      </w:r>
    </w:p>
    <w:p w14:paraId="2D6833FC" w14:textId="77777777" w:rsidR="000B7923" w:rsidRPr="002B1DFC" w:rsidRDefault="000B7923" w:rsidP="006C1F52">
      <w:pPr>
        <w:rPr>
          <w:rFonts w:cs="Times New Roman"/>
        </w:rPr>
      </w:pPr>
    </w:p>
    <w:p w14:paraId="119F17F3" w14:textId="77777777" w:rsidR="000B7923" w:rsidRPr="002B1DFC" w:rsidRDefault="000B7923" w:rsidP="006C1F52">
      <w:pPr>
        <w:pStyle w:val="ListParagraph"/>
        <w:numPr>
          <w:ilvl w:val="0"/>
          <w:numId w:val="68"/>
        </w:numPr>
        <w:tabs>
          <w:tab w:val="left" w:pos="360"/>
        </w:tabs>
        <w:ind w:left="0" w:firstLine="0"/>
        <w:rPr>
          <w:rFonts w:cs="Times New Roman"/>
        </w:rPr>
      </w:pPr>
      <w:r w:rsidRPr="002B1DFC">
        <w:rPr>
          <w:rFonts w:cs="Times New Roman"/>
        </w:rPr>
        <w:t xml:space="preserve">The administrative reforms and the abolishment of the MENR’s regional departments </w:t>
      </w:r>
      <w:r w:rsidR="002B1250">
        <w:rPr>
          <w:rFonts w:cs="Times New Roman"/>
        </w:rPr>
        <w:t>have</w:t>
      </w:r>
      <w:r w:rsidR="002B1250" w:rsidRPr="002B1DFC">
        <w:rPr>
          <w:rFonts w:cs="Times New Roman"/>
        </w:rPr>
        <w:t xml:space="preserve"> </w:t>
      </w:r>
      <w:r w:rsidRPr="002B1DFC">
        <w:rPr>
          <w:rFonts w:cs="Times New Roman"/>
        </w:rPr>
        <w:t xml:space="preserve">also </w:t>
      </w:r>
      <w:r w:rsidR="002B1250">
        <w:rPr>
          <w:rFonts w:cs="Times New Roman"/>
        </w:rPr>
        <w:t>affected</w:t>
      </w:r>
      <w:r w:rsidR="002B1250" w:rsidRPr="002B1DFC">
        <w:rPr>
          <w:rFonts w:cs="Times New Roman"/>
        </w:rPr>
        <w:t xml:space="preserve"> </w:t>
      </w:r>
      <w:r w:rsidRPr="002B1DFC">
        <w:rPr>
          <w:rFonts w:cs="Times New Roman"/>
        </w:rPr>
        <w:t>the issuance of permits for special water use. Oblast branches of the State Water Resources Agency (SWRA) have lost most of their responsibilities after the reform, but the responsibilities of oblast (region) and rayon (district) state administrations on these resources are still not clearly defined. Two new laws entered into force in 2013</w:t>
      </w:r>
      <w:r w:rsidR="002B1250">
        <w:rPr>
          <w:rFonts w:cs="Times New Roman"/>
        </w:rPr>
        <w:t>:</w:t>
      </w:r>
      <w:r w:rsidRPr="002B1DFC">
        <w:rPr>
          <w:rFonts w:cs="Times New Roman"/>
        </w:rPr>
        <w:t xml:space="preserve"> </w:t>
      </w:r>
      <w:r w:rsidR="002B1250">
        <w:rPr>
          <w:rFonts w:cs="Times New Roman"/>
        </w:rPr>
        <w:t>“</w:t>
      </w:r>
      <w:r w:rsidRPr="002B1DFC">
        <w:rPr>
          <w:rFonts w:cs="Times New Roman"/>
        </w:rPr>
        <w:t xml:space="preserve">On </w:t>
      </w:r>
      <w:r w:rsidR="002B1250">
        <w:rPr>
          <w:rFonts w:cs="Times New Roman"/>
        </w:rPr>
        <w:t>D</w:t>
      </w:r>
      <w:r w:rsidRPr="002B1DFC">
        <w:rPr>
          <w:rFonts w:cs="Times New Roman"/>
        </w:rPr>
        <w:t>elineation (</w:t>
      </w:r>
      <w:proofErr w:type="spellStart"/>
      <w:r w:rsidRPr="002B1DFC">
        <w:rPr>
          <w:rFonts w:cs="Times New Roman"/>
          <w:i/>
        </w:rPr>
        <w:t>rozmezhuvannia</w:t>
      </w:r>
      <w:proofErr w:type="spellEnd"/>
      <w:r w:rsidRPr="002B1DFC">
        <w:rPr>
          <w:rFonts w:cs="Times New Roman"/>
          <w:i/>
        </w:rPr>
        <w:t>)</w:t>
      </w:r>
      <w:r w:rsidRPr="002B1DFC">
        <w:rPr>
          <w:rFonts w:cs="Times New Roman"/>
        </w:rPr>
        <w:t xml:space="preserve"> of the </w:t>
      </w:r>
      <w:r w:rsidR="002B1250">
        <w:rPr>
          <w:rFonts w:cs="Times New Roman"/>
        </w:rPr>
        <w:t>S</w:t>
      </w:r>
      <w:r w:rsidRPr="002B1DFC">
        <w:rPr>
          <w:rFonts w:cs="Times New Roman"/>
        </w:rPr>
        <w:t xml:space="preserve">tate and </w:t>
      </w:r>
      <w:r w:rsidR="002B1250">
        <w:rPr>
          <w:rFonts w:cs="Times New Roman"/>
        </w:rPr>
        <w:t>M</w:t>
      </w:r>
      <w:r w:rsidRPr="002B1DFC">
        <w:rPr>
          <w:rFonts w:cs="Times New Roman"/>
        </w:rPr>
        <w:t xml:space="preserve">unicipal </w:t>
      </w:r>
      <w:r w:rsidR="002B1250">
        <w:rPr>
          <w:rFonts w:cs="Times New Roman"/>
        </w:rPr>
        <w:t>P</w:t>
      </w:r>
      <w:r w:rsidRPr="002B1DFC">
        <w:rPr>
          <w:rFonts w:cs="Times New Roman"/>
        </w:rPr>
        <w:t>roperty</w:t>
      </w:r>
      <w:r w:rsidR="002B1250">
        <w:rPr>
          <w:rFonts w:cs="Times New Roman"/>
        </w:rPr>
        <w:t>”</w:t>
      </w:r>
      <w:r w:rsidRPr="002B1DFC">
        <w:rPr>
          <w:rFonts w:cs="Times New Roman"/>
        </w:rPr>
        <w:t xml:space="preserve"> and </w:t>
      </w:r>
      <w:r w:rsidR="00D60574">
        <w:rPr>
          <w:rFonts w:cs="Times New Roman"/>
        </w:rPr>
        <w:t>“</w:t>
      </w:r>
      <w:r w:rsidRPr="002B1DFC">
        <w:rPr>
          <w:rFonts w:cs="Times New Roman"/>
        </w:rPr>
        <w:t xml:space="preserve">On </w:t>
      </w:r>
      <w:r w:rsidR="002B1250">
        <w:rPr>
          <w:rFonts w:cs="Times New Roman"/>
        </w:rPr>
        <w:t>A</w:t>
      </w:r>
      <w:r w:rsidRPr="002B1DFC">
        <w:rPr>
          <w:rFonts w:cs="Times New Roman"/>
        </w:rPr>
        <w:t>quaculture</w:t>
      </w:r>
      <w:r w:rsidR="002B1250">
        <w:rPr>
          <w:rFonts w:cs="Times New Roman"/>
        </w:rPr>
        <w:t>”</w:t>
      </w:r>
      <w:r w:rsidR="00D60574">
        <w:rPr>
          <w:rFonts w:cs="Times New Roman"/>
        </w:rPr>
        <w:t>.</w:t>
      </w:r>
      <w:r w:rsidRPr="002B1DFC">
        <w:rPr>
          <w:rFonts w:cs="Times New Roman"/>
        </w:rPr>
        <w:t xml:space="preserve"> </w:t>
      </w:r>
      <w:r w:rsidR="002B1250">
        <w:rPr>
          <w:rFonts w:cs="Times New Roman"/>
        </w:rPr>
        <w:t>However,</w:t>
      </w:r>
      <w:r w:rsidRPr="002B1DFC">
        <w:rPr>
          <w:rFonts w:cs="Times New Roman"/>
        </w:rPr>
        <w:t xml:space="preserve"> no regulatory acts were developed, so lease agreements on water objects could not be reregistered in accordance with the new laws. Overall responsibility stays with the SWRA in Kyiv, which simply cannot cope with number of water objects (over 1</w:t>
      </w:r>
      <w:r w:rsidR="004A6AAF">
        <w:rPr>
          <w:rFonts w:cs="Times New Roman"/>
        </w:rPr>
        <w:t>,</w:t>
      </w:r>
      <w:r w:rsidRPr="002B1DFC">
        <w:rPr>
          <w:rFonts w:cs="Times New Roman"/>
        </w:rPr>
        <w:t xml:space="preserve">000 in each oblast). At the same time, oblast branches have only advisory voice at best. </w:t>
      </w:r>
    </w:p>
    <w:p w14:paraId="1F66911B" w14:textId="77777777" w:rsidR="000B7923" w:rsidRPr="002B1DFC" w:rsidRDefault="000B7923" w:rsidP="000440B0">
      <w:pPr>
        <w:rPr>
          <w:rFonts w:cs="Times New Roman"/>
        </w:rPr>
      </w:pPr>
    </w:p>
    <w:p w14:paraId="3CD98BC1"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Only the MENR could issue permits for the development of standards for pollutants’ discharge limits in water bodies. However, following the adoption in 2014 by the Parliament of Ukraine of a Law “About Changes to Some Legislative Acts of Ukraine regarding the Reduction of Number of Permitting Documents”, there is no legal foundation at this time for obtaining such permits. </w:t>
      </w:r>
    </w:p>
    <w:p w14:paraId="00D347E1" w14:textId="77777777" w:rsidR="000B7923" w:rsidRPr="002B1DFC" w:rsidRDefault="000B7923" w:rsidP="00E83690">
      <w:pPr>
        <w:rPr>
          <w:rFonts w:cs="Times New Roman"/>
        </w:rPr>
      </w:pPr>
    </w:p>
    <w:p w14:paraId="44793145" w14:textId="19FC7AE9" w:rsidR="000B7923" w:rsidRPr="002B1DFC" w:rsidRDefault="000B7923" w:rsidP="00721C66">
      <w:pPr>
        <w:pStyle w:val="ListParagraph"/>
        <w:numPr>
          <w:ilvl w:val="0"/>
          <w:numId w:val="68"/>
        </w:numPr>
        <w:tabs>
          <w:tab w:val="left" w:pos="360"/>
        </w:tabs>
        <w:ind w:left="0" w:firstLine="0"/>
        <w:rPr>
          <w:rFonts w:cs="Times New Roman"/>
        </w:rPr>
      </w:pPr>
      <w:r w:rsidRPr="002B1DFC">
        <w:rPr>
          <w:rFonts w:cs="Times New Roman"/>
          <w:i/>
        </w:rPr>
        <w:t xml:space="preserve">Permits for waste management: </w:t>
      </w:r>
      <w:r w:rsidRPr="002B1DFC">
        <w:rPr>
          <w:rFonts w:cs="Times New Roman"/>
        </w:rPr>
        <w:t>In 1998, the CMU adopted a decree “On Approval of Procedure for Development, Adoption and Review of Limits for Waste Generation and Disposal” (2013). According to this Procedure, the MENR considers an application and draft limits on hazardous waste generation and disposal; approves these limits and issues the permits for waste disposal. The limits for waste generation and disposal, and permits for waste disposal</w:t>
      </w:r>
      <w:r w:rsidR="002B1250">
        <w:rPr>
          <w:rFonts w:cs="Times New Roman"/>
        </w:rPr>
        <w:t>,</w:t>
      </w:r>
      <w:r w:rsidRPr="002B1DFC">
        <w:rPr>
          <w:rFonts w:cs="Times New Roman"/>
        </w:rPr>
        <w:t xml:space="preserve"> were cancelled in 2014 </w:t>
      </w:r>
      <w:r w:rsidR="002B1250" w:rsidRPr="002B1DFC">
        <w:rPr>
          <w:rFonts w:cs="Times New Roman"/>
        </w:rPr>
        <w:t>because</w:t>
      </w:r>
      <w:r w:rsidRPr="002B1DFC">
        <w:rPr>
          <w:rFonts w:cs="Times New Roman"/>
        </w:rPr>
        <w:t xml:space="preserve"> of adoption of law on “Changes to Some Legislative Acts of Ukraine regarding the Reduction of Number of Permitting Documents”, and waste management permits were introduced. Currently, according to the Law of Ukraine “On Waste”, local (municipal) authorities </w:t>
      </w:r>
      <w:r w:rsidR="00B37880">
        <w:rPr>
          <w:rFonts w:cs="Times New Roman"/>
        </w:rPr>
        <w:t xml:space="preserve">are responsible to </w:t>
      </w:r>
      <w:r w:rsidRPr="002B1DFC">
        <w:rPr>
          <w:rFonts w:cs="Times New Roman"/>
        </w:rPr>
        <w:t>issue waste management permits</w:t>
      </w:r>
      <w:r w:rsidR="00B37880">
        <w:rPr>
          <w:rFonts w:cs="Times New Roman"/>
        </w:rPr>
        <w:t>, but do not issue them due to lack of regulations.</w:t>
      </w:r>
      <w:r w:rsidR="00B37880" w:rsidRPr="002B1DFC">
        <w:rPr>
          <w:rFonts w:cs="Times New Roman"/>
        </w:rPr>
        <w:t xml:space="preserve"> </w:t>
      </w:r>
    </w:p>
    <w:p w14:paraId="7863F630" w14:textId="77777777" w:rsidR="000B7923" w:rsidRPr="002B1DFC" w:rsidRDefault="000B7923" w:rsidP="00E83690">
      <w:pPr>
        <w:rPr>
          <w:rFonts w:cs="Times New Roman"/>
        </w:rPr>
      </w:pPr>
    </w:p>
    <w:p w14:paraId="2DE877BD"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i/>
          <w:iCs/>
        </w:rPr>
        <w:t>Permits for use of NPF resources</w:t>
      </w:r>
      <w:r w:rsidRPr="002B1DFC">
        <w:rPr>
          <w:rFonts w:cs="Times New Roman"/>
        </w:rPr>
        <w:t xml:space="preserve">: The issuance of permits for use of resources at NPF objects is still unresolved. Since 2013, OSAs are responsible for NPF objects on their territories, but the respective changes to the Law on NPF have not been made. </w:t>
      </w:r>
      <w:r w:rsidR="002B1250" w:rsidRPr="002B1DFC">
        <w:rPr>
          <w:rFonts w:cs="Times New Roman"/>
        </w:rPr>
        <w:t>Therefore</w:t>
      </w:r>
      <w:r w:rsidRPr="002B1DFC">
        <w:rPr>
          <w:rFonts w:cs="Times New Roman"/>
        </w:rPr>
        <w:t xml:space="preserve">, there is no legal way for issuing even simple permits (like for hay harvesting). </w:t>
      </w:r>
    </w:p>
    <w:p w14:paraId="4A466181" w14:textId="77777777" w:rsidR="000B7923" w:rsidRPr="002B1DFC" w:rsidRDefault="000B7923" w:rsidP="008870E0">
      <w:pPr>
        <w:pStyle w:val="Heading2"/>
        <w:tabs>
          <w:tab w:val="clear" w:pos="576"/>
        </w:tabs>
      </w:pPr>
      <w:bookmarkStart w:id="101" w:name="_Toc440273974"/>
      <w:r w:rsidRPr="002B1DFC">
        <w:t>Environmental Impact Assessment</w:t>
      </w:r>
      <w:bookmarkEnd w:id="95"/>
      <w:bookmarkEnd w:id="101"/>
    </w:p>
    <w:p w14:paraId="09177586" w14:textId="77777777" w:rsidR="000B7923" w:rsidRPr="002B1DFC" w:rsidRDefault="000B7923" w:rsidP="006C6F6A">
      <w:pPr>
        <w:rPr>
          <w:rFonts w:cs="Times New Roman"/>
        </w:rPr>
      </w:pPr>
    </w:p>
    <w:p w14:paraId="6404391E" w14:textId="02D1025D"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The environmental impact assessment (E</w:t>
      </w:r>
      <w:r w:rsidR="006C1F52">
        <w:rPr>
          <w:rFonts w:cs="Times New Roman"/>
        </w:rPr>
        <w:t>I</w:t>
      </w:r>
      <w:r w:rsidRPr="002B1DFC">
        <w:rPr>
          <w:rFonts w:cs="Times New Roman"/>
        </w:rPr>
        <w:t xml:space="preserve">A) process in Ukraine was developed during </w:t>
      </w:r>
      <w:r w:rsidR="004A6AAF">
        <w:rPr>
          <w:rFonts w:cs="Times New Roman"/>
        </w:rPr>
        <w:t xml:space="preserve">the </w:t>
      </w:r>
      <w:r w:rsidRPr="002B1DFC">
        <w:rPr>
          <w:rFonts w:cs="Times New Roman"/>
        </w:rPr>
        <w:t xml:space="preserve">1990s </w:t>
      </w:r>
      <w:r w:rsidR="002B1250" w:rsidRPr="002B1DFC">
        <w:rPr>
          <w:rFonts w:cs="Times New Roman"/>
        </w:rPr>
        <w:t>based on</w:t>
      </w:r>
      <w:r w:rsidRPr="002B1DFC">
        <w:rPr>
          <w:rFonts w:cs="Times New Roman"/>
        </w:rPr>
        <w:t xml:space="preserve"> former Soviet regulations introduced in 1988. Several papers and books </w:t>
      </w:r>
      <w:r w:rsidR="004A6AAF">
        <w:rPr>
          <w:rFonts w:cs="Times New Roman"/>
        </w:rPr>
        <w:t>have been</w:t>
      </w:r>
      <w:r w:rsidR="004A6AAF" w:rsidRPr="002B1DFC">
        <w:rPr>
          <w:rFonts w:cs="Times New Roman"/>
        </w:rPr>
        <w:t xml:space="preserve"> </w:t>
      </w:r>
      <w:r w:rsidRPr="002B1DFC">
        <w:rPr>
          <w:rFonts w:cs="Times New Roman"/>
        </w:rPr>
        <w:t xml:space="preserve">published on the evolution of </w:t>
      </w:r>
      <w:r w:rsidR="004A6AAF">
        <w:rPr>
          <w:rFonts w:cs="Times New Roman"/>
        </w:rPr>
        <w:t xml:space="preserve">the </w:t>
      </w:r>
      <w:r w:rsidRPr="002B1DFC">
        <w:rPr>
          <w:rFonts w:cs="Times New Roman"/>
        </w:rPr>
        <w:t>EIA system in Ukraine and other post-</w:t>
      </w:r>
      <w:r w:rsidR="004A6AAF">
        <w:rPr>
          <w:rFonts w:cs="Times New Roman"/>
        </w:rPr>
        <w:t>S</w:t>
      </w:r>
      <w:r w:rsidRPr="002B1DFC">
        <w:rPr>
          <w:rFonts w:cs="Times New Roman"/>
        </w:rPr>
        <w:t>oviet countries (for example, a comprehensive paper by Teel</w:t>
      </w:r>
      <w:r w:rsidR="002B327E">
        <w:rPr>
          <w:rFonts w:cs="Times New Roman"/>
        </w:rPr>
        <w:t xml:space="preserve"> 2001</w:t>
      </w:r>
      <w:r w:rsidRPr="002B1DFC">
        <w:rPr>
          <w:rFonts w:cs="Times New Roman"/>
        </w:rPr>
        <w:t xml:space="preserve">). Most of </w:t>
      </w:r>
      <w:r w:rsidR="004A6AAF">
        <w:rPr>
          <w:rFonts w:cs="Times New Roman"/>
        </w:rPr>
        <w:t xml:space="preserve">the </w:t>
      </w:r>
      <w:r w:rsidRPr="002B1DFC">
        <w:rPr>
          <w:rFonts w:cs="Times New Roman"/>
        </w:rPr>
        <w:t xml:space="preserve">conclusions and recommendations of this author remain valid for the need to strengthen the EIA system and bring it closer to international good practices.  However, the ongoing reorganization of the government during the </w:t>
      </w:r>
      <w:r w:rsidR="002B1250" w:rsidRPr="002B1DFC">
        <w:rPr>
          <w:rFonts w:cs="Times New Roman"/>
        </w:rPr>
        <w:t>2000s</w:t>
      </w:r>
      <w:r w:rsidRPr="002B1DFC">
        <w:rPr>
          <w:rFonts w:cs="Times New Roman"/>
        </w:rPr>
        <w:t xml:space="preserve">, have further slowed the strengthening of the EIA system in Ukraine. </w:t>
      </w:r>
    </w:p>
    <w:p w14:paraId="111030E2" w14:textId="77777777" w:rsidR="000B7923" w:rsidRPr="002B1DFC" w:rsidRDefault="000B7923" w:rsidP="00575907">
      <w:pPr>
        <w:rPr>
          <w:rFonts w:cs="Times New Roman"/>
        </w:rPr>
      </w:pPr>
    </w:p>
    <w:p w14:paraId="353000AE"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lastRenderedPageBreak/>
        <w:t xml:space="preserve">Environmental assessment in Ukraine is a two-stage process: </w:t>
      </w:r>
    </w:p>
    <w:p w14:paraId="0D96DDFE" w14:textId="77777777" w:rsidR="000B7923" w:rsidRPr="002B1DFC" w:rsidRDefault="000B7923" w:rsidP="006C1F52">
      <w:pPr>
        <w:pStyle w:val="ListParagraph"/>
        <w:numPr>
          <w:ilvl w:val="0"/>
          <w:numId w:val="26"/>
        </w:numPr>
        <w:ind w:left="990" w:hanging="180"/>
        <w:rPr>
          <w:rFonts w:cs="Times New Roman"/>
        </w:rPr>
      </w:pPr>
      <w:r w:rsidRPr="002B1DFC">
        <w:rPr>
          <w:rFonts w:cs="Times New Roman"/>
          <w:b/>
          <w:bCs/>
        </w:rPr>
        <w:t>OVNS</w:t>
      </w:r>
      <w:r w:rsidRPr="002B1DFC">
        <w:rPr>
          <w:rFonts w:cs="Times New Roman"/>
        </w:rPr>
        <w:t xml:space="preserve"> – Preparing the environmental impact assessment documentation (referred to in Ukrainian as OVNS), which includes an assessment of potential impacts on</w:t>
      </w:r>
      <w:r w:rsidR="004A6AAF">
        <w:rPr>
          <w:rFonts w:cs="Times New Roman"/>
        </w:rPr>
        <w:t xml:space="preserve"> the</w:t>
      </w:r>
      <w:r w:rsidRPr="002B1DFC">
        <w:rPr>
          <w:rFonts w:cs="Times New Roman"/>
        </w:rPr>
        <w:t xml:space="preserve"> natural, </w:t>
      </w:r>
      <w:r w:rsidR="004A6AAF">
        <w:rPr>
          <w:rFonts w:cs="Times New Roman"/>
        </w:rPr>
        <w:t>manufactured,</w:t>
      </w:r>
      <w:r w:rsidRPr="002B1DFC">
        <w:rPr>
          <w:rFonts w:cs="Times New Roman"/>
        </w:rPr>
        <w:t xml:space="preserve"> and social environment</w:t>
      </w:r>
      <w:r w:rsidR="004A6AAF">
        <w:rPr>
          <w:rFonts w:cs="Times New Roman"/>
        </w:rPr>
        <w:t>,</w:t>
      </w:r>
      <w:r w:rsidRPr="002B1DFC">
        <w:rPr>
          <w:rFonts w:cs="Times New Roman"/>
        </w:rPr>
        <w:t xml:space="preserve"> and designing prevention, mitigation</w:t>
      </w:r>
      <w:r w:rsidR="004A6AAF">
        <w:rPr>
          <w:rFonts w:cs="Times New Roman"/>
        </w:rPr>
        <w:t>,</w:t>
      </w:r>
      <w:r w:rsidRPr="002B1DFC">
        <w:rPr>
          <w:rFonts w:cs="Times New Roman"/>
        </w:rPr>
        <w:t xml:space="preserve"> and compensation measures. This step is the responsibility of the developer of the plan or project; and </w:t>
      </w:r>
    </w:p>
    <w:p w14:paraId="6FCF1763" w14:textId="355CAAE6" w:rsidR="000B7923" w:rsidRPr="002B1DFC" w:rsidRDefault="000B7923" w:rsidP="006C1F52">
      <w:pPr>
        <w:pStyle w:val="ListParagraph"/>
        <w:numPr>
          <w:ilvl w:val="0"/>
          <w:numId w:val="26"/>
        </w:numPr>
        <w:ind w:left="990" w:hanging="180"/>
        <w:rPr>
          <w:rFonts w:cs="Times New Roman"/>
        </w:rPr>
      </w:pPr>
      <w:r w:rsidRPr="002B1DFC">
        <w:rPr>
          <w:rFonts w:cs="Times New Roman"/>
          <w:b/>
          <w:bCs/>
        </w:rPr>
        <w:t>Ecological Expertise</w:t>
      </w:r>
      <w:r w:rsidRPr="002B1DFC">
        <w:rPr>
          <w:rFonts w:cs="Times New Roman"/>
        </w:rPr>
        <w:t xml:space="preserve"> </w:t>
      </w:r>
      <w:r w:rsidR="000B6DA0">
        <w:rPr>
          <w:rFonts w:cs="Times New Roman"/>
        </w:rPr>
        <w:t xml:space="preserve">(EE) </w:t>
      </w:r>
      <w:r w:rsidRPr="002B1DFC">
        <w:rPr>
          <w:rFonts w:cs="Times New Roman"/>
        </w:rPr>
        <w:t xml:space="preserve">– Review of the prepared document by authorized government agencies (state ecological expertise) and/or </w:t>
      </w:r>
      <w:r w:rsidR="004A6AAF">
        <w:rPr>
          <w:rFonts w:cs="Times New Roman"/>
        </w:rPr>
        <w:t xml:space="preserve">the </w:t>
      </w:r>
      <w:r w:rsidRPr="002B1DFC">
        <w:rPr>
          <w:rFonts w:cs="Times New Roman"/>
        </w:rPr>
        <w:t xml:space="preserve">public (public ecological expertise). </w:t>
      </w:r>
    </w:p>
    <w:p w14:paraId="76C1210E" w14:textId="77777777" w:rsidR="000B7923" w:rsidRPr="002B1DFC" w:rsidRDefault="000B7923" w:rsidP="005D4BF2">
      <w:pPr>
        <w:rPr>
          <w:rFonts w:cs="Times New Roman"/>
        </w:rPr>
      </w:pPr>
    </w:p>
    <w:p w14:paraId="6A1E0C19" w14:textId="77777777" w:rsidR="000B7923"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Table </w:t>
      </w:r>
      <w:r w:rsidR="005060F5">
        <w:rPr>
          <w:rFonts w:cs="Times New Roman"/>
        </w:rPr>
        <w:t>10</w:t>
      </w:r>
      <w:r w:rsidRPr="002B1DFC">
        <w:rPr>
          <w:rFonts w:cs="Times New Roman"/>
        </w:rPr>
        <w:t xml:space="preserve"> below presents an overview of the EIA system in Ukraine, as per current legislation and the draft EIA law which is prepared in response to the requirement for harmonization with the EU directives as result of the Ukraine</w:t>
      </w:r>
      <w:r w:rsidR="004A6AAF">
        <w:rPr>
          <w:rFonts w:cs="Times New Roman"/>
        </w:rPr>
        <w:t>–</w:t>
      </w:r>
      <w:r w:rsidRPr="002B1DFC">
        <w:rPr>
          <w:rFonts w:cs="Times New Roman"/>
        </w:rPr>
        <w:t>EU association agreement signature. Annex 1 provides also comparison with the relevant EU and World Bank good practices in EIA.</w:t>
      </w:r>
    </w:p>
    <w:p w14:paraId="1DC2F838" w14:textId="77777777" w:rsidR="00DC2622" w:rsidRPr="002B1DFC" w:rsidRDefault="00DC2622" w:rsidP="00076172">
      <w:pPr>
        <w:rPr>
          <w:rFonts w:cs="Times New Roman"/>
        </w:rPr>
      </w:pPr>
    </w:p>
    <w:p w14:paraId="5BB94DB7" w14:textId="77777777" w:rsidR="000B7923" w:rsidRPr="002B1DFC" w:rsidRDefault="000B7923" w:rsidP="00E73C09">
      <w:pPr>
        <w:pStyle w:val="Caption"/>
        <w:rPr>
          <w:noProof w:val="0"/>
          <w:lang w:val="en-US"/>
        </w:rPr>
      </w:pPr>
      <w:bookmarkStart w:id="102" w:name="_Toc440274002"/>
      <w:r w:rsidRPr="002B1DFC">
        <w:rPr>
          <w:noProof w:val="0"/>
          <w:lang w:val="en-US"/>
        </w:rPr>
        <w:t xml:space="preserve">Table </w:t>
      </w:r>
      <w:r w:rsidRPr="002B1DFC">
        <w:rPr>
          <w:noProof w:val="0"/>
          <w:lang w:val="en-US"/>
        </w:rPr>
        <w:fldChar w:fldCharType="begin"/>
      </w:r>
      <w:r w:rsidRPr="002B1DFC">
        <w:rPr>
          <w:noProof w:val="0"/>
          <w:lang w:val="en-US"/>
        </w:rPr>
        <w:instrText xml:space="preserve"> SEQ Table \* ARABIC </w:instrText>
      </w:r>
      <w:r w:rsidRPr="002B1DFC">
        <w:rPr>
          <w:noProof w:val="0"/>
          <w:lang w:val="en-US"/>
        </w:rPr>
        <w:fldChar w:fldCharType="separate"/>
      </w:r>
      <w:r w:rsidR="00356D5F">
        <w:rPr>
          <w:lang w:val="en-US"/>
        </w:rPr>
        <w:t>10</w:t>
      </w:r>
      <w:r w:rsidRPr="002B1DFC">
        <w:rPr>
          <w:noProof w:val="0"/>
          <w:lang w:val="en-US"/>
        </w:rPr>
        <w:fldChar w:fldCharType="end"/>
      </w:r>
      <w:r w:rsidRPr="002B1DFC">
        <w:rPr>
          <w:noProof w:val="0"/>
          <w:lang w:val="en-US"/>
        </w:rPr>
        <w:t>. Key Features of Ukraine’s EIA System</w:t>
      </w:r>
      <w:bookmarkEnd w:id="102"/>
    </w:p>
    <w:tbl>
      <w:tblPr>
        <w:tblW w:w="5000" w:type="pct"/>
        <w:tblInd w:w="108" w:type="dxa"/>
        <w:tblLook w:val="00A0" w:firstRow="1" w:lastRow="0" w:firstColumn="1" w:lastColumn="0" w:noHBand="0" w:noVBand="0"/>
      </w:tblPr>
      <w:tblGrid>
        <w:gridCol w:w="1689"/>
        <w:gridCol w:w="3959"/>
        <w:gridCol w:w="3712"/>
      </w:tblGrid>
      <w:tr w:rsidR="000B7923" w:rsidRPr="002B1DFC" w14:paraId="6CB1835F" w14:textId="77777777">
        <w:trPr>
          <w:tblHeader/>
        </w:trPr>
        <w:tc>
          <w:tcPr>
            <w:tcW w:w="902" w:type="pct"/>
            <w:tcBorders>
              <w:bottom w:val="single" w:sz="4" w:space="0" w:color="95B3D7"/>
            </w:tcBorders>
          </w:tcPr>
          <w:p w14:paraId="6EE7495B"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b/>
                <w:bCs/>
                <w:sz w:val="20"/>
                <w:szCs w:val="20"/>
              </w:rPr>
              <w:t>Item</w:t>
            </w:r>
          </w:p>
        </w:tc>
        <w:tc>
          <w:tcPr>
            <w:tcW w:w="2115" w:type="pct"/>
            <w:tcBorders>
              <w:bottom w:val="single" w:sz="4" w:space="0" w:color="95B3D7"/>
            </w:tcBorders>
          </w:tcPr>
          <w:p w14:paraId="39F62D22"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b/>
                <w:bCs/>
                <w:sz w:val="20"/>
                <w:szCs w:val="20"/>
              </w:rPr>
              <w:t>Current Legislation</w:t>
            </w:r>
          </w:p>
        </w:tc>
        <w:tc>
          <w:tcPr>
            <w:tcW w:w="1983" w:type="pct"/>
            <w:tcBorders>
              <w:bottom w:val="single" w:sz="4" w:space="0" w:color="95B3D7"/>
            </w:tcBorders>
          </w:tcPr>
          <w:p w14:paraId="342E3B9B"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b/>
                <w:bCs/>
                <w:sz w:val="20"/>
                <w:szCs w:val="20"/>
              </w:rPr>
              <w:t>Draft EIA Law</w:t>
            </w:r>
          </w:p>
        </w:tc>
      </w:tr>
      <w:tr w:rsidR="000B7923" w:rsidRPr="002B1DFC" w14:paraId="69A11EFD" w14:textId="77777777">
        <w:tc>
          <w:tcPr>
            <w:tcW w:w="902" w:type="pct"/>
            <w:shd w:val="clear" w:color="auto" w:fill="DBE5F1"/>
          </w:tcPr>
          <w:p w14:paraId="7109BA16"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EIA </w:t>
            </w:r>
            <w:r w:rsidR="002B1250">
              <w:rPr>
                <w:rFonts w:eastAsia="Times New Roman" w:cs="Times New Roman"/>
                <w:sz w:val="20"/>
                <w:szCs w:val="20"/>
              </w:rPr>
              <w:t>e</w:t>
            </w:r>
            <w:r w:rsidRPr="002B1DFC">
              <w:rPr>
                <w:rFonts w:eastAsia="Times New Roman" w:cs="Times New Roman"/>
                <w:sz w:val="20"/>
                <w:szCs w:val="20"/>
              </w:rPr>
              <w:t xml:space="preserve">nabling </w:t>
            </w:r>
            <w:r w:rsidR="002B1250">
              <w:rPr>
                <w:rFonts w:eastAsia="Times New Roman" w:cs="Times New Roman"/>
                <w:sz w:val="20"/>
                <w:szCs w:val="20"/>
              </w:rPr>
              <w:t>l</w:t>
            </w:r>
            <w:r w:rsidRPr="002B1DFC">
              <w:rPr>
                <w:rFonts w:eastAsia="Times New Roman" w:cs="Times New Roman"/>
                <w:sz w:val="20"/>
                <w:szCs w:val="20"/>
              </w:rPr>
              <w:t>egislation</w:t>
            </w:r>
          </w:p>
        </w:tc>
        <w:tc>
          <w:tcPr>
            <w:tcW w:w="2115" w:type="pct"/>
            <w:shd w:val="clear" w:color="auto" w:fill="DBE5F1"/>
          </w:tcPr>
          <w:p w14:paraId="1D34D176"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Environmental Protection law (1992)</w:t>
            </w:r>
            <w:r w:rsidR="00A37F44">
              <w:rPr>
                <w:rFonts w:eastAsia="Times New Roman" w:cs="Times New Roman"/>
                <w:sz w:val="20"/>
                <w:szCs w:val="20"/>
              </w:rPr>
              <w:t>.</w:t>
            </w:r>
          </w:p>
          <w:p w14:paraId="0E544BE6"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Law on Ecological Expertise (1995)</w:t>
            </w:r>
            <w:r w:rsidR="00A37F44">
              <w:rPr>
                <w:rFonts w:eastAsia="Times New Roman" w:cs="Times New Roman"/>
                <w:sz w:val="20"/>
                <w:szCs w:val="20"/>
              </w:rPr>
              <w:t>.</w:t>
            </w:r>
          </w:p>
          <w:p w14:paraId="52F07A97"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Law on Regulation of City Planning Activity (2011)</w:t>
            </w:r>
            <w:r w:rsidR="00A37F44">
              <w:rPr>
                <w:rFonts w:eastAsia="Times New Roman" w:cs="Times New Roman"/>
                <w:sz w:val="20"/>
                <w:szCs w:val="20"/>
              </w:rPr>
              <w:t>.</w:t>
            </w:r>
          </w:p>
        </w:tc>
        <w:tc>
          <w:tcPr>
            <w:tcW w:w="1983" w:type="pct"/>
            <w:shd w:val="clear" w:color="auto" w:fill="DBE5F1"/>
          </w:tcPr>
          <w:p w14:paraId="6E9BC9FF"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Draft EIA law</w:t>
            </w:r>
            <w:r w:rsidR="00A37F44">
              <w:rPr>
                <w:rFonts w:eastAsia="Times New Roman" w:cs="Times New Roman"/>
                <w:sz w:val="20"/>
                <w:szCs w:val="20"/>
              </w:rPr>
              <w:t>.</w:t>
            </w:r>
          </w:p>
        </w:tc>
      </w:tr>
      <w:tr w:rsidR="000B7923" w:rsidRPr="002B1DFC" w14:paraId="33B7E01C" w14:textId="77777777">
        <w:tc>
          <w:tcPr>
            <w:tcW w:w="902" w:type="pct"/>
          </w:tcPr>
          <w:p w14:paraId="652ECAB7"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Detailed </w:t>
            </w:r>
            <w:r w:rsidR="002B1250">
              <w:rPr>
                <w:rFonts w:eastAsia="Times New Roman" w:cs="Times New Roman"/>
                <w:sz w:val="20"/>
                <w:szCs w:val="20"/>
              </w:rPr>
              <w:t>l</w:t>
            </w:r>
            <w:r w:rsidRPr="002B1DFC">
              <w:rPr>
                <w:rFonts w:eastAsia="Times New Roman" w:cs="Times New Roman"/>
                <w:sz w:val="20"/>
                <w:szCs w:val="20"/>
              </w:rPr>
              <w:t>egislation for EIA</w:t>
            </w:r>
          </w:p>
        </w:tc>
        <w:tc>
          <w:tcPr>
            <w:tcW w:w="2115" w:type="pct"/>
          </w:tcPr>
          <w:p w14:paraId="4F23C385"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 CMU </w:t>
            </w:r>
            <w:r w:rsidR="00A37F44">
              <w:rPr>
                <w:rFonts w:eastAsia="Times New Roman" w:cs="Times New Roman"/>
                <w:sz w:val="20"/>
                <w:szCs w:val="20"/>
              </w:rPr>
              <w:t>R</w:t>
            </w:r>
            <w:r w:rsidRPr="002B1DFC">
              <w:rPr>
                <w:rFonts w:eastAsia="Times New Roman" w:cs="Times New Roman"/>
                <w:sz w:val="20"/>
                <w:szCs w:val="20"/>
              </w:rPr>
              <w:t>esolution 870 (1995) on the rules of submitting documents for state ecological expertise</w:t>
            </w:r>
            <w:r w:rsidR="00A37F44">
              <w:rPr>
                <w:rFonts w:eastAsia="Times New Roman" w:cs="Times New Roman"/>
                <w:sz w:val="20"/>
                <w:szCs w:val="20"/>
              </w:rPr>
              <w:t>.</w:t>
            </w:r>
            <w:r w:rsidRPr="002B1DFC">
              <w:rPr>
                <w:rFonts w:eastAsia="Times New Roman" w:cs="Times New Roman"/>
                <w:sz w:val="20"/>
                <w:szCs w:val="20"/>
              </w:rPr>
              <w:t xml:space="preserve"> </w:t>
            </w:r>
          </w:p>
          <w:p w14:paraId="2A10948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CMU </w:t>
            </w:r>
            <w:r w:rsidR="00A37F44">
              <w:rPr>
                <w:rFonts w:eastAsia="Times New Roman" w:cs="Times New Roman"/>
                <w:sz w:val="20"/>
                <w:szCs w:val="20"/>
              </w:rPr>
              <w:t>R</w:t>
            </w:r>
            <w:r w:rsidRPr="002B1DFC">
              <w:rPr>
                <w:rFonts w:eastAsia="Times New Roman" w:cs="Times New Roman"/>
                <w:sz w:val="20"/>
                <w:szCs w:val="20"/>
              </w:rPr>
              <w:t>esolution 644 (1996) on basic standard costs of conducting state ecological expertise</w:t>
            </w:r>
            <w:r w:rsidR="00A37F44">
              <w:rPr>
                <w:rFonts w:eastAsia="Times New Roman" w:cs="Times New Roman"/>
                <w:sz w:val="20"/>
                <w:szCs w:val="20"/>
              </w:rPr>
              <w:t>.</w:t>
            </w:r>
          </w:p>
          <w:p w14:paraId="591E6591"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State Construction Norms DBN A.2.2-1-2003 on conducting environmental impact assessment</w:t>
            </w:r>
            <w:r w:rsidR="00A37F44">
              <w:rPr>
                <w:rFonts w:eastAsia="Times New Roman" w:cs="Times New Roman"/>
                <w:sz w:val="20"/>
                <w:szCs w:val="20"/>
              </w:rPr>
              <w:t>.</w:t>
            </w:r>
            <w:r w:rsidRPr="002B1DFC">
              <w:rPr>
                <w:rFonts w:eastAsia="Times New Roman" w:cs="Times New Roman"/>
                <w:sz w:val="20"/>
                <w:szCs w:val="20"/>
              </w:rPr>
              <w:t xml:space="preserve"> </w:t>
            </w:r>
          </w:p>
          <w:p w14:paraId="7E2B4EC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CMU </w:t>
            </w:r>
            <w:r w:rsidR="00A37F44">
              <w:rPr>
                <w:rFonts w:eastAsia="Times New Roman" w:cs="Times New Roman"/>
                <w:sz w:val="20"/>
                <w:szCs w:val="20"/>
              </w:rPr>
              <w:t>R</w:t>
            </w:r>
            <w:r w:rsidRPr="002B1DFC">
              <w:rPr>
                <w:rFonts w:eastAsia="Times New Roman" w:cs="Times New Roman"/>
                <w:sz w:val="20"/>
                <w:szCs w:val="20"/>
              </w:rPr>
              <w:t>esolution 808 (2013)</w:t>
            </w:r>
            <w:r w:rsidR="00831753" w:rsidRPr="002B1DFC">
              <w:rPr>
                <w:rFonts w:eastAsia="Times New Roman" w:cs="Times New Roman"/>
                <w:sz w:val="20"/>
                <w:szCs w:val="20"/>
              </w:rPr>
              <w:t xml:space="preserve"> </w:t>
            </w:r>
            <w:r w:rsidR="004A6AAF">
              <w:rPr>
                <w:rFonts w:eastAsia="Times New Roman" w:cs="Times New Roman"/>
                <w:sz w:val="20"/>
                <w:szCs w:val="20"/>
              </w:rPr>
              <w:t>–</w:t>
            </w:r>
            <w:r w:rsidR="00831753" w:rsidRPr="002B1DFC">
              <w:rPr>
                <w:rFonts w:eastAsia="Times New Roman" w:cs="Times New Roman"/>
                <w:sz w:val="20"/>
                <w:szCs w:val="20"/>
              </w:rPr>
              <w:t xml:space="preserve"> List of objects of high hazard</w:t>
            </w:r>
            <w:r w:rsidR="00A37F44">
              <w:rPr>
                <w:rFonts w:eastAsia="Times New Roman" w:cs="Times New Roman"/>
                <w:sz w:val="20"/>
                <w:szCs w:val="20"/>
              </w:rPr>
              <w:t>.</w:t>
            </w:r>
          </w:p>
        </w:tc>
        <w:tc>
          <w:tcPr>
            <w:tcW w:w="1983" w:type="pct"/>
          </w:tcPr>
          <w:p w14:paraId="5E7B1A96"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None</w:t>
            </w:r>
            <w:r w:rsidR="00A37F44">
              <w:rPr>
                <w:rFonts w:eastAsia="Times New Roman" w:cs="Times New Roman"/>
                <w:sz w:val="20"/>
                <w:szCs w:val="20"/>
              </w:rPr>
              <w:t>.</w:t>
            </w:r>
          </w:p>
        </w:tc>
      </w:tr>
      <w:tr w:rsidR="000B7923" w:rsidRPr="002B1DFC" w14:paraId="1F6AD407" w14:textId="77777777">
        <w:tc>
          <w:tcPr>
            <w:tcW w:w="902" w:type="pct"/>
            <w:shd w:val="clear" w:color="auto" w:fill="DBE5F1"/>
          </w:tcPr>
          <w:p w14:paraId="301D5010"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Formal </w:t>
            </w:r>
            <w:r w:rsidR="002B1250">
              <w:rPr>
                <w:rFonts w:eastAsia="Times New Roman" w:cs="Times New Roman"/>
                <w:sz w:val="20"/>
                <w:szCs w:val="20"/>
              </w:rPr>
              <w:t>p</w:t>
            </w:r>
            <w:r w:rsidRPr="002B1DFC">
              <w:rPr>
                <w:rFonts w:eastAsia="Times New Roman" w:cs="Times New Roman"/>
                <w:sz w:val="20"/>
                <w:szCs w:val="20"/>
              </w:rPr>
              <w:t>rovisions for SEA</w:t>
            </w:r>
          </w:p>
        </w:tc>
        <w:tc>
          <w:tcPr>
            <w:tcW w:w="2115" w:type="pct"/>
            <w:shd w:val="clear" w:color="auto" w:fill="DBE5F1"/>
          </w:tcPr>
          <w:p w14:paraId="6F9550FF"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Law on ecological expertise provides that plans and programs are objects of ecological expertise</w:t>
            </w:r>
            <w:r w:rsidR="00A37F44">
              <w:rPr>
                <w:rFonts w:eastAsia="Times New Roman" w:cs="Times New Roman"/>
                <w:sz w:val="20"/>
                <w:szCs w:val="20"/>
              </w:rPr>
              <w:t>.</w:t>
            </w:r>
          </w:p>
        </w:tc>
        <w:tc>
          <w:tcPr>
            <w:tcW w:w="1983" w:type="pct"/>
            <w:shd w:val="clear" w:color="auto" w:fill="DBE5F1"/>
          </w:tcPr>
          <w:p w14:paraId="4E51490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Draft SEA law</w:t>
            </w:r>
            <w:r w:rsidR="00A37F44">
              <w:rPr>
                <w:rFonts w:eastAsia="Times New Roman" w:cs="Times New Roman"/>
                <w:sz w:val="20"/>
                <w:szCs w:val="20"/>
              </w:rPr>
              <w:t>.</w:t>
            </w:r>
          </w:p>
        </w:tc>
      </w:tr>
      <w:tr w:rsidR="000B7923" w:rsidRPr="002B1DFC" w14:paraId="7F580255" w14:textId="77777777">
        <w:tc>
          <w:tcPr>
            <w:tcW w:w="902" w:type="pct"/>
          </w:tcPr>
          <w:p w14:paraId="6054E583"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Detailed guidance</w:t>
            </w:r>
          </w:p>
        </w:tc>
        <w:tc>
          <w:tcPr>
            <w:tcW w:w="2115" w:type="pct"/>
          </w:tcPr>
          <w:p w14:paraId="33F5ABAE"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Guidance on developing OVNS</w:t>
            </w:r>
            <w:r w:rsidR="00A37F44">
              <w:rPr>
                <w:rFonts w:eastAsia="Times New Roman" w:cs="Times New Roman"/>
                <w:sz w:val="20"/>
                <w:szCs w:val="20"/>
              </w:rPr>
              <w:t>.</w:t>
            </w:r>
          </w:p>
        </w:tc>
        <w:tc>
          <w:tcPr>
            <w:tcW w:w="1983" w:type="pct"/>
          </w:tcPr>
          <w:p w14:paraId="72C80AEC"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None</w:t>
            </w:r>
            <w:r w:rsidR="00A37F44">
              <w:rPr>
                <w:rFonts w:eastAsia="Times New Roman" w:cs="Times New Roman"/>
                <w:sz w:val="20"/>
                <w:szCs w:val="20"/>
              </w:rPr>
              <w:t>.</w:t>
            </w:r>
          </w:p>
        </w:tc>
      </w:tr>
      <w:tr w:rsidR="000B7923" w:rsidRPr="002B1DFC" w14:paraId="07F9761C" w14:textId="77777777">
        <w:tc>
          <w:tcPr>
            <w:tcW w:w="902" w:type="pct"/>
            <w:shd w:val="clear" w:color="auto" w:fill="DBE5F1"/>
          </w:tcPr>
          <w:p w14:paraId="6E5E67CB"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Environmental </w:t>
            </w:r>
            <w:r w:rsidR="002B1250">
              <w:rPr>
                <w:rFonts w:eastAsia="Times New Roman" w:cs="Times New Roman"/>
                <w:sz w:val="20"/>
                <w:szCs w:val="20"/>
              </w:rPr>
              <w:t>a</w:t>
            </w:r>
            <w:r w:rsidRPr="002B1DFC">
              <w:rPr>
                <w:rFonts w:eastAsia="Times New Roman" w:cs="Times New Roman"/>
                <w:sz w:val="20"/>
                <w:szCs w:val="20"/>
              </w:rPr>
              <w:t xml:space="preserve">uthorities </w:t>
            </w:r>
            <w:r w:rsidR="004A6AAF">
              <w:rPr>
                <w:rFonts w:eastAsia="Times New Roman" w:cs="Times New Roman"/>
                <w:sz w:val="20"/>
                <w:szCs w:val="20"/>
              </w:rPr>
              <w:t>–</w:t>
            </w:r>
            <w:r w:rsidRPr="002B1DFC">
              <w:rPr>
                <w:rFonts w:eastAsia="Times New Roman" w:cs="Times New Roman"/>
                <w:sz w:val="20"/>
                <w:szCs w:val="20"/>
              </w:rPr>
              <w:t xml:space="preserve"> </w:t>
            </w:r>
            <w:r w:rsidR="002B1250">
              <w:rPr>
                <w:rFonts w:eastAsia="Times New Roman" w:cs="Times New Roman"/>
                <w:sz w:val="20"/>
                <w:szCs w:val="20"/>
              </w:rPr>
              <w:t>e</w:t>
            </w:r>
            <w:r w:rsidRPr="002B1DFC">
              <w:rPr>
                <w:rFonts w:eastAsia="Times New Roman" w:cs="Times New Roman"/>
                <w:sz w:val="20"/>
                <w:szCs w:val="20"/>
              </w:rPr>
              <w:t>ntities and authorities with responsibility for environmental issues, particularly regarding EIA</w:t>
            </w:r>
          </w:p>
        </w:tc>
        <w:tc>
          <w:tcPr>
            <w:tcW w:w="2115" w:type="pct"/>
            <w:shd w:val="clear" w:color="auto" w:fill="DBE5F1"/>
          </w:tcPr>
          <w:p w14:paraId="36C0CCC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MENR</w:t>
            </w:r>
            <w:r w:rsidR="00A37F44">
              <w:rPr>
                <w:rFonts w:eastAsia="Times New Roman" w:cs="Times New Roman"/>
                <w:sz w:val="20"/>
                <w:szCs w:val="20"/>
              </w:rPr>
              <w:t>.</w:t>
            </w:r>
          </w:p>
          <w:p w14:paraId="1D7C0B9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Environmental departments of some oblast state administrations (depending on their interpretation of legislation)</w:t>
            </w:r>
            <w:r w:rsidR="00A37F44">
              <w:rPr>
                <w:rFonts w:eastAsia="Times New Roman" w:cs="Times New Roman"/>
                <w:sz w:val="20"/>
                <w:szCs w:val="20"/>
              </w:rPr>
              <w:t>.</w:t>
            </w:r>
          </w:p>
          <w:p w14:paraId="3AD65768"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Min Region Bud (</w:t>
            </w:r>
            <w:r w:rsidR="002B1250">
              <w:rPr>
                <w:rFonts w:eastAsia="Times New Roman" w:cs="Times New Roman"/>
                <w:sz w:val="20"/>
                <w:szCs w:val="20"/>
              </w:rPr>
              <w:t>c</w:t>
            </w:r>
            <w:r w:rsidRPr="002B1DFC">
              <w:rPr>
                <w:rFonts w:eastAsia="Times New Roman" w:cs="Times New Roman"/>
                <w:sz w:val="20"/>
                <w:szCs w:val="20"/>
              </w:rPr>
              <w:t>onstruction projects)</w:t>
            </w:r>
            <w:r w:rsidR="00A37F44">
              <w:rPr>
                <w:rFonts w:eastAsia="Times New Roman" w:cs="Times New Roman"/>
                <w:sz w:val="20"/>
                <w:szCs w:val="20"/>
              </w:rPr>
              <w:t>.</w:t>
            </w:r>
          </w:p>
        </w:tc>
        <w:tc>
          <w:tcPr>
            <w:tcW w:w="1983" w:type="pct"/>
            <w:shd w:val="clear" w:color="auto" w:fill="DBE5F1"/>
          </w:tcPr>
          <w:p w14:paraId="4BE414A9"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Central body and territorial authorities. </w:t>
            </w:r>
          </w:p>
        </w:tc>
      </w:tr>
      <w:tr w:rsidR="000B7923" w:rsidRPr="002B1DFC" w14:paraId="0330D679" w14:textId="77777777">
        <w:tc>
          <w:tcPr>
            <w:tcW w:w="902" w:type="pct"/>
          </w:tcPr>
          <w:p w14:paraId="0834B411"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Legal </w:t>
            </w:r>
            <w:r w:rsidR="002B1250">
              <w:rPr>
                <w:rFonts w:eastAsia="Times New Roman" w:cs="Times New Roman"/>
                <w:sz w:val="20"/>
                <w:szCs w:val="20"/>
              </w:rPr>
              <w:t>c</w:t>
            </w:r>
            <w:r w:rsidRPr="002B1DFC">
              <w:rPr>
                <w:rFonts w:eastAsia="Times New Roman" w:cs="Times New Roman"/>
                <w:sz w:val="20"/>
                <w:szCs w:val="20"/>
              </w:rPr>
              <w:t xml:space="preserve">haracter of the EIA </w:t>
            </w:r>
            <w:r w:rsidR="004A6AAF">
              <w:rPr>
                <w:rFonts w:eastAsia="Times New Roman" w:cs="Times New Roman"/>
                <w:sz w:val="20"/>
                <w:szCs w:val="20"/>
              </w:rPr>
              <w:t>–</w:t>
            </w:r>
            <w:r w:rsidRPr="002B1DFC">
              <w:rPr>
                <w:rFonts w:eastAsia="Times New Roman" w:cs="Times New Roman"/>
                <w:sz w:val="20"/>
                <w:szCs w:val="20"/>
              </w:rPr>
              <w:t xml:space="preserve"> </w:t>
            </w:r>
            <w:r w:rsidR="002B1250">
              <w:rPr>
                <w:rFonts w:eastAsia="Times New Roman" w:cs="Times New Roman"/>
                <w:sz w:val="20"/>
                <w:szCs w:val="20"/>
              </w:rPr>
              <w:t>l</w:t>
            </w:r>
            <w:r w:rsidRPr="002B1DFC">
              <w:rPr>
                <w:rFonts w:eastAsia="Times New Roman" w:cs="Times New Roman"/>
                <w:sz w:val="20"/>
                <w:szCs w:val="20"/>
              </w:rPr>
              <w:t>egal character of EIA instruments</w:t>
            </w:r>
          </w:p>
        </w:tc>
        <w:tc>
          <w:tcPr>
            <w:tcW w:w="2115" w:type="pct"/>
          </w:tcPr>
          <w:p w14:paraId="68ECA3E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Required prior to beginning specific activities, works</w:t>
            </w:r>
            <w:r w:rsidR="002B1250">
              <w:rPr>
                <w:rFonts w:eastAsia="Times New Roman" w:cs="Times New Roman"/>
                <w:sz w:val="20"/>
                <w:szCs w:val="20"/>
              </w:rPr>
              <w:t>,</w:t>
            </w:r>
            <w:r w:rsidRPr="002B1DFC">
              <w:rPr>
                <w:rFonts w:eastAsia="Times New Roman" w:cs="Times New Roman"/>
                <w:sz w:val="20"/>
                <w:szCs w:val="20"/>
              </w:rPr>
              <w:t xml:space="preserve"> or projects</w:t>
            </w:r>
            <w:r w:rsidR="00A37F44">
              <w:rPr>
                <w:rFonts w:eastAsia="Times New Roman" w:cs="Times New Roman"/>
                <w:sz w:val="20"/>
                <w:szCs w:val="20"/>
              </w:rPr>
              <w:t>.</w:t>
            </w:r>
          </w:p>
        </w:tc>
        <w:tc>
          <w:tcPr>
            <w:tcW w:w="1983" w:type="pct"/>
          </w:tcPr>
          <w:p w14:paraId="5957AEF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Required prior to beginning specific activities, works</w:t>
            </w:r>
            <w:r w:rsidR="00A37F44">
              <w:rPr>
                <w:rFonts w:eastAsia="Times New Roman" w:cs="Times New Roman"/>
                <w:sz w:val="20"/>
                <w:szCs w:val="20"/>
              </w:rPr>
              <w:t>,</w:t>
            </w:r>
            <w:r w:rsidRPr="002B1DFC">
              <w:rPr>
                <w:rFonts w:eastAsia="Times New Roman" w:cs="Times New Roman"/>
                <w:sz w:val="20"/>
                <w:szCs w:val="20"/>
              </w:rPr>
              <w:t xml:space="preserve"> or projects.</w:t>
            </w:r>
          </w:p>
          <w:p w14:paraId="13DF93AC"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Instrument to prevent and mitigate adverse ecological impacts, assure ecological safety, protection of the environment, rational use of natural resources in a decision making process on activities that may have impact on environment, taking into consideration government, public and private interests.</w:t>
            </w:r>
          </w:p>
        </w:tc>
      </w:tr>
      <w:tr w:rsidR="000B7923" w:rsidRPr="002B1DFC" w14:paraId="27A06782" w14:textId="77777777">
        <w:tc>
          <w:tcPr>
            <w:tcW w:w="902" w:type="pct"/>
            <w:shd w:val="clear" w:color="auto" w:fill="DBE5F1"/>
          </w:tcPr>
          <w:p w14:paraId="03A0A126"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lastRenderedPageBreak/>
              <w:t xml:space="preserve">Goal </w:t>
            </w:r>
            <w:r w:rsidR="004A6AAF">
              <w:rPr>
                <w:rFonts w:eastAsia="Times New Roman" w:cs="Times New Roman"/>
                <w:sz w:val="20"/>
                <w:szCs w:val="20"/>
              </w:rPr>
              <w:t>–</w:t>
            </w:r>
            <w:r w:rsidRPr="002B1DFC">
              <w:rPr>
                <w:rFonts w:eastAsia="Times New Roman" w:cs="Times New Roman"/>
                <w:sz w:val="20"/>
                <w:szCs w:val="20"/>
              </w:rPr>
              <w:t xml:space="preserve"> Activities subject to EIA: </w:t>
            </w:r>
          </w:p>
        </w:tc>
        <w:tc>
          <w:tcPr>
            <w:tcW w:w="2115" w:type="pct"/>
            <w:shd w:val="clear" w:color="auto" w:fill="DBE5F1"/>
          </w:tcPr>
          <w:p w14:paraId="4452E355" w14:textId="4E2252DA"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EIA: projects and activities. EIA and EE are mandatory for 33 </w:t>
            </w:r>
            <w:r w:rsidR="00B6393E">
              <w:rPr>
                <w:rFonts w:eastAsia="Times New Roman" w:cs="Times New Roman"/>
                <w:sz w:val="20"/>
                <w:szCs w:val="20"/>
              </w:rPr>
              <w:t xml:space="preserve">types of </w:t>
            </w:r>
            <w:r w:rsidR="00A37F44">
              <w:rPr>
                <w:rFonts w:eastAsia="Times New Roman" w:cs="Times New Roman"/>
                <w:sz w:val="20"/>
                <w:szCs w:val="20"/>
              </w:rPr>
              <w:t xml:space="preserve">objects with associated </w:t>
            </w:r>
            <w:r w:rsidRPr="002B1DFC">
              <w:rPr>
                <w:rFonts w:eastAsia="Times New Roman" w:cs="Times New Roman"/>
                <w:sz w:val="20"/>
                <w:szCs w:val="20"/>
              </w:rPr>
              <w:t>high environmental hazard</w:t>
            </w:r>
            <w:r w:rsidR="00A37F44">
              <w:rPr>
                <w:rFonts w:eastAsia="Times New Roman" w:cs="Times New Roman"/>
                <w:sz w:val="20"/>
                <w:szCs w:val="20"/>
              </w:rPr>
              <w:t xml:space="preserve">, </w:t>
            </w:r>
            <w:r w:rsidRPr="002B1DFC">
              <w:rPr>
                <w:rFonts w:eastAsia="Times New Roman" w:cs="Times New Roman"/>
                <w:sz w:val="20"/>
                <w:szCs w:val="20"/>
              </w:rPr>
              <w:t xml:space="preserve">as per CMU </w:t>
            </w:r>
            <w:r w:rsidR="00A37F44">
              <w:rPr>
                <w:rFonts w:eastAsia="Times New Roman" w:cs="Times New Roman"/>
                <w:sz w:val="20"/>
                <w:szCs w:val="20"/>
              </w:rPr>
              <w:t>R</w:t>
            </w:r>
            <w:r w:rsidRPr="002B1DFC">
              <w:rPr>
                <w:rFonts w:eastAsia="Times New Roman" w:cs="Times New Roman"/>
                <w:sz w:val="20"/>
                <w:szCs w:val="20"/>
              </w:rPr>
              <w:t>esolution 808 (2013)</w:t>
            </w:r>
            <w:r w:rsidR="00A37F44">
              <w:rPr>
                <w:rFonts w:eastAsia="Times New Roman" w:cs="Times New Roman"/>
                <w:sz w:val="20"/>
                <w:szCs w:val="20"/>
              </w:rPr>
              <w:t>.</w:t>
            </w:r>
          </w:p>
          <w:p w14:paraId="3AE80B03" w14:textId="77777777" w:rsidR="000B7923" w:rsidRPr="002B1DFC" w:rsidRDefault="000B7923" w:rsidP="00F441C6">
            <w:pPr>
              <w:pStyle w:val="ListParagraph"/>
              <w:ind w:left="0"/>
              <w:jc w:val="left"/>
              <w:rPr>
                <w:rFonts w:eastAsia="Times New Roman" w:cs="Times New Roman"/>
                <w:sz w:val="20"/>
                <w:szCs w:val="20"/>
              </w:rPr>
            </w:pPr>
          </w:p>
          <w:p w14:paraId="72FB4628"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Law on ecological expertise provides that plans and programs are objects of ecological expertise</w:t>
            </w:r>
            <w:r w:rsidR="00A37F44">
              <w:rPr>
                <w:rFonts w:eastAsia="Times New Roman" w:cs="Times New Roman"/>
                <w:sz w:val="20"/>
                <w:szCs w:val="20"/>
              </w:rPr>
              <w:t>.</w:t>
            </w:r>
          </w:p>
        </w:tc>
        <w:tc>
          <w:tcPr>
            <w:tcW w:w="1983" w:type="pct"/>
            <w:shd w:val="clear" w:color="auto" w:fill="DBE5F1"/>
          </w:tcPr>
          <w:p w14:paraId="2CBF6518"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EIA: </w:t>
            </w:r>
            <w:r w:rsidR="00A37F44">
              <w:rPr>
                <w:rFonts w:eastAsia="Times New Roman" w:cs="Times New Roman"/>
                <w:sz w:val="20"/>
                <w:szCs w:val="20"/>
              </w:rPr>
              <w:t>E</w:t>
            </w:r>
            <w:r w:rsidRPr="002B1DFC">
              <w:rPr>
                <w:rFonts w:eastAsia="Times New Roman" w:cs="Times New Roman"/>
                <w:sz w:val="20"/>
                <w:szCs w:val="20"/>
              </w:rPr>
              <w:t xml:space="preserve">conomic activity, which includes construction, expansion, renovation, redevelopment, upgrading, removal / decommissioning, </w:t>
            </w:r>
            <w:r w:rsidR="004A6AAF">
              <w:rPr>
                <w:rFonts w:eastAsia="Times New Roman" w:cs="Times New Roman"/>
                <w:sz w:val="20"/>
                <w:szCs w:val="20"/>
              </w:rPr>
              <w:t xml:space="preserve">and </w:t>
            </w:r>
            <w:r w:rsidRPr="002B1DFC">
              <w:rPr>
                <w:rFonts w:eastAsia="Times New Roman" w:cs="Times New Roman"/>
                <w:sz w:val="20"/>
                <w:szCs w:val="20"/>
              </w:rPr>
              <w:t>other interventions.</w:t>
            </w:r>
          </w:p>
          <w:p w14:paraId="4596073C" w14:textId="3B6ED9FD" w:rsidR="000B7923" w:rsidRPr="002B1DFC" w:rsidRDefault="000B7923">
            <w:pPr>
              <w:pStyle w:val="ListParagraph"/>
              <w:ind w:left="0"/>
              <w:jc w:val="left"/>
              <w:rPr>
                <w:rFonts w:eastAsia="Times New Roman" w:cs="Times New Roman"/>
                <w:sz w:val="20"/>
                <w:szCs w:val="20"/>
              </w:rPr>
            </w:pPr>
            <w:r w:rsidRPr="002B1DFC">
              <w:rPr>
                <w:rFonts w:eastAsia="Times New Roman" w:cs="Times New Roman"/>
                <w:sz w:val="20"/>
                <w:szCs w:val="20"/>
              </w:rPr>
              <w:t xml:space="preserve">SEA: </w:t>
            </w:r>
            <w:r w:rsidR="00A37F44">
              <w:rPr>
                <w:rFonts w:eastAsia="Times New Roman" w:cs="Times New Roman"/>
                <w:sz w:val="20"/>
                <w:szCs w:val="20"/>
              </w:rPr>
              <w:t>S</w:t>
            </w:r>
            <w:r w:rsidRPr="002B1DFC">
              <w:rPr>
                <w:rFonts w:eastAsia="Times New Roman" w:cs="Times New Roman"/>
                <w:sz w:val="20"/>
                <w:szCs w:val="20"/>
              </w:rPr>
              <w:t xml:space="preserve">tate planning documents </w:t>
            </w:r>
            <w:r w:rsidR="004A6AAF">
              <w:rPr>
                <w:rFonts w:eastAsia="Times New Roman" w:cs="Times New Roman"/>
                <w:sz w:val="20"/>
                <w:szCs w:val="20"/>
              </w:rPr>
              <w:t>–</w:t>
            </w:r>
            <w:r w:rsidRPr="002B1DFC">
              <w:rPr>
                <w:rFonts w:eastAsia="Times New Roman" w:cs="Times New Roman"/>
                <w:sz w:val="20"/>
                <w:szCs w:val="20"/>
              </w:rPr>
              <w:t xml:space="preserve"> strategies, plans, schemes, urban planning documentation, national programs, national target programs</w:t>
            </w:r>
            <w:r w:rsidR="00A37F44">
              <w:rPr>
                <w:rFonts w:eastAsia="Times New Roman" w:cs="Times New Roman"/>
                <w:sz w:val="20"/>
                <w:szCs w:val="20"/>
              </w:rPr>
              <w:t>.</w:t>
            </w:r>
          </w:p>
        </w:tc>
      </w:tr>
      <w:tr w:rsidR="000B7923" w:rsidRPr="002B1DFC" w14:paraId="3668E388" w14:textId="77777777">
        <w:tc>
          <w:tcPr>
            <w:tcW w:w="902" w:type="pct"/>
          </w:tcPr>
          <w:p w14:paraId="4FAFB07B"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Screening </w:t>
            </w:r>
            <w:r w:rsidR="004A6AAF">
              <w:rPr>
                <w:rFonts w:eastAsia="Times New Roman" w:cs="Times New Roman"/>
                <w:sz w:val="20"/>
                <w:szCs w:val="20"/>
              </w:rPr>
              <w:t>–</w:t>
            </w:r>
            <w:r w:rsidRPr="002B1DFC">
              <w:rPr>
                <w:rFonts w:eastAsia="Times New Roman" w:cs="Times New Roman"/>
                <w:sz w:val="20"/>
                <w:szCs w:val="20"/>
              </w:rPr>
              <w:t xml:space="preserve"> Procedure to determine whether an activity is subject to EIA and the extent of the respective study</w:t>
            </w:r>
          </w:p>
        </w:tc>
        <w:tc>
          <w:tcPr>
            <w:tcW w:w="2115" w:type="pct"/>
          </w:tcPr>
          <w:p w14:paraId="221238C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Positive list of activities that require EIA:</w:t>
            </w:r>
          </w:p>
          <w:p w14:paraId="3017DDF7"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Article 27 of EE law lists potential objects of ecological expertise</w:t>
            </w:r>
            <w:r w:rsidR="00A37F44">
              <w:rPr>
                <w:rFonts w:eastAsia="Times New Roman" w:cs="Times New Roman"/>
                <w:sz w:val="20"/>
                <w:szCs w:val="20"/>
              </w:rPr>
              <w:t>.</w:t>
            </w:r>
          </w:p>
          <w:p w14:paraId="1EAB19C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State Construction Norms (CMU </w:t>
            </w:r>
            <w:r w:rsidR="00A37F44">
              <w:rPr>
                <w:rFonts w:eastAsia="Times New Roman" w:cs="Times New Roman"/>
                <w:sz w:val="20"/>
                <w:szCs w:val="20"/>
              </w:rPr>
              <w:t>R</w:t>
            </w:r>
            <w:r w:rsidRPr="002B1DFC">
              <w:rPr>
                <w:rFonts w:eastAsia="Times New Roman" w:cs="Times New Roman"/>
                <w:sz w:val="20"/>
                <w:szCs w:val="20"/>
              </w:rPr>
              <w:t>esolution 808 (2013) lists 33 type of activities that require detailed EIA</w:t>
            </w:r>
            <w:r w:rsidR="00A37F44">
              <w:rPr>
                <w:rFonts w:eastAsia="Times New Roman" w:cs="Times New Roman"/>
                <w:sz w:val="20"/>
                <w:szCs w:val="20"/>
              </w:rPr>
              <w:t>.</w:t>
            </w:r>
          </w:p>
          <w:p w14:paraId="2507F6D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Article 31 of law on Regulation of City Planning Activity (2011) requires full EA and SEE for high environmental risk objects and for hazardous objects</w:t>
            </w:r>
            <w:r w:rsidR="00A37F44">
              <w:rPr>
                <w:rFonts w:eastAsia="Times New Roman" w:cs="Times New Roman"/>
                <w:sz w:val="20"/>
                <w:szCs w:val="20"/>
              </w:rPr>
              <w:t>.</w:t>
            </w:r>
          </w:p>
          <w:p w14:paraId="3D94E434" w14:textId="77777777" w:rsidR="000B7923" w:rsidRPr="002B1DFC" w:rsidRDefault="000B7923" w:rsidP="003F0B09">
            <w:pPr>
              <w:pStyle w:val="ListParagraph"/>
              <w:ind w:left="0"/>
              <w:jc w:val="left"/>
              <w:rPr>
                <w:rFonts w:eastAsia="Times New Roman" w:cs="Times New Roman"/>
                <w:sz w:val="20"/>
                <w:szCs w:val="20"/>
              </w:rPr>
            </w:pPr>
            <w:r w:rsidRPr="002B1DFC">
              <w:rPr>
                <w:rFonts w:eastAsia="Times New Roman" w:cs="Times New Roman"/>
                <w:sz w:val="20"/>
                <w:szCs w:val="20"/>
              </w:rPr>
              <w:t xml:space="preserve">- Construction objects </w:t>
            </w:r>
            <w:r w:rsidR="004A6AAF">
              <w:rPr>
                <w:rFonts w:eastAsia="Times New Roman" w:cs="Times New Roman"/>
                <w:sz w:val="20"/>
                <w:szCs w:val="20"/>
              </w:rPr>
              <w:t>in</w:t>
            </w:r>
            <w:r w:rsidR="004A6AAF" w:rsidRPr="002B1DFC">
              <w:rPr>
                <w:rFonts w:eastAsia="Times New Roman" w:cs="Times New Roman"/>
                <w:sz w:val="20"/>
                <w:szCs w:val="20"/>
              </w:rPr>
              <w:t xml:space="preserve"> </w:t>
            </w:r>
            <w:r w:rsidRPr="002B1DFC">
              <w:rPr>
                <w:rFonts w:eastAsia="Times New Roman" w:cs="Times New Roman"/>
                <w:sz w:val="20"/>
                <w:szCs w:val="20"/>
              </w:rPr>
              <w:t>categories I</w:t>
            </w:r>
            <w:r w:rsidR="004A6AAF">
              <w:rPr>
                <w:rFonts w:eastAsia="Times New Roman" w:cs="Times New Roman"/>
                <w:sz w:val="20"/>
                <w:szCs w:val="20"/>
              </w:rPr>
              <w:t>–</w:t>
            </w:r>
            <w:r w:rsidRPr="002B1DFC">
              <w:rPr>
                <w:rFonts w:eastAsia="Times New Roman" w:cs="Times New Roman"/>
                <w:sz w:val="20"/>
                <w:szCs w:val="20"/>
              </w:rPr>
              <w:t>III do not require complex state expertise</w:t>
            </w:r>
            <w:r w:rsidR="00A37F44">
              <w:rPr>
                <w:rFonts w:eastAsia="Times New Roman" w:cs="Times New Roman"/>
                <w:sz w:val="20"/>
                <w:szCs w:val="20"/>
              </w:rPr>
              <w:t>,</w:t>
            </w:r>
            <w:r w:rsidRPr="002B1DFC">
              <w:rPr>
                <w:rFonts w:eastAsia="Times New Roman" w:cs="Times New Roman"/>
                <w:sz w:val="20"/>
                <w:szCs w:val="20"/>
              </w:rPr>
              <w:t xml:space="preserve"> and construction objects </w:t>
            </w:r>
            <w:r w:rsidR="004A6AAF">
              <w:rPr>
                <w:rFonts w:eastAsia="Times New Roman" w:cs="Times New Roman"/>
                <w:sz w:val="20"/>
                <w:szCs w:val="20"/>
              </w:rPr>
              <w:t>in</w:t>
            </w:r>
            <w:r w:rsidR="004A6AAF" w:rsidRPr="002B1DFC">
              <w:rPr>
                <w:rFonts w:eastAsia="Times New Roman" w:cs="Times New Roman"/>
                <w:sz w:val="20"/>
                <w:szCs w:val="20"/>
              </w:rPr>
              <w:t xml:space="preserve"> </w:t>
            </w:r>
            <w:r w:rsidRPr="002B1DFC">
              <w:rPr>
                <w:rFonts w:eastAsia="Times New Roman" w:cs="Times New Roman"/>
                <w:sz w:val="20"/>
                <w:szCs w:val="20"/>
              </w:rPr>
              <w:t>categories IV</w:t>
            </w:r>
            <w:r w:rsidR="004A6AAF">
              <w:rPr>
                <w:rFonts w:eastAsia="Times New Roman" w:cs="Times New Roman"/>
                <w:sz w:val="20"/>
                <w:szCs w:val="20"/>
              </w:rPr>
              <w:t>–</w:t>
            </w:r>
            <w:r w:rsidRPr="002B1DFC">
              <w:rPr>
                <w:rFonts w:eastAsia="Times New Roman" w:cs="Times New Roman"/>
                <w:sz w:val="20"/>
                <w:szCs w:val="20"/>
              </w:rPr>
              <w:t>V should be reviewed by the complex state expertise, which includes environmental analysis</w:t>
            </w:r>
            <w:r w:rsidR="00A37F44">
              <w:rPr>
                <w:rFonts w:eastAsia="Times New Roman" w:cs="Times New Roman"/>
                <w:sz w:val="20"/>
                <w:szCs w:val="20"/>
              </w:rPr>
              <w:t>.</w:t>
            </w:r>
          </w:p>
        </w:tc>
        <w:tc>
          <w:tcPr>
            <w:tcW w:w="1983" w:type="pct"/>
          </w:tcPr>
          <w:p w14:paraId="140379C8"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Article 6 (category I) and </w:t>
            </w:r>
            <w:r w:rsidR="00A37F44">
              <w:rPr>
                <w:rFonts w:eastAsia="Times New Roman" w:cs="Times New Roman"/>
                <w:sz w:val="20"/>
                <w:szCs w:val="20"/>
              </w:rPr>
              <w:t>A</w:t>
            </w:r>
            <w:r w:rsidRPr="002B1DFC">
              <w:rPr>
                <w:rFonts w:eastAsia="Times New Roman" w:cs="Times New Roman"/>
                <w:sz w:val="20"/>
                <w:szCs w:val="20"/>
              </w:rPr>
              <w:t xml:space="preserve">rticle 7 (category II) list </w:t>
            </w:r>
            <w:r w:rsidR="00A37F44">
              <w:rPr>
                <w:rFonts w:eastAsia="Times New Roman" w:cs="Times New Roman"/>
                <w:sz w:val="20"/>
                <w:szCs w:val="20"/>
              </w:rPr>
              <w:t xml:space="preserve">the </w:t>
            </w:r>
            <w:r w:rsidRPr="002B1DFC">
              <w:rPr>
                <w:rFonts w:eastAsia="Times New Roman" w:cs="Times New Roman"/>
                <w:sz w:val="20"/>
                <w:szCs w:val="20"/>
              </w:rPr>
              <w:t>activities that may have a significant impact on the environment and are subject to environmental impact assessments.</w:t>
            </w:r>
          </w:p>
          <w:p w14:paraId="6463ADCB" w14:textId="77777777" w:rsidR="000B7923" w:rsidRPr="002B1DFC" w:rsidRDefault="000B7923" w:rsidP="00F441C6">
            <w:pPr>
              <w:pStyle w:val="ListParagraph"/>
              <w:ind w:left="0"/>
              <w:jc w:val="left"/>
              <w:rPr>
                <w:rFonts w:eastAsia="Times New Roman" w:cs="Times New Roman"/>
                <w:sz w:val="20"/>
                <w:szCs w:val="20"/>
              </w:rPr>
            </w:pPr>
          </w:p>
          <w:p w14:paraId="5F0F312A" w14:textId="77777777" w:rsidR="000B7923" w:rsidRPr="002B1DFC" w:rsidRDefault="000B7923" w:rsidP="00F441C6">
            <w:pPr>
              <w:pStyle w:val="ListParagraph"/>
              <w:ind w:left="0"/>
              <w:jc w:val="left"/>
              <w:rPr>
                <w:rFonts w:eastAsia="Times New Roman" w:cs="Times New Roman"/>
                <w:sz w:val="20"/>
                <w:szCs w:val="20"/>
              </w:rPr>
            </w:pPr>
          </w:p>
          <w:p w14:paraId="64DE1217" w14:textId="77777777" w:rsidR="000B7923" w:rsidRPr="002B1DFC" w:rsidRDefault="000B7923" w:rsidP="00F441C6">
            <w:pPr>
              <w:pStyle w:val="ListParagraph"/>
              <w:ind w:left="0"/>
              <w:jc w:val="left"/>
              <w:rPr>
                <w:rFonts w:eastAsia="Times New Roman" w:cs="Times New Roman"/>
                <w:sz w:val="20"/>
                <w:szCs w:val="20"/>
              </w:rPr>
            </w:pPr>
          </w:p>
        </w:tc>
      </w:tr>
      <w:tr w:rsidR="000B7923" w:rsidRPr="002B1DFC" w14:paraId="4713E8AE" w14:textId="77777777">
        <w:tc>
          <w:tcPr>
            <w:tcW w:w="902" w:type="pct"/>
            <w:shd w:val="clear" w:color="auto" w:fill="DBE5F1"/>
          </w:tcPr>
          <w:p w14:paraId="70EDB6D0"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Types of EIA Instruments </w:t>
            </w:r>
            <w:r w:rsidR="004A6AAF">
              <w:rPr>
                <w:rFonts w:eastAsia="Times New Roman" w:cs="Times New Roman"/>
                <w:sz w:val="20"/>
                <w:szCs w:val="20"/>
              </w:rPr>
              <w:t>–</w:t>
            </w:r>
            <w:r w:rsidRPr="002B1DFC">
              <w:rPr>
                <w:rFonts w:eastAsia="Times New Roman" w:cs="Times New Roman"/>
                <w:sz w:val="20"/>
                <w:szCs w:val="20"/>
              </w:rPr>
              <w:t xml:space="preserve"> Different types of EIA instruments, their level of complexity</w:t>
            </w:r>
            <w:r w:rsidR="002B1250">
              <w:rPr>
                <w:rFonts w:eastAsia="Times New Roman" w:cs="Times New Roman"/>
                <w:sz w:val="20"/>
                <w:szCs w:val="20"/>
              </w:rPr>
              <w:t>,</w:t>
            </w:r>
            <w:r w:rsidRPr="002B1DFC">
              <w:rPr>
                <w:rFonts w:eastAsia="Times New Roman" w:cs="Times New Roman"/>
                <w:sz w:val="20"/>
                <w:szCs w:val="20"/>
              </w:rPr>
              <w:t xml:space="preserve"> and their focus</w:t>
            </w:r>
          </w:p>
        </w:tc>
        <w:tc>
          <w:tcPr>
            <w:tcW w:w="2115" w:type="pct"/>
            <w:shd w:val="clear" w:color="auto" w:fill="DBE5F1"/>
          </w:tcPr>
          <w:p w14:paraId="6A8B44AB"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Full</w:t>
            </w:r>
            <w:r w:rsidR="00A37F44">
              <w:rPr>
                <w:rFonts w:eastAsia="Times New Roman" w:cs="Times New Roman"/>
                <w:sz w:val="20"/>
                <w:szCs w:val="20"/>
              </w:rPr>
              <w:t>-</w:t>
            </w:r>
            <w:r w:rsidRPr="002B1DFC">
              <w:rPr>
                <w:rFonts w:eastAsia="Times New Roman" w:cs="Times New Roman"/>
                <w:sz w:val="20"/>
                <w:szCs w:val="20"/>
              </w:rPr>
              <w:t>scale EA (OVNS) with the state EE for high environmental risk and hazardous objects</w:t>
            </w:r>
            <w:r w:rsidR="00A37F44">
              <w:rPr>
                <w:rFonts w:eastAsia="Times New Roman" w:cs="Times New Roman"/>
                <w:sz w:val="20"/>
                <w:szCs w:val="20"/>
              </w:rPr>
              <w:t>.</w:t>
            </w:r>
          </w:p>
          <w:p w14:paraId="7BD63EBE" w14:textId="77777777" w:rsidR="000B7923" w:rsidRPr="002B1DFC" w:rsidRDefault="000B7923" w:rsidP="00F441C6">
            <w:pPr>
              <w:pStyle w:val="ListParagraph"/>
              <w:ind w:left="0"/>
              <w:jc w:val="left"/>
              <w:rPr>
                <w:rFonts w:eastAsia="Times New Roman" w:cs="Times New Roman"/>
                <w:sz w:val="20"/>
                <w:szCs w:val="20"/>
              </w:rPr>
            </w:pPr>
          </w:p>
        </w:tc>
        <w:tc>
          <w:tcPr>
            <w:tcW w:w="1983" w:type="pct"/>
            <w:shd w:val="clear" w:color="auto" w:fill="DBE5F1"/>
          </w:tcPr>
          <w:p w14:paraId="6531EB11"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One category: </w:t>
            </w:r>
            <w:r w:rsidR="00A37F44">
              <w:rPr>
                <w:rFonts w:eastAsia="Times New Roman" w:cs="Times New Roman"/>
                <w:sz w:val="20"/>
                <w:szCs w:val="20"/>
              </w:rPr>
              <w:t>F</w:t>
            </w:r>
            <w:r w:rsidRPr="002B1DFC">
              <w:rPr>
                <w:rFonts w:eastAsia="Times New Roman" w:cs="Times New Roman"/>
                <w:sz w:val="20"/>
                <w:szCs w:val="20"/>
              </w:rPr>
              <w:t>ull EIA.</w:t>
            </w:r>
          </w:p>
        </w:tc>
      </w:tr>
      <w:tr w:rsidR="000B7923" w:rsidRPr="002B1DFC" w14:paraId="714D369A" w14:textId="77777777">
        <w:tc>
          <w:tcPr>
            <w:tcW w:w="902" w:type="pct"/>
          </w:tcPr>
          <w:p w14:paraId="61D23E90" w14:textId="77777777" w:rsidR="000B7923" w:rsidRPr="002B1DFC" w:rsidRDefault="000B7923" w:rsidP="002B1250">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Scoping </w:t>
            </w:r>
            <w:r w:rsidR="004A6AAF">
              <w:rPr>
                <w:rFonts w:eastAsia="Times New Roman" w:cs="Times New Roman"/>
                <w:sz w:val="20"/>
                <w:szCs w:val="20"/>
              </w:rPr>
              <w:t>–</w:t>
            </w:r>
            <w:r w:rsidRPr="002B1DFC">
              <w:rPr>
                <w:rFonts w:eastAsia="Times New Roman" w:cs="Times New Roman"/>
                <w:sz w:val="20"/>
                <w:szCs w:val="20"/>
              </w:rPr>
              <w:t xml:space="preserve"> Procedure by which scope and focus of EIA </w:t>
            </w:r>
            <w:r w:rsidR="002B1250">
              <w:rPr>
                <w:rFonts w:eastAsia="Times New Roman" w:cs="Times New Roman"/>
                <w:sz w:val="20"/>
                <w:szCs w:val="20"/>
              </w:rPr>
              <w:t>are</w:t>
            </w:r>
            <w:r w:rsidR="002B1250" w:rsidRPr="002B1DFC">
              <w:rPr>
                <w:rFonts w:eastAsia="Times New Roman" w:cs="Times New Roman"/>
                <w:sz w:val="20"/>
                <w:szCs w:val="20"/>
              </w:rPr>
              <w:t xml:space="preserve"> </w:t>
            </w:r>
            <w:r w:rsidRPr="002B1DFC">
              <w:rPr>
                <w:rFonts w:eastAsia="Times New Roman" w:cs="Times New Roman"/>
                <w:sz w:val="20"/>
                <w:szCs w:val="20"/>
              </w:rPr>
              <w:t>defined</w:t>
            </w:r>
          </w:p>
        </w:tc>
        <w:tc>
          <w:tcPr>
            <w:tcW w:w="2115" w:type="pct"/>
          </w:tcPr>
          <w:p w14:paraId="59B714F8" w14:textId="77777777" w:rsidR="000B7923" w:rsidRPr="002B1DFC" w:rsidRDefault="000B7923" w:rsidP="008870E0">
            <w:pPr>
              <w:numPr>
                <w:ilvl w:val="0"/>
                <w:numId w:val="8"/>
              </w:numPr>
              <w:tabs>
                <w:tab w:val="left" w:pos="162"/>
              </w:tabs>
              <w:ind w:left="0" w:firstLine="0"/>
              <w:jc w:val="left"/>
              <w:rPr>
                <w:rFonts w:eastAsia="Times New Roman" w:cs="Times New Roman"/>
                <w:sz w:val="20"/>
                <w:szCs w:val="20"/>
              </w:rPr>
            </w:pPr>
            <w:r w:rsidRPr="002B1DFC">
              <w:rPr>
                <w:rFonts w:eastAsia="Times New Roman" w:cs="Times New Roman"/>
                <w:sz w:val="20"/>
                <w:szCs w:val="20"/>
              </w:rPr>
              <w:t>No formal scoping procedure is described</w:t>
            </w:r>
            <w:r w:rsidR="00A37F44">
              <w:rPr>
                <w:rFonts w:eastAsia="Times New Roman" w:cs="Times New Roman"/>
                <w:sz w:val="20"/>
                <w:szCs w:val="20"/>
              </w:rPr>
              <w:t>.</w:t>
            </w:r>
            <w:r w:rsidRPr="002B1DFC">
              <w:rPr>
                <w:rFonts w:eastAsia="Times New Roman" w:cs="Times New Roman"/>
                <w:sz w:val="20"/>
                <w:szCs w:val="20"/>
              </w:rPr>
              <w:t xml:space="preserve"> </w:t>
            </w:r>
            <w:r w:rsidR="00A37F44">
              <w:rPr>
                <w:rFonts w:eastAsia="Times New Roman" w:cs="Times New Roman"/>
                <w:sz w:val="20"/>
                <w:szCs w:val="20"/>
              </w:rPr>
              <w:t xml:space="preserve">- </w:t>
            </w:r>
            <w:r w:rsidRPr="002B1DFC">
              <w:rPr>
                <w:rFonts w:eastAsia="Times New Roman" w:cs="Times New Roman"/>
                <w:sz w:val="20"/>
                <w:szCs w:val="20"/>
              </w:rPr>
              <w:t>All environmental impact documentation address</w:t>
            </w:r>
            <w:r w:rsidR="00A37F44">
              <w:rPr>
                <w:rFonts w:eastAsia="Times New Roman" w:cs="Times New Roman"/>
                <w:sz w:val="20"/>
                <w:szCs w:val="20"/>
              </w:rPr>
              <w:t>es</w:t>
            </w:r>
            <w:r w:rsidRPr="002B1DFC">
              <w:rPr>
                <w:rFonts w:eastAsia="Times New Roman" w:cs="Times New Roman"/>
                <w:sz w:val="20"/>
                <w:szCs w:val="20"/>
              </w:rPr>
              <w:t xml:space="preserve"> a list of topics in state construction norms</w:t>
            </w:r>
            <w:r w:rsidR="00A37F44">
              <w:rPr>
                <w:rFonts w:eastAsia="Times New Roman" w:cs="Times New Roman"/>
                <w:sz w:val="20"/>
                <w:szCs w:val="20"/>
              </w:rPr>
              <w:t>.</w:t>
            </w:r>
          </w:p>
        </w:tc>
        <w:tc>
          <w:tcPr>
            <w:tcW w:w="1983" w:type="pct"/>
            <w:shd w:val="clear" w:color="auto" w:fill="FFFFFF"/>
          </w:tcPr>
          <w:p w14:paraId="5FAC553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The competent territorial / central authority, where requested by the project proponent, issue</w:t>
            </w:r>
            <w:r w:rsidR="00A37F44">
              <w:rPr>
                <w:rFonts w:eastAsia="Times New Roman" w:cs="Times New Roman"/>
                <w:sz w:val="20"/>
                <w:szCs w:val="20"/>
              </w:rPr>
              <w:t>s</w:t>
            </w:r>
            <w:r w:rsidRPr="002B1DFC">
              <w:rPr>
                <w:rFonts w:eastAsia="Times New Roman" w:cs="Times New Roman"/>
                <w:sz w:val="20"/>
                <w:szCs w:val="20"/>
              </w:rPr>
              <w:t xml:space="preserve"> an opinion on the scope and level of detail of the environmental information to be submitted in the form of an environmental impact assessment report.</w:t>
            </w:r>
          </w:p>
        </w:tc>
      </w:tr>
      <w:tr w:rsidR="000B7923" w:rsidRPr="002B1DFC" w14:paraId="5A501E42" w14:textId="77777777">
        <w:tc>
          <w:tcPr>
            <w:tcW w:w="902" w:type="pct"/>
            <w:shd w:val="clear" w:color="auto" w:fill="DBE5F1"/>
          </w:tcPr>
          <w:p w14:paraId="3A34B12D"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Decision</w:t>
            </w:r>
            <w:r w:rsidR="002B1250">
              <w:rPr>
                <w:rFonts w:eastAsia="Times New Roman" w:cs="Times New Roman"/>
                <w:sz w:val="20"/>
                <w:szCs w:val="20"/>
              </w:rPr>
              <w:t>-m</w:t>
            </w:r>
            <w:r w:rsidRPr="002B1DFC">
              <w:rPr>
                <w:rFonts w:eastAsia="Times New Roman" w:cs="Times New Roman"/>
                <w:sz w:val="20"/>
                <w:szCs w:val="20"/>
              </w:rPr>
              <w:t xml:space="preserve">aking </w:t>
            </w:r>
            <w:r w:rsidR="002B1250">
              <w:rPr>
                <w:rFonts w:eastAsia="Times New Roman" w:cs="Times New Roman"/>
                <w:sz w:val="20"/>
                <w:szCs w:val="20"/>
              </w:rPr>
              <w:t>r</w:t>
            </w:r>
            <w:r w:rsidRPr="002B1DFC">
              <w:rPr>
                <w:rFonts w:eastAsia="Times New Roman" w:cs="Times New Roman"/>
                <w:sz w:val="20"/>
                <w:szCs w:val="20"/>
              </w:rPr>
              <w:t xml:space="preserve">esponsibility </w:t>
            </w:r>
            <w:r w:rsidR="004A6AAF">
              <w:rPr>
                <w:rFonts w:eastAsia="Times New Roman" w:cs="Times New Roman"/>
                <w:sz w:val="20"/>
                <w:szCs w:val="20"/>
              </w:rPr>
              <w:t>–</w:t>
            </w:r>
            <w:r w:rsidRPr="002B1DFC">
              <w:rPr>
                <w:rFonts w:eastAsia="Times New Roman" w:cs="Times New Roman"/>
                <w:sz w:val="20"/>
                <w:szCs w:val="20"/>
              </w:rPr>
              <w:t xml:space="preserve"> </w:t>
            </w:r>
          </w:p>
          <w:p w14:paraId="127DCF50"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Authority responsible for final decision in the EIA process</w:t>
            </w:r>
          </w:p>
        </w:tc>
        <w:tc>
          <w:tcPr>
            <w:tcW w:w="2115" w:type="pct"/>
            <w:shd w:val="clear" w:color="auto" w:fill="DBE5F1"/>
          </w:tcPr>
          <w:p w14:paraId="7F86D9DE"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Divisions of expertise of competent authority</w:t>
            </w:r>
            <w:r w:rsidR="00A37F44">
              <w:rPr>
                <w:rFonts w:eastAsia="Times New Roman" w:cs="Times New Roman"/>
                <w:sz w:val="20"/>
                <w:szCs w:val="20"/>
              </w:rPr>
              <w:t>.</w:t>
            </w:r>
          </w:p>
          <w:p w14:paraId="7361277C"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The review may be carried out with help of</w:t>
            </w:r>
          </w:p>
          <w:p w14:paraId="7134BA67"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w:t>
            </w:r>
            <w:proofErr w:type="gramStart"/>
            <w:r w:rsidRPr="002B1DFC">
              <w:rPr>
                <w:rFonts w:eastAsia="Times New Roman" w:cs="Times New Roman"/>
                <w:sz w:val="20"/>
                <w:szCs w:val="20"/>
              </w:rPr>
              <w:t>special</w:t>
            </w:r>
            <w:proofErr w:type="gramEnd"/>
            <w:r w:rsidRPr="002B1DFC">
              <w:rPr>
                <w:rFonts w:eastAsia="Times New Roman" w:cs="Times New Roman"/>
                <w:sz w:val="20"/>
                <w:szCs w:val="20"/>
              </w:rPr>
              <w:t xml:space="preserve"> commissions with participation of ecological experti</w:t>
            </w:r>
            <w:r w:rsidR="00A37F44">
              <w:rPr>
                <w:rFonts w:eastAsia="Times New Roman" w:cs="Times New Roman"/>
                <w:sz w:val="20"/>
                <w:szCs w:val="20"/>
              </w:rPr>
              <w:t>s</w:t>
            </w:r>
            <w:r w:rsidRPr="002B1DFC">
              <w:rPr>
                <w:rFonts w:eastAsia="Times New Roman" w:cs="Times New Roman"/>
                <w:sz w:val="20"/>
                <w:szCs w:val="20"/>
              </w:rPr>
              <w:t>e divisions and other experts (not from government agencies)</w:t>
            </w:r>
            <w:r w:rsidR="00A37F44">
              <w:rPr>
                <w:rFonts w:eastAsia="Times New Roman" w:cs="Times New Roman"/>
                <w:sz w:val="20"/>
                <w:szCs w:val="20"/>
              </w:rPr>
              <w:t>.</w:t>
            </w:r>
            <w:r w:rsidRPr="002B1DFC">
              <w:rPr>
                <w:rFonts w:eastAsia="Times New Roman" w:cs="Times New Roman"/>
                <w:sz w:val="20"/>
                <w:szCs w:val="20"/>
              </w:rPr>
              <w:t xml:space="preserve"> </w:t>
            </w:r>
          </w:p>
          <w:p w14:paraId="0EDFF316"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w:t>
            </w:r>
            <w:proofErr w:type="gramStart"/>
            <w:r w:rsidRPr="002B1DFC">
              <w:rPr>
                <w:rFonts w:eastAsia="Times New Roman" w:cs="Times New Roman"/>
                <w:sz w:val="20"/>
                <w:szCs w:val="20"/>
              </w:rPr>
              <w:t>by</w:t>
            </w:r>
            <w:proofErr w:type="gramEnd"/>
            <w:r w:rsidRPr="002B1DFC">
              <w:rPr>
                <w:rFonts w:eastAsia="Times New Roman" w:cs="Times New Roman"/>
                <w:sz w:val="20"/>
                <w:szCs w:val="20"/>
              </w:rPr>
              <w:t xml:space="preserve"> contracting specialized organizations to carry out preliminary analysis and preparing proposals for the government agency, which then reviews and approves these proposals</w:t>
            </w:r>
            <w:r w:rsidR="00A37F44">
              <w:rPr>
                <w:rFonts w:eastAsia="Times New Roman" w:cs="Times New Roman"/>
                <w:sz w:val="20"/>
                <w:szCs w:val="20"/>
              </w:rPr>
              <w:t>.</w:t>
            </w:r>
          </w:p>
          <w:p w14:paraId="407D5B99" w14:textId="77777777" w:rsidR="000B7923" w:rsidRPr="002B1DFC" w:rsidRDefault="000B7923" w:rsidP="00F441C6">
            <w:pPr>
              <w:pStyle w:val="ListParagraph"/>
              <w:ind w:left="0"/>
              <w:jc w:val="left"/>
              <w:rPr>
                <w:rFonts w:eastAsia="Times New Roman" w:cs="Times New Roman"/>
                <w:sz w:val="20"/>
                <w:szCs w:val="20"/>
              </w:rPr>
            </w:pPr>
          </w:p>
        </w:tc>
        <w:tc>
          <w:tcPr>
            <w:tcW w:w="1983" w:type="pct"/>
            <w:shd w:val="clear" w:color="auto" w:fill="DBE5F1"/>
          </w:tcPr>
          <w:p w14:paraId="242FD6CC"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Authorized territorial authority and</w:t>
            </w:r>
            <w:r w:rsidR="00A37F44">
              <w:rPr>
                <w:rFonts w:eastAsia="Times New Roman" w:cs="Times New Roman"/>
                <w:sz w:val="20"/>
                <w:szCs w:val="20"/>
              </w:rPr>
              <w:t>,</w:t>
            </w:r>
            <w:r w:rsidRPr="002B1DFC">
              <w:rPr>
                <w:rFonts w:eastAsia="Times New Roman" w:cs="Times New Roman"/>
                <w:sz w:val="20"/>
                <w:szCs w:val="20"/>
              </w:rPr>
              <w:t xml:space="preserve"> in cases specified in paragraphs 3 and 4 of Article 5</w:t>
            </w:r>
            <w:r w:rsidR="00A37F44">
              <w:rPr>
                <w:rFonts w:eastAsia="Times New Roman" w:cs="Times New Roman"/>
                <w:sz w:val="20"/>
                <w:szCs w:val="20"/>
              </w:rPr>
              <w:t>,</w:t>
            </w:r>
            <w:r w:rsidRPr="002B1DFC">
              <w:rPr>
                <w:rFonts w:eastAsia="Times New Roman" w:cs="Times New Roman"/>
                <w:sz w:val="20"/>
                <w:szCs w:val="20"/>
              </w:rPr>
              <w:t xml:space="preserve"> authorized central authority. </w:t>
            </w:r>
          </w:p>
        </w:tc>
      </w:tr>
      <w:tr w:rsidR="000B7923" w:rsidRPr="002B1DFC" w14:paraId="12841586" w14:textId="77777777">
        <w:tc>
          <w:tcPr>
            <w:tcW w:w="902" w:type="pct"/>
          </w:tcPr>
          <w:p w14:paraId="4EA5B520"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Terms of Reference </w:t>
            </w:r>
            <w:r w:rsidR="004A6AAF">
              <w:rPr>
                <w:rFonts w:eastAsia="Times New Roman" w:cs="Times New Roman"/>
                <w:sz w:val="20"/>
                <w:szCs w:val="20"/>
              </w:rPr>
              <w:t>–</w:t>
            </w:r>
            <w:r w:rsidRPr="002B1DFC">
              <w:rPr>
                <w:rFonts w:eastAsia="Times New Roman" w:cs="Times New Roman"/>
                <w:sz w:val="20"/>
                <w:szCs w:val="20"/>
              </w:rPr>
              <w:t xml:space="preserve"> Who defines the content of the TORs and who conducts the </w:t>
            </w:r>
            <w:r w:rsidRPr="002B1DFC">
              <w:rPr>
                <w:rFonts w:eastAsia="Times New Roman" w:cs="Times New Roman"/>
                <w:sz w:val="20"/>
                <w:szCs w:val="20"/>
              </w:rPr>
              <w:lastRenderedPageBreak/>
              <w:t>corresponding study</w:t>
            </w:r>
          </w:p>
        </w:tc>
        <w:tc>
          <w:tcPr>
            <w:tcW w:w="2115" w:type="pct"/>
          </w:tcPr>
          <w:p w14:paraId="46225CB9"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lastRenderedPageBreak/>
              <w:t>Content of EIA is established in EIA and sectoral legislation</w:t>
            </w:r>
            <w:r w:rsidR="00A37F44">
              <w:rPr>
                <w:rFonts w:eastAsia="Times New Roman" w:cs="Times New Roman"/>
                <w:sz w:val="20"/>
                <w:szCs w:val="20"/>
              </w:rPr>
              <w:t>.</w:t>
            </w:r>
          </w:p>
        </w:tc>
        <w:tc>
          <w:tcPr>
            <w:tcW w:w="1983" w:type="pct"/>
            <w:shd w:val="clear" w:color="auto" w:fill="FFFFFF"/>
          </w:tcPr>
          <w:p w14:paraId="2F4C05B7"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Project proponent or their consultant prepare</w:t>
            </w:r>
            <w:r w:rsidR="00A37F44">
              <w:rPr>
                <w:rFonts w:eastAsia="Times New Roman" w:cs="Times New Roman"/>
                <w:sz w:val="20"/>
                <w:szCs w:val="20"/>
              </w:rPr>
              <w:t>s</w:t>
            </w:r>
            <w:r w:rsidRPr="002B1DFC">
              <w:rPr>
                <w:rFonts w:eastAsia="Times New Roman" w:cs="Times New Roman"/>
                <w:sz w:val="20"/>
                <w:szCs w:val="20"/>
              </w:rPr>
              <w:t xml:space="preserve"> the EIA study. Article 6 lists the minimum requirements for information to be provided in the EIA study.</w:t>
            </w:r>
          </w:p>
        </w:tc>
      </w:tr>
      <w:tr w:rsidR="000B7923" w:rsidRPr="002B1DFC" w14:paraId="6A210658" w14:textId="77777777">
        <w:tc>
          <w:tcPr>
            <w:tcW w:w="902" w:type="pct"/>
            <w:shd w:val="clear" w:color="auto" w:fill="DBE5F1"/>
          </w:tcPr>
          <w:p w14:paraId="703A7990"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lastRenderedPageBreak/>
              <w:t xml:space="preserve">Requirements </w:t>
            </w:r>
            <w:r w:rsidR="004A6AAF">
              <w:rPr>
                <w:rFonts w:eastAsia="Times New Roman" w:cs="Times New Roman"/>
                <w:sz w:val="20"/>
                <w:szCs w:val="20"/>
              </w:rPr>
              <w:t>–</w:t>
            </w:r>
            <w:r w:rsidRPr="002B1DFC">
              <w:rPr>
                <w:rFonts w:eastAsia="Times New Roman" w:cs="Times New Roman"/>
                <w:sz w:val="20"/>
                <w:szCs w:val="20"/>
              </w:rPr>
              <w:t xml:space="preserve"> Requirements in the TORs related to the impacts that </w:t>
            </w:r>
            <w:r w:rsidR="002B1250">
              <w:rPr>
                <w:rFonts w:eastAsia="Times New Roman" w:cs="Times New Roman"/>
                <w:sz w:val="20"/>
                <w:szCs w:val="20"/>
              </w:rPr>
              <w:t xml:space="preserve">the EIS </w:t>
            </w:r>
            <w:r w:rsidRPr="002B1DFC">
              <w:rPr>
                <w:rFonts w:eastAsia="Times New Roman" w:cs="Times New Roman"/>
                <w:sz w:val="20"/>
                <w:szCs w:val="20"/>
              </w:rPr>
              <w:t>must take into account</w:t>
            </w:r>
          </w:p>
        </w:tc>
        <w:tc>
          <w:tcPr>
            <w:tcW w:w="2115" w:type="pct"/>
            <w:shd w:val="clear" w:color="auto" w:fill="DBE5F1"/>
          </w:tcPr>
          <w:p w14:paraId="0E5678E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The EIA report should include adverse impacts on natural, </w:t>
            </w:r>
            <w:r w:rsidR="00A37F44">
              <w:rPr>
                <w:rFonts w:eastAsia="Times New Roman" w:cs="Times New Roman"/>
                <w:sz w:val="20"/>
                <w:szCs w:val="20"/>
              </w:rPr>
              <w:t>manufactured,</w:t>
            </w:r>
            <w:r w:rsidR="00A37F44" w:rsidRPr="002B1DFC">
              <w:rPr>
                <w:rFonts w:eastAsia="Times New Roman" w:cs="Times New Roman"/>
                <w:sz w:val="20"/>
                <w:szCs w:val="20"/>
              </w:rPr>
              <w:t xml:space="preserve"> </w:t>
            </w:r>
            <w:r w:rsidRPr="002B1DFC">
              <w:rPr>
                <w:rFonts w:eastAsia="Times New Roman" w:cs="Times New Roman"/>
                <w:sz w:val="20"/>
                <w:szCs w:val="20"/>
              </w:rPr>
              <w:t>and social environments</w:t>
            </w:r>
            <w:r w:rsidR="00A37F44">
              <w:rPr>
                <w:rFonts w:eastAsia="Times New Roman" w:cs="Times New Roman"/>
                <w:sz w:val="20"/>
                <w:szCs w:val="20"/>
              </w:rPr>
              <w:t>.</w:t>
            </w:r>
            <w:r w:rsidRPr="002B1DFC">
              <w:rPr>
                <w:rFonts w:eastAsia="Times New Roman" w:cs="Times New Roman"/>
                <w:sz w:val="20"/>
                <w:szCs w:val="20"/>
              </w:rPr>
              <w:t xml:space="preserve"> </w:t>
            </w:r>
          </w:p>
          <w:p w14:paraId="26683B6A"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Ukraine signed and ratified (in 1999) UNECE Convention on Environmental Impact Assessment in a Transboundary Context (Espoo Convention, 1991). Paragraph 1.11 of DBN A.2.2-1-2003 requires taking into account the provisions of the convention where appropriate</w:t>
            </w:r>
            <w:r w:rsidR="00A37F44">
              <w:rPr>
                <w:rFonts w:eastAsia="Times New Roman" w:cs="Times New Roman"/>
                <w:sz w:val="20"/>
                <w:szCs w:val="20"/>
              </w:rPr>
              <w:t>.</w:t>
            </w:r>
          </w:p>
          <w:p w14:paraId="07BC05A9" w14:textId="77777777" w:rsidR="000B7923" w:rsidRPr="002B1DFC" w:rsidRDefault="000B7923" w:rsidP="00F441C6">
            <w:pPr>
              <w:pStyle w:val="ListParagraph"/>
              <w:ind w:left="0"/>
              <w:jc w:val="left"/>
              <w:rPr>
                <w:rFonts w:eastAsia="Times New Roman" w:cs="Times New Roman"/>
                <w:sz w:val="20"/>
                <w:szCs w:val="20"/>
              </w:rPr>
            </w:pPr>
          </w:p>
        </w:tc>
        <w:tc>
          <w:tcPr>
            <w:tcW w:w="1983" w:type="pct"/>
            <w:shd w:val="clear" w:color="auto" w:fill="DBE5F1"/>
          </w:tcPr>
          <w:p w14:paraId="5331E80E"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Direct effects and any indirect, secondary, cumulative, transboundary, short</w:t>
            </w:r>
            <w:r w:rsidR="004A6AAF">
              <w:rPr>
                <w:rFonts w:eastAsia="Times New Roman" w:cs="Times New Roman"/>
                <w:sz w:val="20"/>
                <w:szCs w:val="20"/>
              </w:rPr>
              <w:t>-term</w:t>
            </w:r>
            <w:r w:rsidRPr="002B1DFC">
              <w:rPr>
                <w:rFonts w:eastAsia="Times New Roman" w:cs="Times New Roman"/>
                <w:sz w:val="20"/>
                <w:szCs w:val="20"/>
              </w:rPr>
              <w:t>, medium</w:t>
            </w:r>
            <w:r w:rsidR="004A6AAF">
              <w:rPr>
                <w:rFonts w:eastAsia="Times New Roman" w:cs="Times New Roman"/>
                <w:sz w:val="20"/>
                <w:szCs w:val="20"/>
              </w:rPr>
              <w:t>-term</w:t>
            </w:r>
            <w:r w:rsidRPr="002B1DFC">
              <w:rPr>
                <w:rFonts w:eastAsia="Times New Roman" w:cs="Times New Roman"/>
                <w:sz w:val="20"/>
                <w:szCs w:val="20"/>
              </w:rPr>
              <w:t xml:space="preserve"> </w:t>
            </w:r>
            <w:r w:rsidR="004A6AAF">
              <w:rPr>
                <w:rFonts w:eastAsia="Times New Roman" w:cs="Times New Roman"/>
                <w:sz w:val="20"/>
                <w:szCs w:val="20"/>
              </w:rPr>
              <w:t>or</w:t>
            </w:r>
            <w:r w:rsidR="004A6AAF" w:rsidRPr="002B1DFC">
              <w:rPr>
                <w:rFonts w:eastAsia="Times New Roman" w:cs="Times New Roman"/>
                <w:sz w:val="20"/>
                <w:szCs w:val="20"/>
              </w:rPr>
              <w:t xml:space="preserve"> </w:t>
            </w:r>
            <w:r w:rsidRPr="002B1DFC">
              <w:rPr>
                <w:rFonts w:eastAsia="Times New Roman" w:cs="Times New Roman"/>
                <w:sz w:val="20"/>
                <w:szCs w:val="20"/>
              </w:rPr>
              <w:t xml:space="preserve">long-term, permanent </w:t>
            </w:r>
            <w:r w:rsidR="004A6AAF">
              <w:rPr>
                <w:rFonts w:eastAsia="Times New Roman" w:cs="Times New Roman"/>
                <w:sz w:val="20"/>
                <w:szCs w:val="20"/>
              </w:rPr>
              <w:t>or</w:t>
            </w:r>
            <w:r w:rsidR="004A6AAF" w:rsidRPr="002B1DFC">
              <w:rPr>
                <w:rFonts w:eastAsia="Times New Roman" w:cs="Times New Roman"/>
                <w:sz w:val="20"/>
                <w:szCs w:val="20"/>
              </w:rPr>
              <w:t xml:space="preserve"> </w:t>
            </w:r>
            <w:r w:rsidRPr="002B1DFC">
              <w:rPr>
                <w:rFonts w:eastAsia="Times New Roman" w:cs="Times New Roman"/>
                <w:sz w:val="20"/>
                <w:szCs w:val="20"/>
              </w:rPr>
              <w:t xml:space="preserve">temporary, positive </w:t>
            </w:r>
            <w:r w:rsidR="004A6AAF">
              <w:rPr>
                <w:rFonts w:eastAsia="Times New Roman" w:cs="Times New Roman"/>
                <w:sz w:val="20"/>
                <w:szCs w:val="20"/>
              </w:rPr>
              <w:t>or</w:t>
            </w:r>
            <w:r w:rsidR="004A6AAF" w:rsidRPr="002B1DFC">
              <w:rPr>
                <w:rFonts w:eastAsia="Times New Roman" w:cs="Times New Roman"/>
                <w:sz w:val="20"/>
                <w:szCs w:val="20"/>
              </w:rPr>
              <w:t xml:space="preserve"> </w:t>
            </w:r>
            <w:r w:rsidRPr="002B1DFC">
              <w:rPr>
                <w:rFonts w:eastAsia="Times New Roman" w:cs="Times New Roman"/>
                <w:sz w:val="20"/>
                <w:szCs w:val="20"/>
              </w:rPr>
              <w:t>negative impacts.</w:t>
            </w:r>
          </w:p>
          <w:p w14:paraId="3CA03BC0" w14:textId="77777777" w:rsidR="000B7923" w:rsidRPr="002B1DFC" w:rsidRDefault="000B7923" w:rsidP="00F441C6">
            <w:pPr>
              <w:pStyle w:val="ListParagraph"/>
              <w:ind w:left="0"/>
              <w:jc w:val="left"/>
              <w:rPr>
                <w:rFonts w:eastAsia="Times New Roman" w:cs="Times New Roman"/>
                <w:sz w:val="20"/>
                <w:szCs w:val="20"/>
              </w:rPr>
            </w:pPr>
          </w:p>
        </w:tc>
      </w:tr>
      <w:tr w:rsidR="000B7923" w:rsidRPr="002B1DFC" w14:paraId="0A5E9B2B" w14:textId="77777777">
        <w:tc>
          <w:tcPr>
            <w:tcW w:w="902" w:type="pct"/>
          </w:tcPr>
          <w:p w14:paraId="0FFD56C2"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Institutional</w:t>
            </w:r>
            <w:r w:rsidR="002B1250">
              <w:rPr>
                <w:rFonts w:eastAsia="Times New Roman" w:cs="Times New Roman"/>
                <w:sz w:val="20"/>
                <w:szCs w:val="20"/>
              </w:rPr>
              <w:t xml:space="preserve"> c</w:t>
            </w:r>
            <w:r w:rsidRPr="002B1DFC">
              <w:rPr>
                <w:rFonts w:eastAsia="Times New Roman" w:cs="Times New Roman"/>
                <w:sz w:val="20"/>
                <w:szCs w:val="20"/>
              </w:rPr>
              <w:t>oordination</w:t>
            </w:r>
            <w:r w:rsidR="002B1250">
              <w:rPr>
                <w:rFonts w:eastAsia="Times New Roman" w:cs="Times New Roman"/>
                <w:sz w:val="20"/>
                <w:szCs w:val="20"/>
              </w:rPr>
              <w:t xml:space="preserve"> –</w:t>
            </w:r>
          </w:p>
          <w:p w14:paraId="04F5FC77" w14:textId="77777777" w:rsidR="000B7923" w:rsidRPr="002B1DFC" w:rsidRDefault="000B7923" w:rsidP="002B1250">
            <w:pPr>
              <w:pStyle w:val="ListParagraph"/>
              <w:ind w:left="0"/>
              <w:jc w:val="left"/>
              <w:rPr>
                <w:rFonts w:eastAsia="Times New Roman" w:cs="Times New Roman"/>
                <w:b/>
                <w:bCs/>
                <w:sz w:val="20"/>
                <w:szCs w:val="20"/>
              </w:rPr>
            </w:pPr>
            <w:r w:rsidRPr="002B1DFC">
              <w:rPr>
                <w:rFonts w:eastAsia="Times New Roman" w:cs="Times New Roman"/>
                <w:sz w:val="20"/>
                <w:szCs w:val="20"/>
              </w:rPr>
              <w:t>Consultation</w:t>
            </w:r>
            <w:r w:rsidR="002B1250">
              <w:t xml:space="preserve"> </w:t>
            </w:r>
            <w:r w:rsidR="002B1250" w:rsidRPr="002B1250">
              <w:rPr>
                <w:rFonts w:eastAsia="Times New Roman" w:cs="Times New Roman"/>
                <w:sz w:val="20"/>
                <w:szCs w:val="20"/>
              </w:rPr>
              <w:t>in the EIA process</w:t>
            </w:r>
            <w:r w:rsidRPr="002B1DFC">
              <w:rPr>
                <w:rFonts w:eastAsia="Times New Roman" w:cs="Times New Roman"/>
                <w:sz w:val="20"/>
                <w:szCs w:val="20"/>
              </w:rPr>
              <w:t xml:space="preserve"> with public entities and organization</w:t>
            </w:r>
            <w:r w:rsidR="002B1250">
              <w:rPr>
                <w:rFonts w:eastAsia="Times New Roman" w:cs="Times New Roman"/>
                <w:sz w:val="20"/>
                <w:szCs w:val="20"/>
              </w:rPr>
              <w:t>s</w:t>
            </w:r>
            <w:r w:rsidRPr="002B1DFC">
              <w:rPr>
                <w:rFonts w:eastAsia="Times New Roman" w:cs="Times New Roman"/>
                <w:sz w:val="20"/>
                <w:szCs w:val="20"/>
              </w:rPr>
              <w:t xml:space="preserve"> </w:t>
            </w:r>
          </w:p>
        </w:tc>
        <w:tc>
          <w:tcPr>
            <w:tcW w:w="2115" w:type="pct"/>
            <w:shd w:val="clear" w:color="auto" w:fill="FFFFFF"/>
          </w:tcPr>
          <w:p w14:paraId="6BE3063E" w14:textId="77777777" w:rsidR="000B7923" w:rsidRPr="002B1DFC" w:rsidRDefault="000B7923" w:rsidP="00A37F44">
            <w:pPr>
              <w:pStyle w:val="ListParagraph"/>
              <w:ind w:left="0"/>
              <w:jc w:val="left"/>
              <w:rPr>
                <w:rFonts w:eastAsia="Times New Roman" w:cs="Times New Roman"/>
                <w:sz w:val="20"/>
                <w:szCs w:val="20"/>
              </w:rPr>
            </w:pPr>
            <w:r w:rsidRPr="002B1DFC">
              <w:rPr>
                <w:rFonts w:eastAsia="Times New Roman" w:cs="Times New Roman"/>
                <w:sz w:val="20"/>
                <w:szCs w:val="20"/>
              </w:rPr>
              <w:t>Law on ecological expertise states that the specialists of other institutions, organizations</w:t>
            </w:r>
            <w:r w:rsidR="00A37F44">
              <w:rPr>
                <w:rFonts w:eastAsia="Times New Roman" w:cs="Times New Roman"/>
                <w:sz w:val="20"/>
                <w:szCs w:val="20"/>
              </w:rPr>
              <w:t>,</w:t>
            </w:r>
            <w:r w:rsidRPr="002B1DFC">
              <w:rPr>
                <w:rFonts w:eastAsia="Times New Roman" w:cs="Times New Roman"/>
                <w:sz w:val="20"/>
                <w:szCs w:val="20"/>
              </w:rPr>
              <w:t xml:space="preserve"> and enterprises</w:t>
            </w:r>
            <w:r w:rsidR="00A37F44">
              <w:rPr>
                <w:rFonts w:eastAsia="Times New Roman" w:cs="Times New Roman"/>
                <w:sz w:val="20"/>
                <w:szCs w:val="20"/>
              </w:rPr>
              <w:t>,</w:t>
            </w:r>
            <w:r w:rsidRPr="002B1DFC">
              <w:rPr>
                <w:rFonts w:eastAsia="Times New Roman" w:cs="Times New Roman"/>
                <w:sz w:val="20"/>
                <w:szCs w:val="20"/>
              </w:rPr>
              <w:t xml:space="preserve"> and experts </w:t>
            </w:r>
            <w:r w:rsidR="00A37F44">
              <w:rPr>
                <w:rFonts w:eastAsia="Times New Roman" w:cs="Times New Roman"/>
                <w:sz w:val="20"/>
                <w:szCs w:val="20"/>
              </w:rPr>
              <w:t xml:space="preserve">from </w:t>
            </w:r>
            <w:r w:rsidRPr="002B1DFC">
              <w:rPr>
                <w:rFonts w:eastAsia="Times New Roman" w:cs="Times New Roman"/>
                <w:sz w:val="20"/>
                <w:szCs w:val="20"/>
              </w:rPr>
              <w:t>international organizations may be involved in the state ecological expertise by the established procedure</w:t>
            </w:r>
            <w:r w:rsidR="00A37F44">
              <w:rPr>
                <w:rFonts w:eastAsia="Times New Roman" w:cs="Times New Roman"/>
                <w:sz w:val="20"/>
                <w:szCs w:val="20"/>
              </w:rPr>
              <w:t>.</w:t>
            </w:r>
          </w:p>
        </w:tc>
        <w:tc>
          <w:tcPr>
            <w:tcW w:w="1983" w:type="pct"/>
            <w:shd w:val="clear" w:color="auto" w:fill="FFFFFF"/>
          </w:tcPr>
          <w:p w14:paraId="7F736E6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None</w:t>
            </w:r>
            <w:r w:rsidR="00641467">
              <w:rPr>
                <w:rFonts w:eastAsia="Times New Roman" w:cs="Times New Roman"/>
                <w:sz w:val="20"/>
                <w:szCs w:val="20"/>
              </w:rPr>
              <w:t>.</w:t>
            </w:r>
          </w:p>
        </w:tc>
      </w:tr>
      <w:tr w:rsidR="000B7923" w:rsidRPr="002B1DFC" w14:paraId="64B24669" w14:textId="77777777">
        <w:tc>
          <w:tcPr>
            <w:tcW w:w="902" w:type="pct"/>
            <w:shd w:val="clear" w:color="auto" w:fill="DBE5F1"/>
          </w:tcPr>
          <w:p w14:paraId="6A7373F2"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Citizen </w:t>
            </w:r>
            <w:r w:rsidR="002B1250">
              <w:rPr>
                <w:rFonts w:eastAsia="Times New Roman" w:cs="Times New Roman"/>
                <w:sz w:val="20"/>
                <w:szCs w:val="20"/>
              </w:rPr>
              <w:t>p</w:t>
            </w:r>
            <w:r w:rsidRPr="002B1DFC">
              <w:rPr>
                <w:rFonts w:eastAsia="Times New Roman" w:cs="Times New Roman"/>
                <w:sz w:val="20"/>
                <w:szCs w:val="20"/>
              </w:rPr>
              <w:t xml:space="preserve">articipation </w:t>
            </w:r>
            <w:r w:rsidR="004A6AAF">
              <w:rPr>
                <w:rFonts w:eastAsia="Times New Roman" w:cs="Times New Roman"/>
                <w:sz w:val="20"/>
                <w:szCs w:val="20"/>
              </w:rPr>
              <w:t>–</w:t>
            </w:r>
            <w:r w:rsidRPr="002B1DFC">
              <w:rPr>
                <w:rFonts w:eastAsia="Times New Roman" w:cs="Times New Roman"/>
                <w:sz w:val="20"/>
                <w:szCs w:val="20"/>
              </w:rPr>
              <w:t xml:space="preserve"> Provisions for the involvement of the general community or specific parts of the community</w:t>
            </w:r>
            <w:r w:rsidR="002B1250">
              <w:rPr>
                <w:rFonts w:eastAsia="Times New Roman" w:cs="Times New Roman"/>
                <w:sz w:val="20"/>
                <w:szCs w:val="20"/>
              </w:rPr>
              <w:t>,</w:t>
            </w:r>
            <w:r w:rsidRPr="002B1DFC">
              <w:rPr>
                <w:rFonts w:eastAsia="Times New Roman" w:cs="Times New Roman"/>
                <w:sz w:val="20"/>
                <w:szCs w:val="20"/>
              </w:rPr>
              <w:t xml:space="preserve"> as well as those direct</w:t>
            </w:r>
            <w:r w:rsidR="002B1250">
              <w:rPr>
                <w:rFonts w:eastAsia="Times New Roman" w:cs="Times New Roman"/>
                <w:sz w:val="20"/>
                <w:szCs w:val="20"/>
              </w:rPr>
              <w:t>ly</w:t>
            </w:r>
            <w:r w:rsidRPr="002B1DFC">
              <w:rPr>
                <w:rFonts w:eastAsia="Times New Roman" w:cs="Times New Roman"/>
                <w:sz w:val="20"/>
                <w:szCs w:val="20"/>
              </w:rPr>
              <w:t xml:space="preserve"> interested in the EIA process</w:t>
            </w:r>
          </w:p>
        </w:tc>
        <w:tc>
          <w:tcPr>
            <w:tcW w:w="2115" w:type="pct"/>
            <w:shd w:val="clear" w:color="auto" w:fill="DBE5F1"/>
          </w:tcPr>
          <w:p w14:paraId="6A33F50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Detailed requirements </w:t>
            </w:r>
            <w:r w:rsidR="00A37F44">
              <w:rPr>
                <w:rFonts w:eastAsia="Times New Roman" w:cs="Times New Roman"/>
                <w:sz w:val="20"/>
                <w:szCs w:val="20"/>
              </w:rPr>
              <w:t xml:space="preserve">regarding </w:t>
            </w:r>
            <w:r w:rsidRPr="002B1DFC">
              <w:rPr>
                <w:rFonts w:eastAsia="Times New Roman" w:cs="Times New Roman"/>
                <w:sz w:val="20"/>
                <w:szCs w:val="20"/>
              </w:rPr>
              <w:t xml:space="preserve">organization of public consultations are available for objects </w:t>
            </w:r>
            <w:r w:rsidR="00A37F44">
              <w:rPr>
                <w:rFonts w:eastAsia="Times New Roman" w:cs="Times New Roman"/>
                <w:sz w:val="20"/>
                <w:szCs w:val="20"/>
              </w:rPr>
              <w:t xml:space="preserve">involving </w:t>
            </w:r>
            <w:r w:rsidRPr="002B1DFC">
              <w:rPr>
                <w:rFonts w:eastAsia="Times New Roman" w:cs="Times New Roman"/>
                <w:sz w:val="20"/>
                <w:szCs w:val="20"/>
              </w:rPr>
              <w:t xml:space="preserve">radiation hazard (CMU </w:t>
            </w:r>
            <w:r w:rsidR="00A37F44">
              <w:rPr>
                <w:rFonts w:eastAsia="Times New Roman" w:cs="Times New Roman"/>
                <w:sz w:val="20"/>
                <w:szCs w:val="20"/>
              </w:rPr>
              <w:t xml:space="preserve">Resolution </w:t>
            </w:r>
            <w:r w:rsidRPr="002B1DFC">
              <w:rPr>
                <w:rFonts w:eastAsia="Times New Roman" w:cs="Times New Roman"/>
                <w:sz w:val="20"/>
                <w:szCs w:val="20"/>
              </w:rPr>
              <w:t>of 1998</w:t>
            </w:r>
            <w:r w:rsidR="00A37F44">
              <w:rPr>
                <w:rFonts w:eastAsia="Times New Roman" w:cs="Times New Roman"/>
                <w:sz w:val="20"/>
                <w:szCs w:val="20"/>
              </w:rPr>
              <w:t>,</w:t>
            </w:r>
            <w:r w:rsidRPr="002B1DFC">
              <w:rPr>
                <w:rFonts w:eastAsia="Times New Roman" w:cs="Times New Roman"/>
                <w:sz w:val="20"/>
                <w:szCs w:val="20"/>
              </w:rPr>
              <w:t xml:space="preserve"> with amendments of 2006) and development of master plans of cities and territories (CMU </w:t>
            </w:r>
            <w:r w:rsidR="00A37F44">
              <w:rPr>
                <w:rFonts w:eastAsia="Times New Roman" w:cs="Times New Roman"/>
                <w:sz w:val="20"/>
                <w:szCs w:val="20"/>
              </w:rPr>
              <w:t xml:space="preserve">Resolution </w:t>
            </w:r>
            <w:r w:rsidRPr="002B1DFC">
              <w:rPr>
                <w:rFonts w:eastAsia="Times New Roman" w:cs="Times New Roman"/>
                <w:sz w:val="20"/>
                <w:szCs w:val="20"/>
              </w:rPr>
              <w:t>of 2011)</w:t>
            </w:r>
            <w:r w:rsidR="00A37F44">
              <w:rPr>
                <w:rFonts w:eastAsia="Times New Roman" w:cs="Times New Roman"/>
                <w:sz w:val="20"/>
                <w:szCs w:val="20"/>
              </w:rPr>
              <w:t>.</w:t>
            </w:r>
          </w:p>
          <w:p w14:paraId="664B55B8" w14:textId="77777777" w:rsidR="000B7923" w:rsidRPr="002B1DFC" w:rsidRDefault="000B7923" w:rsidP="00F441C6">
            <w:pPr>
              <w:pStyle w:val="ListParagraph"/>
              <w:ind w:left="0"/>
              <w:jc w:val="left"/>
              <w:rPr>
                <w:rFonts w:eastAsia="Times New Roman" w:cs="Times New Roman"/>
                <w:sz w:val="20"/>
                <w:szCs w:val="20"/>
              </w:rPr>
            </w:pPr>
          </w:p>
          <w:p w14:paraId="732467AE" w14:textId="77777777" w:rsidR="000B7923" w:rsidRPr="002B1DFC" w:rsidRDefault="000B7923" w:rsidP="00A72702">
            <w:pPr>
              <w:pStyle w:val="ListParagraph"/>
              <w:ind w:left="0"/>
              <w:jc w:val="left"/>
              <w:rPr>
                <w:rFonts w:eastAsia="Times New Roman" w:cs="Times New Roman"/>
                <w:sz w:val="20"/>
                <w:szCs w:val="20"/>
              </w:rPr>
            </w:pPr>
            <w:r w:rsidRPr="002B1DFC">
              <w:rPr>
                <w:rFonts w:eastAsia="Times New Roman" w:cs="Times New Roman"/>
                <w:sz w:val="20"/>
                <w:szCs w:val="20"/>
              </w:rPr>
              <w:t xml:space="preserve">In all other cases of full-scale OVNS, DBN A.2.2-1-2003 contains requirements </w:t>
            </w:r>
            <w:r w:rsidR="00641467">
              <w:rPr>
                <w:rFonts w:eastAsia="Times New Roman" w:cs="Times New Roman"/>
                <w:sz w:val="20"/>
                <w:szCs w:val="20"/>
              </w:rPr>
              <w:t>regarding</w:t>
            </w:r>
            <w:r w:rsidR="00641467" w:rsidRPr="002B1DFC">
              <w:rPr>
                <w:rFonts w:eastAsia="Times New Roman" w:cs="Times New Roman"/>
                <w:sz w:val="20"/>
                <w:szCs w:val="20"/>
              </w:rPr>
              <w:t xml:space="preserve"> </w:t>
            </w:r>
            <w:r w:rsidRPr="002B1DFC">
              <w:rPr>
                <w:rFonts w:eastAsia="Times New Roman" w:cs="Times New Roman"/>
                <w:sz w:val="20"/>
                <w:szCs w:val="20"/>
              </w:rPr>
              <w:t>the documentation o</w:t>
            </w:r>
            <w:r w:rsidR="00641467">
              <w:rPr>
                <w:rFonts w:eastAsia="Times New Roman" w:cs="Times New Roman"/>
                <w:sz w:val="20"/>
                <w:szCs w:val="20"/>
              </w:rPr>
              <w:t>f</w:t>
            </w:r>
            <w:r w:rsidRPr="002B1DFC">
              <w:rPr>
                <w:rFonts w:eastAsia="Times New Roman" w:cs="Times New Roman"/>
                <w:sz w:val="20"/>
                <w:szCs w:val="20"/>
              </w:rPr>
              <w:t xml:space="preserve"> public consultations that must be included in the final OVNS report: </w:t>
            </w:r>
            <w:r w:rsidR="00A37F44">
              <w:rPr>
                <w:rFonts w:eastAsia="Times New Roman" w:cs="Times New Roman"/>
                <w:sz w:val="20"/>
                <w:szCs w:val="20"/>
              </w:rPr>
              <w:t>I</w:t>
            </w:r>
            <w:r w:rsidRPr="002B1DFC">
              <w:rPr>
                <w:rFonts w:eastAsia="Times New Roman" w:cs="Times New Roman"/>
                <w:sz w:val="20"/>
                <w:szCs w:val="20"/>
              </w:rPr>
              <w:t>nformation about publication of the Statement of Intent (</w:t>
            </w:r>
            <w:proofErr w:type="spellStart"/>
            <w:r w:rsidRPr="008870E0">
              <w:rPr>
                <w:rFonts w:eastAsia="Times New Roman" w:cs="Times New Roman"/>
                <w:i/>
                <w:sz w:val="20"/>
                <w:szCs w:val="20"/>
              </w:rPr>
              <w:t>zayava</w:t>
            </w:r>
            <w:proofErr w:type="spellEnd"/>
            <w:r w:rsidRPr="008870E0">
              <w:rPr>
                <w:rFonts w:eastAsia="Times New Roman" w:cs="Times New Roman"/>
                <w:i/>
                <w:sz w:val="20"/>
                <w:szCs w:val="20"/>
              </w:rPr>
              <w:t xml:space="preserve"> pro </w:t>
            </w:r>
            <w:proofErr w:type="spellStart"/>
            <w:r w:rsidRPr="008870E0">
              <w:rPr>
                <w:rFonts w:eastAsia="Times New Roman" w:cs="Times New Roman"/>
                <w:i/>
                <w:sz w:val="20"/>
                <w:szCs w:val="20"/>
              </w:rPr>
              <w:t>namiry</w:t>
            </w:r>
            <w:proofErr w:type="spellEnd"/>
            <w:r w:rsidRPr="002B1DFC">
              <w:rPr>
                <w:rFonts w:eastAsia="Times New Roman" w:cs="Times New Roman"/>
                <w:sz w:val="20"/>
                <w:szCs w:val="20"/>
              </w:rPr>
              <w:t xml:space="preserve">), information about public consultations, written and other comments from the public, justified decisions by the project developer </w:t>
            </w:r>
            <w:r w:rsidR="00641467">
              <w:rPr>
                <w:rFonts w:eastAsia="Times New Roman" w:cs="Times New Roman"/>
                <w:sz w:val="20"/>
                <w:szCs w:val="20"/>
              </w:rPr>
              <w:t>in response to</w:t>
            </w:r>
            <w:r w:rsidRPr="002B1DFC">
              <w:rPr>
                <w:rFonts w:eastAsia="Times New Roman" w:cs="Times New Roman"/>
                <w:sz w:val="20"/>
                <w:szCs w:val="20"/>
              </w:rPr>
              <w:t xml:space="preserve"> public comments, </w:t>
            </w:r>
            <w:r w:rsidR="00641467">
              <w:rPr>
                <w:rFonts w:eastAsia="Times New Roman" w:cs="Times New Roman"/>
                <w:sz w:val="20"/>
                <w:szCs w:val="20"/>
              </w:rPr>
              <w:t xml:space="preserve">and </w:t>
            </w:r>
            <w:r w:rsidRPr="002B1DFC">
              <w:rPr>
                <w:rFonts w:eastAsia="Times New Roman" w:cs="Times New Roman"/>
                <w:sz w:val="20"/>
                <w:szCs w:val="20"/>
              </w:rPr>
              <w:t>information about public ecological expertise (if there was one)</w:t>
            </w:r>
            <w:r w:rsidR="00A37F44">
              <w:rPr>
                <w:rFonts w:eastAsia="Times New Roman" w:cs="Times New Roman"/>
                <w:sz w:val="20"/>
                <w:szCs w:val="20"/>
              </w:rPr>
              <w:t>.</w:t>
            </w:r>
          </w:p>
        </w:tc>
        <w:tc>
          <w:tcPr>
            <w:tcW w:w="1983" w:type="pct"/>
            <w:shd w:val="clear" w:color="auto" w:fill="DBE5F1"/>
          </w:tcPr>
          <w:p w14:paraId="56AA775E" w14:textId="77777777" w:rsidR="000B7923" w:rsidRPr="002B1DFC" w:rsidRDefault="000B7923" w:rsidP="00A37F44">
            <w:pPr>
              <w:pStyle w:val="ListParagraph"/>
              <w:ind w:left="0"/>
              <w:jc w:val="left"/>
              <w:rPr>
                <w:rFonts w:eastAsia="Times New Roman" w:cs="Times New Roman"/>
                <w:sz w:val="20"/>
                <w:szCs w:val="20"/>
              </w:rPr>
            </w:pPr>
            <w:r w:rsidRPr="002B1DFC">
              <w:rPr>
                <w:rFonts w:eastAsia="Times New Roman" w:cs="Times New Roman"/>
                <w:sz w:val="20"/>
                <w:szCs w:val="20"/>
              </w:rPr>
              <w:t xml:space="preserve">Article 7 provides for public consultation and review of the EIA. The territorial authority / central authority ensures public consultation in the process of environmental impact assessment. </w:t>
            </w:r>
            <w:r w:rsidR="00A37F44">
              <w:rPr>
                <w:rFonts w:eastAsia="Times New Roman" w:cs="Times New Roman"/>
                <w:sz w:val="20"/>
                <w:szCs w:val="20"/>
              </w:rPr>
              <w:t>The CMU decree details the pro</w:t>
            </w:r>
            <w:r w:rsidRPr="002B1DFC">
              <w:rPr>
                <w:rFonts w:eastAsia="Times New Roman" w:cs="Times New Roman"/>
                <w:sz w:val="20"/>
                <w:szCs w:val="20"/>
              </w:rPr>
              <w:t>cess for public hearings.</w:t>
            </w:r>
          </w:p>
        </w:tc>
      </w:tr>
      <w:tr w:rsidR="000B7923" w:rsidRPr="002B1DFC" w14:paraId="15291B4E" w14:textId="77777777">
        <w:tc>
          <w:tcPr>
            <w:tcW w:w="902" w:type="pct"/>
          </w:tcPr>
          <w:p w14:paraId="26440E40"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Dissemination </w:t>
            </w:r>
            <w:r w:rsidR="004A6AAF">
              <w:rPr>
                <w:rFonts w:eastAsia="Times New Roman" w:cs="Times New Roman"/>
                <w:sz w:val="20"/>
                <w:szCs w:val="20"/>
              </w:rPr>
              <w:t>–</w:t>
            </w:r>
            <w:r w:rsidRPr="002B1DFC">
              <w:rPr>
                <w:rFonts w:eastAsia="Times New Roman" w:cs="Times New Roman"/>
                <w:sz w:val="20"/>
                <w:szCs w:val="20"/>
              </w:rPr>
              <w:t xml:space="preserve"> Public notification and </w:t>
            </w:r>
            <w:r w:rsidR="00A37F44" w:rsidRPr="002B1DFC">
              <w:rPr>
                <w:rFonts w:eastAsia="Times New Roman" w:cs="Times New Roman"/>
                <w:sz w:val="20"/>
                <w:szCs w:val="20"/>
              </w:rPr>
              <w:t>distribution</w:t>
            </w:r>
            <w:r w:rsidRPr="002B1DFC">
              <w:rPr>
                <w:rFonts w:eastAsia="Times New Roman" w:cs="Times New Roman"/>
                <w:sz w:val="20"/>
                <w:szCs w:val="20"/>
              </w:rPr>
              <w:t xml:space="preserve"> of information generated in the EIA process</w:t>
            </w:r>
          </w:p>
        </w:tc>
        <w:tc>
          <w:tcPr>
            <w:tcW w:w="2115" w:type="pct"/>
            <w:shd w:val="clear" w:color="auto" w:fill="FFFFFF"/>
          </w:tcPr>
          <w:p w14:paraId="1BE37A81" w14:textId="77777777" w:rsidR="000B7923" w:rsidRPr="002B1DFC" w:rsidRDefault="000B7923" w:rsidP="00246E7B">
            <w:pPr>
              <w:pStyle w:val="ListParagraph"/>
              <w:ind w:left="0"/>
              <w:jc w:val="left"/>
              <w:rPr>
                <w:rFonts w:eastAsia="Times New Roman" w:cs="Times New Roman"/>
                <w:sz w:val="20"/>
                <w:szCs w:val="20"/>
              </w:rPr>
            </w:pPr>
            <w:r w:rsidRPr="002B1DFC">
              <w:rPr>
                <w:rFonts w:eastAsia="Times New Roman" w:cs="Times New Roman"/>
                <w:sz w:val="20"/>
                <w:szCs w:val="20"/>
              </w:rPr>
              <w:t xml:space="preserve">Information Card on Administrative Service </w:t>
            </w:r>
            <w:r w:rsidR="00641467">
              <w:rPr>
                <w:rFonts w:eastAsia="Times New Roman" w:cs="Times New Roman"/>
                <w:sz w:val="20"/>
                <w:szCs w:val="20"/>
              </w:rPr>
              <w:t>“</w:t>
            </w:r>
            <w:r w:rsidRPr="002B1DFC">
              <w:rPr>
                <w:rFonts w:eastAsia="Times New Roman" w:cs="Times New Roman"/>
                <w:sz w:val="20"/>
                <w:szCs w:val="20"/>
              </w:rPr>
              <w:t xml:space="preserve">Issuing a Decision of the State Ecological </w:t>
            </w:r>
            <w:r w:rsidR="00A37F44">
              <w:rPr>
                <w:rFonts w:eastAsia="Times New Roman" w:cs="Times New Roman"/>
                <w:sz w:val="20"/>
                <w:szCs w:val="20"/>
              </w:rPr>
              <w:t>E</w:t>
            </w:r>
            <w:r w:rsidRPr="002B1DFC">
              <w:rPr>
                <w:rFonts w:eastAsia="Times New Roman" w:cs="Times New Roman"/>
                <w:sz w:val="20"/>
                <w:szCs w:val="20"/>
              </w:rPr>
              <w:t>xpertise” provides for disclosure of the environmental expertise decision</w:t>
            </w:r>
            <w:r w:rsidR="00A37F44">
              <w:rPr>
                <w:rFonts w:eastAsia="Times New Roman" w:cs="Times New Roman"/>
                <w:sz w:val="20"/>
                <w:szCs w:val="20"/>
              </w:rPr>
              <w:t>.</w:t>
            </w:r>
            <w:r w:rsidR="00641467">
              <w:rPr>
                <w:rFonts w:eastAsia="Times New Roman" w:cs="Times New Roman"/>
                <w:sz w:val="20"/>
                <w:szCs w:val="20"/>
              </w:rPr>
              <w:t xml:space="preserve"> </w:t>
            </w:r>
          </w:p>
        </w:tc>
        <w:tc>
          <w:tcPr>
            <w:tcW w:w="1983" w:type="pct"/>
            <w:shd w:val="clear" w:color="auto" w:fill="FFFFFF"/>
          </w:tcPr>
          <w:p w14:paraId="00DF64C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Article 4 describes </w:t>
            </w:r>
            <w:r w:rsidR="00641467">
              <w:rPr>
                <w:rFonts w:eastAsia="Times New Roman" w:cs="Times New Roman"/>
                <w:sz w:val="20"/>
                <w:szCs w:val="20"/>
              </w:rPr>
              <w:t xml:space="preserve">the </w:t>
            </w:r>
            <w:r w:rsidRPr="002B1DFC">
              <w:rPr>
                <w:rFonts w:eastAsia="Times New Roman" w:cs="Times New Roman"/>
                <w:sz w:val="20"/>
                <w:szCs w:val="20"/>
              </w:rPr>
              <w:t>procedure for public notification and disclosure of environmental impact assessment</w:t>
            </w:r>
            <w:r w:rsidR="00641467">
              <w:rPr>
                <w:rFonts w:eastAsia="Times New Roman" w:cs="Times New Roman"/>
                <w:sz w:val="20"/>
                <w:szCs w:val="20"/>
              </w:rPr>
              <w:t>.</w:t>
            </w:r>
          </w:p>
        </w:tc>
      </w:tr>
      <w:tr w:rsidR="000B7923" w:rsidRPr="002B1DFC" w14:paraId="1F5CBDB3" w14:textId="77777777">
        <w:tc>
          <w:tcPr>
            <w:tcW w:w="902" w:type="pct"/>
            <w:shd w:val="clear" w:color="auto" w:fill="DBE5F1"/>
          </w:tcPr>
          <w:p w14:paraId="650934FC"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Reports </w:t>
            </w:r>
            <w:r w:rsidR="004A6AAF">
              <w:rPr>
                <w:rFonts w:eastAsia="Times New Roman" w:cs="Times New Roman"/>
                <w:sz w:val="20"/>
                <w:szCs w:val="20"/>
              </w:rPr>
              <w:t>–</w:t>
            </w:r>
            <w:r w:rsidRPr="002B1DFC">
              <w:rPr>
                <w:rFonts w:eastAsia="Times New Roman" w:cs="Times New Roman"/>
                <w:sz w:val="20"/>
                <w:szCs w:val="20"/>
              </w:rPr>
              <w:t xml:space="preserve"> Provisions regarding the information that those undertaking an activity have to submit to the authority or to the </w:t>
            </w:r>
            <w:r w:rsidRPr="002B1DFC">
              <w:rPr>
                <w:rFonts w:eastAsia="Times New Roman" w:cs="Times New Roman"/>
                <w:sz w:val="20"/>
                <w:szCs w:val="20"/>
              </w:rPr>
              <w:lastRenderedPageBreak/>
              <w:t>public throughout the activity’s development</w:t>
            </w:r>
          </w:p>
        </w:tc>
        <w:tc>
          <w:tcPr>
            <w:tcW w:w="2115" w:type="pct"/>
            <w:shd w:val="clear" w:color="auto" w:fill="DBE5F1"/>
          </w:tcPr>
          <w:p w14:paraId="2D428EF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lastRenderedPageBreak/>
              <w:t xml:space="preserve"> No provisions.</w:t>
            </w:r>
          </w:p>
        </w:tc>
        <w:tc>
          <w:tcPr>
            <w:tcW w:w="1983" w:type="pct"/>
            <w:shd w:val="clear" w:color="auto" w:fill="DBE5F1"/>
          </w:tcPr>
          <w:p w14:paraId="6D743D3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EIA decision may require post-project analysis of compliance with</w:t>
            </w:r>
            <w:r w:rsidR="00A37F44">
              <w:rPr>
                <w:rFonts w:eastAsia="Times New Roman" w:cs="Times New Roman"/>
                <w:sz w:val="20"/>
                <w:szCs w:val="20"/>
              </w:rPr>
              <w:t>,</w:t>
            </w:r>
            <w:r w:rsidRPr="002B1DFC">
              <w:rPr>
                <w:rFonts w:eastAsia="Times New Roman" w:cs="Times New Roman"/>
                <w:sz w:val="20"/>
                <w:szCs w:val="20"/>
              </w:rPr>
              <w:t xml:space="preserve"> and effectiveness of</w:t>
            </w:r>
            <w:r w:rsidR="00A37F44">
              <w:rPr>
                <w:rFonts w:eastAsia="Times New Roman" w:cs="Times New Roman"/>
                <w:sz w:val="20"/>
                <w:szCs w:val="20"/>
              </w:rPr>
              <w:t>,</w:t>
            </w:r>
            <w:r w:rsidRPr="002B1DFC">
              <w:rPr>
                <w:rFonts w:eastAsia="Times New Roman" w:cs="Times New Roman"/>
                <w:sz w:val="20"/>
                <w:szCs w:val="20"/>
              </w:rPr>
              <w:t xml:space="preserve"> mitigation measures (</w:t>
            </w:r>
            <w:r w:rsidR="00346254">
              <w:rPr>
                <w:rFonts w:eastAsia="Times New Roman" w:cs="Times New Roman"/>
                <w:sz w:val="20"/>
                <w:szCs w:val="20"/>
              </w:rPr>
              <w:t>Art.</w:t>
            </w:r>
            <w:r w:rsidRPr="002B1DFC">
              <w:rPr>
                <w:rFonts w:eastAsia="Times New Roman" w:cs="Times New Roman"/>
                <w:sz w:val="20"/>
                <w:szCs w:val="20"/>
              </w:rPr>
              <w:t xml:space="preserve"> 13)</w:t>
            </w:r>
            <w:r w:rsidR="00641467">
              <w:rPr>
                <w:rFonts w:eastAsia="Times New Roman" w:cs="Times New Roman"/>
                <w:sz w:val="20"/>
                <w:szCs w:val="20"/>
              </w:rPr>
              <w:t>.</w:t>
            </w:r>
          </w:p>
        </w:tc>
      </w:tr>
      <w:tr w:rsidR="000B7923" w:rsidRPr="002B1DFC" w14:paraId="2796C8AE" w14:textId="77777777">
        <w:trPr>
          <w:trHeight w:val="143"/>
        </w:trPr>
        <w:tc>
          <w:tcPr>
            <w:tcW w:w="902" w:type="pct"/>
          </w:tcPr>
          <w:p w14:paraId="43E62C5B"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lastRenderedPageBreak/>
              <w:t xml:space="preserve">Monitoring </w:t>
            </w:r>
            <w:r w:rsidR="004A6AAF">
              <w:rPr>
                <w:rFonts w:eastAsia="Times New Roman" w:cs="Times New Roman"/>
                <w:sz w:val="20"/>
                <w:szCs w:val="20"/>
              </w:rPr>
              <w:t>–</w:t>
            </w:r>
            <w:r w:rsidRPr="002B1DFC">
              <w:rPr>
                <w:rFonts w:eastAsia="Times New Roman" w:cs="Times New Roman"/>
                <w:sz w:val="20"/>
                <w:szCs w:val="20"/>
              </w:rPr>
              <w:t xml:space="preserve"> Monitoring and supervision that public authorities conduct regarding fulfillment of the requirements placed on those undertaking an activity subject to EIA</w:t>
            </w:r>
          </w:p>
        </w:tc>
        <w:tc>
          <w:tcPr>
            <w:tcW w:w="2115" w:type="pct"/>
          </w:tcPr>
          <w:p w14:paraId="70407EF7"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 provisions</w:t>
            </w:r>
            <w:r w:rsidR="00641467">
              <w:rPr>
                <w:rFonts w:eastAsia="Times New Roman" w:cs="Times New Roman"/>
                <w:sz w:val="20"/>
                <w:szCs w:val="20"/>
              </w:rPr>
              <w:t>.</w:t>
            </w:r>
          </w:p>
        </w:tc>
        <w:tc>
          <w:tcPr>
            <w:tcW w:w="1983" w:type="pct"/>
            <w:shd w:val="clear" w:color="auto" w:fill="FFFFFF"/>
          </w:tcPr>
          <w:p w14:paraId="7553B6C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None</w:t>
            </w:r>
            <w:r w:rsidR="00641467">
              <w:rPr>
                <w:rFonts w:eastAsia="Times New Roman" w:cs="Times New Roman"/>
                <w:sz w:val="20"/>
                <w:szCs w:val="20"/>
              </w:rPr>
              <w:t>.</w:t>
            </w:r>
          </w:p>
        </w:tc>
      </w:tr>
      <w:tr w:rsidR="000B7923" w:rsidRPr="002B1DFC" w14:paraId="1755AACB" w14:textId="77777777">
        <w:tc>
          <w:tcPr>
            <w:tcW w:w="902" w:type="pct"/>
            <w:shd w:val="clear" w:color="auto" w:fill="DBE5F1"/>
          </w:tcPr>
          <w:p w14:paraId="5E9D8876"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Alternatives </w:t>
            </w:r>
            <w:r w:rsidR="004A6AAF">
              <w:rPr>
                <w:rFonts w:eastAsia="Times New Roman" w:cs="Times New Roman"/>
                <w:sz w:val="20"/>
                <w:szCs w:val="20"/>
              </w:rPr>
              <w:t>–</w:t>
            </w:r>
            <w:r w:rsidRPr="002B1DFC">
              <w:rPr>
                <w:rFonts w:eastAsia="Times New Roman" w:cs="Times New Roman"/>
                <w:sz w:val="20"/>
                <w:szCs w:val="20"/>
              </w:rPr>
              <w:t xml:space="preserve"> Analysis of various alternatives to the planned activity, including not carrying it out</w:t>
            </w:r>
          </w:p>
        </w:tc>
        <w:tc>
          <w:tcPr>
            <w:tcW w:w="2115" w:type="pct"/>
            <w:shd w:val="clear" w:color="auto" w:fill="DBE5F1"/>
          </w:tcPr>
          <w:p w14:paraId="5C88FB1F" w14:textId="77777777" w:rsidR="000B7923" w:rsidRPr="002B1DFC" w:rsidRDefault="000B7923" w:rsidP="00E852F8">
            <w:pPr>
              <w:rPr>
                <w:rFonts w:eastAsia="Times New Roman" w:cs="Times New Roman"/>
                <w:sz w:val="20"/>
                <w:szCs w:val="20"/>
              </w:rPr>
            </w:pPr>
            <w:r w:rsidRPr="002B1DFC">
              <w:rPr>
                <w:rFonts w:eastAsia="Times New Roman" w:cs="Times New Roman"/>
                <w:sz w:val="20"/>
                <w:szCs w:val="20"/>
              </w:rPr>
              <w:t>EIA documentation must include a consideration of feasible alternatives, including those of technology and location (State Construction Norms).</w:t>
            </w:r>
          </w:p>
        </w:tc>
        <w:tc>
          <w:tcPr>
            <w:tcW w:w="1983" w:type="pct"/>
            <w:shd w:val="clear" w:color="auto" w:fill="DBE5F1"/>
          </w:tcPr>
          <w:p w14:paraId="0E16AF7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Article 6 requires a description of reasonable alternatives (for example, geographic and</w:t>
            </w:r>
            <w:r w:rsidR="00A37F44">
              <w:rPr>
                <w:rFonts w:eastAsia="Times New Roman" w:cs="Times New Roman"/>
                <w:sz w:val="20"/>
                <w:szCs w:val="20"/>
              </w:rPr>
              <w:t>/</w:t>
            </w:r>
            <w:r w:rsidRPr="002B1DFC">
              <w:rPr>
                <w:rFonts w:eastAsia="Times New Roman" w:cs="Times New Roman"/>
                <w:sz w:val="20"/>
                <w:szCs w:val="20"/>
              </w:rPr>
              <w:t>or technological) to the proposed activity, the main reasons for choosing the options,</w:t>
            </w:r>
            <w:r w:rsidR="00641467">
              <w:rPr>
                <w:rFonts w:eastAsia="Times New Roman" w:cs="Times New Roman"/>
                <w:sz w:val="20"/>
                <w:szCs w:val="20"/>
              </w:rPr>
              <w:t xml:space="preserve"> and</w:t>
            </w:r>
            <w:r w:rsidRPr="002B1DFC">
              <w:rPr>
                <w:rFonts w:eastAsia="Times New Roman" w:cs="Times New Roman"/>
                <w:sz w:val="20"/>
                <w:szCs w:val="20"/>
              </w:rPr>
              <w:t xml:space="preserve"> taking into account environmental effects.</w:t>
            </w:r>
          </w:p>
        </w:tc>
      </w:tr>
      <w:tr w:rsidR="000B7923" w:rsidRPr="002B1DFC" w14:paraId="7FA0A427" w14:textId="77777777">
        <w:tc>
          <w:tcPr>
            <w:tcW w:w="902" w:type="pct"/>
          </w:tcPr>
          <w:p w14:paraId="4C85E352"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Environmental Management Plan </w:t>
            </w:r>
            <w:r w:rsidR="004A6AAF">
              <w:rPr>
                <w:rFonts w:eastAsia="Times New Roman" w:cs="Times New Roman"/>
                <w:sz w:val="20"/>
                <w:szCs w:val="20"/>
              </w:rPr>
              <w:t>–</w:t>
            </w:r>
            <w:r w:rsidRPr="002B1DFC">
              <w:rPr>
                <w:rFonts w:eastAsia="Times New Roman" w:cs="Times New Roman"/>
                <w:sz w:val="20"/>
                <w:szCs w:val="20"/>
              </w:rPr>
              <w:t xml:space="preserve"> Planned measures to apply during project implementation to address issues and meet requirements identified in the environmental analysis process</w:t>
            </w:r>
          </w:p>
        </w:tc>
        <w:tc>
          <w:tcPr>
            <w:tcW w:w="2115" w:type="pct"/>
          </w:tcPr>
          <w:p w14:paraId="476E95C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 provisions.</w:t>
            </w:r>
          </w:p>
          <w:p w14:paraId="78740C90" w14:textId="77777777" w:rsidR="000B7923" w:rsidRPr="002B1DFC" w:rsidRDefault="000B7923" w:rsidP="00F441C6">
            <w:pPr>
              <w:pStyle w:val="ListParagraph"/>
              <w:ind w:left="0"/>
              <w:jc w:val="left"/>
              <w:rPr>
                <w:rFonts w:eastAsia="Times New Roman" w:cs="Times New Roman"/>
                <w:sz w:val="20"/>
                <w:szCs w:val="20"/>
              </w:rPr>
            </w:pPr>
          </w:p>
          <w:p w14:paraId="1712EF65"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The State Construction Norms note that upon need, an evaluation of effectiveness of mitigation measures may be carried out. </w:t>
            </w:r>
          </w:p>
        </w:tc>
        <w:tc>
          <w:tcPr>
            <w:tcW w:w="1983" w:type="pct"/>
            <w:shd w:val="clear" w:color="auto" w:fill="FFFFFF"/>
          </w:tcPr>
          <w:p w14:paraId="4C76AB9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Mitigation and monitoring plan for post-project analysis is required.</w:t>
            </w:r>
          </w:p>
        </w:tc>
      </w:tr>
    </w:tbl>
    <w:p w14:paraId="64A32800" w14:textId="77777777" w:rsidR="000B7923" w:rsidRPr="008870E0" w:rsidRDefault="000B7923" w:rsidP="00575907">
      <w:pPr>
        <w:pStyle w:val="ListParagraph"/>
        <w:ind w:left="0"/>
        <w:rPr>
          <w:rFonts w:cs="Times New Roman"/>
          <w:sz w:val="20"/>
          <w:szCs w:val="20"/>
        </w:rPr>
      </w:pPr>
      <w:r w:rsidRPr="008870E0">
        <w:rPr>
          <w:rFonts w:cs="Times New Roman"/>
          <w:i/>
          <w:sz w:val="20"/>
          <w:szCs w:val="20"/>
        </w:rPr>
        <w:t>Source:</w:t>
      </w:r>
      <w:r w:rsidRPr="008870E0">
        <w:rPr>
          <w:rFonts w:cs="Times New Roman"/>
          <w:sz w:val="20"/>
          <w:szCs w:val="20"/>
        </w:rPr>
        <w:t xml:space="preserve"> Adapted from S</w:t>
      </w:r>
      <w:r w:rsidR="00BB1676" w:rsidRPr="00BB1676">
        <w:rPr>
          <w:rFonts w:cs="Times New Roman"/>
          <w:sz w:val="20"/>
          <w:szCs w:val="20"/>
        </w:rPr>
        <w:t>á</w:t>
      </w:r>
      <w:r w:rsidRPr="008870E0">
        <w:rPr>
          <w:rFonts w:cs="Times New Roman"/>
          <w:sz w:val="20"/>
          <w:szCs w:val="20"/>
        </w:rPr>
        <w:t>nchez-</w:t>
      </w:r>
      <w:proofErr w:type="spellStart"/>
      <w:r w:rsidRPr="008870E0">
        <w:rPr>
          <w:rFonts w:cs="Times New Roman"/>
          <w:sz w:val="20"/>
          <w:szCs w:val="20"/>
        </w:rPr>
        <w:t>Triana</w:t>
      </w:r>
      <w:proofErr w:type="spellEnd"/>
      <w:r w:rsidRPr="008870E0">
        <w:rPr>
          <w:rFonts w:cs="Times New Roman"/>
          <w:sz w:val="20"/>
          <w:szCs w:val="20"/>
        </w:rPr>
        <w:t xml:space="preserve"> and Enriquez (2007) and </w:t>
      </w:r>
      <w:proofErr w:type="spellStart"/>
      <w:r w:rsidRPr="008870E0">
        <w:rPr>
          <w:rFonts w:cs="Times New Roman"/>
          <w:sz w:val="20"/>
          <w:szCs w:val="20"/>
        </w:rPr>
        <w:t>Arif</w:t>
      </w:r>
      <w:proofErr w:type="spellEnd"/>
      <w:r w:rsidRPr="008870E0">
        <w:rPr>
          <w:rFonts w:cs="Times New Roman"/>
          <w:sz w:val="20"/>
          <w:szCs w:val="20"/>
        </w:rPr>
        <w:t xml:space="preserve"> (2012).</w:t>
      </w:r>
    </w:p>
    <w:p w14:paraId="6242837B" w14:textId="77777777" w:rsidR="000B7923" w:rsidRPr="00882558" w:rsidRDefault="000B7923" w:rsidP="00575907">
      <w:pPr>
        <w:rPr>
          <w:rFonts w:cs="Times New Roman"/>
          <w:color w:val="000000" w:themeColor="text1"/>
        </w:rPr>
      </w:pPr>
      <w:bookmarkStart w:id="103" w:name="n434"/>
      <w:bookmarkStart w:id="104" w:name="n438"/>
      <w:bookmarkStart w:id="105" w:name="_Toc419902106"/>
      <w:bookmarkEnd w:id="103"/>
      <w:bookmarkEnd w:id="104"/>
    </w:p>
    <w:p w14:paraId="2CBAECB6" w14:textId="77777777" w:rsidR="000B7923" w:rsidRPr="002B1DFC" w:rsidRDefault="000B7923" w:rsidP="00575907">
      <w:pPr>
        <w:rPr>
          <w:rFonts w:cs="Times New Roman"/>
        </w:rPr>
      </w:pPr>
      <w:r w:rsidRPr="002B1DFC">
        <w:rPr>
          <w:rFonts w:cs="Times New Roman"/>
          <w:b/>
          <w:bCs/>
          <w:i/>
          <w:iCs/>
        </w:rPr>
        <w:t>EIA Legislation and Procedures</w:t>
      </w:r>
      <w:r w:rsidRPr="002B1DFC">
        <w:rPr>
          <w:rFonts w:cs="Times New Roman"/>
        </w:rPr>
        <w:t xml:space="preserve"> </w:t>
      </w:r>
    </w:p>
    <w:p w14:paraId="1A17D298" w14:textId="77777777" w:rsidR="000B7923" w:rsidRPr="002B1DFC" w:rsidRDefault="000B7923" w:rsidP="00575907">
      <w:pPr>
        <w:rPr>
          <w:rFonts w:cs="Times New Roman"/>
        </w:rPr>
      </w:pPr>
    </w:p>
    <w:p w14:paraId="1EF6C7D8"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Ukraine’s Environmental Protection Law (1992)</w:t>
      </w:r>
      <w:r w:rsidR="00EF37C5">
        <w:rPr>
          <w:rFonts w:cs="Times New Roman"/>
        </w:rPr>
        <w:t xml:space="preserve"> formulates a</w:t>
      </w:r>
      <w:r w:rsidR="00EF37C5" w:rsidRPr="00EF37C5">
        <w:rPr>
          <w:rFonts w:cs="Times New Roman"/>
        </w:rPr>
        <w:t xml:space="preserve"> mandatory requirement for carrying out environmental impact assessment</w:t>
      </w:r>
      <w:r w:rsidRPr="002B1DFC">
        <w:rPr>
          <w:rFonts w:cs="Times New Roman"/>
        </w:rPr>
        <w:t>. Articles 26</w:t>
      </w:r>
      <w:r w:rsidR="00BB1676">
        <w:rPr>
          <w:rFonts w:cs="Times New Roman"/>
        </w:rPr>
        <w:t>–</w:t>
      </w:r>
      <w:r w:rsidRPr="002B1DFC">
        <w:rPr>
          <w:rFonts w:cs="Times New Roman"/>
        </w:rPr>
        <w:t>30 specify</w:t>
      </w:r>
      <w:r w:rsidR="00EF37C5">
        <w:rPr>
          <w:rFonts w:cs="Times New Roman"/>
        </w:rPr>
        <w:t xml:space="preserve"> the</w:t>
      </w:r>
      <w:r w:rsidRPr="002B1DFC">
        <w:rPr>
          <w:rFonts w:cs="Times New Roman"/>
        </w:rPr>
        <w:t xml:space="preserve"> types of ecological expertise (EE) (public or state); objects</w:t>
      </w:r>
      <w:r w:rsidR="00EF37C5">
        <w:rPr>
          <w:rFonts w:cs="Times New Roman"/>
        </w:rPr>
        <w:t xml:space="preserve"> </w:t>
      </w:r>
      <w:r w:rsidRPr="002B1DFC">
        <w:rPr>
          <w:rFonts w:cs="Times New Roman"/>
        </w:rPr>
        <w:t>subject to EE; government authorities responsible for carrying out EE (</w:t>
      </w:r>
      <w:r w:rsidR="00EF37C5">
        <w:rPr>
          <w:rFonts w:cs="Times New Roman"/>
        </w:rPr>
        <w:t xml:space="preserve">the </w:t>
      </w:r>
      <w:r w:rsidRPr="002B1DFC">
        <w:rPr>
          <w:rFonts w:cs="Times New Roman"/>
        </w:rPr>
        <w:t>central government agency for environmental protection</w:t>
      </w:r>
      <w:r w:rsidR="00EF37C5">
        <w:rPr>
          <w:rFonts w:cs="Times New Roman"/>
        </w:rPr>
        <w:t>,</w:t>
      </w:r>
      <w:r w:rsidRPr="002B1DFC">
        <w:rPr>
          <w:rFonts w:cs="Times New Roman"/>
        </w:rPr>
        <w:t xml:space="preserve"> together with central government agency for sanitary-epidemiological well-being); and the mandatory character of EE (</w:t>
      </w:r>
      <w:r w:rsidR="00DD6773">
        <w:rPr>
          <w:rFonts w:cs="Times New Roman"/>
        </w:rPr>
        <w:t>“</w:t>
      </w:r>
      <w:r w:rsidRPr="002B1DFC">
        <w:rPr>
          <w:rFonts w:cs="Times New Roman"/>
        </w:rPr>
        <w:t xml:space="preserve">implementation of the project without </w:t>
      </w:r>
      <w:r w:rsidR="00D60574">
        <w:rPr>
          <w:rFonts w:cs="Times New Roman"/>
        </w:rPr>
        <w:t xml:space="preserve">a </w:t>
      </w:r>
      <w:r w:rsidRPr="002B1DFC">
        <w:rPr>
          <w:rFonts w:cs="Times New Roman"/>
        </w:rPr>
        <w:t>positive decision of EE is forbidden</w:t>
      </w:r>
      <w:r w:rsidR="00DD6773">
        <w:rPr>
          <w:rFonts w:cs="Times New Roman"/>
        </w:rPr>
        <w:t>”</w:t>
      </w:r>
      <w:r w:rsidRPr="002B1DFC">
        <w:rPr>
          <w:rFonts w:cs="Times New Roman"/>
        </w:rPr>
        <w:t xml:space="preserve">). </w:t>
      </w:r>
    </w:p>
    <w:p w14:paraId="7C5D6CE7" w14:textId="77777777" w:rsidR="000B7923" w:rsidRPr="002B1DFC" w:rsidRDefault="000B7923" w:rsidP="00575907">
      <w:pPr>
        <w:rPr>
          <w:rFonts w:cs="Times New Roman"/>
        </w:rPr>
      </w:pPr>
    </w:p>
    <w:p w14:paraId="2727C60B"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Procedure of preparing environmental impact assessment documentation for full-scale EIA (OVNS) is prescribed by the </w:t>
      </w:r>
      <w:r w:rsidRPr="002B1DFC">
        <w:rPr>
          <w:rFonts w:cs="Times New Roman"/>
          <w:b/>
          <w:bCs/>
        </w:rPr>
        <w:t>State Construction Norms DBN A.2.2-1-2003</w:t>
      </w:r>
      <w:r w:rsidRPr="002B1DFC">
        <w:rPr>
          <w:rFonts w:cs="Times New Roman"/>
        </w:rPr>
        <w:t xml:space="preserve"> on Conducting Assessment of Environmental Impact (Ukrainian acronym OVNS)</w:t>
      </w:r>
      <w:r w:rsidR="00DD6773">
        <w:rPr>
          <w:rFonts w:cs="Times New Roman"/>
        </w:rPr>
        <w:t>.</w:t>
      </w:r>
      <w:r w:rsidRPr="002B1DFC">
        <w:rPr>
          <w:rFonts w:cs="Times New Roman"/>
        </w:rPr>
        <w:t xml:space="preserve"> Annex E to this DBN (updated in 2013 by the Resolution </w:t>
      </w:r>
      <w:r w:rsidR="00474A0C">
        <w:rPr>
          <w:rFonts w:cs="Times New Roman"/>
        </w:rPr>
        <w:t xml:space="preserve">No. </w:t>
      </w:r>
      <w:r w:rsidRPr="002B1DFC">
        <w:rPr>
          <w:rFonts w:cs="Times New Roman"/>
        </w:rPr>
        <w:t>808) lists types of activities and objects of high environmental risk, for which a full-scale OVNS is mandatory. These State construction norms on OVNS (DBN A.2.2-1-1995) were first developed and approved in 1995, when the EE law was adopted. They were reviewed and amended in 2001</w:t>
      </w:r>
      <w:r w:rsidR="00BB1676">
        <w:rPr>
          <w:rFonts w:cs="Times New Roman"/>
        </w:rPr>
        <w:t>–</w:t>
      </w:r>
      <w:r w:rsidRPr="002B1DFC">
        <w:rPr>
          <w:rFonts w:cs="Times New Roman"/>
        </w:rPr>
        <w:t xml:space="preserve">2003, when some provisions were added that accounted for new legislation including the Aarhus Convention. In 2002, the first and only "Guidance on developing OVNS" was prepared and published by </w:t>
      </w:r>
      <w:proofErr w:type="spellStart"/>
      <w:r w:rsidRPr="002B1DFC">
        <w:rPr>
          <w:rFonts w:cs="Times New Roman"/>
        </w:rPr>
        <w:t>Kharkiv</w:t>
      </w:r>
      <w:proofErr w:type="spellEnd"/>
      <w:r w:rsidRPr="002B1DFC">
        <w:rPr>
          <w:rFonts w:cs="Times New Roman"/>
        </w:rPr>
        <w:t xml:space="preserve"> Institute of the State Civil Engineering Committee (</w:t>
      </w:r>
      <w:proofErr w:type="spellStart"/>
      <w:r w:rsidRPr="002B1DFC">
        <w:rPr>
          <w:rFonts w:cs="Times New Roman"/>
          <w:i/>
        </w:rPr>
        <w:t>UkrNDIINTV</w:t>
      </w:r>
      <w:proofErr w:type="spellEnd"/>
      <w:r w:rsidRPr="002B1DFC">
        <w:rPr>
          <w:rFonts w:cs="Times New Roman"/>
          <w:i/>
        </w:rPr>
        <w:t xml:space="preserve"> </w:t>
      </w:r>
      <w:proofErr w:type="spellStart"/>
      <w:r w:rsidRPr="002B1DFC">
        <w:rPr>
          <w:rFonts w:cs="Times New Roman"/>
          <w:i/>
        </w:rPr>
        <w:t>Derzhbudu</w:t>
      </w:r>
      <w:proofErr w:type="spellEnd"/>
      <w:r w:rsidRPr="002B1DFC">
        <w:rPr>
          <w:rFonts w:cs="Times New Roman"/>
          <w:i/>
        </w:rPr>
        <w:t xml:space="preserve"> </w:t>
      </w:r>
      <w:proofErr w:type="spellStart"/>
      <w:r w:rsidRPr="002B1DFC">
        <w:rPr>
          <w:rFonts w:cs="Times New Roman"/>
          <w:i/>
        </w:rPr>
        <w:t>Ukrainy</w:t>
      </w:r>
      <w:proofErr w:type="spellEnd"/>
      <w:r w:rsidR="00DD6773">
        <w:rPr>
          <w:rFonts w:cs="Times New Roman"/>
        </w:rPr>
        <w:t>)</w:t>
      </w:r>
      <w:r w:rsidRPr="002B1DFC">
        <w:rPr>
          <w:rFonts w:cs="Times New Roman"/>
        </w:rPr>
        <w:t>.</w:t>
      </w:r>
    </w:p>
    <w:p w14:paraId="3BE54BAB" w14:textId="77777777" w:rsidR="000B7923" w:rsidRPr="002B1DFC" w:rsidRDefault="000B7923" w:rsidP="00395538">
      <w:pPr>
        <w:rPr>
          <w:rFonts w:cs="Times New Roman"/>
          <w:b/>
          <w:bCs/>
          <w:i/>
          <w:iCs/>
        </w:rPr>
      </w:pPr>
    </w:p>
    <w:p w14:paraId="6694B762" w14:textId="77777777" w:rsidR="000B7923" w:rsidRPr="002B1DFC" w:rsidRDefault="000B7923" w:rsidP="00575907">
      <w:pPr>
        <w:rPr>
          <w:rFonts w:cs="Times New Roman"/>
          <w:b/>
          <w:bCs/>
          <w:i/>
          <w:iCs/>
        </w:rPr>
      </w:pPr>
      <w:r w:rsidRPr="002B1DFC">
        <w:rPr>
          <w:rFonts w:cs="Times New Roman"/>
          <w:b/>
          <w:bCs/>
          <w:i/>
          <w:iCs/>
        </w:rPr>
        <w:t>Stages of EIA</w:t>
      </w:r>
    </w:p>
    <w:p w14:paraId="724C29C1" w14:textId="77777777" w:rsidR="000B7923" w:rsidRPr="002B1DFC" w:rsidRDefault="000B7923" w:rsidP="00395538">
      <w:pPr>
        <w:rPr>
          <w:rFonts w:cs="Times New Roman"/>
          <w:b/>
          <w:bCs/>
          <w:i/>
          <w:iCs/>
        </w:rPr>
      </w:pPr>
    </w:p>
    <w:p w14:paraId="6EEAB451"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i/>
          <w:iCs/>
        </w:rPr>
        <w:t xml:space="preserve">Screening. </w:t>
      </w:r>
      <w:r w:rsidRPr="002B1DFC">
        <w:rPr>
          <w:rFonts w:cs="Times New Roman"/>
        </w:rPr>
        <w:t>The Law on Ecological Expertise (1995) lists potential objects of ecological expertise (</w:t>
      </w:r>
      <w:r w:rsidR="00346254">
        <w:rPr>
          <w:rFonts w:cs="Times New Roman"/>
        </w:rPr>
        <w:t>Art.</w:t>
      </w:r>
      <w:r w:rsidR="00DD6773">
        <w:rPr>
          <w:rFonts w:cs="Times New Roman"/>
        </w:rPr>
        <w:t xml:space="preserve"> </w:t>
      </w:r>
      <w:r w:rsidRPr="002B1DFC">
        <w:rPr>
          <w:rFonts w:cs="Times New Roman"/>
        </w:rPr>
        <w:t>27). These could be development schemes; development of sectors of economy; master plans of settlements and schemes of regional (</w:t>
      </w:r>
      <w:r w:rsidRPr="002B1DFC">
        <w:rPr>
          <w:rFonts w:cs="Times New Roman"/>
          <w:i/>
        </w:rPr>
        <w:t>rayon</w:t>
      </w:r>
      <w:r w:rsidRPr="002B1DFC">
        <w:rPr>
          <w:rFonts w:cs="Times New Roman"/>
        </w:rPr>
        <w:t>) planning</w:t>
      </w:r>
      <w:r w:rsidR="00474A0C">
        <w:rPr>
          <w:rFonts w:cs="Times New Roman"/>
        </w:rPr>
        <w:t>;</w:t>
      </w:r>
      <w:r w:rsidRPr="002B1DFC">
        <w:rPr>
          <w:rFonts w:cs="Times New Roman"/>
        </w:rPr>
        <w:t xml:space="preserve"> drafts of regulatory documents </w:t>
      </w:r>
      <w:r w:rsidR="00474A0C">
        <w:rPr>
          <w:rFonts w:cs="Times New Roman"/>
        </w:rPr>
        <w:t>that</w:t>
      </w:r>
      <w:r w:rsidR="00474A0C" w:rsidRPr="002B1DFC">
        <w:rPr>
          <w:rFonts w:cs="Times New Roman"/>
        </w:rPr>
        <w:t xml:space="preserve"> </w:t>
      </w:r>
      <w:r w:rsidRPr="002B1DFC">
        <w:rPr>
          <w:rFonts w:cs="Times New Roman"/>
        </w:rPr>
        <w:t>regulate environmentally damaging economic activities</w:t>
      </w:r>
      <w:r w:rsidR="00474A0C">
        <w:rPr>
          <w:rFonts w:cs="Times New Roman"/>
        </w:rPr>
        <w:t>;</w:t>
      </w:r>
      <w:r w:rsidRPr="002B1DFC">
        <w:rPr>
          <w:rFonts w:cs="Times New Roman"/>
        </w:rPr>
        <w:t xml:space="preserve"> documentation for new technologies and genetically modified organisms</w:t>
      </w:r>
      <w:r w:rsidR="00474A0C">
        <w:rPr>
          <w:rFonts w:cs="Times New Roman"/>
        </w:rPr>
        <w:t>;</w:t>
      </w:r>
      <w:r w:rsidRPr="002B1DFC">
        <w:rPr>
          <w:rFonts w:cs="Times New Roman"/>
        </w:rPr>
        <w:t xml:space="preserve"> and </w:t>
      </w:r>
      <w:r w:rsidR="00474A0C">
        <w:rPr>
          <w:rFonts w:cs="Times New Roman"/>
        </w:rPr>
        <w:t xml:space="preserve">the </w:t>
      </w:r>
      <w:r w:rsidRPr="002B1DFC">
        <w:rPr>
          <w:rFonts w:cs="Times New Roman"/>
        </w:rPr>
        <w:t xml:space="preserve">proposed implementation </w:t>
      </w:r>
      <w:r w:rsidR="00474A0C">
        <w:rPr>
          <w:rFonts w:cs="Times New Roman"/>
        </w:rPr>
        <w:t xml:space="preserve">of </w:t>
      </w:r>
      <w:r w:rsidRPr="002B1DFC">
        <w:rPr>
          <w:rFonts w:cs="Times New Roman"/>
        </w:rPr>
        <w:t>materials, substances</w:t>
      </w:r>
      <w:r w:rsidR="00474A0C">
        <w:rPr>
          <w:rFonts w:cs="Times New Roman"/>
        </w:rPr>
        <w:t>,</w:t>
      </w:r>
      <w:r w:rsidRPr="002B1DFC">
        <w:rPr>
          <w:rFonts w:cs="Times New Roman"/>
        </w:rPr>
        <w:t xml:space="preserve"> and objects </w:t>
      </w:r>
      <w:r w:rsidR="00474A0C">
        <w:rPr>
          <w:rFonts w:cs="Times New Roman"/>
        </w:rPr>
        <w:t>that</w:t>
      </w:r>
      <w:r w:rsidR="00474A0C" w:rsidRPr="002B1DFC">
        <w:rPr>
          <w:rFonts w:cs="Times New Roman"/>
        </w:rPr>
        <w:t xml:space="preserve"> </w:t>
      </w:r>
      <w:r w:rsidRPr="002B1DFC">
        <w:rPr>
          <w:rFonts w:cs="Times New Roman"/>
        </w:rPr>
        <w:t>may adverse</w:t>
      </w:r>
      <w:r w:rsidR="00474A0C">
        <w:rPr>
          <w:rFonts w:cs="Times New Roman"/>
        </w:rPr>
        <w:t>ly affect the</w:t>
      </w:r>
      <w:r w:rsidRPr="002B1DFC">
        <w:rPr>
          <w:rFonts w:cs="Times New Roman"/>
        </w:rPr>
        <w:t xml:space="preserve"> environment. </w:t>
      </w:r>
    </w:p>
    <w:p w14:paraId="3D147426" w14:textId="77777777" w:rsidR="000B7923" w:rsidRPr="002B1DFC" w:rsidRDefault="000B7923" w:rsidP="00AA7319">
      <w:pPr>
        <w:rPr>
          <w:rFonts w:cs="Times New Roman"/>
        </w:rPr>
      </w:pPr>
    </w:p>
    <w:p w14:paraId="54B89EDC"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The E</w:t>
      </w:r>
      <w:r w:rsidR="00240C4B">
        <w:rPr>
          <w:rFonts w:cs="Times New Roman"/>
        </w:rPr>
        <w:t>nvironmental Protection Law</w:t>
      </w:r>
      <w:r w:rsidRPr="002B1DFC">
        <w:rPr>
          <w:rFonts w:cs="Times New Roman"/>
        </w:rPr>
        <w:t xml:space="preserve"> and </w:t>
      </w:r>
      <w:r w:rsidR="00BB1676">
        <w:rPr>
          <w:rFonts w:cs="Times New Roman"/>
        </w:rPr>
        <w:t>the L</w:t>
      </w:r>
      <w:r w:rsidRPr="002B1DFC">
        <w:rPr>
          <w:rFonts w:cs="Times New Roman"/>
        </w:rPr>
        <w:t xml:space="preserve">aw on Environmental Expertise (1995) specify that the preparation of the OVNS (EIA) document and state environmental expertise </w:t>
      </w:r>
      <w:r w:rsidR="00BB1676">
        <w:rPr>
          <w:rFonts w:cs="Times New Roman"/>
        </w:rPr>
        <w:t>are</w:t>
      </w:r>
      <w:r w:rsidR="00BB1676" w:rsidRPr="002B1DFC">
        <w:rPr>
          <w:rFonts w:cs="Times New Roman"/>
        </w:rPr>
        <w:t xml:space="preserve"> </w:t>
      </w:r>
      <w:r w:rsidRPr="002B1DFC">
        <w:rPr>
          <w:rFonts w:cs="Times New Roman"/>
        </w:rPr>
        <w:t xml:space="preserve">mandatory for </w:t>
      </w:r>
      <w:r w:rsidR="00BB1676">
        <w:rPr>
          <w:rFonts w:cs="Times New Roman"/>
        </w:rPr>
        <w:t xml:space="preserve">projects having </w:t>
      </w:r>
      <w:r w:rsidRPr="002B1DFC">
        <w:rPr>
          <w:rFonts w:cs="Times New Roman"/>
        </w:rPr>
        <w:t>high environmental risk</w:t>
      </w:r>
      <w:r w:rsidR="00BB1676">
        <w:rPr>
          <w:rFonts w:cs="Times New Roman"/>
        </w:rPr>
        <w:t xml:space="preserve">. </w:t>
      </w:r>
      <w:r w:rsidRPr="002B1DFC">
        <w:rPr>
          <w:rFonts w:cs="Times New Roman"/>
        </w:rPr>
        <w:t xml:space="preserve">CMU </w:t>
      </w:r>
      <w:r w:rsidR="006020B3">
        <w:rPr>
          <w:rFonts w:cs="Times New Roman"/>
        </w:rPr>
        <w:t>R</w:t>
      </w:r>
      <w:r w:rsidRPr="002B1DFC">
        <w:rPr>
          <w:rFonts w:cs="Times New Roman"/>
        </w:rPr>
        <w:t xml:space="preserve">esolution </w:t>
      </w:r>
      <w:r w:rsidR="00474A0C">
        <w:rPr>
          <w:rFonts w:cs="Times New Roman"/>
        </w:rPr>
        <w:t>N</w:t>
      </w:r>
      <w:r w:rsidRPr="002B1DFC">
        <w:rPr>
          <w:rFonts w:cs="Times New Roman"/>
        </w:rPr>
        <w:t xml:space="preserve">o. 808 (2013) </w:t>
      </w:r>
      <w:r w:rsidR="00BB1676">
        <w:rPr>
          <w:rFonts w:cs="Times New Roman"/>
        </w:rPr>
        <w:t xml:space="preserve">presents a current list of such projects </w:t>
      </w:r>
      <w:r w:rsidRPr="002B1DFC">
        <w:rPr>
          <w:rFonts w:cs="Times New Roman"/>
        </w:rPr>
        <w:t xml:space="preserve">and includes 33 types of activities (see </w:t>
      </w:r>
      <w:r w:rsidR="002B327E">
        <w:rPr>
          <w:rFonts w:cs="Times New Roman"/>
        </w:rPr>
        <w:t>A</w:t>
      </w:r>
      <w:r w:rsidRPr="002B1DFC">
        <w:rPr>
          <w:rFonts w:cs="Times New Roman"/>
        </w:rPr>
        <w:t>nnex 8).  As with the earlier list, there are no thresholds for most of the activities.</w:t>
      </w:r>
    </w:p>
    <w:p w14:paraId="49B33B95" w14:textId="77777777" w:rsidR="000B7923" w:rsidRPr="002B1DFC" w:rsidRDefault="000B7923" w:rsidP="001B5642">
      <w:pPr>
        <w:rPr>
          <w:rFonts w:cs="Times New Roman"/>
        </w:rPr>
      </w:pPr>
    </w:p>
    <w:p w14:paraId="7C019EEA" w14:textId="77777777" w:rsidR="000B7923" w:rsidRPr="002B1DFC" w:rsidRDefault="000B7923" w:rsidP="00F55709">
      <w:pPr>
        <w:pStyle w:val="ListParagraph"/>
        <w:numPr>
          <w:ilvl w:val="0"/>
          <w:numId w:val="68"/>
        </w:numPr>
        <w:tabs>
          <w:tab w:val="left" w:pos="360"/>
        </w:tabs>
        <w:ind w:left="0" w:firstLine="0"/>
        <w:rPr>
          <w:rFonts w:cs="Times New Roman"/>
          <w:bCs/>
        </w:rPr>
      </w:pPr>
      <w:r w:rsidRPr="002B1DFC">
        <w:rPr>
          <w:rFonts w:cs="Times New Roman"/>
        </w:rPr>
        <w:t xml:space="preserve">Article 31 of the Law on </w:t>
      </w:r>
      <w:r w:rsidRPr="002B1DFC">
        <w:rPr>
          <w:rFonts w:cs="Times New Roman"/>
          <w:bCs/>
        </w:rPr>
        <w:t>Regulation of City Planning Activity</w:t>
      </w:r>
      <w:r w:rsidRPr="002B1DFC">
        <w:rPr>
          <w:rFonts w:cs="Times New Roman"/>
          <w:b/>
        </w:rPr>
        <w:t xml:space="preserve"> </w:t>
      </w:r>
      <w:r w:rsidRPr="002B1DFC">
        <w:rPr>
          <w:rFonts w:cs="Times New Roman"/>
          <w:bCs/>
        </w:rPr>
        <w:t>(2011)</w:t>
      </w:r>
      <w:r w:rsidRPr="002B1DFC">
        <w:rPr>
          <w:rFonts w:cs="Times New Roman"/>
          <w:b/>
        </w:rPr>
        <w:t xml:space="preserve"> </w:t>
      </w:r>
      <w:r w:rsidRPr="002B1DFC">
        <w:rPr>
          <w:rFonts w:cs="Times New Roman"/>
          <w:bCs/>
        </w:rPr>
        <w:t>also prescribes that a full</w:t>
      </w:r>
      <w:r w:rsidR="00474A0C">
        <w:rPr>
          <w:rFonts w:cs="Times New Roman"/>
          <w:bCs/>
        </w:rPr>
        <w:t>-</w:t>
      </w:r>
      <w:r w:rsidRPr="002B1DFC">
        <w:rPr>
          <w:rFonts w:cs="Times New Roman"/>
          <w:bCs/>
        </w:rPr>
        <w:t xml:space="preserve">scale EA (with the state EE) is mandatory </w:t>
      </w:r>
      <w:r w:rsidRPr="002B1DFC">
        <w:rPr>
          <w:rFonts w:cs="Times New Roman"/>
        </w:rPr>
        <w:t>for high environmental risk objects and for hazardous objects</w:t>
      </w:r>
      <w:r w:rsidR="00474A0C">
        <w:rPr>
          <w:rFonts w:cs="Times New Roman"/>
        </w:rPr>
        <w:t>. T</w:t>
      </w:r>
      <w:r w:rsidRPr="002B1DFC">
        <w:rPr>
          <w:rFonts w:cs="Times New Roman"/>
        </w:rPr>
        <w:t xml:space="preserve">hese are defined by the </w:t>
      </w:r>
      <w:r w:rsidR="00474A0C">
        <w:rPr>
          <w:rFonts w:cs="Times New Roman"/>
        </w:rPr>
        <w:t>L</w:t>
      </w:r>
      <w:r w:rsidRPr="002B1DFC">
        <w:rPr>
          <w:rFonts w:cs="Times New Roman"/>
        </w:rPr>
        <w:t>aw on the Objects of Increased Risk (2001) as those with planned use of hazardous substances and that pose risk of emergency situations.</w:t>
      </w:r>
      <w:r w:rsidRPr="002B1DFC">
        <w:rPr>
          <w:rFonts w:cs="Times New Roman"/>
          <w:bCs/>
        </w:rPr>
        <w:t xml:space="preserve"> </w:t>
      </w:r>
    </w:p>
    <w:p w14:paraId="653A6467" w14:textId="77777777" w:rsidR="000B7923" w:rsidRPr="002B1DFC" w:rsidRDefault="000B7923" w:rsidP="00F407C9">
      <w:pPr>
        <w:pStyle w:val="ListParagraph"/>
        <w:ind w:left="-120"/>
        <w:rPr>
          <w:rFonts w:cs="Times New Roman"/>
          <w:bCs/>
        </w:rPr>
      </w:pPr>
    </w:p>
    <w:p w14:paraId="0C2AA4C1"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For other construction objects</w:t>
      </w:r>
      <w:r w:rsidRPr="002B1DFC">
        <w:rPr>
          <w:rFonts w:cs="Times New Roman"/>
          <w:iCs/>
        </w:rPr>
        <w:t>, a f</w:t>
      </w:r>
      <w:r w:rsidRPr="002B1DFC">
        <w:rPr>
          <w:rFonts w:cs="Times New Roman"/>
        </w:rPr>
        <w:t>ull</w:t>
      </w:r>
      <w:r w:rsidR="00474A0C">
        <w:rPr>
          <w:rFonts w:cs="Times New Roman"/>
        </w:rPr>
        <w:t>-</w:t>
      </w:r>
      <w:r w:rsidRPr="002B1DFC">
        <w:rPr>
          <w:rFonts w:cs="Times New Roman"/>
        </w:rPr>
        <w:t xml:space="preserve">scale EA is not required. </w:t>
      </w:r>
      <w:r w:rsidR="00474A0C">
        <w:rPr>
          <w:rFonts w:cs="Times New Roman"/>
        </w:rPr>
        <w:t>C</w:t>
      </w:r>
      <w:r w:rsidRPr="002B1DFC">
        <w:rPr>
          <w:rFonts w:cs="Times New Roman"/>
        </w:rPr>
        <w:t xml:space="preserve">onstruction objects are divided into </w:t>
      </w:r>
      <w:r w:rsidR="00474A0C">
        <w:rPr>
          <w:rFonts w:cs="Times New Roman"/>
        </w:rPr>
        <w:t>five</w:t>
      </w:r>
      <w:r w:rsidRPr="002B1DFC">
        <w:rPr>
          <w:rFonts w:cs="Times New Roman"/>
        </w:rPr>
        <w:t xml:space="preserve"> categories of complexity: </w:t>
      </w:r>
      <w:r w:rsidR="00474A0C">
        <w:rPr>
          <w:rFonts w:cs="Times New Roman"/>
        </w:rPr>
        <w:t>O</w:t>
      </w:r>
      <w:r w:rsidRPr="002B1DFC">
        <w:rPr>
          <w:rFonts w:cs="Times New Roman"/>
        </w:rPr>
        <w:t xml:space="preserve">bjects </w:t>
      </w:r>
      <w:r w:rsidR="00474A0C">
        <w:rPr>
          <w:rFonts w:cs="Times New Roman"/>
        </w:rPr>
        <w:t>in</w:t>
      </w:r>
      <w:r w:rsidR="00474A0C" w:rsidRPr="002B1DFC">
        <w:rPr>
          <w:rFonts w:cs="Times New Roman"/>
        </w:rPr>
        <w:t xml:space="preserve"> </w:t>
      </w:r>
      <w:r w:rsidRPr="002B1DFC">
        <w:rPr>
          <w:rFonts w:cs="Times New Roman"/>
        </w:rPr>
        <w:t>categories I</w:t>
      </w:r>
      <w:r w:rsidR="00BB1676">
        <w:rPr>
          <w:rFonts w:cs="Times New Roman"/>
        </w:rPr>
        <w:t>–</w:t>
      </w:r>
      <w:r w:rsidRPr="002B1DFC">
        <w:rPr>
          <w:rFonts w:cs="Times New Roman"/>
        </w:rPr>
        <w:t xml:space="preserve">III do not require complex state expertise, while objects </w:t>
      </w:r>
      <w:r w:rsidR="00474A0C">
        <w:rPr>
          <w:rFonts w:cs="Times New Roman"/>
        </w:rPr>
        <w:t>in</w:t>
      </w:r>
      <w:r w:rsidR="00474A0C" w:rsidRPr="002B1DFC">
        <w:rPr>
          <w:rFonts w:cs="Times New Roman"/>
        </w:rPr>
        <w:t xml:space="preserve"> </w:t>
      </w:r>
      <w:r w:rsidRPr="002B1DFC">
        <w:rPr>
          <w:rFonts w:cs="Times New Roman"/>
        </w:rPr>
        <w:t>categories IV</w:t>
      </w:r>
      <w:r w:rsidR="00BB1676">
        <w:rPr>
          <w:rFonts w:cs="Times New Roman"/>
        </w:rPr>
        <w:t>–</w:t>
      </w:r>
      <w:r w:rsidRPr="002B1DFC">
        <w:rPr>
          <w:rFonts w:cs="Times New Roman"/>
        </w:rPr>
        <w:t>V should be reviewed by the complex state expertise</w:t>
      </w:r>
      <w:r w:rsidR="00474A0C">
        <w:rPr>
          <w:rFonts w:cs="Times New Roman"/>
        </w:rPr>
        <w:t xml:space="preserve"> process</w:t>
      </w:r>
      <w:r w:rsidRPr="002B1DFC">
        <w:rPr>
          <w:rFonts w:cs="Times New Roman"/>
        </w:rPr>
        <w:t xml:space="preserve">, which includes environmental analysis. Design documentation for such objects must have a section on environmental impacts, </w:t>
      </w:r>
      <w:r w:rsidR="00474A0C">
        <w:rPr>
          <w:rFonts w:cs="Times New Roman"/>
        </w:rPr>
        <w:t xml:space="preserve">and </w:t>
      </w:r>
      <w:r w:rsidRPr="002B1DFC">
        <w:rPr>
          <w:rFonts w:cs="Times New Roman"/>
        </w:rPr>
        <w:t>measures for their minimization, mitigation</w:t>
      </w:r>
      <w:r w:rsidR="00474A0C">
        <w:rPr>
          <w:rFonts w:cs="Times New Roman"/>
        </w:rPr>
        <w:t>,</w:t>
      </w:r>
      <w:r w:rsidRPr="002B1DFC">
        <w:rPr>
          <w:rFonts w:cs="Times New Roman"/>
        </w:rPr>
        <w:t xml:space="preserve"> and compensation in all types of design documentation (</w:t>
      </w:r>
      <w:r w:rsidR="00474A0C">
        <w:rPr>
          <w:rFonts w:cs="Times New Roman"/>
        </w:rPr>
        <w:t xml:space="preserve">such as a </w:t>
      </w:r>
      <w:r w:rsidRPr="002B1DFC">
        <w:rPr>
          <w:rFonts w:cs="Times New Roman"/>
        </w:rPr>
        <w:t>feasibility study</w:t>
      </w:r>
      <w:r w:rsidR="00474A0C">
        <w:rPr>
          <w:rFonts w:cs="Times New Roman"/>
        </w:rPr>
        <w:t>,</w:t>
      </w:r>
      <w:r w:rsidRPr="002B1DFC">
        <w:rPr>
          <w:rFonts w:cs="Times New Roman"/>
        </w:rPr>
        <w:t xml:space="preserve"> detailed design</w:t>
      </w:r>
      <w:r w:rsidR="00474A0C">
        <w:rPr>
          <w:rFonts w:cs="Times New Roman"/>
        </w:rPr>
        <w:t>, and so forth</w:t>
      </w:r>
      <w:r w:rsidRPr="002B1DFC">
        <w:rPr>
          <w:rFonts w:cs="Times New Roman"/>
        </w:rPr>
        <w:t xml:space="preserve">). </w:t>
      </w:r>
      <w:r w:rsidR="00474A0C">
        <w:rPr>
          <w:rFonts w:cs="Times New Roman"/>
        </w:rPr>
        <w:t>A</w:t>
      </w:r>
      <w:r w:rsidRPr="002B1DFC">
        <w:rPr>
          <w:rFonts w:cs="Times New Roman"/>
        </w:rPr>
        <w:t xml:space="preserve"> panel of experts, among them experts on ecology, energy efficiency, labor safety</w:t>
      </w:r>
      <w:r w:rsidR="00474A0C">
        <w:rPr>
          <w:rFonts w:cs="Times New Roman"/>
        </w:rPr>
        <w:t>,</w:t>
      </w:r>
      <w:r w:rsidRPr="002B1DFC">
        <w:rPr>
          <w:rFonts w:cs="Times New Roman"/>
        </w:rPr>
        <w:t xml:space="preserve"> and other</w:t>
      </w:r>
      <w:r w:rsidR="00474A0C">
        <w:rPr>
          <w:rFonts w:cs="Times New Roman"/>
        </w:rPr>
        <w:t>s</w:t>
      </w:r>
      <w:r w:rsidRPr="002B1DFC">
        <w:rPr>
          <w:rFonts w:cs="Times New Roman"/>
        </w:rPr>
        <w:t xml:space="preserve"> as needed</w:t>
      </w:r>
      <w:r w:rsidR="00474A0C">
        <w:rPr>
          <w:rFonts w:cs="Times New Roman"/>
        </w:rPr>
        <w:t>, review the design documentation.</w:t>
      </w:r>
      <w:r w:rsidRPr="002B1DFC">
        <w:rPr>
          <w:rFonts w:cs="Times New Roman"/>
        </w:rPr>
        <w:t xml:space="preserve"> </w:t>
      </w:r>
    </w:p>
    <w:p w14:paraId="5AFF31B7" w14:textId="77777777" w:rsidR="000B7923" w:rsidRPr="002B1DFC" w:rsidRDefault="000B7923" w:rsidP="004C1FA1">
      <w:pPr>
        <w:pBdr>
          <w:top w:val="single" w:sz="6" w:space="0" w:color="FFFFFF"/>
          <w:left w:val="single" w:sz="6" w:space="0" w:color="FFFFFF"/>
          <w:bottom w:val="single" w:sz="6" w:space="0" w:color="FFFFFF"/>
          <w:right w:val="single" w:sz="6" w:space="0" w:color="FFFFFF"/>
        </w:pBdr>
        <w:tabs>
          <w:tab w:val="left" w:pos="0"/>
          <w:tab w:val="left" w:pos="1410"/>
          <w:tab w:val="left" w:pos="2124"/>
          <w:tab w:val="left" w:pos="2832"/>
          <w:tab w:val="left" w:pos="3540"/>
          <w:tab w:val="left" w:pos="4248"/>
          <w:tab w:val="left" w:pos="4956"/>
          <w:tab w:val="left" w:pos="5664"/>
          <w:tab w:val="left" w:pos="6372"/>
          <w:tab w:val="left" w:pos="7080"/>
          <w:tab w:val="left" w:pos="7788"/>
          <w:tab w:val="left" w:pos="8496"/>
        </w:tabs>
        <w:rPr>
          <w:rFonts w:cs="Times New Roman"/>
        </w:rPr>
      </w:pPr>
    </w:p>
    <w:p w14:paraId="7E53B2EA" w14:textId="070B52AB" w:rsidR="00B6393E" w:rsidRPr="000B6DA0" w:rsidRDefault="000B7923" w:rsidP="000B6DA0">
      <w:pPr>
        <w:pStyle w:val="ListParagraph"/>
        <w:numPr>
          <w:ilvl w:val="0"/>
          <w:numId w:val="68"/>
        </w:numPr>
        <w:tabs>
          <w:tab w:val="left" w:pos="360"/>
        </w:tabs>
        <w:ind w:left="0" w:firstLine="0"/>
        <w:rPr>
          <w:rFonts w:cs="Times New Roman"/>
        </w:rPr>
      </w:pPr>
      <w:r w:rsidRPr="002B1DFC">
        <w:rPr>
          <w:rFonts w:cs="Times New Roman"/>
          <w:b/>
          <w:bCs/>
        </w:rPr>
        <w:t>For civil engineering (construction) activities that do not require OVNS</w:t>
      </w:r>
      <w:r w:rsidRPr="002B1DFC">
        <w:rPr>
          <w:rFonts w:cs="Times New Roman"/>
        </w:rPr>
        <w:t xml:space="preserve">, a set of design and construction norms and standards, </w:t>
      </w:r>
      <w:r w:rsidRPr="002B1DFC">
        <w:rPr>
          <w:rFonts w:cs="Times New Roman"/>
          <w:b/>
          <w:bCs/>
        </w:rPr>
        <w:t>DBN A.2.2-3-2014</w:t>
      </w:r>
      <w:r w:rsidRPr="002B1DFC">
        <w:rPr>
          <w:rFonts w:cs="Times New Roman"/>
        </w:rPr>
        <w:t xml:space="preserve"> </w:t>
      </w:r>
      <w:r w:rsidR="00474A0C">
        <w:rPr>
          <w:rFonts w:cs="Times New Roman"/>
        </w:rPr>
        <w:t>“</w:t>
      </w:r>
      <w:r w:rsidRPr="002B1DFC">
        <w:rPr>
          <w:rFonts w:cs="Times New Roman"/>
        </w:rPr>
        <w:t>Composition and Content of the Design Documentation for Construction</w:t>
      </w:r>
      <w:r w:rsidR="00474A0C">
        <w:rPr>
          <w:rFonts w:cs="Times New Roman"/>
        </w:rPr>
        <w:t>,”</w:t>
      </w:r>
      <w:r w:rsidRPr="002B1DFC">
        <w:rPr>
          <w:rFonts w:cs="Times New Roman"/>
        </w:rPr>
        <w:t xml:space="preserve"> defines terminology, types of construction activities and objects</w:t>
      </w:r>
      <w:r w:rsidR="00474A0C">
        <w:rPr>
          <w:rFonts w:cs="Times New Roman"/>
        </w:rPr>
        <w:t>, and so forth</w:t>
      </w:r>
      <w:r w:rsidRPr="002B1DFC">
        <w:rPr>
          <w:rFonts w:cs="Times New Roman"/>
        </w:rPr>
        <w:t>. Annexes B.1.2 and D of these norms require developing a mandatory section on "environmental impacts, measures for their minimization, mitigation and compensation" in all types of design documentation (feasibility study, detailed design, working design). When the State Civil Engineering Expertise (</w:t>
      </w:r>
      <w:proofErr w:type="spellStart"/>
      <w:r w:rsidRPr="002B1DFC">
        <w:rPr>
          <w:rFonts w:cs="Times New Roman"/>
          <w:i/>
        </w:rPr>
        <w:t>Derzhbudekspertyza</w:t>
      </w:r>
      <w:proofErr w:type="spellEnd"/>
      <w:r w:rsidRPr="002B1DFC">
        <w:rPr>
          <w:rFonts w:cs="Times New Roman"/>
        </w:rPr>
        <w:t>)</w:t>
      </w:r>
      <w:r w:rsidR="00474A0C">
        <w:rPr>
          <w:rFonts w:cs="Times New Roman"/>
        </w:rPr>
        <w:t xml:space="preserve"> reviews design documentation</w:t>
      </w:r>
      <w:r w:rsidRPr="002B1DFC">
        <w:rPr>
          <w:rFonts w:cs="Times New Roman"/>
        </w:rPr>
        <w:t xml:space="preserve">, </w:t>
      </w:r>
      <w:r w:rsidR="00474A0C">
        <w:rPr>
          <w:rFonts w:cs="Times New Roman"/>
        </w:rPr>
        <w:t xml:space="preserve">experts also analyze and approve </w:t>
      </w:r>
      <w:r w:rsidRPr="002B1DFC">
        <w:rPr>
          <w:rFonts w:cs="Times New Roman"/>
        </w:rPr>
        <w:t xml:space="preserve">this </w:t>
      </w:r>
      <w:r w:rsidR="00D31370">
        <w:rPr>
          <w:rFonts w:cs="Times New Roman"/>
        </w:rPr>
        <w:t xml:space="preserve">mandatory </w:t>
      </w:r>
      <w:r w:rsidRPr="002B1DFC">
        <w:rPr>
          <w:rFonts w:cs="Times New Roman"/>
        </w:rPr>
        <w:t>section</w:t>
      </w:r>
      <w:r w:rsidR="00474A0C">
        <w:rPr>
          <w:rFonts w:cs="Times New Roman"/>
        </w:rPr>
        <w:t xml:space="preserve"> </w:t>
      </w:r>
      <w:r w:rsidR="00D31370" w:rsidRPr="002B1DFC">
        <w:rPr>
          <w:rFonts w:cs="Times New Roman"/>
        </w:rPr>
        <w:t>on "environmental impacts, measures for their minimization, mitigation and compensation"</w:t>
      </w:r>
      <w:r w:rsidR="00D31370">
        <w:rPr>
          <w:rFonts w:cs="Times New Roman"/>
        </w:rPr>
        <w:t>.</w:t>
      </w:r>
      <w:r w:rsidR="00D31370" w:rsidRPr="002B1DFC">
        <w:rPr>
          <w:rFonts w:cs="Times New Roman"/>
        </w:rPr>
        <w:t xml:space="preserve"> </w:t>
      </w:r>
      <w:r w:rsidRPr="002B1DFC">
        <w:rPr>
          <w:rFonts w:cs="Times New Roman"/>
        </w:rPr>
        <w:t>Specialized State Enterprise "</w:t>
      </w:r>
      <w:proofErr w:type="spellStart"/>
      <w:r w:rsidRPr="002B1DFC">
        <w:rPr>
          <w:rFonts w:cs="Times New Roman"/>
          <w:i/>
        </w:rPr>
        <w:t>Derzhbudekspertyza</w:t>
      </w:r>
      <w:proofErr w:type="spellEnd"/>
      <w:r w:rsidRPr="002B1DFC">
        <w:rPr>
          <w:rFonts w:cs="Times New Roman"/>
          <w:i/>
        </w:rPr>
        <w:t xml:space="preserve">" was </w:t>
      </w:r>
      <w:r w:rsidRPr="002B1DFC">
        <w:rPr>
          <w:rFonts w:cs="Times New Roman"/>
        </w:rPr>
        <w:t xml:space="preserve">created by the Order of the Minister of Regional Development and Construction (MRDC) </w:t>
      </w:r>
      <w:r w:rsidR="00474A0C">
        <w:rPr>
          <w:rFonts w:cs="Times New Roman"/>
        </w:rPr>
        <w:t xml:space="preserve">No. </w:t>
      </w:r>
      <w:r w:rsidRPr="002B1DFC">
        <w:rPr>
          <w:rFonts w:cs="Times New Roman"/>
        </w:rPr>
        <w:t>358 (2007) and has branches in all oblasts of Ukraine and a specialized branch for road construction projects.</w:t>
      </w:r>
    </w:p>
    <w:p w14:paraId="5D13322A" w14:textId="77777777" w:rsidR="000B7923" w:rsidRPr="002B1DFC" w:rsidRDefault="000B7923" w:rsidP="005A0807">
      <w:pPr>
        <w:rPr>
          <w:rFonts w:cs="Times New Roman"/>
        </w:rPr>
      </w:pPr>
    </w:p>
    <w:p w14:paraId="4478607B"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i/>
          <w:iCs/>
        </w:rPr>
        <w:t xml:space="preserve">Scoping. </w:t>
      </w:r>
      <w:r w:rsidRPr="002B1DFC">
        <w:rPr>
          <w:rFonts w:cs="Times New Roman"/>
        </w:rPr>
        <w:t>No formal scoping procedure is described. All environmental impact documentation address</w:t>
      </w:r>
      <w:r w:rsidR="00474A0C">
        <w:rPr>
          <w:rFonts w:cs="Times New Roman"/>
        </w:rPr>
        <w:t>es</w:t>
      </w:r>
      <w:r w:rsidRPr="002B1DFC">
        <w:rPr>
          <w:rFonts w:cs="Times New Roman"/>
        </w:rPr>
        <w:t xml:space="preserve"> a list of topics in state construction norms. The DBN-A.2.2-1.2003 State Construction Norms require that the following </w:t>
      </w:r>
      <w:r w:rsidR="00474A0C">
        <w:rPr>
          <w:rFonts w:cs="Times New Roman"/>
        </w:rPr>
        <w:t>be</w:t>
      </w:r>
      <w:r w:rsidR="00474A0C" w:rsidRPr="002B1DFC">
        <w:rPr>
          <w:rFonts w:cs="Times New Roman"/>
        </w:rPr>
        <w:t xml:space="preserve"> </w:t>
      </w:r>
      <w:r w:rsidRPr="002B1DFC">
        <w:rPr>
          <w:rFonts w:cs="Times New Roman"/>
        </w:rPr>
        <w:t>addressed:</w:t>
      </w:r>
    </w:p>
    <w:p w14:paraId="591A25C0" w14:textId="77777777" w:rsidR="000B7923" w:rsidRPr="002B1DFC" w:rsidRDefault="000B7923" w:rsidP="00757B65">
      <w:pPr>
        <w:pStyle w:val="ListParagraph"/>
        <w:numPr>
          <w:ilvl w:val="0"/>
          <w:numId w:val="3"/>
        </w:numPr>
        <w:autoSpaceDE w:val="0"/>
        <w:autoSpaceDN w:val="0"/>
        <w:adjustRightInd w:val="0"/>
        <w:ind w:left="360"/>
        <w:rPr>
          <w:rFonts w:cs="Times New Roman"/>
        </w:rPr>
      </w:pPr>
      <w:r w:rsidRPr="002B1DFC">
        <w:rPr>
          <w:rFonts w:cs="Times New Roman"/>
        </w:rPr>
        <w:t>Evaluation of three alternative locations before a decision is made</w:t>
      </w:r>
      <w:r w:rsidR="00474A0C">
        <w:rPr>
          <w:rFonts w:cs="Times New Roman"/>
        </w:rPr>
        <w:t>;</w:t>
      </w:r>
    </w:p>
    <w:p w14:paraId="5B271323" w14:textId="77777777" w:rsidR="000B7923" w:rsidRPr="002B1DFC" w:rsidRDefault="000B7923" w:rsidP="00757B65">
      <w:pPr>
        <w:pStyle w:val="ListParagraph"/>
        <w:numPr>
          <w:ilvl w:val="0"/>
          <w:numId w:val="3"/>
        </w:numPr>
        <w:autoSpaceDE w:val="0"/>
        <w:autoSpaceDN w:val="0"/>
        <w:adjustRightInd w:val="0"/>
        <w:ind w:left="360"/>
        <w:rPr>
          <w:rFonts w:cs="Times New Roman"/>
        </w:rPr>
      </w:pPr>
      <w:r w:rsidRPr="002B1DFC">
        <w:rPr>
          <w:rFonts w:cs="Times New Roman"/>
        </w:rPr>
        <w:t>Environmental and sanitary impacts</w:t>
      </w:r>
      <w:r w:rsidR="00474A0C">
        <w:rPr>
          <w:rFonts w:cs="Times New Roman"/>
        </w:rPr>
        <w:t>;</w:t>
      </w:r>
    </w:p>
    <w:p w14:paraId="0515FE22" w14:textId="77777777" w:rsidR="000B7923" w:rsidRPr="002B1DFC" w:rsidRDefault="000B7923" w:rsidP="00757B65">
      <w:pPr>
        <w:pStyle w:val="ListParagraph"/>
        <w:numPr>
          <w:ilvl w:val="0"/>
          <w:numId w:val="3"/>
        </w:numPr>
        <w:autoSpaceDE w:val="0"/>
        <w:autoSpaceDN w:val="0"/>
        <w:adjustRightInd w:val="0"/>
        <w:ind w:left="360"/>
        <w:rPr>
          <w:rFonts w:cs="Times New Roman"/>
        </w:rPr>
      </w:pPr>
      <w:r w:rsidRPr="002B1DFC">
        <w:rPr>
          <w:rFonts w:cs="Times New Roman"/>
        </w:rPr>
        <w:t>Technical solutions for reducing impact, including use of cleaner production options, and related costs</w:t>
      </w:r>
      <w:r w:rsidR="00474A0C">
        <w:rPr>
          <w:rFonts w:cs="Times New Roman"/>
        </w:rPr>
        <w:t>;</w:t>
      </w:r>
    </w:p>
    <w:p w14:paraId="37C31EB7" w14:textId="77777777" w:rsidR="000B7923" w:rsidRPr="002B1DFC" w:rsidRDefault="000B7923" w:rsidP="00757B65">
      <w:pPr>
        <w:pStyle w:val="ListParagraph"/>
        <w:numPr>
          <w:ilvl w:val="0"/>
          <w:numId w:val="3"/>
        </w:numPr>
        <w:autoSpaceDE w:val="0"/>
        <w:autoSpaceDN w:val="0"/>
        <w:adjustRightInd w:val="0"/>
        <w:ind w:left="360"/>
        <w:rPr>
          <w:rFonts w:cs="Times New Roman"/>
        </w:rPr>
      </w:pPr>
      <w:r w:rsidRPr="002B1DFC">
        <w:rPr>
          <w:rFonts w:cs="Times New Roman"/>
        </w:rPr>
        <w:t>Design and costs of the infrastructure needed for an industrial site</w:t>
      </w:r>
      <w:r w:rsidR="00474A0C">
        <w:rPr>
          <w:rFonts w:cs="Times New Roman"/>
        </w:rPr>
        <w:t>; and</w:t>
      </w:r>
    </w:p>
    <w:p w14:paraId="537E2D71" w14:textId="77777777" w:rsidR="000B7923" w:rsidRPr="002B1DFC" w:rsidRDefault="000B7923" w:rsidP="00757B65">
      <w:pPr>
        <w:pStyle w:val="ListParagraph"/>
        <w:numPr>
          <w:ilvl w:val="0"/>
          <w:numId w:val="3"/>
        </w:numPr>
        <w:autoSpaceDE w:val="0"/>
        <w:autoSpaceDN w:val="0"/>
        <w:adjustRightInd w:val="0"/>
        <w:ind w:left="360"/>
        <w:rPr>
          <w:rFonts w:cs="Times New Roman"/>
        </w:rPr>
      </w:pPr>
      <w:r w:rsidRPr="002B1DFC">
        <w:rPr>
          <w:rFonts w:cs="Times New Roman"/>
        </w:rPr>
        <w:t>Transport of and availability of energy for the planned activity.</w:t>
      </w:r>
    </w:p>
    <w:p w14:paraId="2AA23586" w14:textId="77777777" w:rsidR="000B7923" w:rsidRPr="002B1DFC" w:rsidRDefault="000B7923" w:rsidP="00EE5042">
      <w:pPr>
        <w:rPr>
          <w:rFonts w:cs="Times New Roman"/>
          <w:i/>
          <w:iCs/>
        </w:rPr>
      </w:pPr>
    </w:p>
    <w:p w14:paraId="2BEC179E"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lastRenderedPageBreak/>
        <w:t>There are many media-specific and other environment-related laws (land code</w:t>
      </w:r>
      <w:r w:rsidR="00474A0C">
        <w:rPr>
          <w:rFonts w:cs="Times New Roman"/>
        </w:rPr>
        <w:t>;</w:t>
      </w:r>
      <w:r w:rsidRPr="002B1DFC">
        <w:rPr>
          <w:rFonts w:cs="Times New Roman"/>
        </w:rPr>
        <w:t xml:space="preserve"> water code</w:t>
      </w:r>
      <w:r w:rsidR="00474A0C">
        <w:rPr>
          <w:rFonts w:cs="Times New Roman"/>
        </w:rPr>
        <w:t>;</w:t>
      </w:r>
      <w:r w:rsidRPr="002B1DFC">
        <w:rPr>
          <w:rFonts w:cs="Times New Roman"/>
        </w:rPr>
        <w:t xml:space="preserve"> </w:t>
      </w:r>
      <w:r w:rsidR="00474A0C">
        <w:rPr>
          <w:rFonts w:cs="Times New Roman"/>
        </w:rPr>
        <w:t xml:space="preserve">and </w:t>
      </w:r>
      <w:r w:rsidRPr="002B1DFC">
        <w:rPr>
          <w:rFonts w:cs="Times New Roman"/>
        </w:rPr>
        <w:t>laws on air protection, protected territories, ecological network</w:t>
      </w:r>
      <w:r w:rsidR="00474A0C">
        <w:rPr>
          <w:rFonts w:cs="Times New Roman"/>
        </w:rPr>
        <w:t>, and so forth)</w:t>
      </w:r>
      <w:r w:rsidRPr="002B1DFC">
        <w:rPr>
          <w:rFonts w:cs="Times New Roman"/>
        </w:rPr>
        <w:t xml:space="preserve"> </w:t>
      </w:r>
      <w:r w:rsidR="00474A0C">
        <w:rPr>
          <w:rFonts w:cs="Times New Roman"/>
        </w:rPr>
        <w:t xml:space="preserve">stipulating that </w:t>
      </w:r>
      <w:r w:rsidRPr="002B1DFC">
        <w:rPr>
          <w:rFonts w:cs="Times New Roman"/>
        </w:rPr>
        <w:t xml:space="preserve">certain requirements be taken into account when EA is carried out. Annex B </w:t>
      </w:r>
      <w:r w:rsidR="00D60574">
        <w:rPr>
          <w:rFonts w:cs="Times New Roman"/>
        </w:rPr>
        <w:t>of</w:t>
      </w:r>
      <w:r w:rsidR="00D60574" w:rsidRPr="002B1DFC">
        <w:rPr>
          <w:rFonts w:cs="Times New Roman"/>
        </w:rPr>
        <w:t xml:space="preserve"> </w:t>
      </w:r>
      <w:r w:rsidRPr="002B1DFC">
        <w:rPr>
          <w:rFonts w:cs="Times New Roman"/>
        </w:rPr>
        <w:t xml:space="preserve">the state construction norms </w:t>
      </w:r>
      <w:r w:rsidRPr="002B1DFC">
        <w:rPr>
          <w:rFonts w:cs="Times New Roman"/>
          <w:b/>
          <w:bCs/>
        </w:rPr>
        <w:t>DBN A.2.2-3-2014</w:t>
      </w:r>
      <w:r w:rsidRPr="002B1DFC">
        <w:rPr>
          <w:rFonts w:cs="Times New Roman"/>
        </w:rPr>
        <w:t xml:space="preserve"> lists these relevant laws and conventions. </w:t>
      </w:r>
    </w:p>
    <w:p w14:paraId="1B52DC3F" w14:textId="77777777" w:rsidR="000B7923" w:rsidRPr="002B1DFC" w:rsidRDefault="000B7923" w:rsidP="00EE5042">
      <w:pPr>
        <w:rPr>
          <w:rFonts w:cs="Times New Roman"/>
          <w:i/>
          <w:iCs/>
        </w:rPr>
      </w:pPr>
    </w:p>
    <w:p w14:paraId="54D81A2D" w14:textId="072B17B4" w:rsidR="000B7923" w:rsidRPr="002B1DFC" w:rsidRDefault="000B7923" w:rsidP="00CA62FB">
      <w:pPr>
        <w:pStyle w:val="ListParagraph"/>
        <w:numPr>
          <w:ilvl w:val="0"/>
          <w:numId w:val="68"/>
        </w:numPr>
        <w:tabs>
          <w:tab w:val="left" w:pos="360"/>
        </w:tabs>
        <w:rPr>
          <w:rFonts w:cs="Times New Roman"/>
        </w:rPr>
      </w:pPr>
      <w:r w:rsidRPr="002B1DFC">
        <w:rPr>
          <w:rFonts w:cs="Times New Roman"/>
          <w:i/>
          <w:iCs/>
        </w:rPr>
        <w:t xml:space="preserve">Content of EIA study. </w:t>
      </w:r>
      <w:r w:rsidRPr="002B1DFC">
        <w:rPr>
          <w:rFonts w:cs="Times New Roman"/>
        </w:rPr>
        <w:t xml:space="preserve">The first stage of </w:t>
      </w:r>
      <w:r w:rsidR="00BB1676">
        <w:rPr>
          <w:rFonts w:cs="Times New Roman"/>
        </w:rPr>
        <w:t xml:space="preserve">the </w:t>
      </w:r>
      <w:r w:rsidRPr="002B1DFC">
        <w:rPr>
          <w:rFonts w:cs="Times New Roman"/>
        </w:rPr>
        <w:t xml:space="preserve">EIA process is an assessment of potential impacts of </w:t>
      </w:r>
      <w:r w:rsidR="00BB1676">
        <w:rPr>
          <w:rFonts w:cs="Times New Roman"/>
        </w:rPr>
        <w:t xml:space="preserve">the </w:t>
      </w:r>
      <w:r w:rsidRPr="002B1DFC">
        <w:rPr>
          <w:rFonts w:cs="Times New Roman"/>
        </w:rPr>
        <w:t xml:space="preserve">proposed activity on </w:t>
      </w:r>
      <w:r w:rsidR="00BB1676">
        <w:rPr>
          <w:rFonts w:cs="Times New Roman"/>
        </w:rPr>
        <w:t xml:space="preserve">the </w:t>
      </w:r>
      <w:r w:rsidRPr="002B1DFC">
        <w:rPr>
          <w:rFonts w:cs="Times New Roman"/>
        </w:rPr>
        <w:t xml:space="preserve">natural, </w:t>
      </w:r>
      <w:r w:rsidR="00BB1676">
        <w:rPr>
          <w:rFonts w:cs="Times New Roman"/>
        </w:rPr>
        <w:t>manufactured,</w:t>
      </w:r>
      <w:r w:rsidRPr="002B1DFC">
        <w:rPr>
          <w:rFonts w:cs="Times New Roman"/>
        </w:rPr>
        <w:t xml:space="preserve"> and social environment</w:t>
      </w:r>
      <w:r w:rsidR="00BB1676">
        <w:rPr>
          <w:rFonts w:cs="Times New Roman"/>
        </w:rPr>
        <w:t>,</w:t>
      </w:r>
      <w:r w:rsidRPr="002B1DFC">
        <w:rPr>
          <w:rFonts w:cs="Times New Roman"/>
        </w:rPr>
        <w:t xml:space="preserve"> and designing/planning prevention, mitigation</w:t>
      </w:r>
      <w:r w:rsidR="00BB1676">
        <w:rPr>
          <w:rFonts w:cs="Times New Roman"/>
        </w:rPr>
        <w:t>,</w:t>
      </w:r>
      <w:r w:rsidRPr="002B1DFC">
        <w:rPr>
          <w:rFonts w:cs="Times New Roman"/>
        </w:rPr>
        <w:t xml:space="preserve"> and compensation measures. The </w:t>
      </w:r>
      <w:r w:rsidR="00BB1676">
        <w:rPr>
          <w:rFonts w:cs="Times New Roman"/>
        </w:rPr>
        <w:t>L</w:t>
      </w:r>
      <w:r w:rsidRPr="002B1DFC">
        <w:rPr>
          <w:rFonts w:cs="Times New Roman"/>
        </w:rPr>
        <w:t xml:space="preserve">aw on </w:t>
      </w:r>
      <w:r w:rsidR="00BB1676">
        <w:rPr>
          <w:rFonts w:cs="Times New Roman"/>
        </w:rPr>
        <w:t>E</w:t>
      </w:r>
      <w:r w:rsidRPr="002B1DFC">
        <w:rPr>
          <w:rFonts w:cs="Times New Roman"/>
        </w:rPr>
        <w:t xml:space="preserve">cological </w:t>
      </w:r>
      <w:r w:rsidR="00BB1676">
        <w:rPr>
          <w:rFonts w:cs="Times New Roman"/>
        </w:rPr>
        <w:t>E</w:t>
      </w:r>
      <w:r w:rsidRPr="002B1DFC">
        <w:rPr>
          <w:rFonts w:cs="Times New Roman"/>
        </w:rPr>
        <w:t>xpertise and the State Construction Norms detail the key sections of the EIA.</w:t>
      </w:r>
      <w:r w:rsidR="00CA62FB">
        <w:rPr>
          <w:rFonts w:cs="Times New Roman"/>
        </w:rPr>
        <w:t xml:space="preserve"> </w:t>
      </w:r>
      <w:r w:rsidR="00CA62FB" w:rsidRPr="00CA62FB">
        <w:rPr>
          <w:rFonts w:cs="Times New Roman"/>
        </w:rPr>
        <w:t>At this stage</w:t>
      </w:r>
      <w:r w:rsidR="00CA62FB">
        <w:rPr>
          <w:rFonts w:cs="Times New Roman"/>
        </w:rPr>
        <w:t>,</w:t>
      </w:r>
      <w:r w:rsidR="00CA62FB" w:rsidRPr="00CA62FB">
        <w:rPr>
          <w:rFonts w:cs="Times New Roman"/>
        </w:rPr>
        <w:t xml:space="preserve"> there is no mechanism </w:t>
      </w:r>
      <w:r w:rsidR="00CA62FB">
        <w:rPr>
          <w:rFonts w:cs="Times New Roman"/>
        </w:rPr>
        <w:t>to integrate</w:t>
      </w:r>
      <w:r w:rsidR="00CA62FB" w:rsidRPr="00CA62FB">
        <w:rPr>
          <w:rFonts w:cs="Times New Roman"/>
        </w:rPr>
        <w:t xml:space="preserve"> views of </w:t>
      </w:r>
      <w:r w:rsidR="00CA62FB">
        <w:rPr>
          <w:rFonts w:cs="Times New Roman"/>
        </w:rPr>
        <w:t>stakeholders</w:t>
      </w:r>
      <w:r w:rsidR="00CA62FB" w:rsidRPr="00CA62FB">
        <w:rPr>
          <w:rFonts w:cs="Times New Roman"/>
        </w:rPr>
        <w:t xml:space="preserve"> such as local governments </w:t>
      </w:r>
      <w:r w:rsidR="00CA62FB">
        <w:rPr>
          <w:rFonts w:cs="Times New Roman"/>
        </w:rPr>
        <w:t xml:space="preserve">into the content of EIA study </w:t>
      </w:r>
      <w:r w:rsidR="00CA62FB" w:rsidRPr="00CA62FB">
        <w:rPr>
          <w:rFonts w:cs="Times New Roman"/>
        </w:rPr>
        <w:t>(except for land acquisition).</w:t>
      </w:r>
    </w:p>
    <w:p w14:paraId="01712085" w14:textId="77777777" w:rsidR="000B7923" w:rsidRPr="002B1DFC" w:rsidRDefault="000B7923" w:rsidP="00EE5042">
      <w:pPr>
        <w:rPr>
          <w:rFonts w:cs="Times New Roman"/>
          <w:i/>
          <w:iCs/>
        </w:rPr>
      </w:pPr>
    </w:p>
    <w:p w14:paraId="6BF93E91"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i/>
          <w:iCs/>
        </w:rPr>
        <w:t xml:space="preserve">Public consultation. </w:t>
      </w:r>
      <w:bookmarkEnd w:id="105"/>
      <w:r w:rsidRPr="002B1DFC">
        <w:rPr>
          <w:rFonts w:cs="Times New Roman"/>
        </w:rPr>
        <w:t xml:space="preserve">Ukraine ratified the Aarhus </w:t>
      </w:r>
      <w:r w:rsidR="00BB1676">
        <w:rPr>
          <w:rFonts w:cs="Times New Roman"/>
        </w:rPr>
        <w:t>C</w:t>
      </w:r>
      <w:r w:rsidRPr="002B1DFC">
        <w:rPr>
          <w:rFonts w:cs="Times New Roman"/>
        </w:rPr>
        <w:t xml:space="preserve">onvention on </w:t>
      </w:r>
      <w:r w:rsidRPr="002B1DFC">
        <w:rPr>
          <w:rFonts w:cs="Times New Roman"/>
          <w:bCs/>
        </w:rPr>
        <w:t xml:space="preserve">Access to Information, Public Participation in Environmental </w:t>
      </w:r>
      <w:r w:rsidRPr="00F55709">
        <w:rPr>
          <w:rFonts w:cs="Times New Roman"/>
        </w:rPr>
        <w:t>Decision</w:t>
      </w:r>
      <w:r w:rsidRPr="002B1DFC">
        <w:rPr>
          <w:rFonts w:cs="Times New Roman"/>
          <w:bCs/>
        </w:rPr>
        <w:t>-making and Access to Justice in Environmental Matters</w:t>
      </w:r>
      <w:r w:rsidRPr="002B1DFC">
        <w:rPr>
          <w:rFonts w:cs="Times New Roman"/>
        </w:rPr>
        <w:t xml:space="preserve"> in 1999</w:t>
      </w:r>
      <w:r w:rsidR="00BB1676">
        <w:rPr>
          <w:rFonts w:cs="Times New Roman"/>
        </w:rPr>
        <w:t>.</w:t>
      </w:r>
      <w:r w:rsidRPr="002B1DFC">
        <w:rPr>
          <w:rFonts w:cs="Times New Roman"/>
        </w:rPr>
        <w:t xml:space="preserve"> </w:t>
      </w:r>
      <w:r w:rsidR="00BB1676">
        <w:rPr>
          <w:rFonts w:cs="Times New Roman"/>
        </w:rPr>
        <w:t>A</w:t>
      </w:r>
      <w:r w:rsidRPr="002B1DFC">
        <w:rPr>
          <w:rFonts w:cs="Times New Roman"/>
        </w:rPr>
        <w:t xml:space="preserve">s a result, </w:t>
      </w:r>
      <w:r w:rsidR="00BB1676">
        <w:rPr>
          <w:rFonts w:cs="Times New Roman"/>
        </w:rPr>
        <w:t xml:space="preserve">the MENR developed </w:t>
      </w:r>
      <w:r w:rsidRPr="002B1DFC">
        <w:rPr>
          <w:rFonts w:cs="Times New Roman"/>
        </w:rPr>
        <w:t xml:space="preserve">several regulatory acts </w:t>
      </w:r>
      <w:r w:rsidR="00BB1676">
        <w:rPr>
          <w:rFonts w:cs="Times New Roman"/>
        </w:rPr>
        <w:t>that</w:t>
      </w:r>
      <w:r w:rsidRPr="002B1DFC">
        <w:rPr>
          <w:rFonts w:cs="Times New Roman"/>
        </w:rPr>
        <w:t xml:space="preserve"> specify provisions of this Convention.</w:t>
      </w:r>
    </w:p>
    <w:p w14:paraId="53E23FFB" w14:textId="77777777" w:rsidR="000B7923" w:rsidRPr="002B1DFC" w:rsidRDefault="000B7923" w:rsidP="006C6F6A">
      <w:pPr>
        <w:rPr>
          <w:rFonts w:cs="Times New Roman"/>
        </w:rPr>
      </w:pPr>
    </w:p>
    <w:p w14:paraId="29BD5694" w14:textId="77777777" w:rsidR="000B7923" w:rsidRPr="002B1DFC" w:rsidRDefault="000B7923" w:rsidP="00B83095">
      <w:pPr>
        <w:pStyle w:val="ListParagraph"/>
        <w:numPr>
          <w:ilvl w:val="0"/>
          <w:numId w:val="38"/>
        </w:numPr>
        <w:rPr>
          <w:rFonts w:cs="Times New Roman"/>
        </w:rPr>
      </w:pPr>
      <w:r w:rsidRPr="002B1DFC">
        <w:rPr>
          <w:rFonts w:cs="Times New Roman"/>
          <w:b/>
          <w:bCs/>
        </w:rPr>
        <w:t xml:space="preserve">Detailed requirements to organize public consultations on environmental matters are developed for </w:t>
      </w:r>
      <w:r w:rsidR="00BB1676">
        <w:rPr>
          <w:rFonts w:cs="Times New Roman"/>
          <w:b/>
          <w:bCs/>
        </w:rPr>
        <w:t xml:space="preserve">only </w:t>
      </w:r>
      <w:r w:rsidRPr="002B1DFC">
        <w:rPr>
          <w:rFonts w:cs="Times New Roman"/>
          <w:b/>
          <w:bCs/>
        </w:rPr>
        <w:t>two activities</w:t>
      </w:r>
      <w:r w:rsidR="00BB1676">
        <w:rPr>
          <w:rFonts w:cs="Times New Roman"/>
        </w:rPr>
        <w:t>.</w:t>
      </w:r>
      <w:r w:rsidRPr="002B1DFC">
        <w:rPr>
          <w:rFonts w:cs="Times New Roman"/>
        </w:rPr>
        <w:t xml:space="preserve"> </w:t>
      </w:r>
      <w:r w:rsidR="00BB1676">
        <w:rPr>
          <w:rFonts w:cs="Times New Roman"/>
        </w:rPr>
        <w:t xml:space="preserve">These are projects involving </w:t>
      </w:r>
      <w:r w:rsidRPr="002B1DFC">
        <w:rPr>
          <w:rFonts w:cs="Times New Roman"/>
        </w:rPr>
        <w:t xml:space="preserve">radiation hazard (Resolution of CMU of 1998 with amendments of 2006) and </w:t>
      </w:r>
      <w:r w:rsidR="00BB1676">
        <w:rPr>
          <w:rFonts w:cs="Times New Roman"/>
        </w:rPr>
        <w:t xml:space="preserve">the </w:t>
      </w:r>
      <w:r w:rsidRPr="002B1DFC">
        <w:rPr>
          <w:rFonts w:cs="Times New Roman"/>
        </w:rPr>
        <w:t>development of cities</w:t>
      </w:r>
      <w:r w:rsidR="00BB1676">
        <w:rPr>
          <w:rFonts w:cs="Times New Roman"/>
        </w:rPr>
        <w:t>’</w:t>
      </w:r>
      <w:r w:rsidRPr="002B1DFC">
        <w:rPr>
          <w:rFonts w:cs="Times New Roman"/>
        </w:rPr>
        <w:t xml:space="preserve"> and territories</w:t>
      </w:r>
      <w:r w:rsidR="00BB1676">
        <w:rPr>
          <w:rFonts w:cs="Times New Roman"/>
        </w:rPr>
        <w:t>’ master plans</w:t>
      </w:r>
      <w:r w:rsidRPr="002B1DFC">
        <w:rPr>
          <w:rFonts w:cs="Times New Roman"/>
        </w:rPr>
        <w:t xml:space="preserve"> (Resolution of CMU of 2011). In all other cases of full-scale OVNS, Section 1 of the State Construction Norms DBN A.2.2-1-2003 (paragraph 1.6 part 4, and </w:t>
      </w:r>
      <w:r w:rsidR="00474A0C">
        <w:rPr>
          <w:rFonts w:cs="Times New Roman"/>
        </w:rPr>
        <w:t xml:space="preserve">paragraph </w:t>
      </w:r>
      <w:r w:rsidRPr="002B1DFC">
        <w:rPr>
          <w:rFonts w:cs="Times New Roman"/>
        </w:rPr>
        <w:t>1.9)</w:t>
      </w:r>
      <w:r w:rsidR="00474A0C">
        <w:rPr>
          <w:rFonts w:cs="Times New Roman"/>
        </w:rPr>
        <w:t xml:space="preserve"> lists general guidance on how the public consultations must be organized</w:t>
      </w:r>
      <w:r w:rsidRPr="002B1DFC">
        <w:rPr>
          <w:rFonts w:cs="Times New Roman"/>
        </w:rPr>
        <w:t>. Paragraph 1.10 of DBN A.2.2-1-2003 provides for documentation of public consultations that must be included in the final OVNS report</w:t>
      </w:r>
      <w:r w:rsidR="00BB1676">
        <w:rPr>
          <w:rFonts w:cs="Times New Roman"/>
        </w:rPr>
        <w:t>.</w:t>
      </w:r>
      <w:r w:rsidRPr="002B1DFC">
        <w:rPr>
          <w:rFonts w:cs="Times New Roman"/>
        </w:rPr>
        <w:t xml:space="preserve"> </w:t>
      </w:r>
      <w:r w:rsidR="00BB1676">
        <w:rPr>
          <w:rFonts w:cs="Times New Roman"/>
        </w:rPr>
        <w:t>The required document</w:t>
      </w:r>
      <w:r w:rsidRPr="002B1DFC">
        <w:rPr>
          <w:rFonts w:cs="Times New Roman"/>
        </w:rPr>
        <w:t xml:space="preserve"> includes information about publication of the Statement of Intent (</w:t>
      </w:r>
      <w:proofErr w:type="spellStart"/>
      <w:r w:rsidRPr="002B1DFC">
        <w:rPr>
          <w:rFonts w:cs="Times New Roman"/>
          <w:i/>
        </w:rPr>
        <w:t>zayava</w:t>
      </w:r>
      <w:proofErr w:type="spellEnd"/>
      <w:r w:rsidRPr="002B1DFC">
        <w:rPr>
          <w:rFonts w:cs="Times New Roman"/>
          <w:i/>
        </w:rPr>
        <w:t xml:space="preserve"> pro </w:t>
      </w:r>
      <w:proofErr w:type="spellStart"/>
      <w:r w:rsidRPr="002B1DFC">
        <w:rPr>
          <w:rFonts w:cs="Times New Roman"/>
          <w:i/>
        </w:rPr>
        <w:t>namiry</w:t>
      </w:r>
      <w:proofErr w:type="spellEnd"/>
      <w:r w:rsidRPr="002B1DFC">
        <w:rPr>
          <w:rFonts w:cs="Times New Roman"/>
        </w:rPr>
        <w:t xml:space="preserve">), information about public consultations, written and other comments from the public, justified decisions by the project developer </w:t>
      </w:r>
      <w:r w:rsidR="00BB1676">
        <w:rPr>
          <w:rFonts w:cs="Times New Roman"/>
        </w:rPr>
        <w:t>in response to</w:t>
      </w:r>
      <w:r w:rsidR="00BB1676" w:rsidRPr="002B1DFC">
        <w:rPr>
          <w:rFonts w:cs="Times New Roman"/>
        </w:rPr>
        <w:t xml:space="preserve"> </w:t>
      </w:r>
      <w:r w:rsidRPr="002B1DFC">
        <w:rPr>
          <w:rFonts w:cs="Times New Roman"/>
        </w:rPr>
        <w:t xml:space="preserve">public comments, and information about </w:t>
      </w:r>
      <w:r w:rsidR="00BB1676">
        <w:rPr>
          <w:rFonts w:cs="Times New Roman"/>
        </w:rPr>
        <w:t xml:space="preserve">the person providing </w:t>
      </w:r>
      <w:r w:rsidRPr="002B1DFC">
        <w:rPr>
          <w:rFonts w:cs="Times New Roman"/>
        </w:rPr>
        <w:t xml:space="preserve">public ecological expertise (if there was one). </w:t>
      </w:r>
    </w:p>
    <w:p w14:paraId="5FAF2FCD" w14:textId="77777777" w:rsidR="000B7923" w:rsidRPr="002B1DFC" w:rsidRDefault="000B7923" w:rsidP="006C6F6A">
      <w:pPr>
        <w:rPr>
          <w:rFonts w:cs="Times New Roman"/>
        </w:rPr>
      </w:pPr>
    </w:p>
    <w:p w14:paraId="5EC9A29D" w14:textId="77777777" w:rsidR="000B7923" w:rsidRPr="002B1DFC" w:rsidRDefault="000B7923" w:rsidP="00D31370">
      <w:pPr>
        <w:pStyle w:val="ListParagraph"/>
        <w:numPr>
          <w:ilvl w:val="0"/>
          <w:numId w:val="38"/>
        </w:numPr>
        <w:rPr>
          <w:rFonts w:cs="Times New Roman"/>
        </w:rPr>
      </w:pPr>
      <w:r w:rsidRPr="002B1DFC">
        <w:rPr>
          <w:rFonts w:cs="Times New Roman"/>
          <w:b/>
          <w:bCs/>
        </w:rPr>
        <w:t xml:space="preserve">The project proponent and OVNS developer are responsible for organizing public consultations. </w:t>
      </w:r>
      <w:r w:rsidR="00BB1676">
        <w:rPr>
          <w:rFonts w:cs="Times New Roman"/>
        </w:rPr>
        <w:t xml:space="preserve">The </w:t>
      </w:r>
      <w:r w:rsidRPr="002B1DFC">
        <w:rPr>
          <w:rFonts w:cs="Times New Roman"/>
        </w:rPr>
        <w:t>organization of public consultations (public hearings) can also fall under the responsibility of local</w:t>
      </w:r>
      <w:r w:rsidR="00BB1676">
        <w:rPr>
          <w:rFonts w:cs="Times New Roman"/>
        </w:rPr>
        <w:t xml:space="preserve"> </w:t>
      </w:r>
      <w:r w:rsidRPr="002B1DFC">
        <w:rPr>
          <w:rFonts w:cs="Times New Roman"/>
        </w:rPr>
        <w:t xml:space="preserve">government, and different procedures have been approved in different territorial communities (cities, towns, </w:t>
      </w:r>
      <w:r w:rsidR="00BB1676">
        <w:rPr>
          <w:rFonts w:cs="Times New Roman"/>
        </w:rPr>
        <w:t xml:space="preserve">and </w:t>
      </w:r>
      <w:r w:rsidRPr="002B1DFC">
        <w:rPr>
          <w:rFonts w:cs="Times New Roman"/>
        </w:rPr>
        <w:t xml:space="preserve">villages). </w:t>
      </w:r>
      <w:r w:rsidR="00474A0C">
        <w:rPr>
          <w:rFonts w:cs="Times New Roman"/>
        </w:rPr>
        <w:t>A</w:t>
      </w:r>
      <w:r w:rsidRPr="002B1DFC">
        <w:rPr>
          <w:rFonts w:cs="Times New Roman"/>
        </w:rPr>
        <w:t xml:space="preserve"> local government authority </w:t>
      </w:r>
      <w:r w:rsidR="00474A0C">
        <w:rPr>
          <w:rFonts w:cs="Times New Roman"/>
        </w:rPr>
        <w:t xml:space="preserve">could convene public hearings </w:t>
      </w:r>
      <w:r w:rsidRPr="002B1DFC">
        <w:rPr>
          <w:rFonts w:cs="Times New Roman"/>
        </w:rPr>
        <w:t>either upon its own initiative or upon request from community members. Such meetings could be organized at the village (</w:t>
      </w:r>
      <w:proofErr w:type="spellStart"/>
      <w:r w:rsidRPr="002B1DFC">
        <w:rPr>
          <w:rFonts w:cs="Times New Roman"/>
          <w:i/>
        </w:rPr>
        <w:t>sil'skyi</w:t>
      </w:r>
      <w:proofErr w:type="spellEnd"/>
      <w:r w:rsidRPr="002B1DFC">
        <w:rPr>
          <w:rFonts w:cs="Times New Roman"/>
          <w:i/>
        </w:rPr>
        <w:t xml:space="preserve"> </w:t>
      </w:r>
      <w:proofErr w:type="spellStart"/>
      <w:r w:rsidRPr="002B1DFC">
        <w:rPr>
          <w:rFonts w:cs="Times New Roman"/>
          <w:i/>
        </w:rPr>
        <w:t>shid</w:t>
      </w:r>
      <w:proofErr w:type="spellEnd"/>
      <w:r w:rsidRPr="002B1DFC">
        <w:rPr>
          <w:rFonts w:cs="Times New Roman"/>
        </w:rPr>
        <w:t xml:space="preserve">), town, or city level. Decisions </w:t>
      </w:r>
      <w:r w:rsidR="00D31370">
        <w:rPr>
          <w:rFonts w:cs="Times New Roman"/>
        </w:rPr>
        <w:t xml:space="preserve">made during the course </w:t>
      </w:r>
      <w:r w:rsidRPr="002B1DFC">
        <w:rPr>
          <w:rFonts w:cs="Times New Roman"/>
        </w:rPr>
        <w:t>of such hearings are considered as recommendations.</w:t>
      </w:r>
      <w:r w:rsidR="00BB1676">
        <w:rPr>
          <w:rFonts w:cs="Times New Roman"/>
        </w:rPr>
        <w:t xml:space="preserve"> </w:t>
      </w:r>
    </w:p>
    <w:p w14:paraId="78704463" w14:textId="77777777" w:rsidR="000B7923" w:rsidRPr="00882558" w:rsidRDefault="000B7923" w:rsidP="006C6F6A">
      <w:pPr>
        <w:rPr>
          <w:rFonts w:cs="Times New Roman"/>
          <w:color w:val="000000" w:themeColor="text1"/>
        </w:rPr>
      </w:pPr>
    </w:p>
    <w:p w14:paraId="05FC84A0" w14:textId="77777777" w:rsidR="000B7923" w:rsidRPr="002B1DFC" w:rsidRDefault="000B7923" w:rsidP="00B83095">
      <w:pPr>
        <w:pStyle w:val="ListParagraph"/>
        <w:numPr>
          <w:ilvl w:val="0"/>
          <w:numId w:val="38"/>
        </w:numPr>
        <w:rPr>
          <w:rFonts w:cs="Times New Roman"/>
        </w:rPr>
      </w:pPr>
      <w:r w:rsidRPr="002B1DFC">
        <w:rPr>
          <w:rFonts w:cs="Times New Roman"/>
          <w:b/>
          <w:bCs/>
        </w:rPr>
        <w:t>In practice, public consultations and hearings are rarely organized</w:t>
      </w:r>
      <w:r w:rsidR="00BB1676">
        <w:rPr>
          <w:rFonts w:cs="Times New Roman"/>
          <w:b/>
          <w:bCs/>
        </w:rPr>
        <w:t>.</w:t>
      </w:r>
      <w:r w:rsidRPr="002B1DFC">
        <w:rPr>
          <w:rFonts w:cs="Times New Roman"/>
        </w:rPr>
        <w:t xml:space="preserve"> The developer of OVNS publishes Statement of Intent (</w:t>
      </w:r>
      <w:proofErr w:type="spellStart"/>
      <w:r w:rsidRPr="002B1DFC">
        <w:rPr>
          <w:rFonts w:cs="Times New Roman"/>
          <w:i/>
        </w:rPr>
        <w:t>Zayava</w:t>
      </w:r>
      <w:proofErr w:type="spellEnd"/>
      <w:r w:rsidRPr="002B1DFC">
        <w:rPr>
          <w:rFonts w:cs="Times New Roman"/>
          <w:i/>
        </w:rPr>
        <w:t xml:space="preserve"> pro </w:t>
      </w:r>
      <w:proofErr w:type="spellStart"/>
      <w:r w:rsidRPr="002B1DFC">
        <w:rPr>
          <w:rFonts w:cs="Times New Roman"/>
          <w:i/>
        </w:rPr>
        <w:t>namiry</w:t>
      </w:r>
      <w:proofErr w:type="spellEnd"/>
      <w:r w:rsidRPr="002B1DFC">
        <w:rPr>
          <w:rFonts w:cs="Times New Roman"/>
        </w:rPr>
        <w:t>) in a local newspaper (in effect, it could be one with small circulation). Except for controversial projects that affect local community, often there are no comments from the public and public consultations are not organized. Full</w:t>
      </w:r>
      <w:r w:rsidR="00BB1676">
        <w:rPr>
          <w:rFonts w:cs="Times New Roman"/>
        </w:rPr>
        <w:t>-</w:t>
      </w:r>
      <w:r w:rsidRPr="002B1DFC">
        <w:rPr>
          <w:rFonts w:cs="Times New Roman"/>
        </w:rPr>
        <w:t>scale, well</w:t>
      </w:r>
      <w:r w:rsidR="00BB1676">
        <w:rPr>
          <w:rFonts w:cs="Times New Roman"/>
        </w:rPr>
        <w:t>-</w:t>
      </w:r>
      <w:r w:rsidRPr="002B1DFC">
        <w:rPr>
          <w:rFonts w:cs="Times New Roman"/>
        </w:rPr>
        <w:t>prepared public consultations usually are organized only in case of large projects with international financing. In these cases, information on the projects, non-technical summary and/or full ESIA are also published on the web sites of the project developer and IFI, and comments from the public receive due attention.</w:t>
      </w:r>
    </w:p>
    <w:p w14:paraId="4378AEF0" w14:textId="77777777" w:rsidR="000B7923" w:rsidRPr="002B1DFC" w:rsidRDefault="000B7923" w:rsidP="0025445B">
      <w:pPr>
        <w:rPr>
          <w:rFonts w:cs="Times New Roman"/>
          <w:b/>
          <w:bCs/>
          <w:i/>
          <w:iCs/>
        </w:rPr>
      </w:pPr>
    </w:p>
    <w:p w14:paraId="07DC0B9A" w14:textId="77777777" w:rsidR="000B7923" w:rsidRDefault="000B7923" w:rsidP="00F55709">
      <w:pPr>
        <w:pStyle w:val="ListParagraph"/>
        <w:numPr>
          <w:ilvl w:val="0"/>
          <w:numId w:val="68"/>
        </w:numPr>
        <w:tabs>
          <w:tab w:val="left" w:pos="360"/>
        </w:tabs>
        <w:ind w:left="0" w:firstLine="0"/>
        <w:rPr>
          <w:rFonts w:cs="Times New Roman"/>
        </w:rPr>
      </w:pPr>
      <w:r w:rsidRPr="002B1DFC">
        <w:rPr>
          <w:rFonts w:cs="Times New Roman"/>
          <w:i/>
          <w:iCs/>
        </w:rPr>
        <w:t>State Environmental Expertise</w:t>
      </w:r>
      <w:r w:rsidRPr="002B1DFC">
        <w:rPr>
          <w:rFonts w:cs="Times New Roman"/>
        </w:rPr>
        <w:t>. Article 28 of the E</w:t>
      </w:r>
      <w:r w:rsidR="00240C4B">
        <w:rPr>
          <w:rFonts w:cs="Times New Roman"/>
        </w:rPr>
        <w:t>nvironmental Protection Law</w:t>
      </w:r>
      <w:r w:rsidRPr="002B1DFC">
        <w:rPr>
          <w:rFonts w:cs="Times New Roman"/>
        </w:rPr>
        <w:t xml:space="preserve"> assigns the responsibility for carrying out State Environmental Expertise (SEE) to the central government agency. This differs markedly from </w:t>
      </w:r>
      <w:r w:rsidR="00474A0C">
        <w:rPr>
          <w:rFonts w:cs="Times New Roman"/>
        </w:rPr>
        <w:t xml:space="preserve">Article 13 of </w:t>
      </w:r>
      <w:r w:rsidRPr="002B1DFC">
        <w:rPr>
          <w:rFonts w:cs="Times New Roman"/>
        </w:rPr>
        <w:t>the Law on Environmental Expertise</w:t>
      </w:r>
      <w:r w:rsidR="00474A0C">
        <w:rPr>
          <w:rFonts w:cs="Times New Roman"/>
        </w:rPr>
        <w:t>,</w:t>
      </w:r>
      <w:r w:rsidRPr="002B1DFC">
        <w:rPr>
          <w:rFonts w:cs="Times New Roman"/>
        </w:rPr>
        <w:t xml:space="preserve"> which stipulates that the environmental departments of oblast state administrations and by the central government agency</w:t>
      </w:r>
      <w:r w:rsidR="00474A0C">
        <w:rPr>
          <w:rFonts w:cs="Times New Roman"/>
        </w:rPr>
        <w:t xml:space="preserve"> conduct the SEE</w:t>
      </w:r>
      <w:r w:rsidRPr="002B1DFC">
        <w:rPr>
          <w:rFonts w:cs="Times New Roman"/>
        </w:rPr>
        <w:t>. Article 37 of the same law</w:t>
      </w:r>
      <w:r w:rsidR="00474A0C">
        <w:rPr>
          <w:rFonts w:cs="Times New Roman"/>
        </w:rPr>
        <w:t xml:space="preserve"> </w:t>
      </w:r>
      <w:r w:rsidRPr="002B1DFC">
        <w:rPr>
          <w:rFonts w:cs="Times New Roman"/>
        </w:rPr>
        <w:t>specifies ways of implement</w:t>
      </w:r>
      <w:r w:rsidR="00474A0C">
        <w:rPr>
          <w:rFonts w:cs="Times New Roman"/>
        </w:rPr>
        <w:t>ing</w:t>
      </w:r>
      <w:r w:rsidRPr="002B1DFC">
        <w:rPr>
          <w:rFonts w:cs="Times New Roman"/>
        </w:rPr>
        <w:t xml:space="preserve"> SEE, which may be carried out by</w:t>
      </w:r>
      <w:r w:rsidR="007A6CC1">
        <w:rPr>
          <w:rFonts w:cs="Times New Roman"/>
        </w:rPr>
        <w:t xml:space="preserve"> the </w:t>
      </w:r>
      <w:r w:rsidR="00474A0C">
        <w:rPr>
          <w:rFonts w:cs="Times New Roman"/>
        </w:rPr>
        <w:t>following</w:t>
      </w:r>
      <w:r w:rsidRPr="002B1DFC">
        <w:rPr>
          <w:rFonts w:cs="Times New Roman"/>
        </w:rPr>
        <w:t xml:space="preserve">: </w:t>
      </w:r>
    </w:p>
    <w:p w14:paraId="4BFD9916" w14:textId="77777777" w:rsidR="00610D3B" w:rsidRDefault="00610D3B" w:rsidP="00341202">
      <w:pPr>
        <w:tabs>
          <w:tab w:val="left" w:pos="360"/>
        </w:tabs>
        <w:rPr>
          <w:rFonts w:cs="Times New Roman"/>
        </w:rPr>
      </w:pPr>
    </w:p>
    <w:p w14:paraId="5517C8AC" w14:textId="77777777" w:rsidR="00610D3B" w:rsidRPr="00341202" w:rsidRDefault="00610D3B" w:rsidP="00341202">
      <w:pPr>
        <w:tabs>
          <w:tab w:val="left" w:pos="360"/>
        </w:tabs>
        <w:rPr>
          <w:rFonts w:cs="Times New Roman"/>
        </w:rPr>
      </w:pPr>
    </w:p>
    <w:p w14:paraId="1FB5C154" w14:textId="77777777" w:rsidR="000B7923" w:rsidRPr="002B1DFC" w:rsidRDefault="000B7923" w:rsidP="00E80283">
      <w:pPr>
        <w:pStyle w:val="ListParagraph"/>
        <w:numPr>
          <w:ilvl w:val="1"/>
          <w:numId w:val="6"/>
        </w:numPr>
        <w:rPr>
          <w:rFonts w:cs="Times New Roman"/>
        </w:rPr>
      </w:pPr>
      <w:r w:rsidRPr="002B1DFC">
        <w:rPr>
          <w:rFonts w:cs="Times New Roman"/>
        </w:rPr>
        <w:t xml:space="preserve">Divisions of </w:t>
      </w:r>
      <w:r w:rsidR="00474A0C">
        <w:rPr>
          <w:rFonts w:cs="Times New Roman"/>
        </w:rPr>
        <w:t xml:space="preserve">government agencies’ </w:t>
      </w:r>
      <w:r w:rsidRPr="002B1DFC">
        <w:rPr>
          <w:rFonts w:cs="Times New Roman"/>
        </w:rPr>
        <w:t xml:space="preserve">environmental expertise; </w:t>
      </w:r>
    </w:p>
    <w:p w14:paraId="1AC677B4" w14:textId="77777777" w:rsidR="000B7923" w:rsidRPr="002B1DFC" w:rsidRDefault="000B7923" w:rsidP="00E80283">
      <w:pPr>
        <w:pStyle w:val="ListParagraph"/>
        <w:numPr>
          <w:ilvl w:val="1"/>
          <w:numId w:val="6"/>
        </w:numPr>
        <w:rPr>
          <w:rFonts w:cs="Times New Roman"/>
        </w:rPr>
      </w:pPr>
      <w:r w:rsidRPr="002B1DFC">
        <w:rPr>
          <w:rFonts w:cs="Times New Roman"/>
        </w:rPr>
        <w:t>Special commissions</w:t>
      </w:r>
      <w:r w:rsidR="00474A0C">
        <w:rPr>
          <w:rFonts w:cs="Times New Roman"/>
        </w:rPr>
        <w:t>,</w:t>
      </w:r>
      <w:r w:rsidRPr="002B1DFC">
        <w:rPr>
          <w:rFonts w:cs="Times New Roman"/>
        </w:rPr>
        <w:t xml:space="preserve"> with participation of environmental expertise divisions and other experts (not from government agencies)</w:t>
      </w:r>
      <w:r w:rsidR="007A6CC1">
        <w:rPr>
          <w:rFonts w:cs="Times New Roman"/>
        </w:rPr>
        <w:t>;</w:t>
      </w:r>
      <w:r w:rsidRPr="002B1DFC">
        <w:rPr>
          <w:rFonts w:cs="Times New Roman"/>
        </w:rPr>
        <w:t xml:space="preserve"> and </w:t>
      </w:r>
    </w:p>
    <w:p w14:paraId="4AEAF31B" w14:textId="77777777" w:rsidR="000B7923" w:rsidRPr="002B1DFC" w:rsidRDefault="000B7923" w:rsidP="00E80283">
      <w:pPr>
        <w:pStyle w:val="ListParagraph"/>
        <w:numPr>
          <w:ilvl w:val="1"/>
          <w:numId w:val="6"/>
        </w:numPr>
        <w:rPr>
          <w:rFonts w:cs="Times New Roman"/>
        </w:rPr>
      </w:pPr>
      <w:r w:rsidRPr="002B1DFC">
        <w:rPr>
          <w:rFonts w:cs="Times New Roman"/>
        </w:rPr>
        <w:t xml:space="preserve">Contracting specialized organizations to carry out preliminary analysis and preparing proposals for the government agency, which then reviews and approves these proposals. </w:t>
      </w:r>
    </w:p>
    <w:p w14:paraId="327D2DEC" w14:textId="77777777" w:rsidR="000B7923" w:rsidRPr="002B1DFC" w:rsidRDefault="000B7923" w:rsidP="006E3215">
      <w:pPr>
        <w:rPr>
          <w:rFonts w:cs="Times New Roman"/>
        </w:rPr>
      </w:pPr>
    </w:p>
    <w:p w14:paraId="09E822E9" w14:textId="77777777" w:rsidR="00C36B3B" w:rsidRPr="006F7830" w:rsidRDefault="00C36B3B" w:rsidP="00C36B3B">
      <w:pPr>
        <w:pStyle w:val="ListParagraph"/>
        <w:numPr>
          <w:ilvl w:val="0"/>
          <w:numId w:val="68"/>
        </w:numPr>
        <w:tabs>
          <w:tab w:val="left" w:pos="360"/>
        </w:tabs>
        <w:ind w:left="0" w:firstLine="0"/>
        <w:rPr>
          <w:rFonts w:cs="Times New Roman"/>
        </w:rPr>
      </w:pPr>
      <w:r w:rsidRPr="006F7830">
        <w:rPr>
          <w:rFonts w:cs="Times New Roman"/>
        </w:rPr>
        <w:t>MRDC accredited private structures carry out EE for construction projects (except for certain objects, such as those funded by public funds or some other categories lick nuclear power facilities, etc.).</w:t>
      </w:r>
    </w:p>
    <w:p w14:paraId="299004EF" w14:textId="77777777" w:rsidR="00C36B3B" w:rsidRPr="00721C66" w:rsidRDefault="00C36B3B" w:rsidP="00C36B3B">
      <w:pPr>
        <w:pStyle w:val="ListParagraph"/>
        <w:rPr>
          <w:rFonts w:cs="Times New Roman"/>
        </w:rPr>
      </w:pPr>
    </w:p>
    <w:p w14:paraId="151A18D2" w14:textId="7B2B4483" w:rsidR="00C36B3B" w:rsidRPr="006F7830" w:rsidRDefault="00C36B3B" w:rsidP="006F7830">
      <w:pPr>
        <w:pStyle w:val="ListParagraph"/>
        <w:numPr>
          <w:ilvl w:val="0"/>
          <w:numId w:val="68"/>
        </w:numPr>
        <w:tabs>
          <w:tab w:val="left" w:pos="360"/>
        </w:tabs>
        <w:ind w:left="0" w:firstLine="0"/>
        <w:rPr>
          <w:rFonts w:cs="Times New Roman"/>
          <w:snapToGrid w:val="0"/>
        </w:rPr>
      </w:pPr>
      <w:r w:rsidRPr="006F7830">
        <w:rPr>
          <w:rFonts w:cs="Times New Roman"/>
        </w:rPr>
        <w:t xml:space="preserve">An issue that faces the ecological expertise for construction projects is the lack of a system to monitor the implementation of mitigation measures set out in the "Environmental Protection" section of project design documents. Local environmental authorities are not always notified of the EE, and follow up only protests from the public. At the same time project proponents, with positive conclusions for the construction, do not always understand the level of responsibility for compliance with environmental legislation. However, </w:t>
      </w:r>
      <w:r w:rsidR="006F7830">
        <w:rPr>
          <w:rFonts w:cs="Times New Roman"/>
        </w:rPr>
        <w:t>it should be noted that there also are challenges that face the</w:t>
      </w:r>
      <w:r w:rsidRPr="006F7830">
        <w:rPr>
          <w:rFonts w:cs="Times New Roman"/>
        </w:rPr>
        <w:t xml:space="preserve"> implementation of measures in the case of objects that are state environmental expertise (the main difference is that in the case of the </w:t>
      </w:r>
      <w:r w:rsidR="006F7830">
        <w:rPr>
          <w:rFonts w:cs="Times New Roman"/>
        </w:rPr>
        <w:t>OVNS</w:t>
      </w:r>
      <w:r w:rsidRPr="006F7830">
        <w:rPr>
          <w:rFonts w:cs="Times New Roman"/>
        </w:rPr>
        <w:t xml:space="preserve"> </w:t>
      </w:r>
      <w:r w:rsidR="006F7830">
        <w:rPr>
          <w:rFonts w:cs="Times New Roman"/>
        </w:rPr>
        <w:t>the</w:t>
      </w:r>
      <w:r w:rsidRPr="006F7830">
        <w:rPr>
          <w:rFonts w:cs="Times New Roman"/>
        </w:rPr>
        <w:t xml:space="preserve"> "Statement of Intent" and "</w:t>
      </w:r>
      <w:r w:rsidR="006F7830">
        <w:rPr>
          <w:rFonts w:cs="Times New Roman"/>
        </w:rPr>
        <w:t xml:space="preserve">Statement of </w:t>
      </w:r>
      <w:r w:rsidRPr="006F7830">
        <w:rPr>
          <w:rFonts w:cs="Times New Roman"/>
        </w:rPr>
        <w:t>Environmental Impact"</w:t>
      </w:r>
      <w:r w:rsidR="006F7830">
        <w:rPr>
          <w:rFonts w:cs="Times New Roman"/>
        </w:rPr>
        <w:t xml:space="preserve"> are published</w:t>
      </w:r>
      <w:r w:rsidRPr="006F7830">
        <w:rPr>
          <w:rFonts w:cs="Times New Roman"/>
        </w:rPr>
        <w:t>).</w:t>
      </w:r>
    </w:p>
    <w:p w14:paraId="16C11FA8" w14:textId="77777777" w:rsidR="00C36B3B" w:rsidRPr="00C36B3B" w:rsidRDefault="00C36B3B" w:rsidP="00C36B3B">
      <w:pPr>
        <w:pStyle w:val="ListParagraph"/>
        <w:tabs>
          <w:tab w:val="left" w:pos="360"/>
        </w:tabs>
        <w:ind w:left="0"/>
        <w:rPr>
          <w:rFonts w:cs="Times New Roman"/>
          <w:snapToGrid w:val="0"/>
        </w:rPr>
      </w:pPr>
    </w:p>
    <w:p w14:paraId="07578BC8" w14:textId="77777777" w:rsidR="000B7923" w:rsidRDefault="000B7923" w:rsidP="00F55709">
      <w:pPr>
        <w:pStyle w:val="ListParagraph"/>
        <w:numPr>
          <w:ilvl w:val="0"/>
          <w:numId w:val="68"/>
        </w:numPr>
        <w:tabs>
          <w:tab w:val="left" w:pos="360"/>
        </w:tabs>
        <w:ind w:left="0" w:firstLine="0"/>
        <w:rPr>
          <w:rFonts w:cs="Times New Roman"/>
          <w:snapToGrid w:val="0"/>
        </w:rPr>
      </w:pPr>
      <w:r w:rsidRPr="002B1DFC">
        <w:rPr>
          <w:rFonts w:cs="Times New Roman"/>
        </w:rPr>
        <w:t>There is no special regulatory document on the rules of submission of strategies, plans, master plans of cities</w:t>
      </w:r>
      <w:r w:rsidR="00474A0C">
        <w:rPr>
          <w:rFonts w:cs="Times New Roman"/>
        </w:rPr>
        <w:t>,</w:t>
      </w:r>
      <w:r w:rsidRPr="002B1DFC">
        <w:rPr>
          <w:rFonts w:cs="Times New Roman"/>
        </w:rPr>
        <w:t xml:space="preserve"> and legislative acts to the SEE (although the </w:t>
      </w:r>
      <w:r w:rsidR="00240C4B">
        <w:rPr>
          <w:rFonts w:cs="Times New Roman"/>
        </w:rPr>
        <w:t xml:space="preserve">Environmental Protection Law </w:t>
      </w:r>
      <w:r w:rsidRPr="002B1DFC">
        <w:rPr>
          <w:rFonts w:cs="Times New Roman"/>
        </w:rPr>
        <w:t xml:space="preserve">lists these as objects of SEE, and ecological expertise for such objects is carried out). These issues, as well as many other provisions were regulated by the </w:t>
      </w:r>
      <w:r w:rsidR="00D60574">
        <w:rPr>
          <w:rFonts w:cs="Times New Roman"/>
        </w:rPr>
        <w:t>“</w:t>
      </w:r>
      <w:r w:rsidRPr="002B1DFC">
        <w:rPr>
          <w:rFonts w:cs="Times New Roman"/>
          <w:snapToGrid w:val="0"/>
        </w:rPr>
        <w:t xml:space="preserve">Instruction on Conducting State Environmental </w:t>
      </w:r>
      <w:r w:rsidR="00D60574">
        <w:rPr>
          <w:rFonts w:cs="Times New Roman"/>
          <w:snapToGrid w:val="0"/>
        </w:rPr>
        <w:t>E</w:t>
      </w:r>
      <w:r w:rsidRPr="002B1DFC">
        <w:rPr>
          <w:rFonts w:cs="Times New Roman"/>
          <w:snapToGrid w:val="0"/>
        </w:rPr>
        <w:t>xpertise</w:t>
      </w:r>
      <w:r w:rsidR="00D60574">
        <w:rPr>
          <w:rFonts w:cs="Times New Roman"/>
          <w:snapToGrid w:val="0"/>
        </w:rPr>
        <w:t>,”</w:t>
      </w:r>
      <w:r w:rsidRPr="002B1DFC">
        <w:rPr>
          <w:rFonts w:cs="Times New Roman"/>
          <w:snapToGrid w:val="0"/>
        </w:rPr>
        <w:t xml:space="preserve"> approved by </w:t>
      </w:r>
      <w:r w:rsidR="00A471C6">
        <w:rPr>
          <w:rFonts w:cs="Times New Roman"/>
          <w:snapToGrid w:val="0"/>
        </w:rPr>
        <w:t>MENR Order</w:t>
      </w:r>
      <w:r w:rsidRPr="002B1DFC">
        <w:rPr>
          <w:rFonts w:cs="Times New Roman"/>
          <w:snapToGrid w:val="0"/>
        </w:rPr>
        <w:t xml:space="preserve"> </w:t>
      </w:r>
      <w:r w:rsidR="00A471C6">
        <w:rPr>
          <w:rFonts w:cs="Times New Roman"/>
          <w:snapToGrid w:val="0"/>
        </w:rPr>
        <w:t>N</w:t>
      </w:r>
      <w:r w:rsidRPr="002B1DFC">
        <w:rPr>
          <w:rFonts w:cs="Times New Roman"/>
          <w:snapToGrid w:val="0"/>
        </w:rPr>
        <w:t>o. 55 (1995), but it was repealed in 2004, after entry into force of the Law on the Order of Approval of Investment Projects.</w:t>
      </w:r>
    </w:p>
    <w:p w14:paraId="449A315A" w14:textId="77777777" w:rsidR="000B7923" w:rsidRPr="002B1DFC" w:rsidRDefault="000B7923" w:rsidP="006E3215">
      <w:pPr>
        <w:rPr>
          <w:rFonts w:cs="Times New Roman"/>
        </w:rPr>
      </w:pPr>
    </w:p>
    <w:p w14:paraId="6A641E49" w14:textId="06040C39" w:rsidR="000B7923" w:rsidRPr="002B1DFC" w:rsidRDefault="000B7923" w:rsidP="00CA62FB">
      <w:pPr>
        <w:pStyle w:val="ListParagraph"/>
        <w:numPr>
          <w:ilvl w:val="0"/>
          <w:numId w:val="68"/>
        </w:numPr>
        <w:tabs>
          <w:tab w:val="left" w:pos="360"/>
        </w:tabs>
        <w:ind w:left="0" w:firstLine="0"/>
        <w:rPr>
          <w:rFonts w:cs="Times New Roman"/>
        </w:rPr>
      </w:pPr>
      <w:r w:rsidRPr="002B1DFC">
        <w:rPr>
          <w:rFonts w:cs="Times New Roman"/>
        </w:rPr>
        <w:t>The review of OVNS and issuing a decision is a</w:t>
      </w:r>
      <w:r w:rsidR="00CA62FB">
        <w:rPr>
          <w:rFonts w:cs="Times New Roman"/>
        </w:rPr>
        <w:t>n</w:t>
      </w:r>
      <w:r w:rsidRPr="002B1DFC">
        <w:rPr>
          <w:rFonts w:cs="Times New Roman"/>
        </w:rPr>
        <w:t xml:space="preserve"> administrative service. </w:t>
      </w:r>
      <w:r w:rsidR="00474A0C">
        <w:rPr>
          <w:rFonts w:cs="Times New Roman"/>
        </w:rPr>
        <w:t>The</w:t>
      </w:r>
      <w:r w:rsidRPr="002B1DFC">
        <w:rPr>
          <w:rFonts w:cs="Times New Roman"/>
        </w:rPr>
        <w:t xml:space="preserve"> Information Card </w:t>
      </w:r>
      <w:r w:rsidR="002B327E">
        <w:rPr>
          <w:rFonts w:cs="Times New Roman"/>
        </w:rPr>
        <w:t xml:space="preserve">of MENR </w:t>
      </w:r>
      <w:r w:rsidRPr="002B1DFC">
        <w:rPr>
          <w:rFonts w:cs="Times New Roman"/>
        </w:rPr>
        <w:t xml:space="preserve">on Administrative Service </w:t>
      </w:r>
      <w:r w:rsidR="00D60574">
        <w:rPr>
          <w:rFonts w:cs="Times New Roman"/>
        </w:rPr>
        <w:t>“</w:t>
      </w:r>
      <w:r w:rsidRPr="002B1DFC">
        <w:rPr>
          <w:rFonts w:cs="Times New Roman"/>
        </w:rPr>
        <w:t>Issuing a Decision of the State Ecological expertise</w:t>
      </w:r>
      <w:r w:rsidR="00D60574">
        <w:rPr>
          <w:rFonts w:cs="Times New Roman"/>
        </w:rPr>
        <w:t>”</w:t>
      </w:r>
      <w:r w:rsidRPr="002B1DFC">
        <w:rPr>
          <w:rFonts w:cs="Times New Roman"/>
        </w:rPr>
        <w:t xml:space="preserve"> and </w:t>
      </w:r>
      <w:r w:rsidR="00474A0C">
        <w:rPr>
          <w:rFonts w:cs="Times New Roman"/>
        </w:rPr>
        <w:t xml:space="preserve">the </w:t>
      </w:r>
      <w:r w:rsidRPr="002B1DFC">
        <w:rPr>
          <w:rFonts w:cs="Times New Roman"/>
        </w:rPr>
        <w:t xml:space="preserve">Technological Card </w:t>
      </w:r>
      <w:r w:rsidR="002B327E">
        <w:rPr>
          <w:rFonts w:cs="Times New Roman"/>
        </w:rPr>
        <w:t xml:space="preserve">of MENR </w:t>
      </w:r>
      <w:r w:rsidRPr="002B1DFC">
        <w:rPr>
          <w:rFonts w:cs="Times New Roman"/>
        </w:rPr>
        <w:t xml:space="preserve">on Administrative Service </w:t>
      </w:r>
      <w:r w:rsidR="00D60574">
        <w:rPr>
          <w:rFonts w:cs="Times New Roman"/>
        </w:rPr>
        <w:t>“</w:t>
      </w:r>
      <w:r w:rsidRPr="002B1DFC">
        <w:rPr>
          <w:rFonts w:cs="Times New Roman"/>
        </w:rPr>
        <w:t>Issuing a Decision of the State Ecological Expertise</w:t>
      </w:r>
      <w:r w:rsidR="00D60574">
        <w:rPr>
          <w:rFonts w:cs="Times New Roman"/>
        </w:rPr>
        <w:t>”</w:t>
      </w:r>
      <w:r w:rsidR="00474A0C">
        <w:rPr>
          <w:rFonts w:cs="Times New Roman"/>
        </w:rPr>
        <w:t xml:space="preserve"> administer this service</w:t>
      </w:r>
      <w:r w:rsidRPr="002B1DFC">
        <w:rPr>
          <w:rFonts w:cs="Times New Roman"/>
        </w:rPr>
        <w:t xml:space="preserve">. The former specifies mandatory requirements </w:t>
      </w:r>
      <w:r w:rsidR="00474A0C">
        <w:rPr>
          <w:rFonts w:cs="Times New Roman"/>
        </w:rPr>
        <w:t>for</w:t>
      </w:r>
      <w:r w:rsidRPr="002B1DFC">
        <w:rPr>
          <w:rFonts w:cs="Times New Roman"/>
        </w:rPr>
        <w:t xml:space="preserve"> submitted documents, and the latter describes stages and timing of the work </w:t>
      </w:r>
      <w:r w:rsidR="00474A0C">
        <w:rPr>
          <w:rFonts w:cs="Times New Roman"/>
        </w:rPr>
        <w:t>in preparing</w:t>
      </w:r>
      <w:r w:rsidRPr="002B1DFC">
        <w:rPr>
          <w:rFonts w:cs="Times New Roman"/>
        </w:rPr>
        <w:t xml:space="preserve"> the decision and its disclosure. </w:t>
      </w:r>
      <w:r w:rsidR="00474A0C">
        <w:rPr>
          <w:rFonts w:cs="Times New Roman"/>
        </w:rPr>
        <w:t xml:space="preserve">The </w:t>
      </w:r>
      <w:r w:rsidRPr="002B1DFC">
        <w:rPr>
          <w:rFonts w:cs="Times New Roman"/>
        </w:rPr>
        <w:t>MENR and some Oblast State Administrations</w:t>
      </w:r>
      <w:r w:rsidR="00474A0C">
        <w:rPr>
          <w:rFonts w:cs="Times New Roman"/>
        </w:rPr>
        <w:t>’</w:t>
      </w:r>
      <w:r w:rsidRPr="002B1DFC">
        <w:rPr>
          <w:rFonts w:cs="Times New Roman"/>
        </w:rPr>
        <w:t xml:space="preserve"> (OSA</w:t>
      </w:r>
      <w:r w:rsidR="00474A0C">
        <w:rPr>
          <w:rFonts w:cs="Times New Roman"/>
        </w:rPr>
        <w:t>s’</w:t>
      </w:r>
      <w:r w:rsidRPr="002B1DFC">
        <w:rPr>
          <w:rFonts w:cs="Times New Roman"/>
        </w:rPr>
        <w:t>) environment departments</w:t>
      </w:r>
      <w:r w:rsidR="00474A0C">
        <w:rPr>
          <w:rFonts w:cs="Times New Roman"/>
        </w:rPr>
        <w:t xml:space="preserve"> provide this service</w:t>
      </w:r>
      <w:r w:rsidRPr="002B1DFC">
        <w:rPr>
          <w:rFonts w:cs="Times New Roman"/>
        </w:rPr>
        <w:t xml:space="preserve"> (at least</w:t>
      </w:r>
      <w:r w:rsidR="00474A0C">
        <w:rPr>
          <w:rFonts w:cs="Times New Roman"/>
        </w:rPr>
        <w:t xml:space="preserve"> this was the case</w:t>
      </w:r>
      <w:r w:rsidRPr="002B1DFC">
        <w:rPr>
          <w:rFonts w:cs="Times New Roman"/>
        </w:rPr>
        <w:t xml:space="preserve"> in </w:t>
      </w:r>
      <w:proofErr w:type="spellStart"/>
      <w:r w:rsidR="00474A0C" w:rsidRPr="002B1DFC">
        <w:rPr>
          <w:rFonts w:cs="Times New Roman"/>
        </w:rPr>
        <w:t>Zaporizhzhya</w:t>
      </w:r>
      <w:proofErr w:type="spellEnd"/>
      <w:r w:rsidR="00CA62FB">
        <w:rPr>
          <w:rFonts w:cs="Times New Roman"/>
        </w:rPr>
        <w:t>, Poltava,</w:t>
      </w:r>
      <w:r w:rsidR="00474A0C" w:rsidRPr="002B1DFC">
        <w:rPr>
          <w:rFonts w:cs="Times New Roman"/>
        </w:rPr>
        <w:t xml:space="preserve"> and</w:t>
      </w:r>
      <w:r w:rsidRPr="002B1DFC">
        <w:rPr>
          <w:rFonts w:cs="Times New Roman"/>
        </w:rPr>
        <w:t xml:space="preserve"> Sumy at the time of the study). In Sumy, the regulation on this service</w:t>
      </w:r>
      <w:r w:rsidR="002B327E">
        <w:rPr>
          <w:rFonts w:cs="Times New Roman"/>
        </w:rPr>
        <w:t xml:space="preserve">, </w:t>
      </w:r>
      <w:r w:rsidR="002B327E" w:rsidRPr="004E3024">
        <w:rPr>
          <w:rFonts w:cs="Times New Roman"/>
        </w:rPr>
        <w:t>Information and Technological Cards of Sumy OSA</w:t>
      </w:r>
      <w:r w:rsidRPr="002B1DFC">
        <w:rPr>
          <w:rFonts w:cs="Times New Roman"/>
        </w:rPr>
        <w:t xml:space="preserve"> (similar to Information and Technological cards described above) was approved by the order of the Sumy Oblast Department of Ecology, Fuel and Energy Complex and Nature Resources in May 2014</w:t>
      </w:r>
      <w:r w:rsidR="00474A0C">
        <w:rPr>
          <w:rFonts w:cs="Times New Roman"/>
        </w:rPr>
        <w:t>.</w:t>
      </w:r>
      <w:r w:rsidRPr="002B1DFC">
        <w:rPr>
          <w:rFonts w:cs="Times New Roman"/>
        </w:rPr>
        <w:t xml:space="preserve"> Some other oblast departments (like Ivano-Frankivsk)</w:t>
      </w:r>
      <w:r w:rsidR="00474A0C">
        <w:rPr>
          <w:rFonts w:cs="Times New Roman"/>
        </w:rPr>
        <w:t xml:space="preserve"> do not provide this service</w:t>
      </w:r>
      <w:r w:rsidRPr="002B1DFC">
        <w:rPr>
          <w:rFonts w:cs="Times New Roman"/>
        </w:rPr>
        <w:t>, because, in their opinion, there is no appropriate government regulation.</w:t>
      </w:r>
    </w:p>
    <w:p w14:paraId="1DEAD97F" w14:textId="77777777" w:rsidR="000B7923" w:rsidRPr="00882558" w:rsidRDefault="000B7923" w:rsidP="00A253E8">
      <w:pPr>
        <w:pBdr>
          <w:top w:val="single" w:sz="6" w:space="0" w:color="FFFFFF"/>
          <w:left w:val="single" w:sz="6" w:space="0" w:color="FFFFFF"/>
          <w:bottom w:val="single" w:sz="6" w:space="0" w:color="FFFFFF"/>
          <w:right w:val="single" w:sz="6" w:space="0" w:color="FFFFFF"/>
        </w:pBdr>
        <w:tabs>
          <w:tab w:val="left" w:pos="0"/>
          <w:tab w:val="left" w:pos="1410"/>
          <w:tab w:val="left" w:pos="2124"/>
          <w:tab w:val="left" w:pos="2832"/>
          <w:tab w:val="left" w:pos="3540"/>
          <w:tab w:val="left" w:pos="4248"/>
          <w:tab w:val="left" w:pos="4956"/>
          <w:tab w:val="left" w:pos="5664"/>
          <w:tab w:val="left" w:pos="6372"/>
          <w:tab w:val="left" w:pos="7080"/>
          <w:tab w:val="left" w:pos="7788"/>
          <w:tab w:val="left" w:pos="8496"/>
        </w:tabs>
        <w:rPr>
          <w:rFonts w:cs="Times New Roman"/>
          <w:color w:val="000000" w:themeColor="text1"/>
        </w:rPr>
      </w:pPr>
    </w:p>
    <w:p w14:paraId="55A6A418" w14:textId="317E14A2" w:rsidR="000B7923" w:rsidRDefault="000B7923" w:rsidP="008E0D64">
      <w:pPr>
        <w:pStyle w:val="ListParagraph"/>
        <w:numPr>
          <w:ilvl w:val="0"/>
          <w:numId w:val="68"/>
        </w:numPr>
        <w:tabs>
          <w:tab w:val="left" w:pos="360"/>
        </w:tabs>
        <w:ind w:left="0" w:firstLine="0"/>
        <w:rPr>
          <w:rFonts w:cs="Times New Roman"/>
        </w:rPr>
      </w:pPr>
      <w:r w:rsidRPr="002B1DFC">
        <w:rPr>
          <w:rFonts w:cs="Times New Roman"/>
        </w:rPr>
        <w:t xml:space="preserve">In terms of number of SEE carried out, there is variance between the different OSA. For example, the environmental department of </w:t>
      </w:r>
      <w:proofErr w:type="spellStart"/>
      <w:r w:rsidRPr="002B1DFC">
        <w:rPr>
          <w:rFonts w:cs="Times New Roman"/>
        </w:rPr>
        <w:t>Zaporizhzhya</w:t>
      </w:r>
      <w:proofErr w:type="spellEnd"/>
      <w:r w:rsidRPr="002B1DFC">
        <w:rPr>
          <w:rFonts w:cs="Times New Roman"/>
        </w:rPr>
        <w:t xml:space="preserve"> OSA issued 70 positive decisions during one year (September 2013</w:t>
      </w:r>
      <w:r w:rsidR="00BB1676">
        <w:rPr>
          <w:rFonts w:cs="Times New Roman"/>
        </w:rPr>
        <w:t>–</w:t>
      </w:r>
      <w:r w:rsidRPr="002B1DFC">
        <w:rPr>
          <w:rFonts w:cs="Times New Roman"/>
        </w:rPr>
        <w:t>August 2014)</w:t>
      </w:r>
      <w:r w:rsidR="00474A0C">
        <w:rPr>
          <w:rFonts w:cs="Times New Roman"/>
        </w:rPr>
        <w:t>. I</w:t>
      </w:r>
      <w:r w:rsidRPr="002B1DFC">
        <w:rPr>
          <w:rFonts w:cs="Times New Roman"/>
        </w:rPr>
        <w:t xml:space="preserve">n most other oblasts (where industrial economic activity is less intensive than in </w:t>
      </w:r>
      <w:proofErr w:type="spellStart"/>
      <w:r w:rsidRPr="002B1DFC">
        <w:rPr>
          <w:rFonts w:cs="Times New Roman"/>
        </w:rPr>
        <w:t>Zaporizhzhya</w:t>
      </w:r>
      <w:proofErr w:type="spellEnd"/>
      <w:r w:rsidRPr="002B1DFC">
        <w:rPr>
          <w:rFonts w:cs="Times New Roman"/>
        </w:rPr>
        <w:t>), there were 2</w:t>
      </w:r>
      <w:r w:rsidR="00BB1676">
        <w:rPr>
          <w:rFonts w:cs="Times New Roman"/>
        </w:rPr>
        <w:t>–</w:t>
      </w:r>
      <w:r w:rsidRPr="002B1DFC">
        <w:rPr>
          <w:rFonts w:cs="Times New Roman"/>
        </w:rPr>
        <w:t xml:space="preserve">4 decisions a month. In Kyiv oblast, </w:t>
      </w:r>
      <w:r w:rsidR="00474A0C">
        <w:rPr>
          <w:rFonts w:cs="Times New Roman"/>
        </w:rPr>
        <w:t xml:space="preserve">the </w:t>
      </w:r>
      <w:r w:rsidRPr="002B1DFC">
        <w:rPr>
          <w:rFonts w:cs="Times New Roman"/>
        </w:rPr>
        <w:t xml:space="preserve">environmental department's </w:t>
      </w:r>
      <w:r w:rsidR="00591FD4">
        <w:rPr>
          <w:rFonts w:cs="Times New Roman"/>
        </w:rPr>
        <w:t>Web site</w:t>
      </w:r>
      <w:r w:rsidRPr="002B1DFC">
        <w:rPr>
          <w:rFonts w:cs="Times New Roman"/>
        </w:rPr>
        <w:t xml:space="preserve"> lists (as of May</w:t>
      </w:r>
      <w:r w:rsidR="00BF2034">
        <w:rPr>
          <w:rFonts w:cs="Times New Roman"/>
        </w:rPr>
        <w:t xml:space="preserve"> 15,</w:t>
      </w:r>
      <w:r w:rsidRPr="002B1DFC">
        <w:rPr>
          <w:rFonts w:cs="Times New Roman"/>
        </w:rPr>
        <w:t xml:space="preserve"> 2015) 86 decisions on various objects, but without indicati</w:t>
      </w:r>
      <w:r w:rsidR="00474A0C">
        <w:rPr>
          <w:rFonts w:cs="Times New Roman"/>
        </w:rPr>
        <w:t>ng</w:t>
      </w:r>
      <w:r w:rsidRPr="002B1DFC">
        <w:rPr>
          <w:rFonts w:cs="Times New Roman"/>
        </w:rPr>
        <w:t xml:space="preserve"> when these decisions were issued.  The MENR </w:t>
      </w:r>
      <w:r w:rsidR="00591FD4">
        <w:rPr>
          <w:rFonts w:cs="Times New Roman"/>
        </w:rPr>
        <w:t>Web site</w:t>
      </w:r>
      <w:r w:rsidRPr="002B1DFC">
        <w:rPr>
          <w:rFonts w:cs="Times New Roman"/>
        </w:rPr>
        <w:t xml:space="preserve"> provides limited information on the number of expert reviews </w:t>
      </w:r>
      <w:r w:rsidR="00474A0C">
        <w:rPr>
          <w:rFonts w:cs="Times New Roman"/>
        </w:rPr>
        <w:t>that were conducted by</w:t>
      </w:r>
      <w:r w:rsidRPr="002B1DFC">
        <w:rPr>
          <w:rFonts w:cs="Times New Roman"/>
        </w:rPr>
        <w:t xml:space="preserve"> separate expertise or by participation in complex state expertise</w:t>
      </w:r>
      <w:r w:rsidR="00474A0C">
        <w:rPr>
          <w:rFonts w:cs="Times New Roman"/>
        </w:rPr>
        <w:t>. F</w:t>
      </w:r>
      <w:r w:rsidRPr="002B1DFC">
        <w:rPr>
          <w:rFonts w:cs="Times New Roman"/>
        </w:rPr>
        <w:t xml:space="preserve">or </w:t>
      </w:r>
      <w:r w:rsidR="00474A0C">
        <w:rPr>
          <w:rFonts w:cs="Times New Roman"/>
        </w:rPr>
        <w:t>nine</w:t>
      </w:r>
      <w:r w:rsidRPr="002B1DFC">
        <w:rPr>
          <w:rFonts w:cs="Times New Roman"/>
        </w:rPr>
        <w:t xml:space="preserve"> months </w:t>
      </w:r>
      <w:r w:rsidR="00474A0C">
        <w:rPr>
          <w:rFonts w:cs="Times New Roman"/>
        </w:rPr>
        <w:t>in</w:t>
      </w:r>
      <w:r w:rsidRPr="002B1DFC">
        <w:rPr>
          <w:rFonts w:cs="Times New Roman"/>
        </w:rPr>
        <w:t xml:space="preserve"> 2011 (</w:t>
      </w:r>
      <w:r w:rsidR="00474A0C">
        <w:rPr>
          <w:rFonts w:cs="Times New Roman"/>
        </w:rPr>
        <w:t xml:space="preserve">the </w:t>
      </w:r>
      <w:r w:rsidRPr="002B1DFC">
        <w:rPr>
          <w:rFonts w:cs="Times New Roman"/>
        </w:rPr>
        <w:t>months are not specified)</w:t>
      </w:r>
      <w:r w:rsidR="00474A0C">
        <w:rPr>
          <w:rFonts w:cs="Times New Roman"/>
        </w:rPr>
        <w:t>, the MENR Web site notes that</w:t>
      </w:r>
      <w:r w:rsidRPr="002B1DFC">
        <w:rPr>
          <w:rFonts w:cs="Times New Roman"/>
        </w:rPr>
        <w:t xml:space="preserve"> 291 expert reviews of design documents and 56 reviews of proposed regulatory </w:t>
      </w:r>
      <w:r w:rsidRPr="008E0D64">
        <w:rPr>
          <w:rFonts w:cs="Times New Roman"/>
        </w:rPr>
        <w:t xml:space="preserve">acts and guidance were conducted. </w:t>
      </w:r>
      <w:r w:rsidR="008E0D64" w:rsidRPr="008E0D64">
        <w:rPr>
          <w:rFonts w:cs="Times New Roman"/>
        </w:rPr>
        <w:t xml:space="preserve">The total number of objects reviewed by the expertise department of the MENR was </w:t>
      </w:r>
      <w:r w:rsidR="008E0D64" w:rsidRPr="00721C66">
        <w:t>1,260 in 2010; 393 in 2011; and 71 in 2012.</w:t>
      </w:r>
      <w:r w:rsidR="008E0D64" w:rsidRPr="008E0D64">
        <w:rPr>
          <w:rFonts w:cs="Times New Roman"/>
        </w:rPr>
        <w:t xml:space="preserve"> </w:t>
      </w:r>
      <w:r w:rsidR="00BF2034" w:rsidRPr="008E0D64">
        <w:rPr>
          <w:rFonts w:cs="Times New Roman"/>
        </w:rPr>
        <w:t xml:space="preserve">(See table </w:t>
      </w:r>
      <w:r w:rsidR="005060F5" w:rsidRPr="008E0D64">
        <w:rPr>
          <w:rFonts w:cs="Times New Roman"/>
        </w:rPr>
        <w:t>11</w:t>
      </w:r>
      <w:r w:rsidR="00BF2034" w:rsidRPr="008E0D64">
        <w:rPr>
          <w:rFonts w:cs="Times New Roman"/>
        </w:rPr>
        <w:t xml:space="preserve"> for a comp</w:t>
      </w:r>
      <w:r w:rsidR="00540E69" w:rsidRPr="008E0D64">
        <w:rPr>
          <w:rFonts w:cs="Times New Roman"/>
        </w:rPr>
        <w:t>arison between countries of staff and number of EIAs.)</w:t>
      </w:r>
    </w:p>
    <w:p w14:paraId="3F78BA31" w14:textId="77777777" w:rsidR="008E0D64" w:rsidRPr="00721C66" w:rsidRDefault="008E0D64" w:rsidP="00721C66">
      <w:pPr>
        <w:pStyle w:val="ListParagraph"/>
        <w:rPr>
          <w:rFonts w:cs="Times New Roman"/>
        </w:rPr>
      </w:pPr>
    </w:p>
    <w:p w14:paraId="562469A5" w14:textId="42C1CDF4" w:rsidR="008E0D64" w:rsidRPr="004A510E" w:rsidRDefault="00074714" w:rsidP="004A510E">
      <w:pPr>
        <w:pStyle w:val="ListParagraph"/>
        <w:numPr>
          <w:ilvl w:val="0"/>
          <w:numId w:val="68"/>
        </w:numPr>
        <w:tabs>
          <w:tab w:val="left" w:pos="360"/>
        </w:tabs>
        <w:ind w:left="0" w:firstLine="0"/>
        <w:rPr>
          <w:rFonts w:cs="Times New Roman"/>
        </w:rPr>
      </w:pPr>
      <w:r w:rsidRPr="004A510E">
        <w:rPr>
          <w:rFonts w:cs="Times New Roman"/>
        </w:rPr>
        <w:t>The S</w:t>
      </w:r>
      <w:r w:rsidR="008E0D64" w:rsidRPr="004A510E">
        <w:rPr>
          <w:rFonts w:cs="Times New Roman"/>
        </w:rPr>
        <w:t xml:space="preserve">EE conclusion </w:t>
      </w:r>
      <w:r w:rsidR="0046248F" w:rsidRPr="004A510E">
        <w:rPr>
          <w:rFonts w:cs="Times New Roman"/>
        </w:rPr>
        <w:t>indicates t</w:t>
      </w:r>
      <w:r w:rsidR="008E0D64" w:rsidRPr="004A510E">
        <w:rPr>
          <w:rFonts w:cs="Times New Roman"/>
        </w:rPr>
        <w:t xml:space="preserve">hat the project </w:t>
      </w:r>
      <w:r w:rsidR="00B94C9F" w:rsidRPr="004A510E">
        <w:rPr>
          <w:rFonts w:cs="Times New Roman"/>
        </w:rPr>
        <w:t>documentation</w:t>
      </w:r>
      <w:r w:rsidR="008E0D64" w:rsidRPr="004A510E">
        <w:rPr>
          <w:rFonts w:cs="Times New Roman"/>
        </w:rPr>
        <w:t xml:space="preserve"> meets the applicable </w:t>
      </w:r>
      <w:r w:rsidR="004A510E" w:rsidRPr="004A510E">
        <w:rPr>
          <w:rFonts w:cs="Times New Roman"/>
        </w:rPr>
        <w:t>regulations</w:t>
      </w:r>
      <w:r w:rsidR="0046248F" w:rsidRPr="004A510E">
        <w:rPr>
          <w:rFonts w:cs="Times New Roman"/>
        </w:rPr>
        <w:t>. It should be noted,</w:t>
      </w:r>
      <w:r w:rsidR="008E0D64" w:rsidRPr="004A510E">
        <w:rPr>
          <w:rFonts w:cs="Times New Roman"/>
        </w:rPr>
        <w:t xml:space="preserve"> </w:t>
      </w:r>
      <w:r w:rsidR="00B94C9F" w:rsidRPr="004A510E">
        <w:rPr>
          <w:rFonts w:cs="Times New Roman"/>
        </w:rPr>
        <w:t>however, th</w:t>
      </w:r>
      <w:r w:rsidRPr="004A510E">
        <w:rPr>
          <w:rFonts w:cs="Times New Roman"/>
        </w:rPr>
        <w:t>at it may be developed on basis of information that is not fully correct</w:t>
      </w:r>
      <w:r w:rsidR="008E0D64" w:rsidRPr="004A510E">
        <w:rPr>
          <w:rFonts w:cs="Times New Roman"/>
        </w:rPr>
        <w:t xml:space="preserve">, or </w:t>
      </w:r>
      <w:r w:rsidRPr="004A510E">
        <w:rPr>
          <w:rFonts w:cs="Times New Roman"/>
        </w:rPr>
        <w:t>the design may change following SEE conclusion</w:t>
      </w:r>
      <w:r w:rsidR="008E0D64" w:rsidRPr="004A510E">
        <w:rPr>
          <w:rFonts w:cs="Times New Roman"/>
        </w:rPr>
        <w:t xml:space="preserve">. There are no effective mechanisms for monitoring the implementation </w:t>
      </w:r>
      <w:r w:rsidR="004A510E" w:rsidRPr="004A510E">
        <w:rPr>
          <w:rFonts w:cs="Times New Roman"/>
        </w:rPr>
        <w:t xml:space="preserve">by the project proponent of </w:t>
      </w:r>
      <w:r w:rsidR="00B94C9F" w:rsidRPr="004A510E">
        <w:rPr>
          <w:rFonts w:cs="Times New Roman"/>
        </w:rPr>
        <w:t xml:space="preserve">environmental mitigation measures </w:t>
      </w:r>
      <w:r w:rsidR="008E0D64" w:rsidRPr="004A510E">
        <w:rPr>
          <w:rFonts w:cs="Times New Roman"/>
        </w:rPr>
        <w:t>envisaged</w:t>
      </w:r>
      <w:r w:rsidRPr="004A510E">
        <w:rPr>
          <w:rFonts w:cs="Times New Roman"/>
        </w:rPr>
        <w:t xml:space="preserve"> in</w:t>
      </w:r>
      <w:r w:rsidR="008E0D64" w:rsidRPr="004A510E">
        <w:rPr>
          <w:rFonts w:cs="Times New Roman"/>
        </w:rPr>
        <w:t xml:space="preserve"> project documentation.</w:t>
      </w:r>
    </w:p>
    <w:p w14:paraId="74F20714" w14:textId="77777777" w:rsidR="000B7923" w:rsidRDefault="000B7923" w:rsidP="00997C55">
      <w:pPr>
        <w:pBdr>
          <w:top w:val="single" w:sz="6" w:space="0" w:color="FFFFFF"/>
          <w:left w:val="single" w:sz="6" w:space="0" w:color="FFFFFF"/>
          <w:bottom w:val="single" w:sz="6" w:space="0" w:color="FFFFFF"/>
          <w:right w:val="single" w:sz="6" w:space="0" w:color="FFFFFF"/>
        </w:pBdr>
        <w:tabs>
          <w:tab w:val="left" w:pos="0"/>
          <w:tab w:val="left" w:pos="1410"/>
          <w:tab w:val="left" w:pos="2124"/>
          <w:tab w:val="left" w:pos="2832"/>
          <w:tab w:val="left" w:pos="3540"/>
          <w:tab w:val="left" w:pos="4248"/>
          <w:tab w:val="left" w:pos="4956"/>
          <w:tab w:val="left" w:pos="5664"/>
          <w:tab w:val="left" w:pos="6372"/>
          <w:tab w:val="left" w:pos="7080"/>
          <w:tab w:val="left" w:pos="7788"/>
          <w:tab w:val="left" w:pos="8496"/>
        </w:tabs>
        <w:rPr>
          <w:rFonts w:cs="Times New Roman"/>
        </w:rPr>
      </w:pPr>
    </w:p>
    <w:p w14:paraId="7DD8DFFB" w14:textId="77777777" w:rsidR="00882558" w:rsidRPr="002B1DFC" w:rsidRDefault="00882558" w:rsidP="00882558">
      <w:pPr>
        <w:pStyle w:val="ListParagraph"/>
        <w:numPr>
          <w:ilvl w:val="0"/>
          <w:numId w:val="68"/>
        </w:numPr>
        <w:tabs>
          <w:tab w:val="left" w:pos="360"/>
        </w:tabs>
        <w:ind w:left="0" w:firstLine="0"/>
        <w:rPr>
          <w:rFonts w:cs="Times New Roman"/>
        </w:rPr>
      </w:pPr>
      <w:r w:rsidRPr="002B1DFC">
        <w:rPr>
          <w:rFonts w:cs="Times New Roman"/>
          <w:i/>
          <w:iCs/>
        </w:rPr>
        <w:t>Disclosure of SEE Decision.</w:t>
      </w:r>
      <w:r w:rsidRPr="002B1DFC">
        <w:rPr>
          <w:rFonts w:cs="Times New Roman"/>
        </w:rPr>
        <w:t xml:space="preserve"> The MENR and the OSAs disclose information in electronic format on the SEE conducted. As there is no one unified database, searching for information on SEE decisions requires accessing the </w:t>
      </w:r>
      <w:r>
        <w:rPr>
          <w:rFonts w:cs="Times New Roman"/>
        </w:rPr>
        <w:t>Web site</w:t>
      </w:r>
      <w:r w:rsidRPr="002B1DFC">
        <w:rPr>
          <w:rFonts w:cs="Times New Roman"/>
        </w:rPr>
        <w:t>s of the MENR and the individual OSAs responsible for SEE for a specific project. Moreover, the format and details vary between MENR and the different OSAs. The MENR expertise page (</w:t>
      </w:r>
      <w:hyperlink r:id="rId19" w:history="1">
        <w:r w:rsidRPr="00B33945">
          <w:rPr>
            <w:rStyle w:val="Hyperlink"/>
            <w:color w:val="auto"/>
            <w:u w:val="none"/>
          </w:rPr>
          <w:t>http://www.menr.gov.ua/expertyza/</w:t>
        </w:r>
      </w:hyperlink>
      <w:r w:rsidRPr="00A72702">
        <w:rPr>
          <w:rFonts w:cs="Times New Roman"/>
        </w:rPr>
        <w:t>),</w:t>
      </w:r>
      <w:r w:rsidRPr="002B1DFC">
        <w:rPr>
          <w:rFonts w:cs="Times New Roman"/>
        </w:rPr>
        <w:t xml:space="preserve"> for example, publishes copies of the Request for SEE forms submitted and copies of the SEE decisions. Similarly, the </w:t>
      </w:r>
      <w:proofErr w:type="spellStart"/>
      <w:r w:rsidRPr="002B1DFC">
        <w:rPr>
          <w:rFonts w:cs="Times New Roman"/>
        </w:rPr>
        <w:t>Zaporizhzhya</w:t>
      </w:r>
      <w:proofErr w:type="spellEnd"/>
      <w:r w:rsidRPr="002B1DFC">
        <w:rPr>
          <w:rFonts w:cs="Times New Roman"/>
        </w:rPr>
        <w:t xml:space="preserve"> OSA provides all relevant information (name of applicant; activity; number and date of decision). </w:t>
      </w:r>
      <w:r>
        <w:rPr>
          <w:rFonts w:cs="Times New Roman"/>
        </w:rPr>
        <w:t>S</w:t>
      </w:r>
      <w:r w:rsidRPr="002B1DFC">
        <w:rPr>
          <w:rFonts w:cs="Times New Roman"/>
        </w:rPr>
        <w:t>ome other OSAs</w:t>
      </w:r>
      <w:r>
        <w:rPr>
          <w:rFonts w:cs="Times New Roman"/>
        </w:rPr>
        <w:t xml:space="preserve"> mention</w:t>
      </w:r>
      <w:r w:rsidRPr="002B1DFC">
        <w:rPr>
          <w:rFonts w:cs="Times New Roman"/>
        </w:rPr>
        <w:t xml:space="preserve"> only the number of decisions. At the same time, the MENR activity report for the first half of 2014 (the only one available on the </w:t>
      </w:r>
      <w:r>
        <w:rPr>
          <w:rFonts w:cs="Times New Roman"/>
        </w:rPr>
        <w:t>W</w:t>
      </w:r>
      <w:r w:rsidRPr="002B1DFC">
        <w:rPr>
          <w:rFonts w:cs="Times New Roman"/>
        </w:rPr>
        <w:t>eb</w:t>
      </w:r>
      <w:r>
        <w:rPr>
          <w:rFonts w:cs="Times New Roman"/>
        </w:rPr>
        <w:t xml:space="preserve"> </w:t>
      </w:r>
      <w:r w:rsidRPr="002B1DFC">
        <w:rPr>
          <w:rFonts w:cs="Times New Roman"/>
        </w:rPr>
        <w:t>site (access</w:t>
      </w:r>
      <w:r>
        <w:rPr>
          <w:rFonts w:cs="Times New Roman"/>
        </w:rPr>
        <w:t>ed</w:t>
      </w:r>
      <w:r w:rsidRPr="002B1DFC">
        <w:rPr>
          <w:rFonts w:cs="Times New Roman"/>
        </w:rPr>
        <w:t xml:space="preserve"> May </w:t>
      </w:r>
      <w:r>
        <w:rPr>
          <w:rFonts w:cs="Times New Roman"/>
        </w:rPr>
        <w:t xml:space="preserve">16, </w:t>
      </w:r>
      <w:r w:rsidRPr="002B1DFC">
        <w:rPr>
          <w:rFonts w:cs="Times New Roman"/>
        </w:rPr>
        <w:t xml:space="preserve">2015) does not mention environmental expertise at all (although the report provides number of licenses and permits for hazardous waste management). Copies of the submitted and reviewed EIAs (OVNS) are not available in electronic format and do not get disclosed. The MENR provides only copies of EIA in transboundary context on its </w:t>
      </w:r>
      <w:r>
        <w:rPr>
          <w:rFonts w:cs="Times New Roman"/>
        </w:rPr>
        <w:t>Web site</w:t>
      </w:r>
      <w:r w:rsidRPr="002B1DFC">
        <w:rPr>
          <w:rFonts w:cs="Times New Roman"/>
        </w:rPr>
        <w:t>.</w:t>
      </w:r>
    </w:p>
    <w:p w14:paraId="34EA166F" w14:textId="77777777" w:rsidR="00882558" w:rsidRPr="002B1DFC" w:rsidRDefault="00882558" w:rsidP="00997C55">
      <w:pPr>
        <w:pBdr>
          <w:top w:val="single" w:sz="6" w:space="0" w:color="FFFFFF"/>
          <w:left w:val="single" w:sz="6" w:space="0" w:color="FFFFFF"/>
          <w:bottom w:val="single" w:sz="6" w:space="0" w:color="FFFFFF"/>
          <w:right w:val="single" w:sz="6" w:space="0" w:color="FFFFFF"/>
        </w:pBdr>
        <w:tabs>
          <w:tab w:val="left" w:pos="0"/>
          <w:tab w:val="left" w:pos="1410"/>
          <w:tab w:val="left" w:pos="2124"/>
          <w:tab w:val="left" w:pos="2832"/>
          <w:tab w:val="left" w:pos="3540"/>
          <w:tab w:val="left" w:pos="4248"/>
          <w:tab w:val="left" w:pos="4956"/>
          <w:tab w:val="left" w:pos="5664"/>
          <w:tab w:val="left" w:pos="6372"/>
          <w:tab w:val="left" w:pos="7080"/>
          <w:tab w:val="left" w:pos="7788"/>
          <w:tab w:val="left" w:pos="8496"/>
        </w:tabs>
        <w:rPr>
          <w:rFonts w:cs="Times New Roman"/>
        </w:rPr>
      </w:pPr>
    </w:p>
    <w:p w14:paraId="04068CB8" w14:textId="0C7A4C13" w:rsidR="000B7923" w:rsidRPr="00882558" w:rsidRDefault="000B7923" w:rsidP="006757F9">
      <w:pPr>
        <w:pStyle w:val="Caption"/>
        <w:rPr>
          <w:color w:val="000000" w:themeColor="text1"/>
        </w:rPr>
      </w:pPr>
      <w:bookmarkStart w:id="106" w:name="_Toc440274003"/>
      <w:r w:rsidRPr="00882558">
        <w:rPr>
          <w:color w:val="000000" w:themeColor="text1"/>
        </w:rPr>
        <w:t xml:space="preserve">Table </w:t>
      </w:r>
      <w:r w:rsidRPr="00882558">
        <w:rPr>
          <w:color w:val="000000" w:themeColor="text1"/>
        </w:rPr>
        <w:fldChar w:fldCharType="begin"/>
      </w:r>
      <w:r w:rsidRPr="00882558">
        <w:rPr>
          <w:color w:val="000000" w:themeColor="text1"/>
        </w:rPr>
        <w:instrText xml:space="preserve"> SEQ Table \* ARABIC </w:instrText>
      </w:r>
      <w:r w:rsidRPr="00882558">
        <w:rPr>
          <w:color w:val="000000" w:themeColor="text1"/>
        </w:rPr>
        <w:fldChar w:fldCharType="separate"/>
      </w:r>
      <w:r w:rsidR="00356D5F">
        <w:rPr>
          <w:color w:val="000000" w:themeColor="text1"/>
        </w:rPr>
        <w:t>11</w:t>
      </w:r>
      <w:r w:rsidRPr="00882558">
        <w:rPr>
          <w:color w:val="000000" w:themeColor="text1"/>
        </w:rPr>
        <w:fldChar w:fldCharType="end"/>
      </w:r>
      <w:r w:rsidRPr="00882558">
        <w:rPr>
          <w:color w:val="000000" w:themeColor="text1"/>
        </w:rPr>
        <w:t xml:space="preserve">. Comparison of </w:t>
      </w:r>
      <w:r w:rsidR="007A6CC1" w:rsidRPr="00882558">
        <w:rPr>
          <w:color w:val="000000" w:themeColor="text1"/>
        </w:rPr>
        <w:t>S</w:t>
      </w:r>
      <w:r w:rsidRPr="00882558">
        <w:rPr>
          <w:color w:val="000000" w:themeColor="text1"/>
        </w:rPr>
        <w:t xml:space="preserve">taff and </w:t>
      </w:r>
      <w:r w:rsidR="007A6CC1" w:rsidRPr="00882558">
        <w:rPr>
          <w:color w:val="000000" w:themeColor="text1"/>
        </w:rPr>
        <w:t>N</w:t>
      </w:r>
      <w:r w:rsidRPr="00882558">
        <w:rPr>
          <w:color w:val="000000" w:themeColor="text1"/>
        </w:rPr>
        <w:t>umber of EIAs</w:t>
      </w:r>
      <w:bookmarkEnd w:id="106"/>
    </w:p>
    <w:tbl>
      <w:tblPr>
        <w:tblW w:w="5000" w:type="pct"/>
        <w:tblBorders>
          <w:top w:val="single" w:sz="4" w:space="0" w:color="5B9BD5"/>
          <w:left w:val="single" w:sz="4" w:space="0" w:color="5B9BD5"/>
          <w:bottom w:val="single" w:sz="4" w:space="0" w:color="5B9BD5"/>
          <w:right w:val="single" w:sz="4" w:space="0" w:color="5B9BD5"/>
        </w:tblBorders>
        <w:tblLook w:val="00A0" w:firstRow="1" w:lastRow="0" w:firstColumn="1" w:lastColumn="0" w:noHBand="0" w:noVBand="0"/>
      </w:tblPr>
      <w:tblGrid>
        <w:gridCol w:w="3764"/>
        <w:gridCol w:w="1310"/>
        <w:gridCol w:w="1249"/>
        <w:gridCol w:w="3027"/>
      </w:tblGrid>
      <w:tr w:rsidR="002B327E" w:rsidRPr="005C6936" w14:paraId="7D46F4A8" w14:textId="77777777" w:rsidTr="005C6936">
        <w:tc>
          <w:tcPr>
            <w:tcW w:w="2185" w:type="pct"/>
            <w:tcBorders>
              <w:bottom w:val="nil"/>
              <w:right w:val="nil"/>
            </w:tcBorders>
            <w:shd w:val="clear" w:color="auto" w:fill="5B9BD5"/>
            <w:noWrap/>
          </w:tcPr>
          <w:p w14:paraId="0A512B77" w14:textId="77777777" w:rsidR="000B7923" w:rsidRPr="005C6936" w:rsidRDefault="000B7923" w:rsidP="005C6936">
            <w:pPr>
              <w:jc w:val="left"/>
              <w:rPr>
                <w:rFonts w:cs="Times New Roman"/>
                <w:b/>
                <w:bCs/>
                <w:color w:val="FFFFFF"/>
              </w:rPr>
            </w:pPr>
            <w:r w:rsidRPr="005C6936">
              <w:rPr>
                <w:rFonts w:cs="Times New Roman"/>
                <w:b/>
                <w:bCs/>
                <w:color w:val="FFFFFF"/>
              </w:rPr>
              <w:t>Country</w:t>
            </w:r>
          </w:p>
        </w:tc>
        <w:tc>
          <w:tcPr>
            <w:tcW w:w="671" w:type="pct"/>
            <w:shd w:val="clear" w:color="auto" w:fill="5B9BD5"/>
            <w:noWrap/>
          </w:tcPr>
          <w:p w14:paraId="66FD25AE" w14:textId="77777777" w:rsidR="000B7923" w:rsidRPr="005C6936" w:rsidRDefault="000B7923" w:rsidP="005C6936">
            <w:pPr>
              <w:jc w:val="left"/>
              <w:rPr>
                <w:rFonts w:cs="Times New Roman"/>
                <w:b/>
                <w:bCs/>
                <w:color w:val="FFFFFF"/>
              </w:rPr>
            </w:pPr>
            <w:r w:rsidRPr="005C6936">
              <w:rPr>
                <w:rFonts w:cs="Times New Roman"/>
                <w:b/>
                <w:bCs/>
                <w:color w:val="FFFFFF"/>
              </w:rPr>
              <w:t>No. of EIAs</w:t>
            </w:r>
          </w:p>
        </w:tc>
        <w:tc>
          <w:tcPr>
            <w:tcW w:w="640" w:type="pct"/>
            <w:shd w:val="clear" w:color="auto" w:fill="5B9BD5"/>
            <w:noWrap/>
          </w:tcPr>
          <w:p w14:paraId="189B7FEC" w14:textId="77777777" w:rsidR="000B7923" w:rsidRPr="005C6936" w:rsidRDefault="000B7923" w:rsidP="005C6936">
            <w:pPr>
              <w:jc w:val="left"/>
              <w:rPr>
                <w:rFonts w:cs="Times New Roman"/>
                <w:b/>
                <w:bCs/>
                <w:color w:val="FFFFFF"/>
              </w:rPr>
            </w:pPr>
            <w:r w:rsidRPr="005C6936">
              <w:rPr>
                <w:rFonts w:cs="Times New Roman"/>
                <w:b/>
                <w:bCs/>
                <w:color w:val="FFFFFF"/>
              </w:rPr>
              <w:t xml:space="preserve">No. of staff </w:t>
            </w:r>
          </w:p>
        </w:tc>
        <w:tc>
          <w:tcPr>
            <w:tcW w:w="1504" w:type="pct"/>
            <w:shd w:val="clear" w:color="auto" w:fill="5B9BD5"/>
            <w:noWrap/>
          </w:tcPr>
          <w:p w14:paraId="20872FF1" w14:textId="77777777" w:rsidR="000B7923" w:rsidRPr="005C6936" w:rsidRDefault="000B7923" w:rsidP="005C6936">
            <w:pPr>
              <w:jc w:val="left"/>
              <w:rPr>
                <w:rFonts w:cs="Times New Roman"/>
                <w:b/>
                <w:bCs/>
                <w:color w:val="FFFFFF"/>
              </w:rPr>
            </w:pPr>
            <w:r w:rsidRPr="005C6936">
              <w:rPr>
                <w:rFonts w:cs="Times New Roman"/>
                <w:b/>
                <w:bCs/>
                <w:color w:val="FFFFFF"/>
              </w:rPr>
              <w:t>No. of EIAs per Staff member</w:t>
            </w:r>
          </w:p>
        </w:tc>
      </w:tr>
      <w:tr w:rsidR="000B7923" w:rsidRPr="005C6936" w14:paraId="73E7F874" w14:textId="77777777" w:rsidTr="005C6936">
        <w:tc>
          <w:tcPr>
            <w:tcW w:w="2185" w:type="pct"/>
            <w:tcBorders>
              <w:top w:val="single" w:sz="4" w:space="0" w:color="5B9BD5"/>
              <w:bottom w:val="single" w:sz="4" w:space="0" w:color="5B9BD5"/>
              <w:right w:val="nil"/>
            </w:tcBorders>
            <w:shd w:val="clear" w:color="auto" w:fill="FFFFFF"/>
            <w:noWrap/>
          </w:tcPr>
          <w:p w14:paraId="2624D582" w14:textId="77777777" w:rsidR="000B7923" w:rsidRPr="005C6936" w:rsidRDefault="000B7923" w:rsidP="005C6936">
            <w:pPr>
              <w:jc w:val="left"/>
              <w:rPr>
                <w:rFonts w:cs="Times New Roman"/>
                <w:b/>
                <w:bCs/>
                <w:color w:val="000000"/>
              </w:rPr>
            </w:pPr>
            <w:r w:rsidRPr="005C6936">
              <w:rPr>
                <w:rFonts w:cs="Times New Roman"/>
                <w:b/>
                <w:bCs/>
                <w:color w:val="000000"/>
              </w:rPr>
              <w:t>Ukraine*</w:t>
            </w:r>
          </w:p>
        </w:tc>
        <w:tc>
          <w:tcPr>
            <w:tcW w:w="671" w:type="pct"/>
            <w:tcBorders>
              <w:top w:val="single" w:sz="4" w:space="0" w:color="5B9BD5"/>
              <w:bottom w:val="single" w:sz="4" w:space="0" w:color="5B9BD5"/>
            </w:tcBorders>
            <w:shd w:val="clear" w:color="auto" w:fill="auto"/>
            <w:noWrap/>
          </w:tcPr>
          <w:p w14:paraId="6E1F9518" w14:textId="77777777" w:rsidR="000B7923" w:rsidRPr="005C6936" w:rsidRDefault="000B7923" w:rsidP="005C6936">
            <w:pPr>
              <w:ind w:right="232"/>
              <w:jc w:val="right"/>
              <w:rPr>
                <w:rFonts w:cs="Times New Roman"/>
                <w:color w:val="000000"/>
              </w:rPr>
            </w:pPr>
            <w:r w:rsidRPr="005C6936">
              <w:rPr>
                <w:rFonts w:cs="Times New Roman"/>
                <w:color w:val="000000"/>
              </w:rPr>
              <w:t>148</w:t>
            </w:r>
          </w:p>
        </w:tc>
        <w:tc>
          <w:tcPr>
            <w:tcW w:w="640" w:type="pct"/>
            <w:tcBorders>
              <w:top w:val="single" w:sz="4" w:space="0" w:color="5B9BD5"/>
              <w:bottom w:val="single" w:sz="4" w:space="0" w:color="5B9BD5"/>
            </w:tcBorders>
            <w:shd w:val="clear" w:color="auto" w:fill="auto"/>
            <w:noWrap/>
          </w:tcPr>
          <w:p w14:paraId="4CA7B4C0" w14:textId="77777777" w:rsidR="000B7923" w:rsidRPr="005C6936" w:rsidRDefault="000B7923" w:rsidP="005C6936">
            <w:pPr>
              <w:ind w:right="190"/>
              <w:jc w:val="right"/>
              <w:rPr>
                <w:rFonts w:cs="Times New Roman"/>
                <w:color w:val="000000"/>
              </w:rPr>
            </w:pPr>
            <w:r w:rsidRPr="005C6936">
              <w:rPr>
                <w:rFonts w:cs="Times New Roman"/>
                <w:color w:val="000000"/>
              </w:rPr>
              <w:t>11</w:t>
            </w:r>
          </w:p>
        </w:tc>
        <w:tc>
          <w:tcPr>
            <w:tcW w:w="1504" w:type="pct"/>
            <w:tcBorders>
              <w:top w:val="single" w:sz="4" w:space="0" w:color="5B9BD5"/>
              <w:bottom w:val="single" w:sz="4" w:space="0" w:color="5B9BD5"/>
            </w:tcBorders>
            <w:shd w:val="clear" w:color="auto" w:fill="auto"/>
            <w:noWrap/>
          </w:tcPr>
          <w:p w14:paraId="58CE0D7A" w14:textId="77777777" w:rsidR="000B7923" w:rsidRPr="005C6936" w:rsidRDefault="000B7923" w:rsidP="005C6936">
            <w:pPr>
              <w:ind w:right="1188"/>
              <w:jc w:val="right"/>
              <w:rPr>
                <w:rFonts w:cs="Times New Roman"/>
                <w:color w:val="000000"/>
              </w:rPr>
            </w:pPr>
            <w:r w:rsidRPr="005C6936">
              <w:rPr>
                <w:rFonts w:cs="Times New Roman"/>
                <w:color w:val="000000"/>
              </w:rPr>
              <w:t>13</w:t>
            </w:r>
          </w:p>
        </w:tc>
      </w:tr>
      <w:tr w:rsidR="000B7923" w:rsidRPr="005C6936" w14:paraId="664E7695" w14:textId="77777777" w:rsidTr="005C6936">
        <w:tc>
          <w:tcPr>
            <w:tcW w:w="2185" w:type="pct"/>
            <w:tcBorders>
              <w:right w:val="nil"/>
            </w:tcBorders>
            <w:shd w:val="clear" w:color="auto" w:fill="FFFFFF"/>
            <w:noWrap/>
          </w:tcPr>
          <w:p w14:paraId="25337300" w14:textId="77777777" w:rsidR="000B7923" w:rsidRPr="005C6936" w:rsidRDefault="000B7923" w:rsidP="005C6936">
            <w:pPr>
              <w:jc w:val="left"/>
              <w:rPr>
                <w:rFonts w:cs="Times New Roman"/>
                <w:b/>
                <w:bCs/>
                <w:color w:val="000000"/>
              </w:rPr>
            </w:pPr>
            <w:r w:rsidRPr="005C6936">
              <w:rPr>
                <w:rFonts w:cs="Times New Roman"/>
                <w:b/>
                <w:bCs/>
                <w:color w:val="000000"/>
              </w:rPr>
              <w:t xml:space="preserve">Slovak Republic </w:t>
            </w:r>
          </w:p>
        </w:tc>
        <w:tc>
          <w:tcPr>
            <w:tcW w:w="671" w:type="pct"/>
            <w:shd w:val="clear" w:color="auto" w:fill="auto"/>
            <w:noWrap/>
          </w:tcPr>
          <w:p w14:paraId="41CFA064" w14:textId="77777777" w:rsidR="000B7923" w:rsidRPr="005C6936" w:rsidRDefault="000B7923" w:rsidP="005C6936">
            <w:pPr>
              <w:ind w:right="232"/>
              <w:jc w:val="right"/>
              <w:rPr>
                <w:rFonts w:cs="Times New Roman"/>
                <w:color w:val="000000"/>
              </w:rPr>
            </w:pPr>
            <w:r w:rsidRPr="005C6936">
              <w:rPr>
                <w:rFonts w:cs="Times New Roman"/>
                <w:color w:val="000000"/>
              </w:rPr>
              <w:t>670</w:t>
            </w:r>
          </w:p>
        </w:tc>
        <w:tc>
          <w:tcPr>
            <w:tcW w:w="640" w:type="pct"/>
            <w:shd w:val="clear" w:color="auto" w:fill="auto"/>
            <w:noWrap/>
          </w:tcPr>
          <w:p w14:paraId="5548EA8D" w14:textId="77777777" w:rsidR="000B7923" w:rsidRPr="005C6936" w:rsidRDefault="000B7923" w:rsidP="005C6936">
            <w:pPr>
              <w:ind w:right="190"/>
              <w:jc w:val="right"/>
              <w:rPr>
                <w:rFonts w:cs="Times New Roman"/>
                <w:color w:val="000000"/>
              </w:rPr>
            </w:pPr>
            <w:r w:rsidRPr="005C6936">
              <w:rPr>
                <w:rFonts w:cs="Times New Roman"/>
                <w:color w:val="000000"/>
              </w:rPr>
              <w:t>90</w:t>
            </w:r>
          </w:p>
        </w:tc>
        <w:tc>
          <w:tcPr>
            <w:tcW w:w="1504" w:type="pct"/>
            <w:shd w:val="clear" w:color="auto" w:fill="auto"/>
            <w:noWrap/>
          </w:tcPr>
          <w:p w14:paraId="695B1556" w14:textId="77777777" w:rsidR="000B7923" w:rsidRPr="005C6936" w:rsidRDefault="000B7923" w:rsidP="005C6936">
            <w:pPr>
              <w:ind w:right="1188"/>
              <w:jc w:val="right"/>
              <w:rPr>
                <w:rFonts w:cs="Times New Roman"/>
                <w:color w:val="000000"/>
              </w:rPr>
            </w:pPr>
            <w:r w:rsidRPr="005C6936">
              <w:rPr>
                <w:rFonts w:cs="Times New Roman"/>
                <w:color w:val="000000"/>
              </w:rPr>
              <w:t>7</w:t>
            </w:r>
          </w:p>
        </w:tc>
      </w:tr>
      <w:tr w:rsidR="000B7923" w:rsidRPr="005C6936" w14:paraId="62E8D0B9" w14:textId="77777777" w:rsidTr="005C6936">
        <w:tc>
          <w:tcPr>
            <w:tcW w:w="2185" w:type="pct"/>
            <w:tcBorders>
              <w:top w:val="single" w:sz="4" w:space="0" w:color="5B9BD5"/>
              <w:bottom w:val="single" w:sz="4" w:space="0" w:color="5B9BD5"/>
              <w:right w:val="nil"/>
            </w:tcBorders>
            <w:shd w:val="clear" w:color="auto" w:fill="FFFFFF"/>
            <w:noWrap/>
          </w:tcPr>
          <w:p w14:paraId="6B281302" w14:textId="77777777" w:rsidR="000B7923" w:rsidRPr="005C6936" w:rsidRDefault="000B7923" w:rsidP="005C6936">
            <w:pPr>
              <w:jc w:val="left"/>
              <w:rPr>
                <w:rFonts w:cs="Times New Roman"/>
                <w:b/>
                <w:bCs/>
                <w:color w:val="000000"/>
              </w:rPr>
            </w:pPr>
            <w:r w:rsidRPr="005C6936">
              <w:rPr>
                <w:rFonts w:cs="Times New Roman"/>
                <w:b/>
                <w:bCs/>
                <w:color w:val="000000"/>
              </w:rPr>
              <w:t>Belgium</w:t>
            </w:r>
          </w:p>
        </w:tc>
        <w:tc>
          <w:tcPr>
            <w:tcW w:w="671" w:type="pct"/>
            <w:tcBorders>
              <w:top w:val="single" w:sz="4" w:space="0" w:color="5B9BD5"/>
              <w:bottom w:val="single" w:sz="4" w:space="0" w:color="5B9BD5"/>
            </w:tcBorders>
            <w:shd w:val="clear" w:color="auto" w:fill="auto"/>
            <w:noWrap/>
          </w:tcPr>
          <w:p w14:paraId="7B6E2E9B" w14:textId="77777777" w:rsidR="000B7923" w:rsidRPr="005C6936" w:rsidRDefault="000B7923" w:rsidP="005C6936">
            <w:pPr>
              <w:ind w:right="232"/>
              <w:jc w:val="right"/>
              <w:rPr>
                <w:rFonts w:cs="Times New Roman"/>
                <w:color w:val="000000"/>
              </w:rPr>
            </w:pPr>
            <w:r w:rsidRPr="005C6936">
              <w:rPr>
                <w:rFonts w:cs="Times New Roman"/>
                <w:color w:val="000000"/>
              </w:rPr>
              <w:t>183</w:t>
            </w:r>
          </w:p>
        </w:tc>
        <w:tc>
          <w:tcPr>
            <w:tcW w:w="640" w:type="pct"/>
            <w:tcBorders>
              <w:top w:val="single" w:sz="4" w:space="0" w:color="5B9BD5"/>
              <w:bottom w:val="single" w:sz="4" w:space="0" w:color="5B9BD5"/>
            </w:tcBorders>
            <w:shd w:val="clear" w:color="auto" w:fill="auto"/>
            <w:noWrap/>
          </w:tcPr>
          <w:p w14:paraId="4CFEEC51" w14:textId="77777777" w:rsidR="000B7923" w:rsidRPr="005C6936" w:rsidRDefault="000B7923" w:rsidP="005C6936">
            <w:pPr>
              <w:ind w:right="190"/>
              <w:jc w:val="right"/>
              <w:rPr>
                <w:rFonts w:cs="Times New Roman"/>
                <w:color w:val="000000"/>
              </w:rPr>
            </w:pPr>
            <w:r w:rsidRPr="005C6936">
              <w:rPr>
                <w:rFonts w:cs="Times New Roman"/>
                <w:color w:val="000000"/>
              </w:rPr>
              <w:t>30</w:t>
            </w:r>
          </w:p>
        </w:tc>
        <w:tc>
          <w:tcPr>
            <w:tcW w:w="1504" w:type="pct"/>
            <w:tcBorders>
              <w:top w:val="single" w:sz="4" w:space="0" w:color="5B9BD5"/>
              <w:bottom w:val="single" w:sz="4" w:space="0" w:color="5B9BD5"/>
            </w:tcBorders>
            <w:shd w:val="clear" w:color="auto" w:fill="auto"/>
            <w:noWrap/>
          </w:tcPr>
          <w:p w14:paraId="6ABCAA94" w14:textId="77777777" w:rsidR="000B7923" w:rsidRPr="005C6936" w:rsidRDefault="000B7923" w:rsidP="005C6936">
            <w:pPr>
              <w:ind w:right="1188"/>
              <w:jc w:val="right"/>
              <w:rPr>
                <w:rFonts w:cs="Times New Roman"/>
                <w:color w:val="000000"/>
              </w:rPr>
            </w:pPr>
            <w:r w:rsidRPr="005C6936">
              <w:rPr>
                <w:rFonts w:cs="Times New Roman"/>
                <w:color w:val="000000"/>
              </w:rPr>
              <w:t>6</w:t>
            </w:r>
          </w:p>
        </w:tc>
      </w:tr>
      <w:tr w:rsidR="000B7923" w:rsidRPr="005C6936" w14:paraId="2339419D" w14:textId="77777777" w:rsidTr="005C6936">
        <w:tc>
          <w:tcPr>
            <w:tcW w:w="2185" w:type="pct"/>
            <w:tcBorders>
              <w:right w:val="nil"/>
            </w:tcBorders>
            <w:shd w:val="clear" w:color="auto" w:fill="FFFFFF"/>
            <w:noWrap/>
          </w:tcPr>
          <w:p w14:paraId="189C24B2" w14:textId="77777777" w:rsidR="000B7923" w:rsidRPr="005C6936" w:rsidRDefault="000B7923" w:rsidP="005C6936">
            <w:pPr>
              <w:jc w:val="left"/>
              <w:rPr>
                <w:rFonts w:cs="Times New Roman"/>
                <w:b/>
                <w:bCs/>
                <w:color w:val="000000"/>
              </w:rPr>
            </w:pPr>
            <w:r w:rsidRPr="005C6936">
              <w:rPr>
                <w:rFonts w:cs="Times New Roman"/>
                <w:b/>
                <w:bCs/>
                <w:color w:val="000000"/>
              </w:rPr>
              <w:t>Latvia</w:t>
            </w:r>
          </w:p>
        </w:tc>
        <w:tc>
          <w:tcPr>
            <w:tcW w:w="671" w:type="pct"/>
            <w:shd w:val="clear" w:color="auto" w:fill="auto"/>
            <w:noWrap/>
          </w:tcPr>
          <w:p w14:paraId="39389230" w14:textId="77777777" w:rsidR="000B7923" w:rsidRPr="005C6936" w:rsidRDefault="000B7923" w:rsidP="005C6936">
            <w:pPr>
              <w:ind w:right="232"/>
              <w:jc w:val="right"/>
              <w:rPr>
                <w:rFonts w:cs="Times New Roman"/>
                <w:color w:val="000000"/>
              </w:rPr>
            </w:pPr>
            <w:r w:rsidRPr="005C6936">
              <w:rPr>
                <w:rFonts w:cs="Times New Roman"/>
                <w:color w:val="000000"/>
              </w:rPr>
              <w:t>11</w:t>
            </w:r>
          </w:p>
        </w:tc>
        <w:tc>
          <w:tcPr>
            <w:tcW w:w="640" w:type="pct"/>
            <w:shd w:val="clear" w:color="auto" w:fill="auto"/>
            <w:noWrap/>
          </w:tcPr>
          <w:p w14:paraId="4A4D06E4" w14:textId="77777777" w:rsidR="000B7923" w:rsidRPr="005C6936" w:rsidRDefault="000B7923" w:rsidP="005C6936">
            <w:pPr>
              <w:ind w:right="190"/>
              <w:jc w:val="right"/>
              <w:rPr>
                <w:rFonts w:cs="Times New Roman"/>
                <w:color w:val="000000"/>
              </w:rPr>
            </w:pPr>
            <w:r w:rsidRPr="005C6936">
              <w:rPr>
                <w:rFonts w:cs="Times New Roman"/>
                <w:color w:val="000000"/>
              </w:rPr>
              <w:t>22</w:t>
            </w:r>
          </w:p>
        </w:tc>
        <w:tc>
          <w:tcPr>
            <w:tcW w:w="1504" w:type="pct"/>
            <w:shd w:val="clear" w:color="auto" w:fill="auto"/>
            <w:noWrap/>
          </w:tcPr>
          <w:p w14:paraId="080E2F4D" w14:textId="77777777" w:rsidR="000B7923" w:rsidRPr="005C6936" w:rsidRDefault="000B7923" w:rsidP="005C6936">
            <w:pPr>
              <w:ind w:right="1188"/>
              <w:jc w:val="right"/>
              <w:rPr>
                <w:rFonts w:cs="Times New Roman"/>
                <w:color w:val="000000"/>
              </w:rPr>
            </w:pPr>
            <w:r w:rsidRPr="005C6936">
              <w:rPr>
                <w:rFonts w:cs="Times New Roman"/>
                <w:color w:val="000000"/>
              </w:rPr>
              <w:t>6</w:t>
            </w:r>
          </w:p>
        </w:tc>
      </w:tr>
      <w:tr w:rsidR="000B7923" w:rsidRPr="005C6936" w14:paraId="72922411" w14:textId="77777777" w:rsidTr="005C6936">
        <w:tc>
          <w:tcPr>
            <w:tcW w:w="2185" w:type="pct"/>
            <w:tcBorders>
              <w:top w:val="single" w:sz="4" w:space="0" w:color="5B9BD5"/>
              <w:bottom w:val="single" w:sz="4" w:space="0" w:color="5B9BD5"/>
              <w:right w:val="nil"/>
            </w:tcBorders>
            <w:shd w:val="clear" w:color="auto" w:fill="FFFFFF"/>
            <w:noWrap/>
          </w:tcPr>
          <w:p w14:paraId="6696F70E" w14:textId="77777777" w:rsidR="000B7923" w:rsidRPr="005C6936" w:rsidRDefault="000B7923" w:rsidP="005C6936">
            <w:pPr>
              <w:jc w:val="left"/>
              <w:rPr>
                <w:rFonts w:cs="Times New Roman"/>
                <w:b/>
                <w:bCs/>
                <w:color w:val="000000"/>
              </w:rPr>
            </w:pPr>
            <w:r w:rsidRPr="005C6936">
              <w:rPr>
                <w:rFonts w:cs="Times New Roman"/>
                <w:b/>
                <w:bCs/>
                <w:color w:val="000000"/>
              </w:rPr>
              <w:t>Estonia</w:t>
            </w:r>
          </w:p>
        </w:tc>
        <w:tc>
          <w:tcPr>
            <w:tcW w:w="671" w:type="pct"/>
            <w:tcBorders>
              <w:top w:val="single" w:sz="4" w:space="0" w:color="5B9BD5"/>
              <w:bottom w:val="single" w:sz="4" w:space="0" w:color="5B9BD5"/>
            </w:tcBorders>
            <w:shd w:val="clear" w:color="auto" w:fill="auto"/>
            <w:noWrap/>
          </w:tcPr>
          <w:p w14:paraId="4890B7D1" w14:textId="77777777" w:rsidR="000B7923" w:rsidRPr="005C6936" w:rsidRDefault="000B7923" w:rsidP="005C6936">
            <w:pPr>
              <w:ind w:right="232"/>
              <w:jc w:val="right"/>
              <w:rPr>
                <w:rFonts w:cs="Times New Roman"/>
                <w:color w:val="000000"/>
              </w:rPr>
            </w:pPr>
            <w:r w:rsidRPr="005C6936">
              <w:rPr>
                <w:rFonts w:cs="Times New Roman"/>
                <w:color w:val="000000"/>
              </w:rPr>
              <w:t>80</w:t>
            </w:r>
          </w:p>
        </w:tc>
        <w:tc>
          <w:tcPr>
            <w:tcW w:w="640" w:type="pct"/>
            <w:tcBorders>
              <w:top w:val="single" w:sz="4" w:space="0" w:color="5B9BD5"/>
              <w:bottom w:val="single" w:sz="4" w:space="0" w:color="5B9BD5"/>
            </w:tcBorders>
            <w:shd w:val="clear" w:color="auto" w:fill="auto"/>
            <w:noWrap/>
          </w:tcPr>
          <w:p w14:paraId="72E89DB2" w14:textId="77777777" w:rsidR="000B7923" w:rsidRPr="005C6936" w:rsidRDefault="000B7923" w:rsidP="005C6936">
            <w:pPr>
              <w:ind w:right="190"/>
              <w:jc w:val="right"/>
              <w:rPr>
                <w:rFonts w:cs="Times New Roman"/>
                <w:color w:val="000000"/>
              </w:rPr>
            </w:pPr>
            <w:r w:rsidRPr="005C6936">
              <w:rPr>
                <w:rFonts w:cs="Times New Roman"/>
                <w:color w:val="000000"/>
              </w:rPr>
              <w:t>19</w:t>
            </w:r>
          </w:p>
        </w:tc>
        <w:tc>
          <w:tcPr>
            <w:tcW w:w="1504" w:type="pct"/>
            <w:tcBorders>
              <w:top w:val="single" w:sz="4" w:space="0" w:color="5B9BD5"/>
              <w:bottom w:val="single" w:sz="4" w:space="0" w:color="5B9BD5"/>
            </w:tcBorders>
            <w:shd w:val="clear" w:color="auto" w:fill="auto"/>
            <w:noWrap/>
          </w:tcPr>
          <w:p w14:paraId="60F6AE86" w14:textId="77777777" w:rsidR="000B7923" w:rsidRPr="005C6936" w:rsidRDefault="000B7923" w:rsidP="005C6936">
            <w:pPr>
              <w:ind w:right="1188"/>
              <w:jc w:val="right"/>
              <w:rPr>
                <w:rFonts w:cs="Times New Roman"/>
                <w:color w:val="000000"/>
              </w:rPr>
            </w:pPr>
            <w:r w:rsidRPr="005C6936">
              <w:rPr>
                <w:rFonts w:cs="Times New Roman"/>
                <w:color w:val="000000"/>
              </w:rPr>
              <w:t>4</w:t>
            </w:r>
          </w:p>
        </w:tc>
      </w:tr>
      <w:tr w:rsidR="000B7923" w:rsidRPr="005C6936" w14:paraId="14C32876" w14:textId="77777777" w:rsidTr="005C6936">
        <w:tc>
          <w:tcPr>
            <w:tcW w:w="2185" w:type="pct"/>
            <w:tcBorders>
              <w:right w:val="nil"/>
            </w:tcBorders>
            <w:shd w:val="clear" w:color="auto" w:fill="FFFFFF"/>
            <w:noWrap/>
          </w:tcPr>
          <w:p w14:paraId="6B7E94C3" w14:textId="77777777" w:rsidR="000B7923" w:rsidRPr="005C6936" w:rsidRDefault="000B7923" w:rsidP="005C6936">
            <w:pPr>
              <w:jc w:val="left"/>
              <w:rPr>
                <w:rFonts w:cs="Times New Roman"/>
                <w:b/>
                <w:bCs/>
                <w:color w:val="000000"/>
              </w:rPr>
            </w:pPr>
            <w:r w:rsidRPr="005C6936">
              <w:rPr>
                <w:rFonts w:cs="Times New Roman"/>
                <w:b/>
                <w:bCs/>
                <w:color w:val="000000"/>
              </w:rPr>
              <w:t xml:space="preserve">Denmark </w:t>
            </w:r>
          </w:p>
        </w:tc>
        <w:tc>
          <w:tcPr>
            <w:tcW w:w="671" w:type="pct"/>
            <w:shd w:val="clear" w:color="auto" w:fill="auto"/>
            <w:noWrap/>
          </w:tcPr>
          <w:p w14:paraId="721DEEF4" w14:textId="77777777" w:rsidR="000B7923" w:rsidRPr="005C6936" w:rsidRDefault="000B7923" w:rsidP="005C6936">
            <w:pPr>
              <w:ind w:right="232"/>
              <w:jc w:val="right"/>
              <w:rPr>
                <w:rFonts w:cs="Times New Roman"/>
                <w:color w:val="000000"/>
              </w:rPr>
            </w:pPr>
            <w:r w:rsidRPr="005C6936">
              <w:rPr>
                <w:rFonts w:cs="Times New Roman"/>
                <w:color w:val="000000"/>
              </w:rPr>
              <w:t>125</w:t>
            </w:r>
          </w:p>
        </w:tc>
        <w:tc>
          <w:tcPr>
            <w:tcW w:w="640" w:type="pct"/>
            <w:shd w:val="clear" w:color="auto" w:fill="auto"/>
            <w:noWrap/>
          </w:tcPr>
          <w:p w14:paraId="0164F90F" w14:textId="77777777" w:rsidR="000B7923" w:rsidRPr="005C6936" w:rsidRDefault="000B7923" w:rsidP="005C6936">
            <w:pPr>
              <w:ind w:right="190"/>
              <w:jc w:val="right"/>
              <w:rPr>
                <w:rFonts w:cs="Times New Roman"/>
                <w:color w:val="000000"/>
              </w:rPr>
            </w:pPr>
            <w:r w:rsidRPr="005C6936">
              <w:rPr>
                <w:rFonts w:cs="Times New Roman"/>
                <w:color w:val="000000"/>
              </w:rPr>
              <w:t>45</w:t>
            </w:r>
          </w:p>
        </w:tc>
        <w:tc>
          <w:tcPr>
            <w:tcW w:w="1504" w:type="pct"/>
            <w:shd w:val="clear" w:color="auto" w:fill="auto"/>
            <w:noWrap/>
          </w:tcPr>
          <w:p w14:paraId="19B37604" w14:textId="77777777" w:rsidR="000B7923" w:rsidRPr="005C6936" w:rsidRDefault="000B7923" w:rsidP="005C6936">
            <w:pPr>
              <w:ind w:right="1188"/>
              <w:jc w:val="right"/>
              <w:rPr>
                <w:rFonts w:cs="Times New Roman"/>
                <w:color w:val="000000"/>
              </w:rPr>
            </w:pPr>
            <w:r w:rsidRPr="005C6936">
              <w:rPr>
                <w:rFonts w:cs="Times New Roman"/>
                <w:color w:val="000000"/>
              </w:rPr>
              <w:t>3</w:t>
            </w:r>
          </w:p>
        </w:tc>
      </w:tr>
      <w:tr w:rsidR="00474A0C" w:rsidRPr="005C6936" w14:paraId="2997FE9C" w14:textId="77777777" w:rsidTr="005C6936">
        <w:tc>
          <w:tcPr>
            <w:tcW w:w="2185" w:type="pct"/>
            <w:tcBorders>
              <w:top w:val="single" w:sz="4" w:space="0" w:color="5B9BD5"/>
              <w:bottom w:val="single" w:sz="4" w:space="0" w:color="5B9BD5"/>
              <w:right w:val="nil"/>
            </w:tcBorders>
            <w:shd w:val="clear" w:color="auto" w:fill="FFFFFF"/>
            <w:noWrap/>
          </w:tcPr>
          <w:p w14:paraId="1DF3EDE8" w14:textId="77777777" w:rsidR="00474A0C" w:rsidRPr="005C6936" w:rsidRDefault="00474A0C" w:rsidP="005C6936">
            <w:pPr>
              <w:jc w:val="left"/>
              <w:rPr>
                <w:rFonts w:cs="Times New Roman"/>
                <w:b/>
                <w:bCs/>
                <w:color w:val="000000"/>
              </w:rPr>
            </w:pPr>
            <w:r w:rsidRPr="005C6936">
              <w:rPr>
                <w:rFonts w:cs="Times New Roman"/>
                <w:b/>
                <w:bCs/>
                <w:color w:val="000000"/>
              </w:rPr>
              <w:t xml:space="preserve">Finland </w:t>
            </w:r>
          </w:p>
        </w:tc>
        <w:tc>
          <w:tcPr>
            <w:tcW w:w="671" w:type="pct"/>
            <w:tcBorders>
              <w:top w:val="single" w:sz="4" w:space="0" w:color="5B9BD5"/>
              <w:bottom w:val="single" w:sz="4" w:space="0" w:color="5B9BD5"/>
            </w:tcBorders>
            <w:shd w:val="clear" w:color="auto" w:fill="auto"/>
            <w:noWrap/>
          </w:tcPr>
          <w:p w14:paraId="31FA8D80" w14:textId="77777777" w:rsidR="00474A0C" w:rsidRPr="005C6936" w:rsidRDefault="00474A0C" w:rsidP="005C6936">
            <w:pPr>
              <w:ind w:right="232"/>
              <w:jc w:val="right"/>
              <w:rPr>
                <w:rFonts w:cs="Times New Roman"/>
                <w:color w:val="000000"/>
              </w:rPr>
            </w:pPr>
            <w:r w:rsidRPr="005C6936">
              <w:rPr>
                <w:rFonts w:cs="Times New Roman"/>
                <w:color w:val="000000"/>
              </w:rPr>
              <w:t>38</w:t>
            </w:r>
          </w:p>
        </w:tc>
        <w:tc>
          <w:tcPr>
            <w:tcW w:w="640" w:type="pct"/>
            <w:tcBorders>
              <w:top w:val="single" w:sz="4" w:space="0" w:color="5B9BD5"/>
              <w:bottom w:val="single" w:sz="4" w:space="0" w:color="5B9BD5"/>
            </w:tcBorders>
            <w:shd w:val="clear" w:color="auto" w:fill="auto"/>
            <w:noWrap/>
          </w:tcPr>
          <w:p w14:paraId="741329C5" w14:textId="77777777" w:rsidR="00474A0C" w:rsidRPr="005C6936" w:rsidRDefault="00474A0C" w:rsidP="005C6936">
            <w:pPr>
              <w:ind w:right="190"/>
              <w:jc w:val="right"/>
              <w:rPr>
                <w:rFonts w:cs="Times New Roman"/>
                <w:color w:val="000000"/>
              </w:rPr>
            </w:pPr>
            <w:r w:rsidRPr="005C6936">
              <w:rPr>
                <w:rFonts w:cs="Times New Roman"/>
                <w:color w:val="000000"/>
              </w:rPr>
              <w:t>15</w:t>
            </w:r>
          </w:p>
        </w:tc>
        <w:tc>
          <w:tcPr>
            <w:tcW w:w="1504" w:type="pct"/>
            <w:tcBorders>
              <w:top w:val="single" w:sz="4" w:space="0" w:color="5B9BD5"/>
              <w:bottom w:val="single" w:sz="4" w:space="0" w:color="5B9BD5"/>
            </w:tcBorders>
            <w:shd w:val="clear" w:color="auto" w:fill="auto"/>
            <w:noWrap/>
          </w:tcPr>
          <w:p w14:paraId="1E3670F4" w14:textId="77777777" w:rsidR="00474A0C" w:rsidRPr="005C6936" w:rsidRDefault="00474A0C" w:rsidP="005C6936">
            <w:pPr>
              <w:ind w:right="1188"/>
              <w:jc w:val="right"/>
              <w:rPr>
                <w:rFonts w:cs="Times New Roman"/>
                <w:color w:val="000000"/>
              </w:rPr>
            </w:pPr>
            <w:r w:rsidRPr="005C6936">
              <w:rPr>
                <w:rFonts w:cs="Times New Roman"/>
                <w:color w:val="000000"/>
              </w:rPr>
              <w:t>3</w:t>
            </w:r>
          </w:p>
        </w:tc>
      </w:tr>
      <w:tr w:rsidR="000B7923" w:rsidRPr="005C6936" w14:paraId="189F93AF" w14:textId="77777777" w:rsidTr="005C6936">
        <w:tc>
          <w:tcPr>
            <w:tcW w:w="2185" w:type="pct"/>
            <w:tcBorders>
              <w:right w:val="nil"/>
            </w:tcBorders>
            <w:shd w:val="clear" w:color="auto" w:fill="FFFFFF"/>
            <w:noWrap/>
          </w:tcPr>
          <w:p w14:paraId="470F6277" w14:textId="77777777" w:rsidR="000B7923" w:rsidRPr="005C6936" w:rsidRDefault="000B7923" w:rsidP="005C6936">
            <w:pPr>
              <w:jc w:val="left"/>
              <w:rPr>
                <w:rFonts w:cs="Times New Roman"/>
                <w:b/>
                <w:bCs/>
                <w:color w:val="000000"/>
              </w:rPr>
            </w:pPr>
            <w:r w:rsidRPr="005C6936">
              <w:rPr>
                <w:rFonts w:cs="Times New Roman"/>
                <w:b/>
                <w:bCs/>
                <w:color w:val="000000"/>
              </w:rPr>
              <w:t xml:space="preserve">Greece </w:t>
            </w:r>
          </w:p>
        </w:tc>
        <w:tc>
          <w:tcPr>
            <w:tcW w:w="671" w:type="pct"/>
            <w:shd w:val="clear" w:color="auto" w:fill="auto"/>
            <w:noWrap/>
          </w:tcPr>
          <w:p w14:paraId="3441471F" w14:textId="77777777" w:rsidR="000B7923" w:rsidRPr="005C6936" w:rsidRDefault="000B7923" w:rsidP="005C6936">
            <w:pPr>
              <w:ind w:right="232"/>
              <w:jc w:val="right"/>
              <w:rPr>
                <w:rFonts w:cs="Times New Roman"/>
                <w:color w:val="000000"/>
              </w:rPr>
            </w:pPr>
            <w:r w:rsidRPr="005C6936">
              <w:rPr>
                <w:rFonts w:cs="Times New Roman"/>
                <w:color w:val="000000"/>
              </w:rPr>
              <w:t>425</w:t>
            </w:r>
          </w:p>
        </w:tc>
        <w:tc>
          <w:tcPr>
            <w:tcW w:w="640" w:type="pct"/>
            <w:shd w:val="clear" w:color="auto" w:fill="auto"/>
            <w:noWrap/>
          </w:tcPr>
          <w:p w14:paraId="47524C93" w14:textId="77777777" w:rsidR="000B7923" w:rsidRPr="005C6936" w:rsidRDefault="000B7923" w:rsidP="005C6936">
            <w:pPr>
              <w:ind w:right="190"/>
              <w:jc w:val="right"/>
              <w:rPr>
                <w:rFonts w:cs="Times New Roman"/>
                <w:color w:val="000000"/>
              </w:rPr>
            </w:pPr>
            <w:r w:rsidRPr="005C6936">
              <w:rPr>
                <w:rFonts w:cs="Times New Roman"/>
                <w:color w:val="000000"/>
              </w:rPr>
              <w:t>160</w:t>
            </w:r>
          </w:p>
        </w:tc>
        <w:tc>
          <w:tcPr>
            <w:tcW w:w="1504" w:type="pct"/>
            <w:shd w:val="clear" w:color="auto" w:fill="auto"/>
            <w:noWrap/>
          </w:tcPr>
          <w:p w14:paraId="3B5074DA" w14:textId="77777777" w:rsidR="000B7923" w:rsidRPr="005C6936" w:rsidRDefault="000B7923" w:rsidP="005C6936">
            <w:pPr>
              <w:ind w:right="1188"/>
              <w:jc w:val="right"/>
              <w:rPr>
                <w:rFonts w:cs="Times New Roman"/>
                <w:color w:val="000000"/>
              </w:rPr>
            </w:pPr>
            <w:r w:rsidRPr="005C6936">
              <w:rPr>
                <w:rFonts w:cs="Times New Roman"/>
                <w:color w:val="000000"/>
              </w:rPr>
              <w:t>3</w:t>
            </w:r>
          </w:p>
        </w:tc>
      </w:tr>
      <w:tr w:rsidR="000B7923" w:rsidRPr="005C6936" w14:paraId="7C9391FF" w14:textId="77777777" w:rsidTr="005C6936">
        <w:tc>
          <w:tcPr>
            <w:tcW w:w="2185" w:type="pct"/>
            <w:tcBorders>
              <w:top w:val="single" w:sz="4" w:space="0" w:color="5B9BD5"/>
              <w:bottom w:val="single" w:sz="4" w:space="0" w:color="5B9BD5"/>
              <w:right w:val="nil"/>
            </w:tcBorders>
            <w:shd w:val="clear" w:color="auto" w:fill="FFFFFF"/>
            <w:noWrap/>
          </w:tcPr>
          <w:p w14:paraId="3CF154CD" w14:textId="77777777" w:rsidR="000B7923" w:rsidRPr="005C6936" w:rsidRDefault="000B7923" w:rsidP="005C6936">
            <w:pPr>
              <w:jc w:val="left"/>
              <w:rPr>
                <w:rFonts w:cs="Times New Roman"/>
                <w:b/>
                <w:bCs/>
                <w:color w:val="000000"/>
              </w:rPr>
            </w:pPr>
            <w:r w:rsidRPr="005C6936">
              <w:rPr>
                <w:rFonts w:cs="Times New Roman"/>
                <w:b/>
                <w:bCs/>
                <w:color w:val="000000"/>
              </w:rPr>
              <w:t>Czech Republic</w:t>
            </w:r>
          </w:p>
        </w:tc>
        <w:tc>
          <w:tcPr>
            <w:tcW w:w="671" w:type="pct"/>
            <w:tcBorders>
              <w:top w:val="single" w:sz="4" w:space="0" w:color="5B9BD5"/>
              <w:bottom w:val="single" w:sz="4" w:space="0" w:color="5B9BD5"/>
            </w:tcBorders>
            <w:shd w:val="clear" w:color="auto" w:fill="auto"/>
            <w:noWrap/>
          </w:tcPr>
          <w:p w14:paraId="114F071B" w14:textId="77777777" w:rsidR="000B7923" w:rsidRPr="005C6936" w:rsidRDefault="000B7923" w:rsidP="005C6936">
            <w:pPr>
              <w:ind w:right="232"/>
              <w:jc w:val="right"/>
              <w:rPr>
                <w:rFonts w:cs="Times New Roman"/>
                <w:color w:val="000000"/>
              </w:rPr>
            </w:pPr>
            <w:r w:rsidRPr="005C6936">
              <w:rPr>
                <w:rFonts w:cs="Times New Roman"/>
                <w:color w:val="000000"/>
              </w:rPr>
              <w:t>117</w:t>
            </w:r>
          </w:p>
        </w:tc>
        <w:tc>
          <w:tcPr>
            <w:tcW w:w="640" w:type="pct"/>
            <w:tcBorders>
              <w:top w:val="single" w:sz="4" w:space="0" w:color="5B9BD5"/>
              <w:bottom w:val="single" w:sz="4" w:space="0" w:color="5B9BD5"/>
            </w:tcBorders>
            <w:shd w:val="clear" w:color="auto" w:fill="auto"/>
            <w:noWrap/>
          </w:tcPr>
          <w:p w14:paraId="1FD046FD" w14:textId="77777777" w:rsidR="000B7923" w:rsidRPr="005C6936" w:rsidRDefault="000B7923" w:rsidP="005C6936">
            <w:pPr>
              <w:ind w:right="190"/>
              <w:jc w:val="right"/>
              <w:rPr>
                <w:rFonts w:cs="Times New Roman"/>
                <w:color w:val="000000"/>
              </w:rPr>
            </w:pPr>
            <w:r w:rsidRPr="005C6936">
              <w:rPr>
                <w:rFonts w:cs="Times New Roman"/>
                <w:color w:val="000000"/>
              </w:rPr>
              <w:t>80</w:t>
            </w:r>
          </w:p>
        </w:tc>
        <w:tc>
          <w:tcPr>
            <w:tcW w:w="1504" w:type="pct"/>
            <w:tcBorders>
              <w:top w:val="single" w:sz="4" w:space="0" w:color="5B9BD5"/>
              <w:bottom w:val="single" w:sz="4" w:space="0" w:color="5B9BD5"/>
            </w:tcBorders>
            <w:shd w:val="clear" w:color="auto" w:fill="auto"/>
            <w:noWrap/>
          </w:tcPr>
          <w:p w14:paraId="144029E2" w14:textId="77777777" w:rsidR="000B7923" w:rsidRPr="005C6936" w:rsidRDefault="000B7923" w:rsidP="005C6936">
            <w:pPr>
              <w:ind w:right="1188"/>
              <w:jc w:val="right"/>
              <w:rPr>
                <w:rFonts w:cs="Times New Roman"/>
                <w:color w:val="000000"/>
              </w:rPr>
            </w:pPr>
            <w:r w:rsidRPr="005C6936">
              <w:rPr>
                <w:rFonts w:cs="Times New Roman"/>
                <w:color w:val="000000"/>
              </w:rPr>
              <w:t>1</w:t>
            </w:r>
          </w:p>
        </w:tc>
      </w:tr>
    </w:tbl>
    <w:p w14:paraId="4454EE1B" w14:textId="77777777" w:rsidR="000B7923" w:rsidRPr="008870E0" w:rsidRDefault="000B7923" w:rsidP="000C54BF">
      <w:pPr>
        <w:rPr>
          <w:rFonts w:cs="Times New Roman"/>
          <w:iCs/>
          <w:color w:val="000000"/>
          <w:sz w:val="20"/>
          <w:szCs w:val="20"/>
        </w:rPr>
      </w:pPr>
      <w:r w:rsidRPr="008870E0">
        <w:rPr>
          <w:rFonts w:cs="Times New Roman"/>
          <w:i/>
          <w:iCs/>
          <w:color w:val="000000"/>
          <w:sz w:val="20"/>
          <w:szCs w:val="20"/>
        </w:rPr>
        <w:t>Source</w:t>
      </w:r>
      <w:r w:rsidR="000B3B8A" w:rsidRPr="008870E0">
        <w:rPr>
          <w:rFonts w:cs="Times New Roman"/>
          <w:i/>
          <w:iCs/>
          <w:color w:val="000000"/>
          <w:sz w:val="20"/>
          <w:szCs w:val="20"/>
        </w:rPr>
        <w:t>s</w:t>
      </w:r>
      <w:r w:rsidRPr="008870E0">
        <w:rPr>
          <w:rFonts w:cs="Times New Roman"/>
          <w:i/>
          <w:iCs/>
          <w:color w:val="000000"/>
          <w:sz w:val="20"/>
          <w:szCs w:val="20"/>
        </w:rPr>
        <w:t xml:space="preserve">: </w:t>
      </w:r>
      <w:r w:rsidRPr="008870E0">
        <w:rPr>
          <w:rFonts w:cs="Times New Roman"/>
          <w:iCs/>
          <w:color w:val="000000"/>
          <w:sz w:val="20"/>
          <w:szCs w:val="20"/>
        </w:rPr>
        <w:t>GHK 2010 for Ukraine</w:t>
      </w:r>
      <w:r w:rsidR="00474A0C">
        <w:rPr>
          <w:rFonts w:cs="Times New Roman"/>
          <w:iCs/>
          <w:color w:val="000000"/>
          <w:sz w:val="20"/>
          <w:szCs w:val="20"/>
        </w:rPr>
        <w:t>;</w:t>
      </w:r>
      <w:r w:rsidRPr="008870E0">
        <w:rPr>
          <w:rFonts w:cs="Times New Roman"/>
          <w:iCs/>
          <w:color w:val="000000"/>
          <w:sz w:val="20"/>
          <w:szCs w:val="20"/>
        </w:rPr>
        <w:t xml:space="preserve"> </w:t>
      </w:r>
      <w:r w:rsidR="000B3B8A" w:rsidRPr="0061686D">
        <w:rPr>
          <w:rFonts w:cs="Times New Roman"/>
          <w:iCs/>
          <w:color w:val="000000"/>
          <w:sz w:val="20"/>
          <w:szCs w:val="20"/>
        </w:rPr>
        <w:t>I</w:t>
      </w:r>
      <w:r w:rsidRPr="008870E0">
        <w:rPr>
          <w:rFonts w:cs="Times New Roman"/>
          <w:iCs/>
          <w:color w:val="000000"/>
          <w:sz w:val="20"/>
          <w:szCs w:val="20"/>
        </w:rPr>
        <w:t xml:space="preserve">nformation from MENR </w:t>
      </w:r>
      <w:r w:rsidR="000C54BF" w:rsidRPr="008870E0">
        <w:rPr>
          <w:rFonts w:cs="Times New Roman"/>
          <w:iCs/>
          <w:color w:val="000000"/>
          <w:sz w:val="20"/>
          <w:szCs w:val="20"/>
        </w:rPr>
        <w:t xml:space="preserve">communication </w:t>
      </w:r>
      <w:r w:rsidRPr="008870E0">
        <w:rPr>
          <w:rFonts w:cs="Times New Roman"/>
          <w:iCs/>
          <w:color w:val="000000"/>
          <w:sz w:val="20"/>
          <w:szCs w:val="20"/>
        </w:rPr>
        <w:t xml:space="preserve">and </w:t>
      </w:r>
      <w:r w:rsidR="000B3B8A" w:rsidRPr="0061686D">
        <w:rPr>
          <w:rFonts w:cs="Times New Roman"/>
          <w:iCs/>
          <w:color w:val="000000"/>
          <w:sz w:val="20"/>
          <w:szCs w:val="20"/>
        </w:rPr>
        <w:t xml:space="preserve">Web </w:t>
      </w:r>
      <w:r w:rsidRPr="008870E0">
        <w:rPr>
          <w:rFonts w:cs="Times New Roman"/>
          <w:iCs/>
          <w:color w:val="000000"/>
          <w:sz w:val="20"/>
          <w:szCs w:val="20"/>
        </w:rPr>
        <w:t>site from April 2015.</w:t>
      </w:r>
    </w:p>
    <w:p w14:paraId="093F4F10" w14:textId="77777777" w:rsidR="000B7923" w:rsidRPr="008870E0" w:rsidRDefault="000B7923" w:rsidP="000C54BF">
      <w:pPr>
        <w:rPr>
          <w:rFonts w:cs="Times New Roman"/>
          <w:iCs/>
          <w:color w:val="000000"/>
          <w:sz w:val="20"/>
          <w:szCs w:val="20"/>
        </w:rPr>
      </w:pPr>
      <w:r w:rsidRPr="008870E0">
        <w:rPr>
          <w:rFonts w:cs="Times New Roman"/>
          <w:iCs/>
          <w:color w:val="000000"/>
          <w:sz w:val="20"/>
          <w:szCs w:val="20"/>
        </w:rPr>
        <w:t>*</w:t>
      </w:r>
      <w:r w:rsidR="00810F94" w:rsidRPr="008870E0">
        <w:rPr>
          <w:rFonts w:cs="Times New Roman"/>
          <w:i/>
          <w:iCs/>
          <w:color w:val="000000"/>
          <w:sz w:val="20"/>
          <w:szCs w:val="20"/>
        </w:rPr>
        <w:t>Note:</w:t>
      </w:r>
      <w:r w:rsidRPr="008870E0">
        <w:rPr>
          <w:rFonts w:cs="Times New Roman"/>
          <w:iCs/>
          <w:color w:val="000000"/>
          <w:sz w:val="20"/>
          <w:szCs w:val="20"/>
        </w:rPr>
        <w:t xml:space="preserve"> Expertise carried out by the MENR</w:t>
      </w:r>
      <w:r w:rsidR="00810F94" w:rsidRPr="0061686D">
        <w:rPr>
          <w:rFonts w:cs="Times New Roman"/>
          <w:iCs/>
          <w:color w:val="000000"/>
          <w:sz w:val="20"/>
          <w:szCs w:val="20"/>
        </w:rPr>
        <w:t>. T</w:t>
      </w:r>
      <w:r w:rsidRPr="008870E0">
        <w:rPr>
          <w:rFonts w:cs="Times New Roman"/>
          <w:iCs/>
          <w:color w:val="000000"/>
          <w:sz w:val="20"/>
          <w:szCs w:val="20"/>
        </w:rPr>
        <w:t xml:space="preserve">his figure does not include </w:t>
      </w:r>
      <w:r w:rsidR="000C54BF" w:rsidRPr="008870E0">
        <w:rPr>
          <w:rFonts w:cs="Times New Roman"/>
          <w:iCs/>
          <w:color w:val="000000"/>
          <w:sz w:val="20"/>
          <w:szCs w:val="20"/>
        </w:rPr>
        <w:t>SEE</w:t>
      </w:r>
      <w:r w:rsidRPr="008870E0">
        <w:rPr>
          <w:rFonts w:cs="Times New Roman"/>
          <w:iCs/>
          <w:color w:val="000000"/>
          <w:sz w:val="20"/>
          <w:szCs w:val="20"/>
        </w:rPr>
        <w:t xml:space="preserve"> carried out by the </w:t>
      </w:r>
      <w:proofErr w:type="spellStart"/>
      <w:r w:rsidRPr="008870E0">
        <w:rPr>
          <w:rFonts w:cs="Times New Roman"/>
          <w:iCs/>
          <w:color w:val="000000"/>
          <w:sz w:val="20"/>
          <w:szCs w:val="20"/>
        </w:rPr>
        <w:t>MinRegionBud</w:t>
      </w:r>
      <w:proofErr w:type="spellEnd"/>
      <w:r w:rsidRPr="008870E0">
        <w:rPr>
          <w:rFonts w:cs="Times New Roman"/>
          <w:iCs/>
          <w:color w:val="000000"/>
          <w:sz w:val="20"/>
          <w:szCs w:val="20"/>
        </w:rPr>
        <w:t xml:space="preserve"> and some OSAs.</w:t>
      </w:r>
    </w:p>
    <w:p w14:paraId="5CC8D6B4" w14:textId="77777777" w:rsidR="000B7923" w:rsidRPr="002B1DFC" w:rsidRDefault="000B7923" w:rsidP="00997C55">
      <w:pPr>
        <w:pBdr>
          <w:top w:val="single" w:sz="6" w:space="0" w:color="FFFFFF"/>
          <w:left w:val="single" w:sz="6" w:space="0" w:color="FFFFFF"/>
          <w:bottom w:val="single" w:sz="6" w:space="0" w:color="FFFFFF"/>
          <w:right w:val="single" w:sz="6" w:space="0" w:color="FFFFFF"/>
        </w:pBdr>
        <w:tabs>
          <w:tab w:val="left" w:pos="0"/>
          <w:tab w:val="left" w:pos="1410"/>
          <w:tab w:val="left" w:pos="2124"/>
          <w:tab w:val="left" w:pos="2832"/>
          <w:tab w:val="left" w:pos="3540"/>
          <w:tab w:val="left" w:pos="4248"/>
          <w:tab w:val="left" w:pos="4956"/>
          <w:tab w:val="left" w:pos="5664"/>
          <w:tab w:val="left" w:pos="6372"/>
          <w:tab w:val="left" w:pos="7080"/>
          <w:tab w:val="left" w:pos="7788"/>
          <w:tab w:val="left" w:pos="8496"/>
        </w:tabs>
        <w:rPr>
          <w:rFonts w:cs="Times New Roman"/>
        </w:rPr>
      </w:pPr>
    </w:p>
    <w:p w14:paraId="2920953B" w14:textId="77777777" w:rsidR="000B7923" w:rsidRPr="002B1DFC" w:rsidRDefault="000B7923" w:rsidP="00F55709">
      <w:pPr>
        <w:pStyle w:val="ListParagraph"/>
        <w:numPr>
          <w:ilvl w:val="0"/>
          <w:numId w:val="68"/>
        </w:numPr>
        <w:tabs>
          <w:tab w:val="left" w:pos="360"/>
        </w:tabs>
        <w:ind w:left="0" w:firstLine="0"/>
        <w:rPr>
          <w:rFonts w:cs="Times New Roman"/>
        </w:rPr>
      </w:pPr>
      <w:bookmarkStart w:id="107" w:name="_Toc419902108"/>
      <w:r w:rsidRPr="002B1DFC">
        <w:rPr>
          <w:rFonts w:cs="Times New Roman"/>
          <w:i/>
          <w:iCs/>
        </w:rPr>
        <w:t>Certification of EIA preparers.</w:t>
      </w:r>
      <w:r w:rsidRPr="002B1DFC">
        <w:rPr>
          <w:rFonts w:cs="Times New Roman"/>
          <w:b/>
          <w:bCs/>
          <w:i/>
          <w:iCs/>
        </w:rPr>
        <w:t xml:space="preserve"> </w:t>
      </w:r>
      <w:r w:rsidRPr="002B1DFC">
        <w:rPr>
          <w:rFonts w:cs="Times New Roman"/>
        </w:rPr>
        <w:t xml:space="preserve">The preparation of environmental assessment documentation (either OVNS or section of design documentation on environmental and social impacts) is the responsibility of project proponent. The developer of OVNS or section of documentation must be certified as </w:t>
      </w:r>
      <w:r w:rsidR="00D60574">
        <w:rPr>
          <w:rFonts w:cs="Times New Roman"/>
        </w:rPr>
        <w:t>“</w:t>
      </w:r>
      <w:r w:rsidRPr="002B1DFC">
        <w:rPr>
          <w:rFonts w:cs="Times New Roman"/>
        </w:rPr>
        <w:t>engineer-designer in the area of provision of safety for life and health of people, protection of environment</w:t>
      </w:r>
      <w:r w:rsidR="00D60574">
        <w:rPr>
          <w:rFonts w:cs="Times New Roman"/>
        </w:rPr>
        <w:t>”</w:t>
      </w:r>
      <w:r w:rsidRPr="002B1DFC">
        <w:rPr>
          <w:rStyle w:val="FootnoteReference"/>
        </w:rPr>
        <w:footnoteReference w:id="15"/>
      </w:r>
      <w:r w:rsidRPr="002B1DFC">
        <w:rPr>
          <w:rFonts w:cs="Times New Roman"/>
        </w:rPr>
        <w:t xml:space="preserve"> by the All-Ukrainian Center for Licensing and Certification in Civil Engineering</w:t>
      </w:r>
      <w:r w:rsidR="00BB1676">
        <w:rPr>
          <w:rFonts w:cs="Times New Roman"/>
        </w:rPr>
        <w:t>.</w:t>
      </w:r>
      <w:r w:rsidRPr="002B1DFC">
        <w:rPr>
          <w:rStyle w:val="FootnoteReference"/>
        </w:rPr>
        <w:footnoteReference w:id="16"/>
      </w:r>
      <w:r w:rsidRPr="002B1DFC">
        <w:rPr>
          <w:rFonts w:cs="Times New Roman"/>
        </w:rPr>
        <w:t xml:space="preserve"> Certificates are issued to qualified candidates with </w:t>
      </w:r>
      <w:r w:rsidR="00474A0C">
        <w:rPr>
          <w:rFonts w:cs="Times New Roman"/>
        </w:rPr>
        <w:t xml:space="preserve">a </w:t>
      </w:r>
      <w:r w:rsidRPr="002B1DFC">
        <w:rPr>
          <w:rFonts w:cs="Times New Roman"/>
        </w:rPr>
        <w:t>diploma in engineering and 3</w:t>
      </w:r>
      <w:r w:rsidR="00BB1676">
        <w:rPr>
          <w:rFonts w:cs="Times New Roman"/>
        </w:rPr>
        <w:t>–</w:t>
      </w:r>
      <w:r w:rsidRPr="002B1DFC">
        <w:rPr>
          <w:rFonts w:cs="Times New Roman"/>
        </w:rPr>
        <w:t xml:space="preserve">5 years of practical work experience, and upon </w:t>
      </w:r>
      <w:r w:rsidR="00474A0C">
        <w:rPr>
          <w:rFonts w:cs="Times New Roman"/>
        </w:rPr>
        <w:t xml:space="preserve">successful </w:t>
      </w:r>
      <w:r w:rsidRPr="002B1DFC">
        <w:rPr>
          <w:rFonts w:cs="Times New Roman"/>
        </w:rPr>
        <w:t xml:space="preserve">completion of </w:t>
      </w:r>
      <w:r w:rsidR="00474A0C">
        <w:rPr>
          <w:rFonts w:cs="Times New Roman"/>
        </w:rPr>
        <w:t xml:space="preserve">the </w:t>
      </w:r>
      <w:r w:rsidRPr="002B1DFC">
        <w:rPr>
          <w:rFonts w:cs="Times New Roman"/>
        </w:rPr>
        <w:t xml:space="preserve">respective training module and an assessment. This system replaced an earlier certification of firms system that required consulting firms to have a team of professionals. The current system does not have such criterion, which many EIA practitioners in Ukraine attribute for deterioration of EIA documentation. </w:t>
      </w:r>
    </w:p>
    <w:p w14:paraId="6209CD67" w14:textId="77777777" w:rsidR="000B7923" w:rsidRPr="002B1DFC" w:rsidRDefault="000B7923" w:rsidP="00B52D46">
      <w:pPr>
        <w:rPr>
          <w:rFonts w:cs="Times New Roman"/>
        </w:rPr>
      </w:pPr>
    </w:p>
    <w:p w14:paraId="2D19C182" w14:textId="44106397" w:rsidR="000B7923" w:rsidRPr="002B1DFC" w:rsidRDefault="000B7923" w:rsidP="004A510E">
      <w:pPr>
        <w:pStyle w:val="ListParagraph"/>
        <w:numPr>
          <w:ilvl w:val="0"/>
          <w:numId w:val="68"/>
        </w:numPr>
        <w:tabs>
          <w:tab w:val="left" w:pos="360"/>
        </w:tabs>
        <w:ind w:left="0" w:firstLine="0"/>
        <w:rPr>
          <w:rFonts w:cs="Times New Roman"/>
        </w:rPr>
      </w:pPr>
      <w:r w:rsidRPr="002B1DFC">
        <w:rPr>
          <w:rFonts w:cs="Times New Roman"/>
        </w:rPr>
        <w:lastRenderedPageBreak/>
        <w:t xml:space="preserve">EIA is prepared either by </w:t>
      </w:r>
      <w:r w:rsidR="00474A0C">
        <w:rPr>
          <w:rFonts w:cs="Times New Roman"/>
        </w:rPr>
        <w:t xml:space="preserve">the </w:t>
      </w:r>
      <w:r w:rsidRPr="002B1DFC">
        <w:rPr>
          <w:rFonts w:cs="Times New Roman"/>
        </w:rPr>
        <w:t xml:space="preserve">organization </w:t>
      </w:r>
      <w:r w:rsidR="00474A0C">
        <w:rPr>
          <w:rFonts w:cs="Times New Roman"/>
        </w:rPr>
        <w:t>that</w:t>
      </w:r>
      <w:r w:rsidR="00474A0C" w:rsidRPr="002B1DFC">
        <w:rPr>
          <w:rFonts w:cs="Times New Roman"/>
        </w:rPr>
        <w:t xml:space="preserve"> </w:t>
      </w:r>
      <w:r w:rsidRPr="002B1DFC">
        <w:rPr>
          <w:rFonts w:cs="Times New Roman"/>
        </w:rPr>
        <w:t xml:space="preserve">develops </w:t>
      </w:r>
      <w:r w:rsidR="00474A0C">
        <w:rPr>
          <w:rFonts w:cs="Times New Roman"/>
        </w:rPr>
        <w:t xml:space="preserve">the </w:t>
      </w:r>
      <w:r w:rsidRPr="002B1DFC">
        <w:rPr>
          <w:rFonts w:cs="Times New Roman"/>
        </w:rPr>
        <w:t xml:space="preserve">overall design, or by specialized consultancy firms. As a rule, large design firms have licenses for </w:t>
      </w:r>
      <w:r w:rsidR="00474A0C">
        <w:rPr>
          <w:rFonts w:cs="Times New Roman"/>
        </w:rPr>
        <w:t>preparing</w:t>
      </w:r>
      <w:r w:rsidRPr="002B1DFC">
        <w:rPr>
          <w:rFonts w:cs="Times New Roman"/>
        </w:rPr>
        <w:t xml:space="preserve"> OVNS, as well as for all accompanying works (like </w:t>
      </w:r>
      <w:r w:rsidR="00474A0C">
        <w:rPr>
          <w:rFonts w:cs="Times New Roman"/>
        </w:rPr>
        <w:t xml:space="preserve">the </w:t>
      </w:r>
      <w:r w:rsidRPr="002B1DFC">
        <w:rPr>
          <w:rFonts w:cs="Times New Roman"/>
        </w:rPr>
        <w:t xml:space="preserve">engineering survey, </w:t>
      </w:r>
      <w:proofErr w:type="spellStart"/>
      <w:r w:rsidRPr="002B1DFC">
        <w:rPr>
          <w:rFonts w:cs="Times New Roman"/>
        </w:rPr>
        <w:t>technogenic</w:t>
      </w:r>
      <w:proofErr w:type="spellEnd"/>
      <w:r w:rsidRPr="002B1DFC">
        <w:rPr>
          <w:rFonts w:cs="Times New Roman"/>
        </w:rPr>
        <w:t xml:space="preserve"> and fire safety</w:t>
      </w:r>
      <w:r w:rsidR="00474A0C">
        <w:rPr>
          <w:rFonts w:cs="Times New Roman"/>
        </w:rPr>
        <w:t xml:space="preserve"> works, and so forth</w:t>
      </w:r>
      <w:r w:rsidRPr="002B1DFC">
        <w:rPr>
          <w:rFonts w:cs="Times New Roman"/>
        </w:rPr>
        <w:t xml:space="preserve">), so they develop OVNS together with design documentation. Small companies subcontract specialized companies to do the </w:t>
      </w:r>
      <w:r w:rsidR="00474A0C">
        <w:rPr>
          <w:rFonts w:cs="Times New Roman"/>
        </w:rPr>
        <w:t>work</w:t>
      </w:r>
      <w:r w:rsidRPr="002B1DFC">
        <w:rPr>
          <w:rFonts w:cs="Times New Roman"/>
        </w:rPr>
        <w:t xml:space="preserve">. </w:t>
      </w:r>
      <w:r w:rsidR="00474A0C">
        <w:rPr>
          <w:rFonts w:cs="Times New Roman"/>
        </w:rPr>
        <w:t>Currently</w:t>
      </w:r>
      <w:r w:rsidRPr="002B1DFC">
        <w:rPr>
          <w:rFonts w:cs="Times New Roman"/>
        </w:rPr>
        <w:t xml:space="preserve">, because there is no requirement to have </w:t>
      </w:r>
      <w:r w:rsidR="00474A0C">
        <w:rPr>
          <w:rFonts w:cs="Times New Roman"/>
        </w:rPr>
        <w:t xml:space="preserve">a </w:t>
      </w:r>
      <w:r w:rsidRPr="002B1DFC">
        <w:rPr>
          <w:rFonts w:cs="Times New Roman"/>
        </w:rPr>
        <w:t xml:space="preserve">license, small companies can have one or two certified engineers </w:t>
      </w:r>
      <w:r w:rsidR="00474A0C">
        <w:rPr>
          <w:rFonts w:cs="Times New Roman"/>
        </w:rPr>
        <w:t>o</w:t>
      </w:r>
      <w:r w:rsidRPr="002B1DFC">
        <w:rPr>
          <w:rFonts w:cs="Times New Roman"/>
        </w:rPr>
        <w:t xml:space="preserve">n their staff and develop </w:t>
      </w:r>
      <w:r w:rsidRPr="004A510E">
        <w:rPr>
          <w:rFonts w:cs="Times New Roman"/>
        </w:rPr>
        <w:t xml:space="preserve">OVNS by themselves. </w:t>
      </w:r>
      <w:r w:rsidR="00474A0C" w:rsidRPr="004A510E">
        <w:rPr>
          <w:rFonts w:cs="Times New Roman"/>
        </w:rPr>
        <w:t>A</w:t>
      </w:r>
      <w:r w:rsidRPr="004A510E">
        <w:rPr>
          <w:rFonts w:cs="Times New Roman"/>
        </w:rPr>
        <w:t xml:space="preserve"> number of consultancies in all oblasts that offer services of preparing OVNS, usually such companies also can conduct environmental audit, and prepare documents for obtaining permits.</w:t>
      </w:r>
      <w:r w:rsidR="0046248F" w:rsidRPr="004A510E">
        <w:rPr>
          <w:rFonts w:cs="Times New Roman"/>
        </w:rPr>
        <w:t xml:space="preserve"> The procedures described in paragraphs 212-213 apply only to construction projects and do not include areas such as mining (</w:t>
      </w:r>
      <w:r w:rsidR="004A510E" w:rsidRPr="004A510E">
        <w:rPr>
          <w:rFonts w:cs="Times New Roman"/>
        </w:rPr>
        <w:t>boreholes</w:t>
      </w:r>
      <w:r w:rsidR="0046248F" w:rsidRPr="004A510E">
        <w:rPr>
          <w:rFonts w:cs="Times New Roman"/>
        </w:rPr>
        <w:t>, quarries, mines) and other activities (</w:t>
      </w:r>
      <w:r w:rsidR="009E5CFE" w:rsidRPr="004A510E">
        <w:rPr>
          <w:rFonts w:cs="Times New Roman"/>
        </w:rPr>
        <w:t xml:space="preserve">for example, </w:t>
      </w:r>
      <w:r w:rsidR="0046248F" w:rsidRPr="004A510E">
        <w:rPr>
          <w:rFonts w:cs="Times New Roman"/>
        </w:rPr>
        <w:t xml:space="preserve">hazardous waste management, </w:t>
      </w:r>
      <w:r w:rsidR="004A510E" w:rsidRPr="004A510E">
        <w:rPr>
          <w:rFonts w:cs="Times New Roman"/>
        </w:rPr>
        <w:t>activities</w:t>
      </w:r>
      <w:r w:rsidR="0046248F" w:rsidRPr="004A510E">
        <w:rPr>
          <w:rFonts w:cs="Times New Roman"/>
        </w:rPr>
        <w:t xml:space="preserve"> </w:t>
      </w:r>
      <w:r w:rsidR="004A510E" w:rsidRPr="004A510E">
        <w:rPr>
          <w:rFonts w:cs="Times New Roman"/>
        </w:rPr>
        <w:t>in</w:t>
      </w:r>
      <w:r w:rsidR="0046248F" w:rsidRPr="004A510E">
        <w:rPr>
          <w:rFonts w:cs="Times New Roman"/>
        </w:rPr>
        <w:t xml:space="preserve"> water fund lands, etc.)</w:t>
      </w:r>
    </w:p>
    <w:p w14:paraId="502170F1" w14:textId="77777777" w:rsidR="000B7923" w:rsidRPr="002B1DFC" w:rsidRDefault="000B7923" w:rsidP="002632BD">
      <w:pPr>
        <w:rPr>
          <w:rFonts w:cs="Times New Roman"/>
          <w:b/>
          <w:bCs/>
          <w:i/>
          <w:iCs/>
        </w:rPr>
      </w:pPr>
    </w:p>
    <w:p w14:paraId="2DF6A9CA"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i/>
          <w:iCs/>
        </w:rPr>
        <w:t>Education and professional training</w:t>
      </w:r>
      <w:bookmarkEnd w:id="107"/>
      <w:r w:rsidRPr="002B1DFC">
        <w:rPr>
          <w:rFonts w:cs="Times New Roman"/>
          <w:i/>
          <w:iCs/>
        </w:rPr>
        <w:t>.</w:t>
      </w:r>
      <w:r w:rsidRPr="002B1DFC">
        <w:rPr>
          <w:rFonts w:cs="Times New Roman"/>
          <w:b/>
          <w:bCs/>
          <w:i/>
          <w:iCs/>
        </w:rPr>
        <w:t xml:space="preserve"> </w:t>
      </w:r>
      <w:r w:rsidRPr="002B1DFC">
        <w:rPr>
          <w:rFonts w:cs="Times New Roman"/>
        </w:rPr>
        <w:t xml:space="preserve">At present, there is no university degree </w:t>
      </w:r>
      <w:r w:rsidR="00472EE8">
        <w:rPr>
          <w:rFonts w:cs="Times New Roman"/>
        </w:rPr>
        <w:t>in</w:t>
      </w:r>
      <w:r w:rsidRPr="002B1DFC">
        <w:rPr>
          <w:rFonts w:cs="Times New Roman"/>
        </w:rPr>
        <w:t xml:space="preserve"> EIA or environmental expertise, but elective courses at the undergraduate and master’s levels are offered in several universities as part of majors in ecology and environmental protection</w:t>
      </w:r>
      <w:r w:rsidR="00472EE8">
        <w:rPr>
          <w:rFonts w:cs="Times New Roman"/>
        </w:rPr>
        <w:t>.</w:t>
      </w:r>
      <w:r w:rsidRPr="002B1DFC">
        <w:rPr>
          <w:rStyle w:val="FootnoteReference"/>
        </w:rPr>
        <w:footnoteReference w:id="17"/>
      </w:r>
      <w:r w:rsidRPr="002B1DFC">
        <w:rPr>
          <w:rFonts w:cs="Times New Roman"/>
        </w:rPr>
        <w:t xml:space="preserve"> The All-Ukrainian Center for Licensing and Certification provides additional post-diploma training and issue</w:t>
      </w:r>
      <w:r w:rsidR="00D60574">
        <w:rPr>
          <w:rFonts w:cs="Times New Roman"/>
        </w:rPr>
        <w:t>s</w:t>
      </w:r>
      <w:r w:rsidRPr="002B1DFC">
        <w:rPr>
          <w:rFonts w:cs="Times New Roman"/>
        </w:rPr>
        <w:t xml:space="preserve"> a certificate of </w:t>
      </w:r>
      <w:r w:rsidR="00D60574">
        <w:rPr>
          <w:rFonts w:cs="Times New Roman"/>
        </w:rPr>
        <w:t>“</w:t>
      </w:r>
      <w:r w:rsidRPr="002B1DFC">
        <w:rPr>
          <w:rFonts w:cs="Times New Roman"/>
        </w:rPr>
        <w:t>engineer-designer in the area of provision of safety for life and health of people, protection of environment</w:t>
      </w:r>
      <w:r w:rsidR="00D60574">
        <w:rPr>
          <w:rFonts w:cs="Times New Roman"/>
        </w:rPr>
        <w:t>,”</w:t>
      </w:r>
      <w:r w:rsidRPr="002B1DFC">
        <w:rPr>
          <w:rFonts w:cs="Times New Roman"/>
        </w:rPr>
        <w:t xml:space="preserve"> which is required for preparing OVNS. </w:t>
      </w:r>
    </w:p>
    <w:p w14:paraId="6ADC74DC" w14:textId="77777777" w:rsidR="000B7923" w:rsidRPr="002B1DFC" w:rsidRDefault="000B7923" w:rsidP="002632BD">
      <w:pPr>
        <w:rPr>
          <w:rFonts w:cs="Times New Roman"/>
        </w:rPr>
      </w:pPr>
    </w:p>
    <w:p w14:paraId="267C0AE4" w14:textId="77777777" w:rsidR="000B7923" w:rsidRPr="002B1DFC" w:rsidRDefault="000B7923" w:rsidP="00F55709">
      <w:pPr>
        <w:pStyle w:val="ListParagraph"/>
        <w:numPr>
          <w:ilvl w:val="0"/>
          <w:numId w:val="68"/>
        </w:numPr>
        <w:tabs>
          <w:tab w:val="left" w:pos="360"/>
        </w:tabs>
        <w:ind w:left="0" w:firstLine="0"/>
      </w:pPr>
      <w:r w:rsidRPr="002B1DFC">
        <w:t>Within the MENR</w:t>
      </w:r>
      <w:r w:rsidR="00472EE8">
        <w:t xml:space="preserve"> system</w:t>
      </w:r>
      <w:r w:rsidRPr="002B1DFC">
        <w:t>, the State Ecological Academy of Post-Diploma Education and Management</w:t>
      </w:r>
      <w:r w:rsidRPr="002B1DFC">
        <w:rPr>
          <w:rStyle w:val="FootnoteReference"/>
          <w:sz w:val="20"/>
          <w:szCs w:val="20"/>
        </w:rPr>
        <w:footnoteReference w:id="18"/>
      </w:r>
      <w:r w:rsidRPr="002B1DFC">
        <w:t xml:space="preserve"> (SEAPDEM</w:t>
      </w:r>
      <w:r w:rsidRPr="002B1DFC">
        <w:rPr>
          <w:iCs/>
        </w:rPr>
        <w:t>)</w:t>
      </w:r>
      <w:r w:rsidRPr="002B1DFC">
        <w:t>, offers a number of training courses, including a course in environmental expertise. Similar post-diploma courses are offered also by numerous other universities in all oblasts of Ukraine (usually ecological expertise course contains also a section on preparation of OVNS). At SEAPDEM, the Chair of Ecological Management, Standardization</w:t>
      </w:r>
      <w:r w:rsidR="00472EE8">
        <w:t>,</w:t>
      </w:r>
      <w:r w:rsidRPr="002B1DFC">
        <w:t xml:space="preserve"> and Certification of the Institute of Ecological Safety and Management</w:t>
      </w:r>
      <w:r w:rsidR="00472EE8">
        <w:t xml:space="preserve"> teaches a course on environmental expertise</w:t>
      </w:r>
      <w:r w:rsidRPr="002B1DFC">
        <w:t>. Key audience</w:t>
      </w:r>
      <w:r w:rsidR="00472EE8">
        <w:t>s</w:t>
      </w:r>
      <w:r w:rsidRPr="002B1DFC">
        <w:t xml:space="preserve"> include MENR staff, senior officials</w:t>
      </w:r>
      <w:r w:rsidR="00472EE8">
        <w:t>,</w:t>
      </w:r>
      <w:r w:rsidRPr="002B1DFC">
        <w:t xml:space="preserve"> and specialists </w:t>
      </w:r>
      <w:r w:rsidR="00472EE8">
        <w:t>from</w:t>
      </w:r>
      <w:r w:rsidR="00472EE8" w:rsidRPr="002B1DFC">
        <w:t xml:space="preserve"> </w:t>
      </w:r>
      <w:r w:rsidRPr="002B1DFC">
        <w:t>other central and regional organs of government, and private sector staff and management. There is no information on the number of trainees who graduated and their employment.</w:t>
      </w:r>
    </w:p>
    <w:p w14:paraId="7FBAA71D" w14:textId="77777777" w:rsidR="000B7923" w:rsidRPr="002B1DFC" w:rsidRDefault="000B7923" w:rsidP="009732EC"/>
    <w:p w14:paraId="36A9FF05" w14:textId="77777777" w:rsidR="000B7923" w:rsidRPr="002B1DFC" w:rsidRDefault="000B7923" w:rsidP="00F55709">
      <w:pPr>
        <w:pStyle w:val="ListParagraph"/>
        <w:numPr>
          <w:ilvl w:val="0"/>
          <w:numId w:val="68"/>
        </w:numPr>
        <w:tabs>
          <w:tab w:val="left" w:pos="360"/>
        </w:tabs>
        <w:ind w:left="0" w:firstLine="0"/>
      </w:pPr>
      <w:r w:rsidRPr="002B1DFC">
        <w:t>From 1994</w:t>
      </w:r>
      <w:r w:rsidR="00BB1676">
        <w:t xml:space="preserve"> to </w:t>
      </w:r>
      <w:r w:rsidRPr="002B1DFC">
        <w:t xml:space="preserve">2001, within the framework of a cooperation agreement between </w:t>
      </w:r>
      <w:r w:rsidR="00472EE8">
        <w:t xml:space="preserve">the </w:t>
      </w:r>
      <w:r w:rsidRPr="002B1DFC">
        <w:t xml:space="preserve">US EPA and the Ministry of Environment of Ukraine, a series of 3-day EPA training courses </w:t>
      </w:r>
      <w:r w:rsidR="00D60574">
        <w:t>“</w:t>
      </w:r>
      <w:r w:rsidRPr="002B1DFC">
        <w:t>Principles of EIA</w:t>
      </w:r>
      <w:r w:rsidR="00D60574">
        <w:t>”</w:t>
      </w:r>
      <w:r w:rsidRPr="002B1DFC">
        <w:t xml:space="preserve"> were delivered to mixed groups of trainees (officials of the MENR and other government organs, </w:t>
      </w:r>
      <w:r w:rsidR="00472EE8">
        <w:t xml:space="preserve">and </w:t>
      </w:r>
      <w:r w:rsidRPr="002B1DFC">
        <w:t>representatives of local authorities</w:t>
      </w:r>
      <w:r w:rsidR="00472EE8">
        <w:t>,</w:t>
      </w:r>
      <w:r w:rsidRPr="002B1DFC">
        <w:t xml:space="preserve"> business, academia</w:t>
      </w:r>
      <w:r w:rsidR="00472EE8">
        <w:t>,</w:t>
      </w:r>
      <w:r w:rsidRPr="002B1DFC">
        <w:t xml:space="preserve"> and NGOs). However, later deliver</w:t>
      </w:r>
      <w:r w:rsidR="00472EE8">
        <w:t>y</w:t>
      </w:r>
      <w:r w:rsidRPr="002B1DFC">
        <w:t xml:space="preserve"> of these trainings was discontinued. In the framework of the same agreement, a demonstration project of preparing EIA according to internationally recognized standards was carried out from 1997</w:t>
      </w:r>
      <w:r w:rsidR="00BB1676">
        <w:t xml:space="preserve"> to </w:t>
      </w:r>
      <w:r w:rsidRPr="002B1DFC">
        <w:t xml:space="preserve">2001, but the MENR has not incorporated </w:t>
      </w:r>
      <w:r w:rsidR="00472EE8">
        <w:t>the</w:t>
      </w:r>
      <w:r w:rsidRPr="002B1DFC">
        <w:t xml:space="preserve"> lessons learned from this project</w:t>
      </w:r>
      <w:r w:rsidR="00472EE8">
        <w:t xml:space="preserve"> into its work</w:t>
      </w:r>
      <w:r w:rsidRPr="002B1DFC">
        <w:t xml:space="preserve">. Perhaps the major achievement of the project was introducing procedures of information dissemination and public consultations in the revised version of state construction norms on OVNS, issued in 2003 (DBN A.2.2-1-2003). </w:t>
      </w:r>
    </w:p>
    <w:p w14:paraId="32A9237B" w14:textId="77777777" w:rsidR="000B7923" w:rsidRPr="00C91AC7" w:rsidRDefault="000B7923" w:rsidP="006C6F6A">
      <w:pPr>
        <w:rPr>
          <w:rFonts w:cs="Times New Roman"/>
          <w:color w:val="000000" w:themeColor="text1"/>
        </w:rPr>
      </w:pPr>
    </w:p>
    <w:p w14:paraId="1DC2F629" w14:textId="77777777" w:rsidR="000B7923" w:rsidRPr="00F55709" w:rsidRDefault="000B7923" w:rsidP="00F55709">
      <w:pPr>
        <w:pStyle w:val="ListParagraph"/>
        <w:numPr>
          <w:ilvl w:val="0"/>
          <w:numId w:val="68"/>
        </w:numPr>
        <w:tabs>
          <w:tab w:val="left" w:pos="360"/>
        </w:tabs>
        <w:ind w:left="0" w:firstLine="0"/>
        <w:rPr>
          <w:rFonts w:cs="Times New Roman"/>
        </w:rPr>
      </w:pPr>
      <w:bookmarkStart w:id="108" w:name="_Toc419902109"/>
      <w:r w:rsidRPr="00F55709">
        <w:rPr>
          <w:rFonts w:cs="Times New Roman"/>
          <w:i/>
          <w:iCs/>
        </w:rPr>
        <w:t>Approximation of Ukrainian legislation to EU legislation</w:t>
      </w:r>
      <w:bookmarkEnd w:id="108"/>
      <w:r w:rsidRPr="00F55709">
        <w:rPr>
          <w:rFonts w:cs="Times New Roman"/>
          <w:i/>
          <w:iCs/>
        </w:rPr>
        <w:t xml:space="preserve">. </w:t>
      </w:r>
      <w:r w:rsidRPr="00F55709">
        <w:rPr>
          <w:rFonts w:cs="Times New Roman"/>
        </w:rPr>
        <w:t>In September 2014, Ukraine ratified the signature of the EU</w:t>
      </w:r>
      <w:r w:rsidR="00472EE8" w:rsidRPr="00F55709">
        <w:rPr>
          <w:rFonts w:cs="Times New Roman"/>
        </w:rPr>
        <w:t>–</w:t>
      </w:r>
      <w:r w:rsidRPr="00F55709">
        <w:rPr>
          <w:rFonts w:cs="Times New Roman"/>
        </w:rPr>
        <w:t xml:space="preserve">Ukraine Association Agreement. Under this Agreement, Ukraine will cooperate with </w:t>
      </w:r>
      <w:r w:rsidR="00472EE8" w:rsidRPr="00F55709">
        <w:rPr>
          <w:rFonts w:cs="Times New Roman"/>
        </w:rPr>
        <w:t xml:space="preserve">the </w:t>
      </w:r>
      <w:r w:rsidRPr="00F55709">
        <w:rPr>
          <w:rFonts w:cs="Times New Roman"/>
        </w:rPr>
        <w:t xml:space="preserve">EU on </w:t>
      </w:r>
      <w:r w:rsidRPr="00F55709">
        <w:t>environmental</w:t>
      </w:r>
      <w:r w:rsidRPr="00F55709">
        <w:rPr>
          <w:rFonts w:cs="Times New Roman"/>
        </w:rPr>
        <w:t xml:space="preserve"> issues, and Title 5</w:t>
      </w:r>
      <w:r w:rsidR="00D072BB" w:rsidRPr="00F55709">
        <w:rPr>
          <w:rFonts w:cs="Times New Roman"/>
        </w:rPr>
        <w:t xml:space="preserve"> “Economic and Sector Cooperation”</w:t>
      </w:r>
      <w:r w:rsidRPr="00F55709">
        <w:rPr>
          <w:rFonts w:cs="Times New Roman"/>
        </w:rPr>
        <w:t xml:space="preserve">, Chapter 6 </w:t>
      </w:r>
      <w:r w:rsidR="00D60574" w:rsidRPr="00F55709">
        <w:rPr>
          <w:rFonts w:cs="Times New Roman"/>
        </w:rPr>
        <w:t>“</w:t>
      </w:r>
      <w:r w:rsidRPr="00F55709">
        <w:rPr>
          <w:rFonts w:cs="Times New Roman"/>
        </w:rPr>
        <w:t>Environment</w:t>
      </w:r>
      <w:r w:rsidR="00D60574" w:rsidRPr="00F55709">
        <w:rPr>
          <w:rFonts w:cs="Times New Roman"/>
        </w:rPr>
        <w:t>”</w:t>
      </w:r>
      <w:r w:rsidR="00D072BB" w:rsidRPr="00F55709">
        <w:rPr>
          <w:rFonts w:cs="Times New Roman"/>
        </w:rPr>
        <w:t xml:space="preserve"> of the Agreement</w:t>
      </w:r>
      <w:r w:rsidR="00472EE8" w:rsidRPr="00F55709">
        <w:rPr>
          <w:rFonts w:cs="Times New Roman"/>
        </w:rPr>
        <w:t xml:space="preserve"> defines the scope of this cooperation</w:t>
      </w:r>
      <w:r w:rsidRPr="00F55709">
        <w:rPr>
          <w:rFonts w:cs="Times New Roman"/>
        </w:rPr>
        <w:t xml:space="preserve">.  Article 363 of this chapter states that </w:t>
      </w:r>
      <w:r w:rsidR="00D60574" w:rsidRPr="00F55709">
        <w:rPr>
          <w:rFonts w:cs="Times New Roman"/>
        </w:rPr>
        <w:t>“</w:t>
      </w:r>
      <w:r w:rsidRPr="00F55709">
        <w:rPr>
          <w:rFonts w:cs="Times New Roman"/>
        </w:rPr>
        <w:t>Gradual approximation of Ukrainian legislation to EU law and policy on environment shall proceed in accordance with Annex XXX to this Agreement</w:t>
      </w:r>
      <w:r w:rsidR="00472EE8" w:rsidRPr="00F55709">
        <w:rPr>
          <w:rFonts w:cs="Times New Roman"/>
        </w:rPr>
        <w:t>.”</w:t>
      </w:r>
      <w:r w:rsidRPr="00F55709">
        <w:rPr>
          <w:rFonts w:cs="Times New Roman"/>
        </w:rPr>
        <w:t xml:space="preserve"> The MENR prepared a plan for implementation of the Agreement in areas within the responsibility of MENR. </w:t>
      </w:r>
      <w:r w:rsidR="00472EE8" w:rsidRPr="00F55709">
        <w:rPr>
          <w:rFonts w:cs="Times New Roman"/>
        </w:rPr>
        <w:t>The</w:t>
      </w:r>
      <w:r w:rsidRPr="00F55709">
        <w:rPr>
          <w:rFonts w:cs="Times New Roman"/>
        </w:rPr>
        <w:t xml:space="preserve"> Order of the Minister </w:t>
      </w:r>
      <w:r w:rsidR="00472EE8" w:rsidRPr="00F55709">
        <w:rPr>
          <w:rFonts w:cs="Times New Roman"/>
        </w:rPr>
        <w:t>N</w:t>
      </w:r>
      <w:r w:rsidRPr="00F55709">
        <w:rPr>
          <w:rFonts w:cs="Times New Roman"/>
        </w:rPr>
        <w:t>o. 317</w:t>
      </w:r>
      <w:r w:rsidR="002B327E" w:rsidRPr="00F55709">
        <w:rPr>
          <w:rFonts w:cs="Times New Roman"/>
        </w:rPr>
        <w:t xml:space="preserve"> on Implementation of EU–Ukraine Agreement</w:t>
      </w:r>
      <w:r w:rsidRPr="00F55709">
        <w:rPr>
          <w:rFonts w:cs="Times New Roman"/>
        </w:rPr>
        <w:t xml:space="preserve"> (2014) </w:t>
      </w:r>
      <w:r w:rsidR="00472EE8" w:rsidRPr="00F55709">
        <w:rPr>
          <w:rFonts w:cs="Times New Roman"/>
        </w:rPr>
        <w:t xml:space="preserve">approves this plan </w:t>
      </w:r>
      <w:r w:rsidRPr="00F55709">
        <w:rPr>
          <w:rFonts w:cs="Times New Roman"/>
        </w:rPr>
        <w:t xml:space="preserve">and </w:t>
      </w:r>
      <w:r w:rsidR="00D31370" w:rsidRPr="00F55709">
        <w:rPr>
          <w:rFonts w:cs="Times New Roman"/>
        </w:rPr>
        <w:t>the order</w:t>
      </w:r>
      <w:r w:rsidRPr="00F55709">
        <w:rPr>
          <w:rFonts w:cs="Times New Roman"/>
        </w:rPr>
        <w:t xml:space="preserve"> includes provisions for adaptation of Ukrainian legislation to the requirements of EU Directives: 2011/92/EU (EIA), 2001/42/EC (SEA), and 2003/4/EC on public access to environmental information among others. In accordance with the</w:t>
      </w:r>
      <w:r w:rsidR="00472EE8" w:rsidRPr="00F55709">
        <w:rPr>
          <w:rFonts w:cs="Times New Roman"/>
        </w:rPr>
        <w:t xml:space="preserve"> p</w:t>
      </w:r>
      <w:r w:rsidRPr="00F55709">
        <w:rPr>
          <w:rFonts w:cs="Times New Roman"/>
        </w:rPr>
        <w:t xml:space="preserve">lan, a draft EIA </w:t>
      </w:r>
      <w:r w:rsidR="00472EE8" w:rsidRPr="00F55709">
        <w:rPr>
          <w:rFonts w:cs="Times New Roman"/>
        </w:rPr>
        <w:t>l</w:t>
      </w:r>
      <w:r w:rsidRPr="00F55709">
        <w:rPr>
          <w:rFonts w:cs="Times New Roman"/>
        </w:rPr>
        <w:t xml:space="preserve">aw </w:t>
      </w:r>
      <w:r w:rsidRPr="00F55709">
        <w:rPr>
          <w:rFonts w:cs="Times New Roman"/>
        </w:rPr>
        <w:lastRenderedPageBreak/>
        <w:t xml:space="preserve">was prepared and public consultation on this draft was held in April 2015. </w:t>
      </w:r>
      <w:r w:rsidR="00D31370" w:rsidRPr="00F55709">
        <w:rPr>
          <w:rFonts w:cs="Times New Roman"/>
        </w:rPr>
        <w:t xml:space="preserve">The </w:t>
      </w:r>
      <w:r w:rsidR="00472EE8" w:rsidRPr="00F55709">
        <w:rPr>
          <w:rFonts w:cs="Times New Roman"/>
        </w:rPr>
        <w:t>l</w:t>
      </w:r>
      <w:r w:rsidRPr="00F55709">
        <w:rPr>
          <w:rFonts w:cs="Times New Roman"/>
        </w:rPr>
        <w:t xml:space="preserve">aw </w:t>
      </w:r>
      <w:r w:rsidR="00D31370" w:rsidRPr="00F55709">
        <w:rPr>
          <w:rFonts w:cs="Times New Roman"/>
        </w:rPr>
        <w:t>was not</w:t>
      </w:r>
      <w:r w:rsidRPr="00F55709">
        <w:rPr>
          <w:rFonts w:cs="Times New Roman"/>
        </w:rPr>
        <w:t xml:space="preserve"> passed in June 2015 (as envisaged by the </w:t>
      </w:r>
      <w:r w:rsidR="00472EE8" w:rsidRPr="00F55709">
        <w:rPr>
          <w:rFonts w:cs="Times New Roman"/>
        </w:rPr>
        <w:t>p</w:t>
      </w:r>
      <w:r w:rsidRPr="00F55709">
        <w:rPr>
          <w:rFonts w:cs="Times New Roman"/>
        </w:rPr>
        <w:t xml:space="preserve">lan), </w:t>
      </w:r>
      <w:r w:rsidR="00D31370" w:rsidRPr="00F55709">
        <w:rPr>
          <w:rFonts w:cs="Times New Roman"/>
        </w:rPr>
        <w:t xml:space="preserve">and the </w:t>
      </w:r>
      <w:r w:rsidRPr="00F55709">
        <w:rPr>
          <w:rFonts w:cs="Times New Roman"/>
        </w:rPr>
        <w:t xml:space="preserve">draft has not </w:t>
      </w:r>
      <w:r w:rsidR="00472EE8" w:rsidRPr="00F55709">
        <w:rPr>
          <w:rFonts w:cs="Times New Roman"/>
        </w:rPr>
        <w:t xml:space="preserve">yet </w:t>
      </w:r>
      <w:r w:rsidRPr="00F55709">
        <w:rPr>
          <w:rFonts w:cs="Times New Roman"/>
        </w:rPr>
        <w:t>been passed to the Parliament Committee on the Environment</w:t>
      </w:r>
      <w:r w:rsidR="00D31370" w:rsidRPr="00F55709">
        <w:rPr>
          <w:rFonts w:cs="Times New Roman"/>
        </w:rPr>
        <w:t xml:space="preserve"> (as of June 2015)</w:t>
      </w:r>
      <w:r w:rsidRPr="00F55709">
        <w:rPr>
          <w:rFonts w:cs="Times New Roman"/>
        </w:rPr>
        <w:t xml:space="preserve">. </w:t>
      </w:r>
      <w:r w:rsidR="00472EE8" w:rsidRPr="00F55709">
        <w:rPr>
          <w:rFonts w:cs="Times New Roman"/>
        </w:rPr>
        <w:t>A s</w:t>
      </w:r>
      <w:r w:rsidRPr="00F55709">
        <w:rPr>
          <w:rFonts w:cs="Times New Roman"/>
        </w:rPr>
        <w:t>imilar situation exists with the Law on Strategic Environmental Assessment (due date December 2015). The preparation of the draft has been completed, but consultations have not been scheduled yet</w:t>
      </w:r>
      <w:r w:rsidR="00D31370" w:rsidRPr="00F55709">
        <w:rPr>
          <w:rFonts w:cs="Times New Roman"/>
        </w:rPr>
        <w:t xml:space="preserve"> as of June 2015</w:t>
      </w:r>
      <w:r w:rsidRPr="00F55709">
        <w:rPr>
          <w:rFonts w:cs="Times New Roman"/>
        </w:rPr>
        <w:t xml:space="preserve">. </w:t>
      </w:r>
    </w:p>
    <w:p w14:paraId="5B6A3984" w14:textId="77777777" w:rsidR="00DC2622" w:rsidRPr="00DC2622" w:rsidRDefault="00DC2622" w:rsidP="00076172">
      <w:pPr>
        <w:rPr>
          <w:rFonts w:cs="Times New Roman"/>
        </w:rPr>
      </w:pPr>
    </w:p>
    <w:p w14:paraId="152D66C1" w14:textId="77777777" w:rsidR="000B7923" w:rsidRPr="002B1DFC" w:rsidRDefault="000B7923" w:rsidP="006C6F6A">
      <w:pPr>
        <w:pStyle w:val="Heading2"/>
      </w:pPr>
      <w:bookmarkStart w:id="109" w:name="_Toc436832038"/>
      <w:bookmarkStart w:id="110" w:name="_Toc436832045"/>
      <w:bookmarkStart w:id="111" w:name="_Toc436832046"/>
      <w:bookmarkStart w:id="112" w:name="_Toc436832047"/>
      <w:bookmarkStart w:id="113" w:name="_Toc420575773"/>
      <w:bookmarkStart w:id="114" w:name="_Toc420593945"/>
      <w:bookmarkStart w:id="115" w:name="_Toc420575774"/>
      <w:bookmarkStart w:id="116" w:name="_Toc420593946"/>
      <w:bookmarkStart w:id="117" w:name="_Toc420575775"/>
      <w:bookmarkStart w:id="118" w:name="_Toc420593947"/>
      <w:bookmarkStart w:id="119" w:name="_Toc420575776"/>
      <w:bookmarkStart w:id="120" w:name="_Toc420593948"/>
      <w:bookmarkStart w:id="121" w:name="_Toc420575777"/>
      <w:bookmarkStart w:id="122" w:name="_Toc420593949"/>
      <w:bookmarkStart w:id="123" w:name="_Toc44027397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2B1DFC">
        <w:t>Strategic Environmental Assessment</w:t>
      </w:r>
      <w:bookmarkEnd w:id="123"/>
    </w:p>
    <w:p w14:paraId="09CBBFE0" w14:textId="77777777" w:rsidR="000B7923" w:rsidRPr="00C91AC7" w:rsidRDefault="000B7923" w:rsidP="006C6F6A">
      <w:pPr>
        <w:rPr>
          <w:rFonts w:cs="Times New Roman"/>
          <w:color w:val="000000" w:themeColor="text1"/>
        </w:rPr>
      </w:pPr>
    </w:p>
    <w:p w14:paraId="688CABF8"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There is no dedicated law or regulations on strategic environmental assessment in Ukraine, although according to the Law on Environmental Expertise (1995) plans and programs are objects of ecological expertise. At present, SEA is conducted only in limited cases, and mostly as part of the requirements of international financing organizations. Thus, in 2011</w:t>
      </w:r>
      <w:r w:rsidR="00BB1676">
        <w:rPr>
          <w:rFonts w:cs="Times New Roman"/>
        </w:rPr>
        <w:t>–</w:t>
      </w:r>
      <w:r w:rsidRPr="002B1DFC">
        <w:rPr>
          <w:rFonts w:cs="Times New Roman"/>
        </w:rPr>
        <w:t xml:space="preserve">2012, two strategic environmental assessments were carried out for the projects of </w:t>
      </w:r>
      <w:r w:rsidR="00472EE8">
        <w:rPr>
          <w:rFonts w:cs="Times New Roman"/>
        </w:rPr>
        <w:t xml:space="preserve">the </w:t>
      </w:r>
      <w:r w:rsidRPr="002B1DFC">
        <w:rPr>
          <w:rFonts w:cs="Times New Roman"/>
        </w:rPr>
        <w:t xml:space="preserve">Regional Program of Innovation Development of </w:t>
      </w:r>
      <w:proofErr w:type="spellStart"/>
      <w:r w:rsidRPr="002B1DFC">
        <w:rPr>
          <w:rFonts w:cs="Times New Roman"/>
        </w:rPr>
        <w:t>Lviv</w:t>
      </w:r>
      <w:proofErr w:type="spellEnd"/>
      <w:r w:rsidRPr="002B1DFC">
        <w:rPr>
          <w:rFonts w:cs="Times New Roman"/>
        </w:rPr>
        <w:t xml:space="preserve"> Oblast and </w:t>
      </w:r>
      <w:r w:rsidR="00472EE8">
        <w:rPr>
          <w:rFonts w:cs="Times New Roman"/>
        </w:rPr>
        <w:t xml:space="preserve">the </w:t>
      </w:r>
      <w:r w:rsidRPr="002B1DFC">
        <w:rPr>
          <w:rFonts w:cs="Times New Roman"/>
        </w:rPr>
        <w:t xml:space="preserve">Program of the Development of Small Scale Entrepreneurship in </w:t>
      </w:r>
      <w:proofErr w:type="spellStart"/>
      <w:r w:rsidRPr="002B1DFC">
        <w:rPr>
          <w:rFonts w:cs="Times New Roman"/>
        </w:rPr>
        <w:t>Lviv</w:t>
      </w:r>
      <w:proofErr w:type="spellEnd"/>
      <w:r w:rsidRPr="002B1DFC">
        <w:rPr>
          <w:rFonts w:cs="Times New Roman"/>
        </w:rPr>
        <w:t xml:space="preserve"> Oblast for 2013</w:t>
      </w:r>
      <w:r w:rsidR="00BB1676">
        <w:rPr>
          <w:rFonts w:cs="Times New Roman"/>
        </w:rPr>
        <w:t>–</w:t>
      </w:r>
      <w:r w:rsidRPr="002B1DFC">
        <w:rPr>
          <w:rFonts w:cs="Times New Roman"/>
        </w:rPr>
        <w:t xml:space="preserve">2015 in the framework of </w:t>
      </w:r>
      <w:r w:rsidR="00BB1676">
        <w:rPr>
          <w:rFonts w:cs="Times New Roman"/>
        </w:rPr>
        <w:t xml:space="preserve">the </w:t>
      </w:r>
      <w:r w:rsidRPr="002B1DFC">
        <w:rPr>
          <w:rFonts w:cs="Times New Roman"/>
        </w:rPr>
        <w:t>PRISM project</w:t>
      </w:r>
      <w:r w:rsidR="002B327E">
        <w:rPr>
          <w:rFonts w:cs="Times New Roman"/>
        </w:rPr>
        <w:t xml:space="preserve"> (2015)</w:t>
      </w:r>
      <w:r w:rsidR="00BB1676">
        <w:rPr>
          <w:rFonts w:cs="Times New Roman"/>
        </w:rPr>
        <w:t>.</w:t>
      </w:r>
      <w:r w:rsidRPr="002B1DFC">
        <w:rPr>
          <w:rFonts w:cs="Times New Roman"/>
        </w:rPr>
        <w:t xml:space="preserve"> </w:t>
      </w:r>
    </w:p>
    <w:p w14:paraId="77AE40C0" w14:textId="77777777" w:rsidR="000B7923" w:rsidRPr="002B1DFC" w:rsidRDefault="000B7923" w:rsidP="006C6F6A">
      <w:pPr>
        <w:rPr>
          <w:rFonts w:cs="Times New Roman"/>
        </w:rPr>
      </w:pPr>
    </w:p>
    <w:p w14:paraId="72F70906" w14:textId="77777777" w:rsidR="000B7923" w:rsidRPr="002B1DFC" w:rsidRDefault="00BB1676" w:rsidP="00F55709">
      <w:pPr>
        <w:pStyle w:val="ListParagraph"/>
        <w:numPr>
          <w:ilvl w:val="0"/>
          <w:numId w:val="68"/>
        </w:numPr>
        <w:tabs>
          <w:tab w:val="left" w:pos="360"/>
        </w:tabs>
        <w:ind w:left="0" w:firstLine="0"/>
        <w:rPr>
          <w:rFonts w:cs="Times New Roman"/>
        </w:rPr>
      </w:pPr>
      <w:r>
        <w:rPr>
          <w:rFonts w:cs="Times New Roman"/>
        </w:rPr>
        <w:t xml:space="preserve">The </w:t>
      </w:r>
      <w:r w:rsidR="000B7923" w:rsidRPr="002B1DFC">
        <w:rPr>
          <w:rFonts w:cs="Times New Roman"/>
        </w:rPr>
        <w:t xml:space="preserve">National Environmental Strategy </w:t>
      </w:r>
      <w:r>
        <w:rPr>
          <w:rFonts w:cs="Times New Roman"/>
        </w:rPr>
        <w:t xml:space="preserve">up to </w:t>
      </w:r>
      <w:r w:rsidR="000B7923" w:rsidRPr="002B1DFC">
        <w:rPr>
          <w:rFonts w:cs="Times New Roman"/>
        </w:rPr>
        <w:t>2020 foresees the improvement of legislative framework for the implementation of Strategic Environmental Assessment (SEA) as a mandatory instrument for strategic planning of the socioeconomic policy at the national, regional</w:t>
      </w:r>
      <w:r>
        <w:rPr>
          <w:rFonts w:cs="Times New Roman"/>
        </w:rPr>
        <w:t>,</w:t>
      </w:r>
      <w:r w:rsidR="000B7923" w:rsidRPr="002B1DFC">
        <w:rPr>
          <w:rFonts w:cs="Times New Roman"/>
        </w:rPr>
        <w:t xml:space="preserve"> and local levels. </w:t>
      </w:r>
    </w:p>
    <w:p w14:paraId="0A220E04" w14:textId="77777777" w:rsidR="000B7923" w:rsidRPr="002B1DFC" w:rsidRDefault="000B7923" w:rsidP="006C6F6A">
      <w:pPr>
        <w:rPr>
          <w:rFonts w:cs="Times New Roman"/>
        </w:rPr>
      </w:pPr>
    </w:p>
    <w:p w14:paraId="5780530B"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The MENR prepared a draft SEA law, which is being consulted on with key government stakeholders. The draft </w:t>
      </w:r>
      <w:r w:rsidR="00472EE8">
        <w:rPr>
          <w:rFonts w:cs="Times New Roman"/>
        </w:rPr>
        <w:t>l</w:t>
      </w:r>
      <w:r w:rsidRPr="002B1DFC">
        <w:rPr>
          <w:rFonts w:cs="Times New Roman"/>
        </w:rPr>
        <w:t xml:space="preserve">aw was also published on the MENR’s </w:t>
      </w:r>
      <w:r w:rsidR="00591FD4">
        <w:rPr>
          <w:rFonts w:cs="Times New Roman"/>
        </w:rPr>
        <w:t>Web site</w:t>
      </w:r>
      <w:r w:rsidRPr="002B1DFC">
        <w:rPr>
          <w:rFonts w:cs="Times New Roman"/>
        </w:rPr>
        <w:t xml:space="preserve"> in March 2015 for public consultations. Per the approximation schedule, it is expected that the SEA law </w:t>
      </w:r>
      <w:r w:rsidR="00472EE8">
        <w:rPr>
          <w:rFonts w:cs="Times New Roman"/>
        </w:rPr>
        <w:t>will</w:t>
      </w:r>
      <w:r w:rsidR="00472EE8" w:rsidRPr="002B1DFC">
        <w:rPr>
          <w:rFonts w:cs="Times New Roman"/>
        </w:rPr>
        <w:t xml:space="preserve"> </w:t>
      </w:r>
      <w:r w:rsidRPr="002B1DFC">
        <w:rPr>
          <w:rFonts w:cs="Times New Roman"/>
        </w:rPr>
        <w:t>be approved by August 2017.</w:t>
      </w:r>
    </w:p>
    <w:p w14:paraId="70FEB18C" w14:textId="77777777" w:rsidR="000B7923" w:rsidRPr="002B1DFC" w:rsidRDefault="000B7923" w:rsidP="006C6F6A">
      <w:pPr>
        <w:rPr>
          <w:rFonts w:cs="Times New Roman"/>
        </w:rPr>
      </w:pPr>
    </w:p>
    <w:p w14:paraId="75EE3EEB" w14:textId="546D1A4D" w:rsidR="000B7923" w:rsidRDefault="000B7923" w:rsidP="00341202">
      <w:pPr>
        <w:pStyle w:val="ListParagraph"/>
        <w:numPr>
          <w:ilvl w:val="0"/>
          <w:numId w:val="68"/>
        </w:numPr>
        <w:tabs>
          <w:tab w:val="left" w:pos="360"/>
        </w:tabs>
        <w:ind w:left="0" w:firstLine="0"/>
        <w:rPr>
          <w:rFonts w:cs="Times New Roman"/>
        </w:rPr>
      </w:pPr>
      <w:r w:rsidRPr="002B1DFC">
        <w:rPr>
          <w:rFonts w:cs="Times New Roman"/>
        </w:rPr>
        <w:t xml:space="preserve">A five-year project (2010–2015) “Building Capacity in Evidence-Based Economic Development in Ukrainian Oblasts and Municipalities Project” (EBED Project), financed by the Government of Canada,  supports capacity in evidence-based economic development planning in Ukrainian oblasts and municipalities. The EBED project aims to encourage sustainable development of Ukrainian oblasts and municipalities by building the capacity of local authorities to use quantitative analysis and forecasting tools in economic development planning. In the framework of this </w:t>
      </w:r>
      <w:r w:rsidR="00472EE8" w:rsidRPr="002B1DFC">
        <w:rPr>
          <w:rFonts w:cs="Times New Roman"/>
        </w:rPr>
        <w:t>project,</w:t>
      </w:r>
      <w:r w:rsidRPr="002B1DFC">
        <w:rPr>
          <w:rFonts w:cs="Times New Roman"/>
        </w:rPr>
        <w:t xml:space="preserve"> the Manual “Strategic Environmental Assessment” and Methodological Recommendations were prepared for the public administrations and local government</w:t>
      </w:r>
      <w:r w:rsidR="009A1289">
        <w:rPr>
          <w:rFonts w:cs="Times New Roman"/>
        </w:rPr>
        <w:t xml:space="preserve"> (EBED Project 2015)</w:t>
      </w:r>
      <w:r w:rsidR="00472EE8">
        <w:rPr>
          <w:rFonts w:cs="Times New Roman"/>
        </w:rPr>
        <w:t>.</w:t>
      </w:r>
      <w:r w:rsidRPr="002B1DFC">
        <w:rPr>
          <w:rFonts w:cs="Times New Roman"/>
        </w:rPr>
        <w:t xml:space="preserve"> The purpose of these documents is to give a theoretical and practical knowledge on SEA to the current and future government officials. The Manual incorporates lessons learnt from Ukraine’s first regional SEA, a case study from Dnipropetrovsk region led by EBED, and includes the experiences of Canada and other countries on SEA implementation. </w:t>
      </w:r>
    </w:p>
    <w:p w14:paraId="4FF0AF56" w14:textId="77777777" w:rsidR="003678EB" w:rsidRDefault="003678EB" w:rsidP="0008103D">
      <w:pPr>
        <w:rPr>
          <w:rFonts w:cs="Times New Roman"/>
        </w:rPr>
      </w:pPr>
    </w:p>
    <w:p w14:paraId="5F835AB8" w14:textId="77777777" w:rsidR="003678EB" w:rsidRDefault="003678EB" w:rsidP="00F55709">
      <w:pPr>
        <w:pStyle w:val="ListParagraph"/>
        <w:numPr>
          <w:ilvl w:val="0"/>
          <w:numId w:val="68"/>
        </w:numPr>
        <w:tabs>
          <w:tab w:val="left" w:pos="360"/>
        </w:tabs>
        <w:ind w:left="0" w:firstLine="0"/>
        <w:rPr>
          <w:rFonts w:cs="Times New Roman"/>
        </w:rPr>
      </w:pPr>
      <w:r>
        <w:rPr>
          <w:rFonts w:cs="Times New Roman"/>
        </w:rPr>
        <w:t xml:space="preserve">An important tool to complement the </w:t>
      </w:r>
      <w:r w:rsidR="00472EE8">
        <w:rPr>
          <w:rFonts w:cs="Times New Roman"/>
        </w:rPr>
        <w:t>SEA</w:t>
      </w:r>
      <w:r>
        <w:rPr>
          <w:rFonts w:cs="Times New Roman"/>
        </w:rPr>
        <w:t xml:space="preserve"> would be </w:t>
      </w:r>
      <w:r w:rsidR="00472EE8">
        <w:rPr>
          <w:rFonts w:cs="Times New Roman"/>
        </w:rPr>
        <w:t>the</w:t>
      </w:r>
      <w:r>
        <w:rPr>
          <w:rFonts w:cs="Times New Roman"/>
        </w:rPr>
        <w:t xml:space="preserve"> require</w:t>
      </w:r>
      <w:r w:rsidR="00472EE8">
        <w:rPr>
          <w:rFonts w:cs="Times New Roman"/>
        </w:rPr>
        <w:t>ment</w:t>
      </w:r>
      <w:r>
        <w:rPr>
          <w:rFonts w:cs="Times New Roman"/>
        </w:rPr>
        <w:t xml:space="preserve"> that any policy</w:t>
      </w:r>
      <w:r w:rsidR="00472EE8">
        <w:rPr>
          <w:rFonts w:cs="Times New Roman"/>
        </w:rPr>
        <w:t>,</w:t>
      </w:r>
      <w:r>
        <w:rPr>
          <w:rFonts w:cs="Times New Roman"/>
        </w:rPr>
        <w:t xml:space="preserve"> program</w:t>
      </w:r>
      <w:r w:rsidR="00472EE8">
        <w:rPr>
          <w:rFonts w:cs="Times New Roman"/>
        </w:rPr>
        <w:t>, or</w:t>
      </w:r>
      <w:r>
        <w:rPr>
          <w:rFonts w:cs="Times New Roman"/>
        </w:rPr>
        <w:t xml:space="preserve"> plan be analyzed from the point of view of costs and benefits to allow lawmakers and policy makers to assess the relative efficiency of </w:t>
      </w:r>
      <w:r w:rsidR="00472EE8">
        <w:rPr>
          <w:rFonts w:cs="Times New Roman"/>
        </w:rPr>
        <w:t xml:space="preserve">the </w:t>
      </w:r>
      <w:r>
        <w:rPr>
          <w:rFonts w:cs="Times New Roman"/>
        </w:rPr>
        <w:t>proposed policy</w:t>
      </w:r>
      <w:r w:rsidR="00472EE8">
        <w:rPr>
          <w:rFonts w:cs="Times New Roman"/>
        </w:rPr>
        <w:t>,</w:t>
      </w:r>
      <w:r>
        <w:rPr>
          <w:rFonts w:cs="Times New Roman"/>
        </w:rPr>
        <w:t xml:space="preserve"> program</w:t>
      </w:r>
      <w:r w:rsidR="00472EE8">
        <w:rPr>
          <w:rFonts w:cs="Times New Roman"/>
        </w:rPr>
        <w:t>, or</w:t>
      </w:r>
      <w:r>
        <w:rPr>
          <w:rFonts w:cs="Times New Roman"/>
        </w:rPr>
        <w:t xml:space="preserve"> plan from the point of the view of the environment.</w:t>
      </w:r>
    </w:p>
    <w:p w14:paraId="4D3C34F0" w14:textId="77777777" w:rsidR="00DC2622" w:rsidRPr="002B1DFC" w:rsidRDefault="00DC2622" w:rsidP="0008103D">
      <w:pPr>
        <w:rPr>
          <w:rFonts w:cs="Times New Roman"/>
        </w:rPr>
      </w:pPr>
    </w:p>
    <w:p w14:paraId="19C7AAD7" w14:textId="77777777" w:rsidR="000B7923" w:rsidRPr="002B1DFC" w:rsidRDefault="000B7923" w:rsidP="00B805BD">
      <w:pPr>
        <w:pStyle w:val="Heading2"/>
      </w:pPr>
      <w:bookmarkStart w:id="124" w:name="_Toc440273976"/>
      <w:r w:rsidRPr="002B1DFC">
        <w:t>Market</w:t>
      </w:r>
      <w:r w:rsidR="00DC2622">
        <w:t>-</w:t>
      </w:r>
      <w:r w:rsidRPr="002B1DFC">
        <w:t>Based / Economic Instruments</w:t>
      </w:r>
      <w:bookmarkEnd w:id="124"/>
    </w:p>
    <w:p w14:paraId="1BF1B0CE" w14:textId="77777777" w:rsidR="000B7923" w:rsidRPr="002B1DFC" w:rsidRDefault="000B7923" w:rsidP="0075055E">
      <w:pPr>
        <w:rPr>
          <w:rFonts w:cs="Times New Roman"/>
        </w:rPr>
      </w:pPr>
    </w:p>
    <w:p w14:paraId="2218993E" w14:textId="1CDA7B53" w:rsidR="000B7923" w:rsidRPr="002B1DFC" w:rsidRDefault="000B7923" w:rsidP="00374995">
      <w:pPr>
        <w:pStyle w:val="ListParagraph"/>
        <w:numPr>
          <w:ilvl w:val="0"/>
          <w:numId w:val="68"/>
        </w:numPr>
        <w:tabs>
          <w:tab w:val="left" w:pos="360"/>
        </w:tabs>
        <w:ind w:left="0" w:firstLine="0"/>
        <w:rPr>
          <w:rFonts w:cs="Times New Roman"/>
        </w:rPr>
      </w:pPr>
      <w:r w:rsidRPr="002B1DFC">
        <w:rPr>
          <w:rFonts w:cs="Times New Roman"/>
        </w:rPr>
        <w:t>The E</w:t>
      </w:r>
      <w:r w:rsidR="00240C4B">
        <w:rPr>
          <w:rFonts w:cs="Times New Roman"/>
        </w:rPr>
        <w:t xml:space="preserve">nvironmental </w:t>
      </w:r>
      <w:r w:rsidRPr="002B1DFC">
        <w:rPr>
          <w:rFonts w:cs="Times New Roman"/>
        </w:rPr>
        <w:t>P</w:t>
      </w:r>
      <w:r w:rsidR="00240C4B">
        <w:rPr>
          <w:rFonts w:cs="Times New Roman"/>
        </w:rPr>
        <w:t xml:space="preserve">rotection </w:t>
      </w:r>
      <w:r w:rsidRPr="002B1DFC">
        <w:rPr>
          <w:rFonts w:cs="Times New Roman"/>
        </w:rPr>
        <w:t>L</w:t>
      </w:r>
      <w:r w:rsidR="00240C4B">
        <w:rPr>
          <w:rFonts w:cs="Times New Roman"/>
        </w:rPr>
        <w:t>aw</w:t>
      </w:r>
      <w:r w:rsidRPr="002B1DFC">
        <w:rPr>
          <w:rFonts w:cs="Times New Roman"/>
        </w:rPr>
        <w:t xml:space="preserve"> (1992) provides for the use of economic instruments to achieve environmental management objectives. The Ukraine </w:t>
      </w:r>
      <w:r w:rsidR="00374995">
        <w:rPr>
          <w:rFonts w:cs="Times New Roman"/>
        </w:rPr>
        <w:t>Environmental Performance Review reports</w:t>
      </w:r>
      <w:r w:rsidRPr="002B1DFC">
        <w:rPr>
          <w:rFonts w:cs="Times New Roman"/>
        </w:rPr>
        <w:t xml:space="preserve"> (OECD 1999 and OECD 2007) provide an overview of the environmental economic instruments in use in Ukraine, these include emission charges (air emissions, discharges to water bodies</w:t>
      </w:r>
      <w:r w:rsidR="00BB1676">
        <w:rPr>
          <w:rFonts w:cs="Times New Roman"/>
        </w:rPr>
        <w:t>,</w:t>
      </w:r>
      <w:r w:rsidRPr="002B1DFC">
        <w:rPr>
          <w:rFonts w:cs="Times New Roman"/>
        </w:rPr>
        <w:t xml:space="preserve"> and waste disposal), taxes for </w:t>
      </w:r>
      <w:r w:rsidRPr="002B1DFC">
        <w:rPr>
          <w:rFonts w:cs="Times New Roman"/>
        </w:rPr>
        <w:lastRenderedPageBreak/>
        <w:t xml:space="preserve">special use of natural resources, sanctions on environmental pollution, and excises and customs duties on environmentally harmful products. </w:t>
      </w:r>
    </w:p>
    <w:p w14:paraId="24BBA12A" w14:textId="77777777" w:rsidR="000B7923" w:rsidRPr="002B1DFC" w:rsidRDefault="000B7923" w:rsidP="005340D4">
      <w:pPr>
        <w:rPr>
          <w:rFonts w:cs="Times New Roman"/>
        </w:rPr>
      </w:pPr>
    </w:p>
    <w:p w14:paraId="4D22803B" w14:textId="77777777" w:rsidR="000B7923" w:rsidRDefault="000B7923" w:rsidP="00F55709">
      <w:pPr>
        <w:pStyle w:val="ListParagraph"/>
        <w:numPr>
          <w:ilvl w:val="0"/>
          <w:numId w:val="68"/>
        </w:numPr>
        <w:tabs>
          <w:tab w:val="left" w:pos="360"/>
        </w:tabs>
        <w:ind w:left="0" w:firstLine="0"/>
      </w:pPr>
      <w:r w:rsidRPr="002B1DFC">
        <w:rPr>
          <w:rFonts w:cs="Times New Roman"/>
        </w:rPr>
        <w:t xml:space="preserve">Since the introduction of these instruments, the rates were revised several times. The latest revision took place in March 2015, and tables </w:t>
      </w:r>
      <w:r w:rsidR="00540E69">
        <w:rPr>
          <w:rFonts w:cs="Times New Roman"/>
        </w:rPr>
        <w:t>1</w:t>
      </w:r>
      <w:r w:rsidR="00143BDD">
        <w:rPr>
          <w:rFonts w:cs="Times New Roman"/>
        </w:rPr>
        <w:t>2</w:t>
      </w:r>
      <w:r w:rsidR="00540E69">
        <w:rPr>
          <w:rFonts w:cs="Times New Roman"/>
        </w:rPr>
        <w:t>–1</w:t>
      </w:r>
      <w:r w:rsidR="00143BDD">
        <w:rPr>
          <w:rFonts w:cs="Times New Roman"/>
        </w:rPr>
        <w:t>5</w:t>
      </w:r>
      <w:r w:rsidR="00540E69">
        <w:rPr>
          <w:rFonts w:cs="Times New Roman"/>
        </w:rPr>
        <w:t xml:space="preserve"> </w:t>
      </w:r>
      <w:r w:rsidRPr="002B1DFC">
        <w:rPr>
          <w:rFonts w:cs="Times New Roman"/>
        </w:rPr>
        <w:t>below reflect the latest rate update. In addition, a</w:t>
      </w:r>
      <w:r w:rsidRPr="002B1DFC">
        <w:t>s of January 2015</w:t>
      </w:r>
      <w:r w:rsidR="00472EE8">
        <w:t>,</w:t>
      </w:r>
      <w:r w:rsidRPr="002B1DFC">
        <w:t xml:space="preserve"> a new 5% excise tax </w:t>
      </w:r>
      <w:r w:rsidR="00472EE8">
        <w:t>took effect</w:t>
      </w:r>
      <w:r w:rsidRPr="002B1DFC">
        <w:t xml:space="preserve"> on oil product and other fuels. </w:t>
      </w:r>
      <w:r w:rsidR="00472EE8">
        <w:t>The</w:t>
      </w:r>
      <w:r w:rsidRPr="002B1DFC">
        <w:t xml:space="preserve"> new excise duty applie</w:t>
      </w:r>
      <w:r w:rsidR="00472EE8">
        <w:t>s</w:t>
      </w:r>
      <w:r w:rsidRPr="002B1DFC">
        <w:t xml:space="preserve"> to buses, trucks</w:t>
      </w:r>
      <w:r w:rsidR="00472EE8">
        <w:t>,</w:t>
      </w:r>
      <w:r w:rsidRPr="002B1DFC">
        <w:t xml:space="preserve"> and electro</w:t>
      </w:r>
      <w:r w:rsidR="006B1428">
        <w:t>-</w:t>
      </w:r>
      <w:r w:rsidRPr="002B1DFC">
        <w:t>mobiles</w:t>
      </w:r>
      <w:r w:rsidR="006B1428">
        <w:t>. The</w:t>
      </w:r>
      <w:r w:rsidRPr="002B1DFC">
        <w:t xml:space="preserve"> excise duty on new </w:t>
      </w:r>
      <w:r w:rsidR="006B1428">
        <w:t>buses</w:t>
      </w:r>
      <w:r w:rsidRPr="002B1DFC">
        <w:t xml:space="preserve"> and trucks </w:t>
      </w:r>
      <w:r w:rsidR="006B1428">
        <w:t>is</w:t>
      </w:r>
      <w:r w:rsidR="006B1428" w:rsidRPr="002B1DFC">
        <w:t xml:space="preserve"> </w:t>
      </w:r>
      <w:r w:rsidRPr="002B1DFC">
        <w:t>EUR 0.003 per 1 cc of an engine</w:t>
      </w:r>
      <w:r w:rsidR="00BB1676">
        <w:t>,</w:t>
      </w:r>
      <w:r w:rsidRPr="002B1DFC">
        <w:t xml:space="preserve"> EUR 0.01 </w:t>
      </w:r>
      <w:r w:rsidR="00BB1676">
        <w:t>–</w:t>
      </w:r>
      <w:r w:rsidRPr="002B1DFC">
        <w:t xml:space="preserve"> EUR 0.016 excise duty on electro mobiles</w:t>
      </w:r>
      <w:r w:rsidR="006B1428">
        <w:t>,</w:t>
      </w:r>
      <w:r w:rsidR="00BB1676">
        <w:t xml:space="preserve"> and</w:t>
      </w:r>
      <w:r w:rsidRPr="002B1DFC">
        <w:t xml:space="preserve"> EUR 109 per electro</w:t>
      </w:r>
      <w:r w:rsidR="00BB1676">
        <w:t>-</w:t>
      </w:r>
      <w:r w:rsidRPr="002B1DFC">
        <w:t>engine.</w:t>
      </w:r>
    </w:p>
    <w:p w14:paraId="3F9E2536" w14:textId="77777777" w:rsidR="00DC2622" w:rsidRPr="002B1DFC" w:rsidRDefault="00DC2622" w:rsidP="005340D4">
      <w:pPr>
        <w:rPr>
          <w:rFonts w:cs="Times New Roman"/>
        </w:rPr>
      </w:pPr>
    </w:p>
    <w:p w14:paraId="310650ED" w14:textId="04159EC7" w:rsidR="000B7923" w:rsidRPr="002B1DFC" w:rsidRDefault="000B7923" w:rsidP="009A1289">
      <w:pPr>
        <w:pStyle w:val="Caption"/>
        <w:rPr>
          <w:noProof w:val="0"/>
          <w:lang w:val="en-US"/>
        </w:rPr>
      </w:pPr>
      <w:bookmarkStart w:id="125" w:name="_Toc440274004"/>
      <w:r w:rsidRPr="002B1DFC">
        <w:rPr>
          <w:noProof w:val="0"/>
          <w:lang w:val="en-US"/>
        </w:rPr>
        <w:t xml:space="preserve">Table </w:t>
      </w:r>
      <w:r w:rsidRPr="002B1DFC">
        <w:rPr>
          <w:noProof w:val="0"/>
          <w:lang w:val="en-US"/>
        </w:rPr>
        <w:fldChar w:fldCharType="begin"/>
      </w:r>
      <w:r w:rsidRPr="002B1DFC">
        <w:rPr>
          <w:noProof w:val="0"/>
          <w:lang w:val="en-US"/>
        </w:rPr>
        <w:instrText xml:space="preserve"> SEQ Table \* ARABIC </w:instrText>
      </w:r>
      <w:r w:rsidRPr="002B1DFC">
        <w:rPr>
          <w:noProof w:val="0"/>
          <w:lang w:val="en-US"/>
        </w:rPr>
        <w:fldChar w:fldCharType="separate"/>
      </w:r>
      <w:r w:rsidR="00356D5F">
        <w:rPr>
          <w:lang w:val="en-US"/>
        </w:rPr>
        <w:t>12</w:t>
      </w:r>
      <w:r w:rsidRPr="002B1DFC">
        <w:rPr>
          <w:noProof w:val="0"/>
          <w:lang w:val="en-US"/>
        </w:rPr>
        <w:fldChar w:fldCharType="end"/>
      </w:r>
      <w:r w:rsidRPr="002B1DFC">
        <w:rPr>
          <w:noProof w:val="0"/>
          <w:lang w:val="en-US"/>
        </w:rPr>
        <w:t xml:space="preserve">. Taxes for </w:t>
      </w:r>
      <w:r w:rsidR="00BB1676">
        <w:rPr>
          <w:noProof w:val="0"/>
          <w:lang w:val="en-US"/>
        </w:rPr>
        <w:t>M</w:t>
      </w:r>
      <w:r w:rsidRPr="002B1DFC">
        <w:rPr>
          <w:noProof w:val="0"/>
          <w:lang w:val="en-US"/>
        </w:rPr>
        <w:t xml:space="preserve">ain </w:t>
      </w:r>
      <w:r w:rsidR="00BB1676">
        <w:rPr>
          <w:noProof w:val="0"/>
          <w:lang w:val="en-US"/>
        </w:rPr>
        <w:t>P</w:t>
      </w:r>
      <w:r w:rsidRPr="002B1DFC">
        <w:rPr>
          <w:noProof w:val="0"/>
          <w:lang w:val="en-US"/>
        </w:rPr>
        <w:t xml:space="preserve">ollutant </w:t>
      </w:r>
      <w:r w:rsidR="00BB1676">
        <w:rPr>
          <w:noProof w:val="0"/>
          <w:lang w:val="en-US"/>
        </w:rPr>
        <w:t>E</w:t>
      </w:r>
      <w:r w:rsidRPr="002B1DFC">
        <w:rPr>
          <w:noProof w:val="0"/>
          <w:lang w:val="en-US"/>
        </w:rPr>
        <w:t xml:space="preserve">missions to the </w:t>
      </w:r>
      <w:r w:rsidR="00BB1676">
        <w:rPr>
          <w:noProof w:val="0"/>
          <w:lang w:val="en-US"/>
        </w:rPr>
        <w:t>A</w:t>
      </w:r>
      <w:r w:rsidRPr="002B1DFC">
        <w:rPr>
          <w:noProof w:val="0"/>
          <w:lang w:val="en-US"/>
        </w:rPr>
        <w:t xml:space="preserve">tmospheric </w:t>
      </w:r>
      <w:r w:rsidR="00BB1676">
        <w:rPr>
          <w:noProof w:val="0"/>
          <w:lang w:val="en-US"/>
        </w:rPr>
        <w:t>A</w:t>
      </w:r>
      <w:r w:rsidRPr="002B1DFC">
        <w:rPr>
          <w:noProof w:val="0"/>
          <w:lang w:val="en-US"/>
        </w:rPr>
        <w:t xml:space="preserve">ir by </w:t>
      </w:r>
      <w:r w:rsidR="00BB1676">
        <w:rPr>
          <w:noProof w:val="0"/>
          <w:lang w:val="en-US"/>
        </w:rPr>
        <w:t>S</w:t>
      </w:r>
      <w:r w:rsidRPr="002B1DFC">
        <w:rPr>
          <w:noProof w:val="0"/>
          <w:lang w:val="en-US"/>
        </w:rPr>
        <w:t xml:space="preserve">tationary </w:t>
      </w:r>
      <w:r w:rsidR="00BB1676">
        <w:rPr>
          <w:noProof w:val="0"/>
          <w:lang w:val="en-US"/>
        </w:rPr>
        <w:t>S</w:t>
      </w:r>
      <w:r w:rsidRPr="002B1DFC">
        <w:rPr>
          <w:noProof w:val="0"/>
          <w:lang w:val="en-US"/>
        </w:rPr>
        <w:t>ources</w:t>
      </w:r>
      <w:bookmarkEnd w:id="125"/>
    </w:p>
    <w:tbl>
      <w:tblPr>
        <w:tblW w:w="5000" w:type="pct"/>
        <w:tblInd w:w="108" w:type="dxa"/>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3118"/>
        <w:gridCol w:w="3117"/>
        <w:gridCol w:w="3115"/>
      </w:tblGrid>
      <w:tr w:rsidR="000B7923" w:rsidRPr="002B1DFC" w14:paraId="2A42E706" w14:textId="77777777">
        <w:tc>
          <w:tcPr>
            <w:tcW w:w="1667" w:type="pct"/>
            <w:tcBorders>
              <w:top w:val="single" w:sz="4" w:space="0" w:color="4F81BD"/>
              <w:left w:val="single" w:sz="4" w:space="0" w:color="4F81BD"/>
              <w:bottom w:val="nil"/>
              <w:right w:val="nil"/>
            </w:tcBorders>
            <w:shd w:val="clear" w:color="auto" w:fill="4F81BD"/>
          </w:tcPr>
          <w:p w14:paraId="5A5B5270" w14:textId="77777777" w:rsidR="000B7923" w:rsidRPr="002B1DFC" w:rsidRDefault="000B7923" w:rsidP="00F33595">
            <w:pPr>
              <w:rPr>
                <w:rFonts w:eastAsia="Times New Roman" w:cs="Times New Roman"/>
                <w:b/>
                <w:bCs/>
                <w:color w:val="FFFFFF"/>
              </w:rPr>
            </w:pPr>
            <w:r w:rsidRPr="002B1DFC">
              <w:rPr>
                <w:rFonts w:eastAsia="Times New Roman" w:cs="Times New Roman"/>
                <w:b/>
                <w:color w:val="FFFFFF"/>
              </w:rPr>
              <w:t>Pollutant</w:t>
            </w:r>
          </w:p>
        </w:tc>
        <w:tc>
          <w:tcPr>
            <w:tcW w:w="1667" w:type="pct"/>
            <w:tcBorders>
              <w:top w:val="single" w:sz="4" w:space="0" w:color="4F81BD"/>
            </w:tcBorders>
            <w:shd w:val="clear" w:color="auto" w:fill="4F81BD"/>
          </w:tcPr>
          <w:p w14:paraId="7C767152" w14:textId="77777777" w:rsidR="000B7923" w:rsidRPr="002B1DFC" w:rsidRDefault="000B7923" w:rsidP="00EE691F">
            <w:pPr>
              <w:rPr>
                <w:rFonts w:eastAsia="Times New Roman" w:cs="Times New Roman"/>
                <w:b/>
                <w:bCs/>
                <w:color w:val="FFFFFF"/>
              </w:rPr>
            </w:pPr>
            <w:r w:rsidRPr="002B1DFC">
              <w:rPr>
                <w:rFonts w:eastAsia="Times New Roman" w:cs="Times New Roman"/>
                <w:b/>
                <w:color w:val="FFFFFF"/>
              </w:rPr>
              <w:t>Tax per 1 Ton (UAH)</w:t>
            </w:r>
          </w:p>
        </w:tc>
        <w:tc>
          <w:tcPr>
            <w:tcW w:w="1667" w:type="pct"/>
            <w:tcBorders>
              <w:top w:val="single" w:sz="4" w:space="0" w:color="4F81BD"/>
              <w:right w:val="single" w:sz="4" w:space="0" w:color="4F81BD"/>
            </w:tcBorders>
            <w:shd w:val="clear" w:color="auto" w:fill="4F81BD"/>
          </w:tcPr>
          <w:p w14:paraId="66E64070" w14:textId="77777777" w:rsidR="000B7923" w:rsidRPr="002B1DFC" w:rsidRDefault="000B7923" w:rsidP="00EE691F">
            <w:pPr>
              <w:rPr>
                <w:rFonts w:eastAsia="Times New Roman" w:cs="Times New Roman"/>
                <w:b/>
                <w:bCs/>
                <w:color w:val="FFFFFF"/>
              </w:rPr>
            </w:pPr>
            <w:r w:rsidRPr="002B1DFC">
              <w:rPr>
                <w:rFonts w:eastAsia="Times New Roman" w:cs="Times New Roman"/>
                <w:b/>
                <w:color w:val="FFFFFF"/>
              </w:rPr>
              <w:t>Tax per 1 Ton (US</w:t>
            </w:r>
            <w:r w:rsidR="00810F94">
              <w:rPr>
                <w:rFonts w:eastAsia="Times New Roman" w:cs="Times New Roman"/>
                <w:b/>
                <w:color w:val="FFFFFF"/>
              </w:rPr>
              <w:t>$</w:t>
            </w:r>
            <w:r w:rsidRPr="002B1DFC">
              <w:rPr>
                <w:rFonts w:eastAsia="Times New Roman" w:cs="Times New Roman"/>
                <w:b/>
                <w:color w:val="FFFFFF"/>
              </w:rPr>
              <w:t xml:space="preserve">)* </w:t>
            </w:r>
          </w:p>
        </w:tc>
      </w:tr>
      <w:tr w:rsidR="000B7923" w:rsidRPr="002B1DFC" w14:paraId="54260A0D" w14:textId="77777777">
        <w:tc>
          <w:tcPr>
            <w:tcW w:w="1667" w:type="pct"/>
            <w:tcBorders>
              <w:top w:val="single" w:sz="4" w:space="0" w:color="4F81BD"/>
              <w:left w:val="single" w:sz="4" w:space="0" w:color="4F81BD"/>
              <w:bottom w:val="single" w:sz="4" w:space="0" w:color="4F81BD"/>
              <w:right w:val="nil"/>
            </w:tcBorders>
            <w:shd w:val="clear" w:color="auto" w:fill="FFFFFF"/>
          </w:tcPr>
          <w:p w14:paraId="63A59EF4" w14:textId="77777777" w:rsidR="000B7923" w:rsidRPr="002B1DFC" w:rsidRDefault="000B7923" w:rsidP="00594A06">
            <w:pPr>
              <w:rPr>
                <w:rFonts w:eastAsia="Times New Roman" w:cs="Times New Roman"/>
                <w:b/>
                <w:bCs/>
              </w:rPr>
            </w:pPr>
            <w:r w:rsidRPr="002B1DFC">
              <w:rPr>
                <w:rFonts w:eastAsia="Times New Roman" w:cs="Times New Roman"/>
                <w:bCs/>
              </w:rPr>
              <w:t>Nitrogen oxides</w:t>
            </w:r>
          </w:p>
        </w:tc>
        <w:tc>
          <w:tcPr>
            <w:tcW w:w="1667" w:type="pct"/>
            <w:tcBorders>
              <w:top w:val="single" w:sz="4" w:space="0" w:color="4F81BD"/>
              <w:bottom w:val="single" w:sz="4" w:space="0" w:color="4F81BD"/>
            </w:tcBorders>
          </w:tcPr>
          <w:p w14:paraId="63CFE54F" w14:textId="77777777" w:rsidR="000B7923" w:rsidRPr="002B1DFC" w:rsidRDefault="000B7923" w:rsidP="008870E0">
            <w:pPr>
              <w:ind w:right="1057"/>
              <w:jc w:val="right"/>
              <w:rPr>
                <w:rFonts w:eastAsia="Times New Roman" w:cs="Times New Roman"/>
              </w:rPr>
            </w:pPr>
            <w:r w:rsidRPr="002B1DFC">
              <w:rPr>
                <w:rFonts w:eastAsia="Times New Roman" w:cs="Times New Roman"/>
              </w:rPr>
              <w:t>1,553.79</w:t>
            </w:r>
          </w:p>
        </w:tc>
        <w:tc>
          <w:tcPr>
            <w:tcW w:w="1667" w:type="pct"/>
            <w:tcBorders>
              <w:top w:val="single" w:sz="4" w:space="0" w:color="4F81BD"/>
              <w:bottom w:val="single" w:sz="4" w:space="0" w:color="4F81BD"/>
              <w:right w:val="single" w:sz="4" w:space="0" w:color="4F81BD"/>
            </w:tcBorders>
          </w:tcPr>
          <w:p w14:paraId="399CEC67" w14:textId="77777777" w:rsidR="000B7923" w:rsidRPr="002B1DFC" w:rsidRDefault="000B7923" w:rsidP="008870E0">
            <w:pPr>
              <w:ind w:right="1368"/>
              <w:jc w:val="right"/>
              <w:rPr>
                <w:rFonts w:eastAsia="Times New Roman"/>
              </w:rPr>
            </w:pPr>
            <w:r w:rsidRPr="002B1DFC">
              <w:rPr>
                <w:rFonts w:eastAsia="Times New Roman"/>
              </w:rPr>
              <w:t>$73.0</w:t>
            </w:r>
          </w:p>
        </w:tc>
      </w:tr>
      <w:tr w:rsidR="000B7923" w:rsidRPr="002B1DFC" w14:paraId="40F1FF32" w14:textId="77777777">
        <w:tc>
          <w:tcPr>
            <w:tcW w:w="1667" w:type="pct"/>
            <w:tcBorders>
              <w:left w:val="single" w:sz="4" w:space="0" w:color="4F81BD"/>
              <w:right w:val="nil"/>
            </w:tcBorders>
            <w:shd w:val="clear" w:color="auto" w:fill="FFFFFF"/>
          </w:tcPr>
          <w:p w14:paraId="525C7E5F" w14:textId="77777777" w:rsidR="000B7923" w:rsidRPr="002B1DFC" w:rsidRDefault="000B7923" w:rsidP="00594A06">
            <w:pPr>
              <w:rPr>
                <w:rFonts w:eastAsia="Times New Roman" w:cs="Times New Roman"/>
                <w:b/>
                <w:bCs/>
              </w:rPr>
            </w:pPr>
            <w:r w:rsidRPr="002B1DFC">
              <w:rPr>
                <w:rFonts w:eastAsia="Times New Roman" w:cs="Times New Roman"/>
                <w:bCs/>
              </w:rPr>
              <w:t>Ammonia</w:t>
            </w:r>
          </w:p>
        </w:tc>
        <w:tc>
          <w:tcPr>
            <w:tcW w:w="1667" w:type="pct"/>
          </w:tcPr>
          <w:p w14:paraId="4168E0B2" w14:textId="77777777" w:rsidR="000B7923" w:rsidRPr="002B1DFC" w:rsidRDefault="000B7923" w:rsidP="008870E0">
            <w:pPr>
              <w:ind w:right="1057"/>
              <w:jc w:val="right"/>
              <w:rPr>
                <w:rFonts w:eastAsia="Times New Roman" w:cs="Times New Roman"/>
              </w:rPr>
            </w:pPr>
            <w:r w:rsidRPr="002B1DFC">
              <w:rPr>
                <w:rFonts w:eastAsia="Times New Roman" w:cs="Times New Roman"/>
              </w:rPr>
              <w:t>291.41</w:t>
            </w:r>
          </w:p>
        </w:tc>
        <w:tc>
          <w:tcPr>
            <w:tcW w:w="1667" w:type="pct"/>
            <w:tcBorders>
              <w:right w:val="single" w:sz="4" w:space="0" w:color="4F81BD"/>
            </w:tcBorders>
          </w:tcPr>
          <w:p w14:paraId="6F80F2DD" w14:textId="77777777" w:rsidR="000B7923" w:rsidRPr="002B1DFC" w:rsidRDefault="000B7923" w:rsidP="008870E0">
            <w:pPr>
              <w:ind w:right="1368"/>
              <w:jc w:val="right"/>
              <w:rPr>
                <w:rFonts w:eastAsia="Times New Roman"/>
              </w:rPr>
            </w:pPr>
            <w:r w:rsidRPr="002B1DFC">
              <w:rPr>
                <w:rFonts w:eastAsia="Times New Roman"/>
              </w:rPr>
              <w:t>$13.7</w:t>
            </w:r>
          </w:p>
        </w:tc>
      </w:tr>
      <w:tr w:rsidR="000B7923" w:rsidRPr="002B1DFC" w14:paraId="5ADB8632" w14:textId="77777777">
        <w:tc>
          <w:tcPr>
            <w:tcW w:w="1667" w:type="pct"/>
            <w:tcBorders>
              <w:top w:val="single" w:sz="4" w:space="0" w:color="4F81BD"/>
              <w:left w:val="single" w:sz="4" w:space="0" w:color="4F81BD"/>
              <w:bottom w:val="single" w:sz="4" w:space="0" w:color="4F81BD"/>
              <w:right w:val="nil"/>
            </w:tcBorders>
            <w:shd w:val="clear" w:color="auto" w:fill="FFFFFF"/>
          </w:tcPr>
          <w:p w14:paraId="1ED80532" w14:textId="77777777" w:rsidR="000B7923" w:rsidRPr="002B1DFC" w:rsidRDefault="00A55B4B" w:rsidP="00594A06">
            <w:pPr>
              <w:rPr>
                <w:rFonts w:eastAsia="Times New Roman" w:cs="Times New Roman"/>
                <w:b/>
                <w:bCs/>
              </w:rPr>
            </w:pPr>
            <w:r>
              <w:rPr>
                <w:rFonts w:eastAsia="Times New Roman" w:cs="Times New Roman"/>
                <w:bCs/>
              </w:rPr>
              <w:t>Sulfur dioxide</w:t>
            </w:r>
          </w:p>
        </w:tc>
        <w:tc>
          <w:tcPr>
            <w:tcW w:w="1667" w:type="pct"/>
            <w:tcBorders>
              <w:top w:val="single" w:sz="4" w:space="0" w:color="4F81BD"/>
              <w:bottom w:val="single" w:sz="4" w:space="0" w:color="4F81BD"/>
            </w:tcBorders>
          </w:tcPr>
          <w:p w14:paraId="604C1572" w14:textId="77777777" w:rsidR="000B7923" w:rsidRPr="002B1DFC" w:rsidRDefault="000B7923" w:rsidP="008870E0">
            <w:pPr>
              <w:ind w:right="1057"/>
              <w:jc w:val="right"/>
              <w:rPr>
                <w:rFonts w:eastAsia="Times New Roman" w:cs="Times New Roman"/>
              </w:rPr>
            </w:pPr>
            <w:r w:rsidRPr="002B1DFC">
              <w:rPr>
                <w:rFonts w:eastAsia="Times New Roman" w:cs="Times New Roman"/>
              </w:rPr>
              <w:t>1,553.79</w:t>
            </w:r>
          </w:p>
        </w:tc>
        <w:tc>
          <w:tcPr>
            <w:tcW w:w="1667" w:type="pct"/>
            <w:tcBorders>
              <w:top w:val="single" w:sz="4" w:space="0" w:color="4F81BD"/>
              <w:bottom w:val="single" w:sz="4" w:space="0" w:color="4F81BD"/>
              <w:right w:val="single" w:sz="4" w:space="0" w:color="4F81BD"/>
            </w:tcBorders>
          </w:tcPr>
          <w:p w14:paraId="61DF9ECA" w14:textId="77777777" w:rsidR="000B7923" w:rsidRPr="002B1DFC" w:rsidRDefault="000B7923" w:rsidP="008870E0">
            <w:pPr>
              <w:ind w:right="1368"/>
              <w:jc w:val="right"/>
              <w:rPr>
                <w:rFonts w:eastAsia="Times New Roman"/>
              </w:rPr>
            </w:pPr>
            <w:r w:rsidRPr="002B1DFC">
              <w:rPr>
                <w:rFonts w:eastAsia="Times New Roman"/>
              </w:rPr>
              <w:t>$73.0</w:t>
            </w:r>
          </w:p>
        </w:tc>
      </w:tr>
      <w:tr w:rsidR="000B7923" w:rsidRPr="002B1DFC" w14:paraId="11F0F108" w14:textId="77777777">
        <w:tc>
          <w:tcPr>
            <w:tcW w:w="1667" w:type="pct"/>
            <w:tcBorders>
              <w:left w:val="single" w:sz="4" w:space="0" w:color="4F81BD"/>
              <w:right w:val="nil"/>
            </w:tcBorders>
            <w:shd w:val="clear" w:color="auto" w:fill="FFFFFF"/>
          </w:tcPr>
          <w:p w14:paraId="32B80BB3" w14:textId="77777777" w:rsidR="000B7923" w:rsidRPr="002B1DFC" w:rsidRDefault="000B7923" w:rsidP="00594A06">
            <w:pPr>
              <w:rPr>
                <w:rFonts w:eastAsia="Times New Roman" w:cs="Times New Roman"/>
                <w:b/>
                <w:bCs/>
              </w:rPr>
            </w:pPr>
            <w:r w:rsidRPr="002B1DFC">
              <w:rPr>
                <w:rFonts w:eastAsia="Times New Roman" w:cs="Times New Roman"/>
                <w:bCs/>
              </w:rPr>
              <w:t>Acetone</w:t>
            </w:r>
          </w:p>
        </w:tc>
        <w:tc>
          <w:tcPr>
            <w:tcW w:w="1667" w:type="pct"/>
          </w:tcPr>
          <w:p w14:paraId="59A59C35" w14:textId="77777777" w:rsidR="000B7923" w:rsidRPr="002B1DFC" w:rsidRDefault="000B7923" w:rsidP="008870E0">
            <w:pPr>
              <w:ind w:right="1057"/>
              <w:jc w:val="right"/>
              <w:rPr>
                <w:rFonts w:eastAsia="Times New Roman" w:cs="Times New Roman"/>
              </w:rPr>
            </w:pPr>
            <w:r w:rsidRPr="002B1DFC">
              <w:rPr>
                <w:rFonts w:eastAsia="Times New Roman" w:cs="Times New Roman"/>
              </w:rPr>
              <w:t>582.83</w:t>
            </w:r>
          </w:p>
        </w:tc>
        <w:tc>
          <w:tcPr>
            <w:tcW w:w="1667" w:type="pct"/>
            <w:tcBorders>
              <w:right w:val="single" w:sz="4" w:space="0" w:color="4F81BD"/>
            </w:tcBorders>
          </w:tcPr>
          <w:p w14:paraId="4166705A" w14:textId="77777777" w:rsidR="000B7923" w:rsidRPr="002B1DFC" w:rsidRDefault="000B7923" w:rsidP="008870E0">
            <w:pPr>
              <w:ind w:right="1368"/>
              <w:jc w:val="right"/>
              <w:rPr>
                <w:rFonts w:eastAsia="Times New Roman"/>
              </w:rPr>
            </w:pPr>
            <w:r w:rsidRPr="002B1DFC">
              <w:rPr>
                <w:rFonts w:eastAsia="Times New Roman"/>
              </w:rPr>
              <w:t>$27.4</w:t>
            </w:r>
          </w:p>
        </w:tc>
      </w:tr>
      <w:tr w:rsidR="000B7923" w:rsidRPr="002B1DFC" w14:paraId="3F0A50A5" w14:textId="77777777">
        <w:tc>
          <w:tcPr>
            <w:tcW w:w="1667" w:type="pct"/>
            <w:tcBorders>
              <w:top w:val="single" w:sz="4" w:space="0" w:color="4F81BD"/>
              <w:left w:val="single" w:sz="4" w:space="0" w:color="4F81BD"/>
              <w:bottom w:val="single" w:sz="4" w:space="0" w:color="4F81BD"/>
              <w:right w:val="nil"/>
            </w:tcBorders>
            <w:shd w:val="clear" w:color="auto" w:fill="FFFFFF"/>
          </w:tcPr>
          <w:p w14:paraId="635B8C8E" w14:textId="77777777" w:rsidR="000B7923" w:rsidRPr="002B1DFC" w:rsidRDefault="006B1428" w:rsidP="00594A06">
            <w:pPr>
              <w:rPr>
                <w:rFonts w:eastAsia="Times New Roman" w:cs="Times New Roman"/>
                <w:b/>
                <w:bCs/>
              </w:rPr>
            </w:pPr>
            <w:proofErr w:type="spellStart"/>
            <w:r>
              <w:rPr>
                <w:rFonts w:eastAsia="Times New Roman" w:cs="Times New Roman"/>
                <w:bCs/>
              </w:rPr>
              <w:t>Benzopyrene</w:t>
            </w:r>
            <w:proofErr w:type="spellEnd"/>
          </w:p>
        </w:tc>
        <w:tc>
          <w:tcPr>
            <w:tcW w:w="1667" w:type="pct"/>
            <w:tcBorders>
              <w:top w:val="single" w:sz="4" w:space="0" w:color="4F81BD"/>
              <w:bottom w:val="single" w:sz="4" w:space="0" w:color="4F81BD"/>
            </w:tcBorders>
          </w:tcPr>
          <w:p w14:paraId="4A2C1CD2" w14:textId="77777777" w:rsidR="000B7923" w:rsidRPr="002B1DFC" w:rsidRDefault="000B7923" w:rsidP="008870E0">
            <w:pPr>
              <w:ind w:right="1057"/>
              <w:jc w:val="right"/>
              <w:rPr>
                <w:rFonts w:eastAsia="Times New Roman" w:cs="Times New Roman"/>
              </w:rPr>
            </w:pPr>
            <w:r w:rsidRPr="002B1DFC">
              <w:rPr>
                <w:rFonts w:eastAsia="Times New Roman" w:cs="Times New Roman"/>
              </w:rPr>
              <w:t>1,977,992.51</w:t>
            </w:r>
          </w:p>
        </w:tc>
        <w:tc>
          <w:tcPr>
            <w:tcW w:w="1667" w:type="pct"/>
            <w:tcBorders>
              <w:top w:val="single" w:sz="4" w:space="0" w:color="4F81BD"/>
              <w:bottom w:val="single" w:sz="4" w:space="0" w:color="4F81BD"/>
              <w:right w:val="single" w:sz="4" w:space="0" w:color="4F81BD"/>
            </w:tcBorders>
          </w:tcPr>
          <w:p w14:paraId="195A7A16" w14:textId="77777777" w:rsidR="000B7923" w:rsidRPr="002B1DFC" w:rsidRDefault="000B7923" w:rsidP="008870E0">
            <w:pPr>
              <w:ind w:right="1368"/>
              <w:jc w:val="right"/>
              <w:rPr>
                <w:rFonts w:eastAsia="Times New Roman"/>
              </w:rPr>
            </w:pPr>
            <w:r w:rsidRPr="002B1DFC">
              <w:rPr>
                <w:rFonts w:eastAsia="Times New Roman"/>
              </w:rPr>
              <w:t>$92,965.6</w:t>
            </w:r>
          </w:p>
        </w:tc>
      </w:tr>
      <w:tr w:rsidR="000B7923" w:rsidRPr="002B1DFC" w14:paraId="209ED89C" w14:textId="77777777">
        <w:tc>
          <w:tcPr>
            <w:tcW w:w="1667" w:type="pct"/>
            <w:tcBorders>
              <w:left w:val="single" w:sz="4" w:space="0" w:color="4F81BD"/>
              <w:right w:val="nil"/>
            </w:tcBorders>
            <w:shd w:val="clear" w:color="auto" w:fill="FFFFFF"/>
          </w:tcPr>
          <w:p w14:paraId="09C49BB1" w14:textId="77777777" w:rsidR="000B7923" w:rsidRPr="002B1DFC" w:rsidRDefault="000B7923" w:rsidP="00594A06">
            <w:pPr>
              <w:rPr>
                <w:rFonts w:eastAsia="Times New Roman" w:cs="Times New Roman"/>
                <w:b/>
                <w:bCs/>
              </w:rPr>
            </w:pPr>
            <w:r w:rsidRPr="002B1DFC">
              <w:rPr>
                <w:rFonts w:eastAsia="Times New Roman" w:cs="Times New Roman"/>
                <w:bCs/>
              </w:rPr>
              <w:t>Carbon oxide</w:t>
            </w:r>
          </w:p>
        </w:tc>
        <w:tc>
          <w:tcPr>
            <w:tcW w:w="1667" w:type="pct"/>
          </w:tcPr>
          <w:p w14:paraId="56958F4B" w14:textId="77777777" w:rsidR="000B7923" w:rsidRPr="002B1DFC" w:rsidRDefault="000B7923" w:rsidP="008870E0">
            <w:pPr>
              <w:ind w:right="1057"/>
              <w:jc w:val="right"/>
              <w:rPr>
                <w:rFonts w:eastAsia="Times New Roman" w:cs="Times New Roman"/>
              </w:rPr>
            </w:pPr>
            <w:r w:rsidRPr="002B1DFC">
              <w:rPr>
                <w:rFonts w:eastAsia="Times New Roman" w:cs="Times New Roman"/>
              </w:rPr>
              <w:t>58.54</w:t>
            </w:r>
          </w:p>
        </w:tc>
        <w:tc>
          <w:tcPr>
            <w:tcW w:w="1667" w:type="pct"/>
            <w:tcBorders>
              <w:right w:val="single" w:sz="4" w:space="0" w:color="4F81BD"/>
            </w:tcBorders>
          </w:tcPr>
          <w:p w14:paraId="42A720B7" w14:textId="77777777" w:rsidR="000B7923" w:rsidRPr="002B1DFC" w:rsidRDefault="000B7923" w:rsidP="008870E0">
            <w:pPr>
              <w:ind w:right="1368"/>
              <w:jc w:val="right"/>
              <w:rPr>
                <w:rFonts w:eastAsia="Times New Roman"/>
              </w:rPr>
            </w:pPr>
            <w:r w:rsidRPr="002B1DFC">
              <w:rPr>
                <w:rFonts w:eastAsia="Times New Roman"/>
              </w:rPr>
              <w:t>$2.8</w:t>
            </w:r>
          </w:p>
        </w:tc>
      </w:tr>
      <w:tr w:rsidR="000B7923" w:rsidRPr="002B1DFC" w14:paraId="16FF611F" w14:textId="77777777">
        <w:tc>
          <w:tcPr>
            <w:tcW w:w="1667" w:type="pct"/>
            <w:tcBorders>
              <w:top w:val="single" w:sz="4" w:space="0" w:color="4F81BD"/>
              <w:left w:val="single" w:sz="4" w:space="0" w:color="4F81BD"/>
              <w:bottom w:val="single" w:sz="4" w:space="0" w:color="4F81BD"/>
              <w:right w:val="nil"/>
            </w:tcBorders>
            <w:shd w:val="clear" w:color="auto" w:fill="FFFFFF"/>
          </w:tcPr>
          <w:p w14:paraId="08E8A122" w14:textId="77777777" w:rsidR="000B7923" w:rsidRPr="002B1DFC" w:rsidRDefault="000B7923" w:rsidP="00594A06">
            <w:pPr>
              <w:rPr>
                <w:rFonts w:eastAsia="Times New Roman" w:cs="Times New Roman"/>
                <w:b/>
                <w:bCs/>
              </w:rPr>
            </w:pPr>
            <w:r w:rsidRPr="002B1DFC">
              <w:rPr>
                <w:rFonts w:eastAsia="Times New Roman" w:cs="Times New Roman"/>
                <w:bCs/>
              </w:rPr>
              <w:t>Hydrocarbons</w:t>
            </w:r>
          </w:p>
        </w:tc>
        <w:tc>
          <w:tcPr>
            <w:tcW w:w="1667" w:type="pct"/>
            <w:tcBorders>
              <w:top w:val="single" w:sz="4" w:space="0" w:color="4F81BD"/>
              <w:bottom w:val="single" w:sz="4" w:space="0" w:color="4F81BD"/>
            </w:tcBorders>
          </w:tcPr>
          <w:p w14:paraId="5F7A3B44" w14:textId="77777777" w:rsidR="000B7923" w:rsidRPr="002B1DFC" w:rsidRDefault="000B7923" w:rsidP="008870E0">
            <w:pPr>
              <w:ind w:right="1057"/>
              <w:jc w:val="right"/>
              <w:rPr>
                <w:rFonts w:eastAsia="Times New Roman" w:cs="Times New Roman"/>
              </w:rPr>
            </w:pPr>
            <w:r w:rsidRPr="002B1DFC">
              <w:rPr>
                <w:rFonts w:eastAsia="Times New Roman" w:cs="Times New Roman"/>
              </w:rPr>
              <w:t>87.81</w:t>
            </w:r>
          </w:p>
        </w:tc>
        <w:tc>
          <w:tcPr>
            <w:tcW w:w="1667" w:type="pct"/>
            <w:tcBorders>
              <w:top w:val="single" w:sz="4" w:space="0" w:color="4F81BD"/>
              <w:bottom w:val="single" w:sz="4" w:space="0" w:color="4F81BD"/>
              <w:right w:val="single" w:sz="4" w:space="0" w:color="4F81BD"/>
            </w:tcBorders>
          </w:tcPr>
          <w:p w14:paraId="6F407618" w14:textId="77777777" w:rsidR="000B7923" w:rsidRPr="002B1DFC" w:rsidRDefault="000B7923" w:rsidP="008870E0">
            <w:pPr>
              <w:ind w:right="1368"/>
              <w:jc w:val="right"/>
              <w:rPr>
                <w:rFonts w:eastAsia="Times New Roman"/>
              </w:rPr>
            </w:pPr>
            <w:r w:rsidRPr="002B1DFC">
              <w:rPr>
                <w:rFonts w:eastAsia="Times New Roman"/>
              </w:rPr>
              <w:t>$4.1</w:t>
            </w:r>
          </w:p>
        </w:tc>
      </w:tr>
      <w:tr w:rsidR="000B7923" w:rsidRPr="002B1DFC" w14:paraId="1A688912" w14:textId="77777777">
        <w:tc>
          <w:tcPr>
            <w:tcW w:w="1667" w:type="pct"/>
            <w:tcBorders>
              <w:left w:val="single" w:sz="4" w:space="0" w:color="4F81BD"/>
              <w:right w:val="nil"/>
            </w:tcBorders>
            <w:shd w:val="clear" w:color="auto" w:fill="FFFFFF"/>
          </w:tcPr>
          <w:p w14:paraId="5E3D930A" w14:textId="77777777" w:rsidR="000B7923" w:rsidRPr="002B1DFC" w:rsidRDefault="000B7923" w:rsidP="00594A06">
            <w:pPr>
              <w:rPr>
                <w:rFonts w:eastAsia="Times New Roman" w:cs="Times New Roman"/>
                <w:b/>
                <w:bCs/>
              </w:rPr>
            </w:pPr>
            <w:r w:rsidRPr="002B1DFC">
              <w:rPr>
                <w:rFonts w:eastAsia="Times New Roman" w:cs="Times New Roman"/>
                <w:bCs/>
              </w:rPr>
              <w:t>Gaseous fluoric compounds</w:t>
            </w:r>
          </w:p>
        </w:tc>
        <w:tc>
          <w:tcPr>
            <w:tcW w:w="1667" w:type="pct"/>
          </w:tcPr>
          <w:p w14:paraId="7B3EC9FC" w14:textId="77777777" w:rsidR="000B7923" w:rsidRPr="002B1DFC" w:rsidRDefault="000B7923" w:rsidP="008870E0">
            <w:pPr>
              <w:ind w:right="1057"/>
              <w:jc w:val="right"/>
              <w:rPr>
                <w:rFonts w:eastAsia="Times New Roman" w:cs="Times New Roman"/>
              </w:rPr>
            </w:pPr>
            <w:r w:rsidRPr="002B1DFC">
              <w:rPr>
                <w:rFonts w:eastAsia="Times New Roman" w:cs="Times New Roman"/>
              </w:rPr>
              <w:t>3,846.95</w:t>
            </w:r>
          </w:p>
        </w:tc>
        <w:tc>
          <w:tcPr>
            <w:tcW w:w="1667" w:type="pct"/>
            <w:tcBorders>
              <w:right w:val="single" w:sz="4" w:space="0" w:color="4F81BD"/>
            </w:tcBorders>
          </w:tcPr>
          <w:p w14:paraId="32D7C335" w14:textId="77777777" w:rsidR="000B7923" w:rsidRPr="002B1DFC" w:rsidRDefault="000B7923" w:rsidP="008870E0">
            <w:pPr>
              <w:ind w:right="1368"/>
              <w:jc w:val="right"/>
              <w:rPr>
                <w:rFonts w:eastAsia="Times New Roman"/>
              </w:rPr>
            </w:pPr>
            <w:r w:rsidRPr="002B1DFC">
              <w:rPr>
                <w:rFonts w:eastAsia="Times New Roman"/>
              </w:rPr>
              <w:t>$180.8</w:t>
            </w:r>
          </w:p>
        </w:tc>
      </w:tr>
      <w:tr w:rsidR="000B7923" w:rsidRPr="002B1DFC" w14:paraId="321F4F0C" w14:textId="77777777">
        <w:tc>
          <w:tcPr>
            <w:tcW w:w="1667" w:type="pct"/>
            <w:tcBorders>
              <w:top w:val="single" w:sz="4" w:space="0" w:color="4F81BD"/>
              <w:left w:val="single" w:sz="4" w:space="0" w:color="4F81BD"/>
              <w:bottom w:val="single" w:sz="4" w:space="0" w:color="4F81BD"/>
              <w:right w:val="nil"/>
            </w:tcBorders>
            <w:shd w:val="clear" w:color="auto" w:fill="FFFFFF"/>
          </w:tcPr>
          <w:p w14:paraId="375F2F96" w14:textId="77777777" w:rsidR="000B7923" w:rsidRPr="002B1DFC" w:rsidRDefault="000B7923" w:rsidP="00594A06">
            <w:pPr>
              <w:rPr>
                <w:rFonts w:eastAsia="Times New Roman" w:cs="Times New Roman"/>
                <w:b/>
                <w:bCs/>
              </w:rPr>
            </w:pPr>
            <w:r w:rsidRPr="002B1DFC">
              <w:rPr>
                <w:rFonts w:eastAsia="Times New Roman" w:cs="Times New Roman"/>
                <w:bCs/>
              </w:rPr>
              <w:t>Particulate matter</w:t>
            </w:r>
          </w:p>
        </w:tc>
        <w:tc>
          <w:tcPr>
            <w:tcW w:w="1667" w:type="pct"/>
            <w:tcBorders>
              <w:top w:val="single" w:sz="4" w:space="0" w:color="4F81BD"/>
              <w:bottom w:val="single" w:sz="4" w:space="0" w:color="4F81BD"/>
            </w:tcBorders>
          </w:tcPr>
          <w:p w14:paraId="59B1623C" w14:textId="77777777" w:rsidR="000B7923" w:rsidRPr="002B1DFC" w:rsidRDefault="000B7923" w:rsidP="008870E0">
            <w:pPr>
              <w:ind w:right="1057"/>
              <w:jc w:val="right"/>
              <w:rPr>
                <w:rFonts w:eastAsia="Times New Roman" w:cs="Times New Roman"/>
              </w:rPr>
            </w:pPr>
            <w:r w:rsidRPr="002B1DFC">
              <w:rPr>
                <w:rFonts w:eastAsia="Times New Roman" w:cs="Times New Roman"/>
              </w:rPr>
              <w:t>58.54</w:t>
            </w:r>
          </w:p>
        </w:tc>
        <w:tc>
          <w:tcPr>
            <w:tcW w:w="1667" w:type="pct"/>
            <w:tcBorders>
              <w:top w:val="single" w:sz="4" w:space="0" w:color="4F81BD"/>
              <w:bottom w:val="single" w:sz="4" w:space="0" w:color="4F81BD"/>
              <w:right w:val="single" w:sz="4" w:space="0" w:color="4F81BD"/>
            </w:tcBorders>
          </w:tcPr>
          <w:p w14:paraId="05128259" w14:textId="77777777" w:rsidR="000B7923" w:rsidRPr="002B1DFC" w:rsidRDefault="000B7923" w:rsidP="008870E0">
            <w:pPr>
              <w:ind w:right="1368"/>
              <w:jc w:val="right"/>
              <w:rPr>
                <w:rFonts w:eastAsia="Times New Roman"/>
              </w:rPr>
            </w:pPr>
            <w:r w:rsidRPr="002B1DFC">
              <w:rPr>
                <w:rFonts w:eastAsia="Times New Roman"/>
              </w:rPr>
              <w:t>$2.8</w:t>
            </w:r>
          </w:p>
        </w:tc>
      </w:tr>
      <w:tr w:rsidR="000B7923" w:rsidRPr="002B1DFC" w14:paraId="4BC404EA" w14:textId="77777777">
        <w:tc>
          <w:tcPr>
            <w:tcW w:w="1667" w:type="pct"/>
            <w:tcBorders>
              <w:left w:val="single" w:sz="4" w:space="0" w:color="4F81BD"/>
              <w:right w:val="nil"/>
            </w:tcBorders>
            <w:shd w:val="clear" w:color="auto" w:fill="FFFFFF"/>
          </w:tcPr>
          <w:p w14:paraId="76285A78" w14:textId="77777777" w:rsidR="000B7923" w:rsidRPr="002B1DFC" w:rsidRDefault="000B7923" w:rsidP="00594A06">
            <w:pPr>
              <w:rPr>
                <w:rFonts w:eastAsia="Times New Roman" w:cs="Times New Roman"/>
                <w:b/>
                <w:bCs/>
              </w:rPr>
            </w:pPr>
            <w:r w:rsidRPr="002B1DFC">
              <w:rPr>
                <w:rFonts w:eastAsia="Times New Roman" w:cs="Times New Roman"/>
                <w:bCs/>
              </w:rPr>
              <w:t>Cadmium compounds</w:t>
            </w:r>
          </w:p>
        </w:tc>
        <w:tc>
          <w:tcPr>
            <w:tcW w:w="1667" w:type="pct"/>
          </w:tcPr>
          <w:p w14:paraId="0523A901" w14:textId="77777777" w:rsidR="000B7923" w:rsidRPr="002B1DFC" w:rsidRDefault="000B7923" w:rsidP="008870E0">
            <w:pPr>
              <w:ind w:right="1057"/>
              <w:jc w:val="right"/>
              <w:rPr>
                <w:rFonts w:eastAsia="Times New Roman" w:cs="Times New Roman"/>
              </w:rPr>
            </w:pPr>
            <w:r w:rsidRPr="002B1DFC">
              <w:rPr>
                <w:rFonts w:eastAsia="Times New Roman" w:cs="Times New Roman"/>
              </w:rPr>
              <w:t>12,298.01</w:t>
            </w:r>
          </w:p>
        </w:tc>
        <w:tc>
          <w:tcPr>
            <w:tcW w:w="1667" w:type="pct"/>
            <w:tcBorders>
              <w:right w:val="single" w:sz="4" w:space="0" w:color="4F81BD"/>
            </w:tcBorders>
          </w:tcPr>
          <w:p w14:paraId="44174522" w14:textId="77777777" w:rsidR="000B7923" w:rsidRPr="002B1DFC" w:rsidRDefault="000B7923" w:rsidP="008870E0">
            <w:pPr>
              <w:ind w:right="1368"/>
              <w:jc w:val="right"/>
              <w:rPr>
                <w:rFonts w:eastAsia="Times New Roman"/>
              </w:rPr>
            </w:pPr>
            <w:r w:rsidRPr="002B1DFC">
              <w:rPr>
                <w:rFonts w:eastAsia="Times New Roman"/>
              </w:rPr>
              <w:t>$578.0</w:t>
            </w:r>
          </w:p>
        </w:tc>
      </w:tr>
      <w:tr w:rsidR="000B7923" w:rsidRPr="002B1DFC" w14:paraId="07B6FA31" w14:textId="77777777">
        <w:tc>
          <w:tcPr>
            <w:tcW w:w="1667" w:type="pct"/>
            <w:tcBorders>
              <w:top w:val="single" w:sz="4" w:space="0" w:color="4F81BD"/>
              <w:left w:val="single" w:sz="4" w:space="0" w:color="4F81BD"/>
              <w:bottom w:val="single" w:sz="4" w:space="0" w:color="4F81BD"/>
              <w:right w:val="nil"/>
            </w:tcBorders>
            <w:shd w:val="clear" w:color="auto" w:fill="FFFFFF"/>
          </w:tcPr>
          <w:p w14:paraId="39FD5D80" w14:textId="77777777" w:rsidR="000B7923" w:rsidRPr="002B1DFC" w:rsidRDefault="000B7923" w:rsidP="00594A06">
            <w:pPr>
              <w:rPr>
                <w:rFonts w:eastAsia="Times New Roman" w:cs="Times New Roman"/>
                <w:b/>
                <w:bCs/>
              </w:rPr>
            </w:pPr>
            <w:r w:rsidRPr="002B1DFC">
              <w:rPr>
                <w:rFonts w:eastAsia="Times New Roman" w:cs="Times New Roman"/>
                <w:bCs/>
              </w:rPr>
              <w:t>Manganese and its compounds</w:t>
            </w:r>
          </w:p>
        </w:tc>
        <w:tc>
          <w:tcPr>
            <w:tcW w:w="1667" w:type="pct"/>
            <w:tcBorders>
              <w:top w:val="single" w:sz="4" w:space="0" w:color="4F81BD"/>
              <w:bottom w:val="single" w:sz="4" w:space="0" w:color="4F81BD"/>
            </w:tcBorders>
          </w:tcPr>
          <w:p w14:paraId="47F8BED5" w14:textId="77777777" w:rsidR="000B7923" w:rsidRPr="002B1DFC" w:rsidRDefault="000B7923" w:rsidP="008870E0">
            <w:pPr>
              <w:ind w:right="1057"/>
              <w:jc w:val="right"/>
              <w:rPr>
                <w:rFonts w:eastAsia="Times New Roman" w:cs="Times New Roman"/>
              </w:rPr>
            </w:pPr>
            <w:r w:rsidRPr="002B1DFC">
              <w:rPr>
                <w:rFonts w:eastAsia="Times New Roman" w:cs="Times New Roman"/>
              </w:rPr>
              <w:t>12,298.01</w:t>
            </w:r>
          </w:p>
        </w:tc>
        <w:tc>
          <w:tcPr>
            <w:tcW w:w="1667" w:type="pct"/>
            <w:tcBorders>
              <w:top w:val="single" w:sz="4" w:space="0" w:color="4F81BD"/>
              <w:bottom w:val="single" w:sz="4" w:space="0" w:color="4F81BD"/>
              <w:right w:val="single" w:sz="4" w:space="0" w:color="4F81BD"/>
            </w:tcBorders>
          </w:tcPr>
          <w:p w14:paraId="2CBDC839" w14:textId="77777777" w:rsidR="000B7923" w:rsidRPr="002B1DFC" w:rsidRDefault="000B7923" w:rsidP="008870E0">
            <w:pPr>
              <w:ind w:right="1368"/>
              <w:jc w:val="right"/>
              <w:rPr>
                <w:rFonts w:eastAsia="Times New Roman"/>
              </w:rPr>
            </w:pPr>
            <w:r w:rsidRPr="002B1DFC">
              <w:rPr>
                <w:rFonts w:eastAsia="Times New Roman"/>
              </w:rPr>
              <w:t>$578.0</w:t>
            </w:r>
          </w:p>
        </w:tc>
      </w:tr>
      <w:tr w:rsidR="000B7923" w:rsidRPr="002B1DFC" w14:paraId="3263C398" w14:textId="77777777">
        <w:tc>
          <w:tcPr>
            <w:tcW w:w="1667" w:type="pct"/>
            <w:tcBorders>
              <w:left w:val="single" w:sz="4" w:space="0" w:color="4F81BD"/>
              <w:right w:val="nil"/>
            </w:tcBorders>
            <w:shd w:val="clear" w:color="auto" w:fill="FFFFFF"/>
          </w:tcPr>
          <w:p w14:paraId="11A8E838" w14:textId="77777777" w:rsidR="000B7923" w:rsidRPr="002B1DFC" w:rsidRDefault="000B7923" w:rsidP="00594A06">
            <w:pPr>
              <w:rPr>
                <w:rFonts w:eastAsia="Times New Roman" w:cs="Times New Roman"/>
                <w:b/>
                <w:bCs/>
              </w:rPr>
            </w:pPr>
            <w:r w:rsidRPr="002B1DFC">
              <w:rPr>
                <w:rFonts w:eastAsia="Times New Roman" w:cs="Times New Roman"/>
                <w:bCs/>
              </w:rPr>
              <w:t>Nickel and its compounds</w:t>
            </w:r>
          </w:p>
        </w:tc>
        <w:tc>
          <w:tcPr>
            <w:tcW w:w="1667" w:type="pct"/>
          </w:tcPr>
          <w:p w14:paraId="17E16B96" w14:textId="77777777" w:rsidR="000B7923" w:rsidRPr="002B1DFC" w:rsidRDefault="000B7923" w:rsidP="008870E0">
            <w:pPr>
              <w:ind w:right="1057"/>
              <w:jc w:val="right"/>
              <w:rPr>
                <w:rFonts w:eastAsia="Times New Roman" w:cs="Times New Roman"/>
              </w:rPr>
            </w:pPr>
            <w:r w:rsidRPr="002B1DFC">
              <w:rPr>
                <w:rFonts w:eastAsia="Times New Roman" w:cs="Times New Roman"/>
              </w:rPr>
              <w:t>62,658.23</w:t>
            </w:r>
          </w:p>
        </w:tc>
        <w:tc>
          <w:tcPr>
            <w:tcW w:w="1667" w:type="pct"/>
            <w:tcBorders>
              <w:right w:val="single" w:sz="4" w:space="0" w:color="4F81BD"/>
            </w:tcBorders>
          </w:tcPr>
          <w:p w14:paraId="3DE918A8" w14:textId="77777777" w:rsidR="000B7923" w:rsidRPr="002B1DFC" w:rsidRDefault="000B7923" w:rsidP="008870E0">
            <w:pPr>
              <w:ind w:right="1368"/>
              <w:jc w:val="right"/>
              <w:rPr>
                <w:rFonts w:eastAsia="Times New Roman"/>
              </w:rPr>
            </w:pPr>
            <w:r w:rsidRPr="002B1DFC">
              <w:rPr>
                <w:rFonts w:eastAsia="Times New Roman"/>
              </w:rPr>
              <w:t>$2,944.9</w:t>
            </w:r>
          </w:p>
        </w:tc>
      </w:tr>
      <w:tr w:rsidR="000B7923" w:rsidRPr="002B1DFC" w14:paraId="3A83DC14" w14:textId="77777777">
        <w:tc>
          <w:tcPr>
            <w:tcW w:w="1667" w:type="pct"/>
            <w:tcBorders>
              <w:top w:val="single" w:sz="4" w:space="0" w:color="4F81BD"/>
              <w:left w:val="single" w:sz="4" w:space="0" w:color="4F81BD"/>
              <w:bottom w:val="single" w:sz="4" w:space="0" w:color="4F81BD"/>
              <w:right w:val="nil"/>
            </w:tcBorders>
            <w:shd w:val="clear" w:color="auto" w:fill="FFFFFF"/>
          </w:tcPr>
          <w:p w14:paraId="38535A89" w14:textId="77777777" w:rsidR="000B7923" w:rsidRPr="002B1DFC" w:rsidRDefault="000B7923" w:rsidP="00594A06">
            <w:pPr>
              <w:rPr>
                <w:rFonts w:eastAsia="Times New Roman" w:cs="Times New Roman"/>
                <w:b/>
                <w:bCs/>
              </w:rPr>
            </w:pPr>
            <w:r w:rsidRPr="002B1DFC">
              <w:rPr>
                <w:rFonts w:eastAsia="Times New Roman" w:cs="Times New Roman"/>
                <w:bCs/>
              </w:rPr>
              <w:t>Ozone</w:t>
            </w:r>
          </w:p>
        </w:tc>
        <w:tc>
          <w:tcPr>
            <w:tcW w:w="1667" w:type="pct"/>
            <w:tcBorders>
              <w:top w:val="single" w:sz="4" w:space="0" w:color="4F81BD"/>
              <w:bottom w:val="single" w:sz="4" w:space="0" w:color="4F81BD"/>
            </w:tcBorders>
          </w:tcPr>
          <w:p w14:paraId="70C51C13" w14:textId="77777777" w:rsidR="000B7923" w:rsidRPr="002B1DFC" w:rsidRDefault="000B7923" w:rsidP="008870E0">
            <w:pPr>
              <w:ind w:right="1057"/>
              <w:jc w:val="right"/>
              <w:rPr>
                <w:rFonts w:eastAsia="Times New Roman" w:cs="Times New Roman"/>
              </w:rPr>
            </w:pPr>
            <w:r w:rsidRPr="002B1DFC">
              <w:rPr>
                <w:rFonts w:eastAsia="Times New Roman" w:cs="Times New Roman"/>
              </w:rPr>
              <w:t>1,553.79</w:t>
            </w:r>
          </w:p>
        </w:tc>
        <w:tc>
          <w:tcPr>
            <w:tcW w:w="1667" w:type="pct"/>
            <w:tcBorders>
              <w:top w:val="single" w:sz="4" w:space="0" w:color="4F81BD"/>
              <w:bottom w:val="single" w:sz="4" w:space="0" w:color="4F81BD"/>
              <w:right w:val="single" w:sz="4" w:space="0" w:color="4F81BD"/>
            </w:tcBorders>
          </w:tcPr>
          <w:p w14:paraId="54D2EABB" w14:textId="77777777" w:rsidR="000B7923" w:rsidRPr="002B1DFC" w:rsidRDefault="000B7923" w:rsidP="008870E0">
            <w:pPr>
              <w:ind w:right="1368"/>
              <w:jc w:val="right"/>
              <w:rPr>
                <w:rFonts w:eastAsia="Times New Roman"/>
              </w:rPr>
            </w:pPr>
            <w:r w:rsidRPr="002B1DFC">
              <w:rPr>
                <w:rFonts w:eastAsia="Times New Roman"/>
              </w:rPr>
              <w:t>$73.0</w:t>
            </w:r>
          </w:p>
        </w:tc>
      </w:tr>
      <w:tr w:rsidR="000B7923" w:rsidRPr="002B1DFC" w14:paraId="29D93B2D" w14:textId="77777777">
        <w:tc>
          <w:tcPr>
            <w:tcW w:w="1667" w:type="pct"/>
            <w:tcBorders>
              <w:left w:val="single" w:sz="4" w:space="0" w:color="4F81BD"/>
              <w:right w:val="nil"/>
            </w:tcBorders>
            <w:shd w:val="clear" w:color="auto" w:fill="FFFFFF"/>
          </w:tcPr>
          <w:p w14:paraId="6F9EC46D" w14:textId="77777777" w:rsidR="000B7923" w:rsidRPr="002B1DFC" w:rsidRDefault="000B7923" w:rsidP="00594A06">
            <w:pPr>
              <w:rPr>
                <w:rFonts w:eastAsia="Times New Roman" w:cs="Times New Roman"/>
                <w:b/>
                <w:bCs/>
              </w:rPr>
            </w:pPr>
            <w:r w:rsidRPr="002B1DFC">
              <w:rPr>
                <w:rFonts w:eastAsia="Times New Roman" w:cs="Times New Roman"/>
                <w:bCs/>
              </w:rPr>
              <w:t>Mercury and its compounds</w:t>
            </w:r>
          </w:p>
        </w:tc>
        <w:tc>
          <w:tcPr>
            <w:tcW w:w="1667" w:type="pct"/>
          </w:tcPr>
          <w:p w14:paraId="38E28FA5" w14:textId="77777777" w:rsidR="000B7923" w:rsidRPr="002B1DFC" w:rsidRDefault="000B7923" w:rsidP="008870E0">
            <w:pPr>
              <w:ind w:right="1057"/>
              <w:jc w:val="right"/>
              <w:rPr>
                <w:rFonts w:eastAsia="Times New Roman" w:cs="Times New Roman"/>
              </w:rPr>
            </w:pPr>
            <w:r w:rsidRPr="002B1DFC">
              <w:rPr>
                <w:rFonts w:eastAsia="Times New Roman" w:cs="Times New Roman"/>
              </w:rPr>
              <w:t>65,863.81</w:t>
            </w:r>
          </w:p>
        </w:tc>
        <w:tc>
          <w:tcPr>
            <w:tcW w:w="1667" w:type="pct"/>
            <w:tcBorders>
              <w:right w:val="single" w:sz="4" w:space="0" w:color="4F81BD"/>
            </w:tcBorders>
          </w:tcPr>
          <w:p w14:paraId="66AD8521" w14:textId="77777777" w:rsidR="000B7923" w:rsidRPr="002B1DFC" w:rsidRDefault="000B7923" w:rsidP="008870E0">
            <w:pPr>
              <w:ind w:right="1368"/>
              <w:jc w:val="right"/>
              <w:rPr>
                <w:rFonts w:eastAsia="Times New Roman"/>
              </w:rPr>
            </w:pPr>
            <w:r w:rsidRPr="002B1DFC">
              <w:rPr>
                <w:rFonts w:eastAsia="Times New Roman"/>
              </w:rPr>
              <w:t>$3,095.6</w:t>
            </w:r>
          </w:p>
        </w:tc>
      </w:tr>
      <w:tr w:rsidR="000B7923" w:rsidRPr="002B1DFC" w14:paraId="0622DC39" w14:textId="77777777">
        <w:tc>
          <w:tcPr>
            <w:tcW w:w="1667" w:type="pct"/>
            <w:tcBorders>
              <w:top w:val="single" w:sz="4" w:space="0" w:color="4F81BD"/>
              <w:left w:val="single" w:sz="4" w:space="0" w:color="4F81BD"/>
              <w:bottom w:val="single" w:sz="4" w:space="0" w:color="4F81BD"/>
              <w:right w:val="nil"/>
            </w:tcBorders>
            <w:shd w:val="clear" w:color="auto" w:fill="FFFFFF"/>
          </w:tcPr>
          <w:p w14:paraId="0DBFEE50" w14:textId="77777777" w:rsidR="000B7923" w:rsidRPr="002B1DFC" w:rsidRDefault="000B7923" w:rsidP="00594A06">
            <w:pPr>
              <w:rPr>
                <w:rFonts w:eastAsia="Times New Roman" w:cs="Times New Roman"/>
                <w:b/>
                <w:bCs/>
              </w:rPr>
            </w:pPr>
            <w:r w:rsidRPr="002B1DFC">
              <w:rPr>
                <w:rFonts w:eastAsia="Times New Roman" w:cs="Times New Roman"/>
                <w:bCs/>
              </w:rPr>
              <w:t>Lead and its compounds</w:t>
            </w:r>
          </w:p>
        </w:tc>
        <w:tc>
          <w:tcPr>
            <w:tcW w:w="1667" w:type="pct"/>
            <w:tcBorders>
              <w:top w:val="single" w:sz="4" w:space="0" w:color="4F81BD"/>
              <w:bottom w:val="single" w:sz="4" w:space="0" w:color="4F81BD"/>
            </w:tcBorders>
          </w:tcPr>
          <w:p w14:paraId="1726390C" w14:textId="77777777" w:rsidR="000B7923" w:rsidRPr="002B1DFC" w:rsidRDefault="000B7923" w:rsidP="008870E0">
            <w:pPr>
              <w:ind w:right="1057"/>
              <w:jc w:val="right"/>
              <w:rPr>
                <w:rFonts w:eastAsia="Times New Roman" w:cs="Times New Roman"/>
              </w:rPr>
            </w:pPr>
            <w:r w:rsidRPr="002B1DFC">
              <w:rPr>
                <w:rFonts w:eastAsia="Times New Roman" w:cs="Times New Roman"/>
              </w:rPr>
              <w:t>65,863.81</w:t>
            </w:r>
          </w:p>
        </w:tc>
        <w:tc>
          <w:tcPr>
            <w:tcW w:w="1667" w:type="pct"/>
            <w:tcBorders>
              <w:top w:val="single" w:sz="4" w:space="0" w:color="4F81BD"/>
              <w:bottom w:val="single" w:sz="4" w:space="0" w:color="4F81BD"/>
              <w:right w:val="single" w:sz="4" w:space="0" w:color="4F81BD"/>
            </w:tcBorders>
          </w:tcPr>
          <w:p w14:paraId="30674DDD" w14:textId="77777777" w:rsidR="000B7923" w:rsidRPr="002B1DFC" w:rsidRDefault="000B7923" w:rsidP="008870E0">
            <w:pPr>
              <w:ind w:right="1368"/>
              <w:jc w:val="right"/>
              <w:rPr>
                <w:rFonts w:eastAsia="Times New Roman"/>
              </w:rPr>
            </w:pPr>
            <w:r w:rsidRPr="002B1DFC">
              <w:rPr>
                <w:rFonts w:eastAsia="Times New Roman"/>
              </w:rPr>
              <w:t>$3,095.6</w:t>
            </w:r>
          </w:p>
        </w:tc>
      </w:tr>
      <w:tr w:rsidR="000B7923" w:rsidRPr="002B1DFC" w14:paraId="2C9468E1" w14:textId="77777777">
        <w:tc>
          <w:tcPr>
            <w:tcW w:w="1667" w:type="pct"/>
            <w:tcBorders>
              <w:left w:val="single" w:sz="4" w:space="0" w:color="4F81BD"/>
              <w:right w:val="nil"/>
            </w:tcBorders>
            <w:shd w:val="clear" w:color="auto" w:fill="FFFFFF"/>
          </w:tcPr>
          <w:p w14:paraId="02672E62" w14:textId="77777777" w:rsidR="000B7923" w:rsidRPr="002B1DFC" w:rsidRDefault="000B7923" w:rsidP="00594A06">
            <w:pPr>
              <w:rPr>
                <w:rFonts w:eastAsia="Times New Roman" w:cs="Times New Roman"/>
                <w:b/>
                <w:bCs/>
              </w:rPr>
            </w:pPr>
            <w:r w:rsidRPr="002B1DFC">
              <w:rPr>
                <w:rFonts w:eastAsia="Times New Roman" w:cs="Times New Roman"/>
                <w:bCs/>
              </w:rPr>
              <w:t>Hydrogen sulfide</w:t>
            </w:r>
          </w:p>
        </w:tc>
        <w:tc>
          <w:tcPr>
            <w:tcW w:w="1667" w:type="pct"/>
          </w:tcPr>
          <w:p w14:paraId="4B6B1781" w14:textId="77777777" w:rsidR="000B7923" w:rsidRPr="002B1DFC" w:rsidRDefault="000B7923" w:rsidP="008870E0">
            <w:pPr>
              <w:ind w:right="1057"/>
              <w:jc w:val="right"/>
              <w:rPr>
                <w:rFonts w:eastAsia="Times New Roman" w:cs="Times New Roman"/>
              </w:rPr>
            </w:pPr>
            <w:r w:rsidRPr="002B1DFC">
              <w:rPr>
                <w:rFonts w:eastAsia="Times New Roman" w:cs="Times New Roman"/>
              </w:rPr>
              <w:t>4,993.53</w:t>
            </w:r>
          </w:p>
        </w:tc>
        <w:tc>
          <w:tcPr>
            <w:tcW w:w="1667" w:type="pct"/>
            <w:tcBorders>
              <w:right w:val="single" w:sz="4" w:space="0" w:color="4F81BD"/>
            </w:tcBorders>
          </w:tcPr>
          <w:p w14:paraId="667188A7" w14:textId="77777777" w:rsidR="000B7923" w:rsidRPr="002B1DFC" w:rsidRDefault="000B7923" w:rsidP="008870E0">
            <w:pPr>
              <w:ind w:right="1368"/>
              <w:jc w:val="right"/>
              <w:rPr>
                <w:rFonts w:eastAsia="Times New Roman"/>
              </w:rPr>
            </w:pPr>
            <w:r w:rsidRPr="002B1DFC">
              <w:rPr>
                <w:rFonts w:eastAsia="Times New Roman"/>
              </w:rPr>
              <w:t>$234.7</w:t>
            </w:r>
          </w:p>
        </w:tc>
      </w:tr>
      <w:tr w:rsidR="000B7923" w:rsidRPr="002B1DFC" w14:paraId="5F3B3E3C" w14:textId="77777777">
        <w:tc>
          <w:tcPr>
            <w:tcW w:w="1667" w:type="pct"/>
            <w:tcBorders>
              <w:top w:val="single" w:sz="4" w:space="0" w:color="4F81BD"/>
              <w:left w:val="single" w:sz="4" w:space="0" w:color="4F81BD"/>
              <w:bottom w:val="single" w:sz="4" w:space="0" w:color="4F81BD"/>
              <w:right w:val="nil"/>
            </w:tcBorders>
            <w:shd w:val="clear" w:color="auto" w:fill="FFFFFF"/>
          </w:tcPr>
          <w:p w14:paraId="54883D07" w14:textId="77777777" w:rsidR="000B7923" w:rsidRPr="002B1DFC" w:rsidRDefault="000B7923" w:rsidP="00594A06">
            <w:pPr>
              <w:rPr>
                <w:rFonts w:eastAsia="Times New Roman" w:cs="Times New Roman"/>
                <w:b/>
                <w:bCs/>
              </w:rPr>
            </w:pPr>
            <w:r w:rsidRPr="002B1DFC">
              <w:rPr>
                <w:rFonts w:eastAsia="Times New Roman" w:cs="Times New Roman"/>
                <w:bCs/>
              </w:rPr>
              <w:t>Sterol</w:t>
            </w:r>
          </w:p>
        </w:tc>
        <w:tc>
          <w:tcPr>
            <w:tcW w:w="1667" w:type="pct"/>
            <w:tcBorders>
              <w:top w:val="single" w:sz="4" w:space="0" w:color="4F81BD"/>
              <w:bottom w:val="single" w:sz="4" w:space="0" w:color="4F81BD"/>
            </w:tcBorders>
          </w:tcPr>
          <w:p w14:paraId="099A25B7" w14:textId="77777777" w:rsidR="000B7923" w:rsidRPr="002B1DFC" w:rsidRDefault="000B7923" w:rsidP="008870E0">
            <w:pPr>
              <w:ind w:right="1057"/>
              <w:jc w:val="right"/>
              <w:rPr>
                <w:rFonts w:eastAsia="Times New Roman" w:cs="Times New Roman"/>
              </w:rPr>
            </w:pPr>
            <w:r w:rsidRPr="002B1DFC">
              <w:rPr>
                <w:rFonts w:eastAsia="Times New Roman" w:cs="Times New Roman"/>
              </w:rPr>
              <w:t>11,346.13</w:t>
            </w:r>
          </w:p>
        </w:tc>
        <w:tc>
          <w:tcPr>
            <w:tcW w:w="1667" w:type="pct"/>
            <w:tcBorders>
              <w:top w:val="single" w:sz="4" w:space="0" w:color="4F81BD"/>
              <w:bottom w:val="single" w:sz="4" w:space="0" w:color="4F81BD"/>
              <w:right w:val="single" w:sz="4" w:space="0" w:color="4F81BD"/>
            </w:tcBorders>
          </w:tcPr>
          <w:p w14:paraId="79A58DBB" w14:textId="77777777" w:rsidR="000B7923" w:rsidRPr="002B1DFC" w:rsidRDefault="000B7923" w:rsidP="008870E0">
            <w:pPr>
              <w:ind w:right="1368"/>
              <w:jc w:val="right"/>
              <w:rPr>
                <w:rFonts w:eastAsia="Times New Roman"/>
              </w:rPr>
            </w:pPr>
            <w:r w:rsidRPr="002B1DFC">
              <w:rPr>
                <w:rFonts w:eastAsia="Times New Roman"/>
              </w:rPr>
              <w:t>$533.3</w:t>
            </w:r>
          </w:p>
        </w:tc>
      </w:tr>
      <w:tr w:rsidR="000B7923" w:rsidRPr="002B1DFC" w14:paraId="27C1E6DD" w14:textId="77777777">
        <w:tc>
          <w:tcPr>
            <w:tcW w:w="1667" w:type="pct"/>
            <w:tcBorders>
              <w:left w:val="single" w:sz="4" w:space="0" w:color="4F81BD"/>
              <w:right w:val="nil"/>
            </w:tcBorders>
            <w:shd w:val="clear" w:color="auto" w:fill="FFFFFF"/>
          </w:tcPr>
          <w:p w14:paraId="7ECF7503" w14:textId="77777777" w:rsidR="000B7923" w:rsidRPr="002B1DFC" w:rsidRDefault="000B7923" w:rsidP="00594A06">
            <w:pPr>
              <w:rPr>
                <w:rFonts w:eastAsia="Times New Roman" w:cs="Times New Roman"/>
                <w:b/>
                <w:bCs/>
              </w:rPr>
            </w:pPr>
            <w:r w:rsidRPr="002B1DFC">
              <w:rPr>
                <w:rFonts w:eastAsia="Times New Roman" w:cs="Times New Roman"/>
                <w:bCs/>
              </w:rPr>
              <w:t>Phenol</w:t>
            </w:r>
          </w:p>
        </w:tc>
        <w:tc>
          <w:tcPr>
            <w:tcW w:w="1667" w:type="pct"/>
          </w:tcPr>
          <w:p w14:paraId="77C8DF89" w14:textId="77777777" w:rsidR="000B7923" w:rsidRPr="002B1DFC" w:rsidRDefault="000B7923" w:rsidP="008870E0">
            <w:pPr>
              <w:ind w:right="1057"/>
              <w:jc w:val="right"/>
              <w:rPr>
                <w:rFonts w:eastAsia="Times New Roman" w:cs="Times New Roman"/>
              </w:rPr>
            </w:pPr>
            <w:r w:rsidRPr="002B1DFC">
              <w:rPr>
                <w:rFonts w:eastAsia="Times New Roman" w:cs="Times New Roman"/>
              </w:rPr>
              <w:t>7,052.52</w:t>
            </w:r>
          </w:p>
        </w:tc>
        <w:tc>
          <w:tcPr>
            <w:tcW w:w="1667" w:type="pct"/>
            <w:tcBorders>
              <w:right w:val="single" w:sz="4" w:space="0" w:color="4F81BD"/>
            </w:tcBorders>
          </w:tcPr>
          <w:p w14:paraId="703476E3" w14:textId="77777777" w:rsidR="000B7923" w:rsidRPr="002B1DFC" w:rsidRDefault="000B7923" w:rsidP="008870E0">
            <w:pPr>
              <w:ind w:right="1368"/>
              <w:jc w:val="right"/>
              <w:rPr>
                <w:rFonts w:eastAsia="Times New Roman"/>
              </w:rPr>
            </w:pPr>
            <w:r w:rsidRPr="002B1DFC">
              <w:rPr>
                <w:rFonts w:eastAsia="Times New Roman"/>
              </w:rPr>
              <w:t>$331.5</w:t>
            </w:r>
          </w:p>
        </w:tc>
      </w:tr>
      <w:tr w:rsidR="000B7923" w:rsidRPr="002B1DFC" w14:paraId="412C962C" w14:textId="77777777">
        <w:tc>
          <w:tcPr>
            <w:tcW w:w="1667" w:type="pct"/>
            <w:tcBorders>
              <w:top w:val="single" w:sz="4" w:space="0" w:color="4F81BD"/>
              <w:left w:val="single" w:sz="4" w:space="0" w:color="4F81BD"/>
              <w:bottom w:val="single" w:sz="4" w:space="0" w:color="4F81BD"/>
              <w:right w:val="nil"/>
            </w:tcBorders>
            <w:shd w:val="clear" w:color="auto" w:fill="FFFFFF"/>
          </w:tcPr>
          <w:p w14:paraId="54C284A0" w14:textId="77777777" w:rsidR="000B7923" w:rsidRPr="002B1DFC" w:rsidRDefault="000B7923" w:rsidP="00594A06">
            <w:pPr>
              <w:rPr>
                <w:rFonts w:eastAsia="Times New Roman" w:cs="Times New Roman"/>
                <w:b/>
                <w:bCs/>
              </w:rPr>
            </w:pPr>
            <w:r w:rsidRPr="002B1DFC">
              <w:rPr>
                <w:rFonts w:eastAsia="Times New Roman" w:cs="Times New Roman"/>
                <w:bCs/>
              </w:rPr>
              <w:t>Formaldehyde</w:t>
            </w:r>
          </w:p>
        </w:tc>
        <w:tc>
          <w:tcPr>
            <w:tcW w:w="1667" w:type="pct"/>
            <w:tcBorders>
              <w:top w:val="single" w:sz="4" w:space="0" w:color="4F81BD"/>
              <w:bottom w:val="single" w:sz="4" w:space="0" w:color="4F81BD"/>
            </w:tcBorders>
          </w:tcPr>
          <w:p w14:paraId="4566CDE2" w14:textId="77777777" w:rsidR="000B7923" w:rsidRPr="002B1DFC" w:rsidRDefault="000B7923" w:rsidP="008870E0">
            <w:pPr>
              <w:ind w:right="1057"/>
              <w:jc w:val="right"/>
              <w:rPr>
                <w:rFonts w:eastAsia="Times New Roman" w:cs="Times New Roman"/>
              </w:rPr>
            </w:pPr>
            <w:r w:rsidRPr="002B1DFC">
              <w:rPr>
                <w:rFonts w:eastAsia="Times New Roman" w:cs="Times New Roman"/>
              </w:rPr>
              <w:t>3,846.95</w:t>
            </w:r>
          </w:p>
        </w:tc>
        <w:tc>
          <w:tcPr>
            <w:tcW w:w="1667" w:type="pct"/>
            <w:tcBorders>
              <w:top w:val="single" w:sz="4" w:space="0" w:color="4F81BD"/>
              <w:bottom w:val="single" w:sz="4" w:space="0" w:color="4F81BD"/>
              <w:right w:val="single" w:sz="4" w:space="0" w:color="4F81BD"/>
            </w:tcBorders>
          </w:tcPr>
          <w:p w14:paraId="13F53630" w14:textId="77777777" w:rsidR="000B7923" w:rsidRPr="002B1DFC" w:rsidRDefault="000B7923" w:rsidP="008870E0">
            <w:pPr>
              <w:ind w:right="1368"/>
              <w:jc w:val="right"/>
              <w:rPr>
                <w:rFonts w:eastAsia="Times New Roman"/>
              </w:rPr>
            </w:pPr>
            <w:r w:rsidRPr="002B1DFC">
              <w:rPr>
                <w:rFonts w:eastAsia="Times New Roman"/>
              </w:rPr>
              <w:t>$180.8</w:t>
            </w:r>
          </w:p>
        </w:tc>
      </w:tr>
      <w:tr w:rsidR="000B7923" w:rsidRPr="002B1DFC" w14:paraId="280F8B92" w14:textId="77777777">
        <w:tc>
          <w:tcPr>
            <w:tcW w:w="1667" w:type="pct"/>
            <w:tcBorders>
              <w:left w:val="single" w:sz="4" w:space="0" w:color="4F81BD"/>
              <w:right w:val="nil"/>
            </w:tcBorders>
            <w:shd w:val="clear" w:color="auto" w:fill="FFFFFF"/>
          </w:tcPr>
          <w:p w14:paraId="6689DB71" w14:textId="77777777" w:rsidR="000B7923" w:rsidRPr="002B1DFC" w:rsidRDefault="000B7923" w:rsidP="00594A06">
            <w:pPr>
              <w:rPr>
                <w:rFonts w:eastAsia="Times New Roman" w:cs="Times New Roman"/>
                <w:b/>
                <w:bCs/>
              </w:rPr>
            </w:pPr>
            <w:r w:rsidRPr="002B1DFC">
              <w:rPr>
                <w:rFonts w:eastAsia="Times New Roman" w:cs="Times New Roman"/>
                <w:bCs/>
              </w:rPr>
              <w:t>Chromium and its compounds</w:t>
            </w:r>
          </w:p>
        </w:tc>
        <w:tc>
          <w:tcPr>
            <w:tcW w:w="1667" w:type="pct"/>
          </w:tcPr>
          <w:p w14:paraId="51B46680" w14:textId="77777777" w:rsidR="000B7923" w:rsidRPr="002B1DFC" w:rsidRDefault="000B7923" w:rsidP="008870E0">
            <w:pPr>
              <w:ind w:right="1057"/>
              <w:jc w:val="right"/>
              <w:rPr>
                <w:rFonts w:eastAsia="Times New Roman" w:cs="Times New Roman"/>
              </w:rPr>
            </w:pPr>
            <w:r w:rsidRPr="002B1DFC">
              <w:rPr>
                <w:rFonts w:eastAsia="Times New Roman" w:cs="Times New Roman"/>
              </w:rPr>
              <w:t>41,713.2</w:t>
            </w:r>
          </w:p>
        </w:tc>
        <w:tc>
          <w:tcPr>
            <w:tcW w:w="1667" w:type="pct"/>
            <w:tcBorders>
              <w:right w:val="single" w:sz="4" w:space="0" w:color="4F81BD"/>
            </w:tcBorders>
          </w:tcPr>
          <w:p w14:paraId="10CD1E49" w14:textId="77777777" w:rsidR="000B7923" w:rsidRPr="002B1DFC" w:rsidRDefault="000B7923" w:rsidP="008870E0">
            <w:pPr>
              <w:ind w:right="1368"/>
              <w:jc w:val="right"/>
              <w:rPr>
                <w:rFonts w:eastAsia="Times New Roman"/>
              </w:rPr>
            </w:pPr>
            <w:r w:rsidRPr="002B1DFC">
              <w:rPr>
                <w:rFonts w:eastAsia="Times New Roman"/>
              </w:rPr>
              <w:t>$1,960.5</w:t>
            </w:r>
          </w:p>
        </w:tc>
      </w:tr>
      <w:tr w:rsidR="000B7923" w:rsidRPr="002B1DFC" w14:paraId="4820FB5F" w14:textId="77777777">
        <w:tc>
          <w:tcPr>
            <w:tcW w:w="1667" w:type="pct"/>
            <w:tcBorders>
              <w:top w:val="single" w:sz="4" w:space="0" w:color="4F81BD"/>
              <w:left w:val="single" w:sz="4" w:space="0" w:color="4F81BD"/>
              <w:bottom w:val="single" w:sz="4" w:space="0" w:color="4F81BD"/>
              <w:right w:val="nil"/>
            </w:tcBorders>
            <w:shd w:val="clear" w:color="auto" w:fill="FFFFFF"/>
          </w:tcPr>
          <w:p w14:paraId="776A2A97" w14:textId="77777777" w:rsidR="000B7923" w:rsidRPr="002B1DFC" w:rsidRDefault="000B7923" w:rsidP="00594A06">
            <w:pPr>
              <w:rPr>
                <w:rFonts w:eastAsia="Times New Roman" w:cs="Times New Roman"/>
                <w:b/>
                <w:bCs/>
              </w:rPr>
            </w:pPr>
            <w:r w:rsidRPr="002B1DFC">
              <w:rPr>
                <w:rFonts w:eastAsia="Times New Roman" w:cs="Times New Roman"/>
                <w:bCs/>
              </w:rPr>
              <w:t>Carbon dioxide emissions</w:t>
            </w:r>
          </w:p>
        </w:tc>
        <w:tc>
          <w:tcPr>
            <w:tcW w:w="1667" w:type="pct"/>
            <w:tcBorders>
              <w:top w:val="single" w:sz="4" w:space="0" w:color="4F81BD"/>
              <w:bottom w:val="single" w:sz="4" w:space="0" w:color="4F81BD"/>
            </w:tcBorders>
          </w:tcPr>
          <w:p w14:paraId="3EF0D8CB" w14:textId="77777777" w:rsidR="000B7923" w:rsidRPr="002B1DFC" w:rsidRDefault="000B7923" w:rsidP="008870E0">
            <w:pPr>
              <w:ind w:right="427"/>
              <w:jc w:val="right"/>
              <w:rPr>
                <w:rFonts w:eastAsia="Times New Roman" w:cs="Times New Roman"/>
              </w:rPr>
            </w:pPr>
            <w:r w:rsidRPr="002B1DFC">
              <w:rPr>
                <w:rFonts w:eastAsia="Times New Roman" w:cs="Times New Roman"/>
              </w:rPr>
              <w:t>0</w:t>
            </w:r>
            <w:r w:rsidR="000B3B8A">
              <w:rPr>
                <w:rFonts w:eastAsia="Times New Roman" w:cs="Times New Roman"/>
              </w:rPr>
              <w:t>.</w:t>
            </w:r>
            <w:r w:rsidRPr="002B1DFC">
              <w:rPr>
                <w:rFonts w:eastAsia="Times New Roman" w:cs="Times New Roman"/>
              </w:rPr>
              <w:t>26 UAH</w:t>
            </w:r>
          </w:p>
        </w:tc>
        <w:tc>
          <w:tcPr>
            <w:tcW w:w="1667" w:type="pct"/>
            <w:tcBorders>
              <w:top w:val="single" w:sz="4" w:space="0" w:color="4F81BD"/>
              <w:bottom w:val="single" w:sz="4" w:space="0" w:color="4F81BD"/>
              <w:right w:val="single" w:sz="4" w:space="0" w:color="4F81BD"/>
            </w:tcBorders>
          </w:tcPr>
          <w:p w14:paraId="38B9B9FD" w14:textId="77777777" w:rsidR="000B7923" w:rsidRPr="002B1DFC" w:rsidRDefault="000B7923" w:rsidP="008870E0">
            <w:pPr>
              <w:ind w:right="1188"/>
              <w:jc w:val="right"/>
              <w:rPr>
                <w:rFonts w:eastAsia="Times New Roman"/>
              </w:rPr>
            </w:pPr>
            <w:r w:rsidRPr="002B1DFC">
              <w:rPr>
                <w:rFonts w:eastAsia="Times New Roman"/>
              </w:rPr>
              <w:t>$0.012</w:t>
            </w:r>
          </w:p>
        </w:tc>
      </w:tr>
    </w:tbl>
    <w:p w14:paraId="34584AE5" w14:textId="77777777" w:rsidR="000B7923" w:rsidRPr="009A1289" w:rsidRDefault="00810F94" w:rsidP="00193241">
      <w:pPr>
        <w:rPr>
          <w:rFonts w:cs="Times New Roman"/>
          <w:iCs/>
          <w:sz w:val="20"/>
          <w:szCs w:val="20"/>
        </w:rPr>
      </w:pPr>
      <w:r w:rsidRPr="009A1289">
        <w:rPr>
          <w:rFonts w:cs="Times New Roman"/>
          <w:i/>
          <w:iCs/>
          <w:sz w:val="20"/>
          <w:szCs w:val="20"/>
        </w:rPr>
        <w:t>*</w:t>
      </w:r>
      <w:r w:rsidR="000B7923" w:rsidRPr="009A1289">
        <w:rPr>
          <w:rFonts w:cs="Times New Roman"/>
          <w:i/>
          <w:iCs/>
          <w:sz w:val="20"/>
          <w:szCs w:val="20"/>
        </w:rPr>
        <w:t xml:space="preserve">Note: </w:t>
      </w:r>
      <w:r w:rsidR="000B7923" w:rsidRPr="009A1289">
        <w:rPr>
          <w:rFonts w:cs="Times New Roman"/>
          <w:iCs/>
          <w:sz w:val="20"/>
          <w:szCs w:val="20"/>
        </w:rPr>
        <w:t>Exchange rate on August 1, 2015: 1 UAH = 0.047 US</w:t>
      </w:r>
      <w:r w:rsidR="000B3B8A" w:rsidRPr="009A1289">
        <w:rPr>
          <w:rFonts w:cs="Times New Roman"/>
          <w:iCs/>
          <w:sz w:val="20"/>
          <w:szCs w:val="20"/>
        </w:rPr>
        <w:t>$.</w:t>
      </w:r>
    </w:p>
    <w:p w14:paraId="3A3E15CC" w14:textId="77777777" w:rsidR="00A55B4B" w:rsidRDefault="009A1289" w:rsidP="00193241">
      <w:pPr>
        <w:rPr>
          <w:rFonts w:cs="Times New Roman"/>
          <w:sz w:val="20"/>
          <w:szCs w:val="20"/>
        </w:rPr>
      </w:pPr>
      <w:r w:rsidRPr="009A1289">
        <w:rPr>
          <w:rFonts w:cs="Times New Roman"/>
          <w:i/>
          <w:sz w:val="20"/>
          <w:szCs w:val="20"/>
        </w:rPr>
        <w:t>Source</w:t>
      </w:r>
      <w:r w:rsidRPr="009A1289">
        <w:rPr>
          <w:rFonts w:cs="Times New Roman"/>
          <w:iCs/>
          <w:sz w:val="20"/>
          <w:szCs w:val="20"/>
        </w:rPr>
        <w:t xml:space="preserve">: </w:t>
      </w:r>
      <w:r w:rsidRPr="009A1289">
        <w:rPr>
          <w:rFonts w:cs="Times New Roman"/>
          <w:sz w:val="20"/>
          <w:szCs w:val="20"/>
        </w:rPr>
        <w:t>Law of Ukraine of 02.12.2010 No. 2755-VI “Tax Code of Ukraine.”</w:t>
      </w:r>
    </w:p>
    <w:p w14:paraId="7AD70E72" w14:textId="77777777" w:rsidR="009A1289" w:rsidRDefault="009A1289" w:rsidP="00193241">
      <w:pPr>
        <w:rPr>
          <w:rFonts w:cs="Times New Roman"/>
          <w:iCs/>
          <w:sz w:val="20"/>
          <w:szCs w:val="20"/>
        </w:rPr>
      </w:pPr>
    </w:p>
    <w:p w14:paraId="2752155D" w14:textId="77777777" w:rsidR="000B7923" w:rsidRPr="002B1DFC" w:rsidRDefault="000B7923" w:rsidP="009A1289">
      <w:pPr>
        <w:pStyle w:val="Caption"/>
        <w:rPr>
          <w:noProof w:val="0"/>
          <w:lang w:val="en-US"/>
        </w:rPr>
      </w:pPr>
      <w:bookmarkStart w:id="126" w:name="_Toc440274005"/>
      <w:r w:rsidRPr="002B1DFC">
        <w:rPr>
          <w:noProof w:val="0"/>
          <w:lang w:val="en-US"/>
        </w:rPr>
        <w:t xml:space="preserve">Table </w:t>
      </w:r>
      <w:r w:rsidRPr="002B1DFC">
        <w:rPr>
          <w:noProof w:val="0"/>
          <w:lang w:val="en-US"/>
        </w:rPr>
        <w:fldChar w:fldCharType="begin"/>
      </w:r>
      <w:r w:rsidRPr="002B1DFC">
        <w:rPr>
          <w:noProof w:val="0"/>
          <w:lang w:val="en-US"/>
        </w:rPr>
        <w:instrText xml:space="preserve"> SEQ Table \* ARABIC </w:instrText>
      </w:r>
      <w:r w:rsidRPr="002B1DFC">
        <w:rPr>
          <w:noProof w:val="0"/>
          <w:lang w:val="en-US"/>
        </w:rPr>
        <w:fldChar w:fldCharType="separate"/>
      </w:r>
      <w:r w:rsidR="00356D5F">
        <w:rPr>
          <w:lang w:val="en-US"/>
        </w:rPr>
        <w:t>13</w:t>
      </w:r>
      <w:r w:rsidRPr="002B1DFC">
        <w:rPr>
          <w:noProof w:val="0"/>
          <w:lang w:val="en-US"/>
        </w:rPr>
        <w:fldChar w:fldCharType="end"/>
      </w:r>
      <w:r w:rsidRPr="002B1DFC">
        <w:rPr>
          <w:noProof w:val="0"/>
          <w:lang w:val="en-US"/>
        </w:rPr>
        <w:t xml:space="preserve">. Taxes for </w:t>
      </w:r>
      <w:r w:rsidR="00810F94">
        <w:rPr>
          <w:noProof w:val="0"/>
          <w:lang w:val="en-US"/>
        </w:rPr>
        <w:t>P</w:t>
      </w:r>
      <w:r w:rsidRPr="002B1DFC">
        <w:rPr>
          <w:noProof w:val="0"/>
          <w:lang w:val="en-US"/>
        </w:rPr>
        <w:t xml:space="preserve">ollutant </w:t>
      </w:r>
      <w:r w:rsidR="00810F94">
        <w:rPr>
          <w:noProof w:val="0"/>
          <w:lang w:val="en-US"/>
        </w:rPr>
        <w:t>D</w:t>
      </w:r>
      <w:r w:rsidRPr="002B1DFC">
        <w:rPr>
          <w:noProof w:val="0"/>
          <w:lang w:val="en-US"/>
        </w:rPr>
        <w:t xml:space="preserve">ischarge </w:t>
      </w:r>
      <w:r w:rsidR="006B1428">
        <w:rPr>
          <w:noProof w:val="0"/>
          <w:lang w:val="en-US"/>
        </w:rPr>
        <w:t>into B</w:t>
      </w:r>
      <w:r w:rsidR="00810F94">
        <w:rPr>
          <w:noProof w:val="0"/>
          <w:lang w:val="en-US"/>
        </w:rPr>
        <w:t xml:space="preserve">odies of </w:t>
      </w:r>
      <w:r w:rsidR="006B1428">
        <w:rPr>
          <w:noProof w:val="0"/>
          <w:lang w:val="en-US"/>
        </w:rPr>
        <w:t>W</w:t>
      </w:r>
      <w:r w:rsidRPr="002B1DFC">
        <w:rPr>
          <w:noProof w:val="0"/>
          <w:lang w:val="en-US"/>
        </w:rPr>
        <w:t>ater</w:t>
      </w:r>
      <w:bookmarkEnd w:id="126"/>
    </w:p>
    <w:tbl>
      <w:tblPr>
        <w:tblW w:w="5000" w:type="pct"/>
        <w:tblInd w:w="108" w:type="dxa"/>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3118"/>
        <w:gridCol w:w="3117"/>
        <w:gridCol w:w="3115"/>
      </w:tblGrid>
      <w:tr w:rsidR="000B7923" w:rsidRPr="002B1DFC" w14:paraId="32B54081" w14:textId="77777777">
        <w:tc>
          <w:tcPr>
            <w:tcW w:w="1667" w:type="pct"/>
            <w:tcBorders>
              <w:top w:val="single" w:sz="4" w:space="0" w:color="4F81BD"/>
              <w:left w:val="single" w:sz="4" w:space="0" w:color="4F81BD"/>
              <w:bottom w:val="nil"/>
              <w:right w:val="nil"/>
            </w:tcBorders>
            <w:shd w:val="clear" w:color="auto" w:fill="4F81BD"/>
          </w:tcPr>
          <w:p w14:paraId="130A64A2" w14:textId="77777777" w:rsidR="000B7923" w:rsidRPr="002B1DFC" w:rsidRDefault="000B7923" w:rsidP="00F33595">
            <w:pPr>
              <w:rPr>
                <w:rFonts w:eastAsia="Times New Roman" w:cs="Times New Roman"/>
                <w:b/>
                <w:bCs/>
                <w:color w:val="FFFFFF"/>
              </w:rPr>
            </w:pPr>
            <w:r w:rsidRPr="002B1DFC">
              <w:rPr>
                <w:rFonts w:eastAsia="Times New Roman" w:cs="Times New Roman"/>
                <w:b/>
                <w:color w:val="FFFFFF"/>
              </w:rPr>
              <w:t>Pollutant</w:t>
            </w:r>
          </w:p>
        </w:tc>
        <w:tc>
          <w:tcPr>
            <w:tcW w:w="1667" w:type="pct"/>
            <w:tcBorders>
              <w:top w:val="single" w:sz="4" w:space="0" w:color="4F81BD"/>
            </w:tcBorders>
            <w:shd w:val="clear" w:color="auto" w:fill="4F81BD"/>
          </w:tcPr>
          <w:p w14:paraId="10C35825" w14:textId="77777777" w:rsidR="000B7923" w:rsidRPr="002B1DFC" w:rsidRDefault="000B7923" w:rsidP="00F33595">
            <w:pPr>
              <w:rPr>
                <w:rFonts w:eastAsia="Times New Roman" w:cs="Times New Roman"/>
                <w:b/>
                <w:bCs/>
                <w:color w:val="FFFFFF"/>
              </w:rPr>
            </w:pPr>
            <w:r w:rsidRPr="002B1DFC">
              <w:rPr>
                <w:rFonts w:eastAsia="Times New Roman" w:cs="Times New Roman"/>
                <w:b/>
                <w:color w:val="FFFFFF"/>
              </w:rPr>
              <w:t>Tax for 1 ton (UAH)</w:t>
            </w:r>
          </w:p>
        </w:tc>
        <w:tc>
          <w:tcPr>
            <w:tcW w:w="1667" w:type="pct"/>
            <w:tcBorders>
              <w:top w:val="single" w:sz="4" w:space="0" w:color="4F81BD"/>
              <w:right w:val="single" w:sz="4" w:space="0" w:color="4F81BD"/>
            </w:tcBorders>
            <w:shd w:val="clear" w:color="auto" w:fill="4F81BD"/>
          </w:tcPr>
          <w:p w14:paraId="31194D3F" w14:textId="77777777" w:rsidR="000B7923" w:rsidRPr="002B1DFC" w:rsidRDefault="000B7923" w:rsidP="00F33595">
            <w:pPr>
              <w:rPr>
                <w:rFonts w:eastAsia="Times New Roman" w:cs="Times New Roman"/>
                <w:b/>
                <w:bCs/>
                <w:color w:val="FFFFFF"/>
              </w:rPr>
            </w:pPr>
            <w:r w:rsidRPr="002B1DFC">
              <w:rPr>
                <w:rFonts w:eastAsia="Times New Roman" w:cs="Times New Roman"/>
                <w:b/>
                <w:color w:val="FFFFFF"/>
              </w:rPr>
              <w:t>Tax per 1 Ton (</w:t>
            </w:r>
            <w:r w:rsidR="00591FD4">
              <w:rPr>
                <w:rFonts w:eastAsia="Times New Roman" w:cs="Times New Roman"/>
                <w:b/>
                <w:color w:val="FFFFFF"/>
              </w:rPr>
              <w:t>US$</w:t>
            </w:r>
            <w:r w:rsidRPr="002B1DFC">
              <w:rPr>
                <w:rFonts w:eastAsia="Times New Roman" w:cs="Times New Roman"/>
                <w:b/>
                <w:color w:val="FFFFFF"/>
              </w:rPr>
              <w:t>)*</w:t>
            </w:r>
          </w:p>
        </w:tc>
      </w:tr>
      <w:tr w:rsidR="000B7923" w:rsidRPr="002B1DFC" w14:paraId="1BD2026D" w14:textId="77777777">
        <w:tc>
          <w:tcPr>
            <w:tcW w:w="1667" w:type="pct"/>
            <w:tcBorders>
              <w:top w:val="single" w:sz="4" w:space="0" w:color="4F81BD"/>
              <w:left w:val="single" w:sz="4" w:space="0" w:color="4F81BD"/>
              <w:bottom w:val="single" w:sz="4" w:space="0" w:color="4F81BD"/>
              <w:right w:val="nil"/>
            </w:tcBorders>
            <w:shd w:val="clear" w:color="auto" w:fill="FFFFFF"/>
          </w:tcPr>
          <w:p w14:paraId="6E786DCD" w14:textId="77777777" w:rsidR="000B7923" w:rsidRPr="002B1DFC" w:rsidRDefault="000B7923" w:rsidP="00F22047">
            <w:pPr>
              <w:rPr>
                <w:rFonts w:eastAsia="Times New Roman" w:cs="Times New Roman"/>
                <w:b/>
                <w:bCs/>
              </w:rPr>
            </w:pPr>
            <w:r w:rsidRPr="002B1DFC">
              <w:rPr>
                <w:rFonts w:eastAsia="Times New Roman" w:cs="Times New Roman"/>
                <w:bCs/>
              </w:rPr>
              <w:t>Ammonia nitrogen</w:t>
            </w:r>
          </w:p>
        </w:tc>
        <w:tc>
          <w:tcPr>
            <w:tcW w:w="1667" w:type="pct"/>
            <w:tcBorders>
              <w:top w:val="single" w:sz="4" w:space="0" w:color="4F81BD"/>
              <w:bottom w:val="single" w:sz="4" w:space="0" w:color="4F81BD"/>
            </w:tcBorders>
          </w:tcPr>
          <w:p w14:paraId="1D19429E" w14:textId="77777777" w:rsidR="000B7923" w:rsidRPr="002B1DFC" w:rsidRDefault="000B7923" w:rsidP="008870E0">
            <w:pPr>
              <w:ind w:right="1597"/>
              <w:jc w:val="right"/>
              <w:rPr>
                <w:rFonts w:eastAsia="Times New Roman" w:cs="Times New Roman"/>
              </w:rPr>
            </w:pPr>
            <w:r w:rsidRPr="002B1DFC">
              <w:rPr>
                <w:rFonts w:eastAsia="Times New Roman" w:cs="Times New Roman"/>
              </w:rPr>
              <w:t>1,020.6</w:t>
            </w:r>
          </w:p>
        </w:tc>
        <w:tc>
          <w:tcPr>
            <w:tcW w:w="1667" w:type="pct"/>
            <w:tcBorders>
              <w:top w:val="single" w:sz="4" w:space="0" w:color="4F81BD"/>
              <w:bottom w:val="single" w:sz="4" w:space="0" w:color="4F81BD"/>
              <w:right w:val="single" w:sz="4" w:space="0" w:color="4F81BD"/>
            </w:tcBorders>
          </w:tcPr>
          <w:p w14:paraId="6D1D65A9" w14:textId="77777777" w:rsidR="000B7923" w:rsidRPr="002B1DFC" w:rsidRDefault="000B7923" w:rsidP="008870E0">
            <w:pPr>
              <w:ind w:right="1458"/>
              <w:jc w:val="right"/>
              <w:rPr>
                <w:rFonts w:eastAsia="Times New Roman"/>
              </w:rPr>
            </w:pPr>
            <w:r w:rsidRPr="002B1DFC">
              <w:rPr>
                <w:rFonts w:eastAsia="Times New Roman"/>
              </w:rPr>
              <w:t>$47.97</w:t>
            </w:r>
          </w:p>
        </w:tc>
      </w:tr>
      <w:tr w:rsidR="000B7923" w:rsidRPr="002B1DFC" w14:paraId="54A3D950" w14:textId="77777777">
        <w:tc>
          <w:tcPr>
            <w:tcW w:w="1667" w:type="pct"/>
            <w:tcBorders>
              <w:left w:val="single" w:sz="4" w:space="0" w:color="4F81BD"/>
              <w:right w:val="nil"/>
            </w:tcBorders>
            <w:shd w:val="clear" w:color="auto" w:fill="FFFFFF"/>
          </w:tcPr>
          <w:p w14:paraId="62B3D727" w14:textId="77777777" w:rsidR="000B7923" w:rsidRPr="002B1DFC" w:rsidRDefault="000B7923" w:rsidP="00F22047">
            <w:pPr>
              <w:rPr>
                <w:rFonts w:eastAsia="Times New Roman" w:cs="Times New Roman"/>
                <w:b/>
                <w:bCs/>
              </w:rPr>
            </w:pPr>
            <w:r w:rsidRPr="002B1DFC">
              <w:rPr>
                <w:rFonts w:eastAsia="Times New Roman" w:cs="Times New Roman"/>
                <w:bCs/>
              </w:rPr>
              <w:t>Organic matter (BOD5)</w:t>
            </w:r>
          </w:p>
        </w:tc>
        <w:tc>
          <w:tcPr>
            <w:tcW w:w="1667" w:type="pct"/>
          </w:tcPr>
          <w:p w14:paraId="2851DEEB" w14:textId="77777777" w:rsidR="000B7923" w:rsidRPr="002B1DFC" w:rsidRDefault="000B7923" w:rsidP="008870E0">
            <w:pPr>
              <w:ind w:right="1597"/>
              <w:jc w:val="right"/>
              <w:rPr>
                <w:rFonts w:eastAsia="Times New Roman" w:cs="Times New Roman"/>
              </w:rPr>
            </w:pPr>
            <w:r w:rsidRPr="002B1DFC">
              <w:rPr>
                <w:rFonts w:eastAsia="Times New Roman" w:cs="Times New Roman"/>
              </w:rPr>
              <w:t>408.5</w:t>
            </w:r>
          </w:p>
        </w:tc>
        <w:tc>
          <w:tcPr>
            <w:tcW w:w="1667" w:type="pct"/>
            <w:tcBorders>
              <w:right w:val="single" w:sz="4" w:space="0" w:color="4F81BD"/>
            </w:tcBorders>
          </w:tcPr>
          <w:p w14:paraId="67E1987D" w14:textId="77777777" w:rsidR="000B7923" w:rsidRPr="002B1DFC" w:rsidRDefault="000B7923" w:rsidP="008870E0">
            <w:pPr>
              <w:ind w:right="1458"/>
              <w:jc w:val="right"/>
              <w:rPr>
                <w:rFonts w:eastAsia="Times New Roman"/>
              </w:rPr>
            </w:pPr>
            <w:r w:rsidRPr="002B1DFC">
              <w:rPr>
                <w:rFonts w:eastAsia="Times New Roman"/>
              </w:rPr>
              <w:t>$19.20</w:t>
            </w:r>
          </w:p>
        </w:tc>
      </w:tr>
      <w:tr w:rsidR="000B7923" w:rsidRPr="002B1DFC" w14:paraId="14CB126F" w14:textId="77777777">
        <w:tc>
          <w:tcPr>
            <w:tcW w:w="1667" w:type="pct"/>
            <w:tcBorders>
              <w:top w:val="single" w:sz="4" w:space="0" w:color="4F81BD"/>
              <w:left w:val="single" w:sz="4" w:space="0" w:color="4F81BD"/>
              <w:bottom w:val="single" w:sz="4" w:space="0" w:color="4F81BD"/>
              <w:right w:val="nil"/>
            </w:tcBorders>
            <w:shd w:val="clear" w:color="auto" w:fill="FFFFFF"/>
          </w:tcPr>
          <w:p w14:paraId="2CD4AD1A" w14:textId="77777777" w:rsidR="000B7923" w:rsidRPr="002B1DFC" w:rsidRDefault="000B7923" w:rsidP="00F22047">
            <w:pPr>
              <w:rPr>
                <w:rFonts w:eastAsia="Times New Roman" w:cs="Times New Roman"/>
                <w:b/>
                <w:bCs/>
              </w:rPr>
            </w:pPr>
            <w:r w:rsidRPr="002B1DFC">
              <w:rPr>
                <w:rFonts w:eastAsia="Times New Roman" w:cs="Times New Roman"/>
                <w:bCs/>
              </w:rPr>
              <w:t>Suspended particles</w:t>
            </w:r>
          </w:p>
        </w:tc>
        <w:tc>
          <w:tcPr>
            <w:tcW w:w="1667" w:type="pct"/>
            <w:tcBorders>
              <w:top w:val="single" w:sz="4" w:space="0" w:color="4F81BD"/>
              <w:bottom w:val="single" w:sz="4" w:space="0" w:color="4F81BD"/>
            </w:tcBorders>
          </w:tcPr>
          <w:p w14:paraId="76018C85" w14:textId="77777777" w:rsidR="000B7923" w:rsidRPr="002B1DFC" w:rsidRDefault="000B7923" w:rsidP="008870E0">
            <w:pPr>
              <w:ind w:right="1597"/>
              <w:jc w:val="right"/>
              <w:rPr>
                <w:rFonts w:eastAsia="Times New Roman" w:cs="Times New Roman"/>
              </w:rPr>
            </w:pPr>
            <w:r w:rsidRPr="002B1DFC">
              <w:rPr>
                <w:rFonts w:eastAsia="Times New Roman" w:cs="Times New Roman"/>
              </w:rPr>
              <w:t>29.27</w:t>
            </w:r>
          </w:p>
        </w:tc>
        <w:tc>
          <w:tcPr>
            <w:tcW w:w="1667" w:type="pct"/>
            <w:tcBorders>
              <w:top w:val="single" w:sz="4" w:space="0" w:color="4F81BD"/>
              <w:bottom w:val="single" w:sz="4" w:space="0" w:color="4F81BD"/>
              <w:right w:val="single" w:sz="4" w:space="0" w:color="4F81BD"/>
            </w:tcBorders>
          </w:tcPr>
          <w:p w14:paraId="3478AE7F" w14:textId="77777777" w:rsidR="000B7923" w:rsidRPr="002B1DFC" w:rsidRDefault="000B7923" w:rsidP="008870E0">
            <w:pPr>
              <w:ind w:right="1458"/>
              <w:jc w:val="right"/>
              <w:rPr>
                <w:rFonts w:eastAsia="Times New Roman"/>
              </w:rPr>
            </w:pPr>
            <w:r w:rsidRPr="002B1DFC">
              <w:rPr>
                <w:rFonts w:eastAsia="Times New Roman"/>
              </w:rPr>
              <w:t>$1.38</w:t>
            </w:r>
          </w:p>
        </w:tc>
      </w:tr>
      <w:tr w:rsidR="000B7923" w:rsidRPr="002B1DFC" w14:paraId="528A36A5" w14:textId="77777777">
        <w:tc>
          <w:tcPr>
            <w:tcW w:w="1667" w:type="pct"/>
            <w:tcBorders>
              <w:left w:val="single" w:sz="4" w:space="0" w:color="4F81BD"/>
              <w:right w:val="nil"/>
            </w:tcBorders>
            <w:shd w:val="clear" w:color="auto" w:fill="FFFFFF"/>
          </w:tcPr>
          <w:p w14:paraId="4D8EED10" w14:textId="77777777" w:rsidR="000B7923" w:rsidRPr="002B1DFC" w:rsidRDefault="000B7923" w:rsidP="00F22047">
            <w:pPr>
              <w:rPr>
                <w:rFonts w:eastAsia="Times New Roman" w:cs="Times New Roman"/>
                <w:b/>
                <w:bCs/>
              </w:rPr>
            </w:pPr>
            <w:r w:rsidRPr="002B1DFC">
              <w:rPr>
                <w:rFonts w:eastAsia="Times New Roman" w:cs="Times New Roman"/>
                <w:bCs/>
              </w:rPr>
              <w:t>Oil products</w:t>
            </w:r>
          </w:p>
        </w:tc>
        <w:tc>
          <w:tcPr>
            <w:tcW w:w="1667" w:type="pct"/>
          </w:tcPr>
          <w:p w14:paraId="7F295640" w14:textId="77777777" w:rsidR="000B7923" w:rsidRPr="002B1DFC" w:rsidRDefault="000B7923" w:rsidP="008870E0">
            <w:pPr>
              <w:ind w:right="1597"/>
              <w:jc w:val="right"/>
              <w:rPr>
                <w:rFonts w:eastAsia="Times New Roman" w:cs="Times New Roman"/>
              </w:rPr>
            </w:pPr>
            <w:r w:rsidRPr="002B1DFC">
              <w:rPr>
                <w:rFonts w:eastAsia="Times New Roman" w:cs="Times New Roman"/>
              </w:rPr>
              <w:t>6,003.94</w:t>
            </w:r>
          </w:p>
        </w:tc>
        <w:tc>
          <w:tcPr>
            <w:tcW w:w="1667" w:type="pct"/>
            <w:tcBorders>
              <w:right w:val="single" w:sz="4" w:space="0" w:color="4F81BD"/>
            </w:tcBorders>
          </w:tcPr>
          <w:p w14:paraId="6FDED47A" w14:textId="77777777" w:rsidR="000B7923" w:rsidRPr="002B1DFC" w:rsidRDefault="000B7923" w:rsidP="008870E0">
            <w:pPr>
              <w:ind w:right="1458"/>
              <w:jc w:val="right"/>
              <w:rPr>
                <w:rFonts w:eastAsia="Times New Roman"/>
              </w:rPr>
            </w:pPr>
            <w:r w:rsidRPr="002B1DFC">
              <w:rPr>
                <w:rFonts w:eastAsia="Times New Roman"/>
              </w:rPr>
              <w:t>$282.19</w:t>
            </w:r>
          </w:p>
        </w:tc>
      </w:tr>
      <w:tr w:rsidR="000B7923" w:rsidRPr="002B1DFC" w14:paraId="7F9D5A8C" w14:textId="77777777">
        <w:tc>
          <w:tcPr>
            <w:tcW w:w="1667" w:type="pct"/>
            <w:tcBorders>
              <w:top w:val="single" w:sz="4" w:space="0" w:color="4F81BD"/>
              <w:left w:val="single" w:sz="4" w:space="0" w:color="4F81BD"/>
              <w:bottom w:val="single" w:sz="4" w:space="0" w:color="4F81BD"/>
              <w:right w:val="nil"/>
            </w:tcBorders>
            <w:shd w:val="clear" w:color="auto" w:fill="FFFFFF"/>
          </w:tcPr>
          <w:p w14:paraId="1B5F2831" w14:textId="77777777" w:rsidR="000B7923" w:rsidRPr="002B1DFC" w:rsidRDefault="000B7923" w:rsidP="00F22047">
            <w:pPr>
              <w:rPr>
                <w:rFonts w:eastAsia="Times New Roman" w:cs="Times New Roman"/>
                <w:b/>
                <w:bCs/>
              </w:rPr>
            </w:pPr>
            <w:r w:rsidRPr="002B1DFC">
              <w:rPr>
                <w:rFonts w:eastAsia="Times New Roman" w:cs="Times New Roman"/>
                <w:bCs/>
              </w:rPr>
              <w:t>Nitrates</w:t>
            </w:r>
          </w:p>
        </w:tc>
        <w:tc>
          <w:tcPr>
            <w:tcW w:w="1667" w:type="pct"/>
            <w:tcBorders>
              <w:top w:val="single" w:sz="4" w:space="0" w:color="4F81BD"/>
              <w:bottom w:val="single" w:sz="4" w:space="0" w:color="4F81BD"/>
            </w:tcBorders>
          </w:tcPr>
          <w:p w14:paraId="2C95A7E2" w14:textId="77777777" w:rsidR="000B7923" w:rsidRPr="002B1DFC" w:rsidRDefault="000B7923" w:rsidP="008870E0">
            <w:pPr>
              <w:ind w:right="1597"/>
              <w:jc w:val="right"/>
              <w:rPr>
                <w:rFonts w:eastAsia="Times New Roman" w:cs="Times New Roman"/>
              </w:rPr>
            </w:pPr>
            <w:r w:rsidRPr="002B1DFC">
              <w:rPr>
                <w:rFonts w:eastAsia="Times New Roman" w:cs="Times New Roman"/>
              </w:rPr>
              <w:t>87.81</w:t>
            </w:r>
          </w:p>
        </w:tc>
        <w:tc>
          <w:tcPr>
            <w:tcW w:w="1667" w:type="pct"/>
            <w:tcBorders>
              <w:top w:val="single" w:sz="4" w:space="0" w:color="4F81BD"/>
              <w:bottom w:val="single" w:sz="4" w:space="0" w:color="4F81BD"/>
              <w:right w:val="single" w:sz="4" w:space="0" w:color="4F81BD"/>
            </w:tcBorders>
          </w:tcPr>
          <w:p w14:paraId="045658E7" w14:textId="77777777" w:rsidR="000B7923" w:rsidRPr="002B1DFC" w:rsidRDefault="000B7923" w:rsidP="008870E0">
            <w:pPr>
              <w:ind w:right="1458"/>
              <w:jc w:val="right"/>
              <w:rPr>
                <w:rFonts w:eastAsia="Times New Roman"/>
              </w:rPr>
            </w:pPr>
            <w:r w:rsidRPr="002B1DFC">
              <w:rPr>
                <w:rFonts w:eastAsia="Times New Roman"/>
              </w:rPr>
              <w:t>$4.13</w:t>
            </w:r>
          </w:p>
        </w:tc>
      </w:tr>
      <w:tr w:rsidR="000B7923" w:rsidRPr="002B1DFC" w14:paraId="4B8BEE8C" w14:textId="77777777">
        <w:tc>
          <w:tcPr>
            <w:tcW w:w="1667" w:type="pct"/>
            <w:tcBorders>
              <w:left w:val="single" w:sz="4" w:space="0" w:color="4F81BD"/>
              <w:right w:val="nil"/>
            </w:tcBorders>
            <w:shd w:val="clear" w:color="auto" w:fill="FFFFFF"/>
          </w:tcPr>
          <w:p w14:paraId="52A7BBBF" w14:textId="77777777" w:rsidR="000B7923" w:rsidRPr="002B1DFC" w:rsidRDefault="000B7923" w:rsidP="00F22047">
            <w:pPr>
              <w:rPr>
                <w:rFonts w:eastAsia="Times New Roman" w:cs="Times New Roman"/>
                <w:b/>
                <w:bCs/>
              </w:rPr>
            </w:pPr>
            <w:r w:rsidRPr="002B1DFC">
              <w:rPr>
                <w:rFonts w:eastAsia="Times New Roman" w:cs="Times New Roman"/>
                <w:bCs/>
              </w:rPr>
              <w:t>Nitrites</w:t>
            </w:r>
          </w:p>
        </w:tc>
        <w:tc>
          <w:tcPr>
            <w:tcW w:w="1667" w:type="pct"/>
          </w:tcPr>
          <w:p w14:paraId="07DA7737" w14:textId="77777777" w:rsidR="000B7923" w:rsidRPr="002B1DFC" w:rsidRDefault="000B7923" w:rsidP="008870E0">
            <w:pPr>
              <w:ind w:right="1597"/>
              <w:jc w:val="right"/>
              <w:rPr>
                <w:rFonts w:eastAsia="Times New Roman" w:cs="Times New Roman"/>
              </w:rPr>
            </w:pPr>
            <w:r w:rsidRPr="002B1DFC">
              <w:rPr>
                <w:rFonts w:eastAsia="Times New Roman" w:cs="Times New Roman"/>
              </w:rPr>
              <w:t>5,012.61</w:t>
            </w:r>
          </w:p>
        </w:tc>
        <w:tc>
          <w:tcPr>
            <w:tcW w:w="1667" w:type="pct"/>
            <w:tcBorders>
              <w:right w:val="single" w:sz="4" w:space="0" w:color="4F81BD"/>
            </w:tcBorders>
          </w:tcPr>
          <w:p w14:paraId="631C30E0" w14:textId="77777777" w:rsidR="000B7923" w:rsidRPr="002B1DFC" w:rsidRDefault="000B7923" w:rsidP="008870E0">
            <w:pPr>
              <w:ind w:right="1458"/>
              <w:jc w:val="right"/>
              <w:rPr>
                <w:rFonts w:eastAsia="Times New Roman"/>
              </w:rPr>
            </w:pPr>
            <w:r w:rsidRPr="002B1DFC">
              <w:rPr>
                <w:rFonts w:eastAsia="Times New Roman"/>
              </w:rPr>
              <w:t>$235.59</w:t>
            </w:r>
          </w:p>
        </w:tc>
      </w:tr>
      <w:tr w:rsidR="000B7923" w:rsidRPr="002B1DFC" w14:paraId="6B2E74CC" w14:textId="77777777">
        <w:tc>
          <w:tcPr>
            <w:tcW w:w="1667" w:type="pct"/>
            <w:tcBorders>
              <w:top w:val="single" w:sz="4" w:space="0" w:color="4F81BD"/>
              <w:left w:val="single" w:sz="4" w:space="0" w:color="4F81BD"/>
              <w:bottom w:val="single" w:sz="4" w:space="0" w:color="4F81BD"/>
              <w:right w:val="nil"/>
            </w:tcBorders>
            <w:shd w:val="clear" w:color="auto" w:fill="FFFFFF"/>
          </w:tcPr>
          <w:p w14:paraId="524B3D49" w14:textId="77777777" w:rsidR="000B7923" w:rsidRPr="002B1DFC" w:rsidRDefault="000B7923" w:rsidP="00F22047">
            <w:pPr>
              <w:rPr>
                <w:rFonts w:eastAsia="Times New Roman" w:cs="Times New Roman"/>
                <w:b/>
                <w:bCs/>
              </w:rPr>
            </w:pPr>
            <w:r w:rsidRPr="002B1DFC">
              <w:rPr>
                <w:rFonts w:eastAsia="Times New Roman" w:cs="Times New Roman"/>
                <w:bCs/>
              </w:rPr>
              <w:t>Sul</w:t>
            </w:r>
            <w:r w:rsidR="006B1428">
              <w:rPr>
                <w:rFonts w:eastAsia="Times New Roman" w:cs="Times New Roman"/>
                <w:bCs/>
              </w:rPr>
              <w:t>f</w:t>
            </w:r>
            <w:r w:rsidRPr="002B1DFC">
              <w:rPr>
                <w:rFonts w:eastAsia="Times New Roman" w:cs="Times New Roman"/>
                <w:bCs/>
              </w:rPr>
              <w:t>ates</w:t>
            </w:r>
          </w:p>
        </w:tc>
        <w:tc>
          <w:tcPr>
            <w:tcW w:w="1667" w:type="pct"/>
            <w:tcBorders>
              <w:top w:val="single" w:sz="4" w:space="0" w:color="4F81BD"/>
              <w:bottom w:val="single" w:sz="4" w:space="0" w:color="4F81BD"/>
            </w:tcBorders>
          </w:tcPr>
          <w:p w14:paraId="2B7AFDDA" w14:textId="77777777" w:rsidR="000B7923" w:rsidRPr="002B1DFC" w:rsidRDefault="000B7923" w:rsidP="008870E0">
            <w:pPr>
              <w:ind w:right="1597"/>
              <w:jc w:val="right"/>
              <w:rPr>
                <w:rFonts w:eastAsia="Times New Roman" w:cs="Times New Roman"/>
              </w:rPr>
            </w:pPr>
            <w:r w:rsidRPr="002B1DFC">
              <w:rPr>
                <w:rFonts w:eastAsia="Times New Roman" w:cs="Times New Roman"/>
              </w:rPr>
              <w:t>29.27</w:t>
            </w:r>
          </w:p>
        </w:tc>
        <w:tc>
          <w:tcPr>
            <w:tcW w:w="1667" w:type="pct"/>
            <w:tcBorders>
              <w:top w:val="single" w:sz="4" w:space="0" w:color="4F81BD"/>
              <w:bottom w:val="single" w:sz="4" w:space="0" w:color="4F81BD"/>
              <w:right w:val="single" w:sz="4" w:space="0" w:color="4F81BD"/>
            </w:tcBorders>
          </w:tcPr>
          <w:p w14:paraId="28694FFD" w14:textId="77777777" w:rsidR="000B7923" w:rsidRPr="002B1DFC" w:rsidRDefault="000B7923" w:rsidP="008870E0">
            <w:pPr>
              <w:ind w:right="1458"/>
              <w:jc w:val="right"/>
              <w:rPr>
                <w:rFonts w:eastAsia="Times New Roman"/>
              </w:rPr>
            </w:pPr>
            <w:r w:rsidRPr="002B1DFC">
              <w:rPr>
                <w:rFonts w:eastAsia="Times New Roman"/>
              </w:rPr>
              <w:t>$1.38</w:t>
            </w:r>
          </w:p>
        </w:tc>
      </w:tr>
      <w:tr w:rsidR="000B7923" w:rsidRPr="002B1DFC" w14:paraId="5EB781CC" w14:textId="77777777">
        <w:tc>
          <w:tcPr>
            <w:tcW w:w="1667" w:type="pct"/>
            <w:tcBorders>
              <w:left w:val="single" w:sz="4" w:space="0" w:color="4F81BD"/>
              <w:right w:val="nil"/>
            </w:tcBorders>
            <w:shd w:val="clear" w:color="auto" w:fill="FFFFFF"/>
          </w:tcPr>
          <w:p w14:paraId="7043B8C8" w14:textId="77777777" w:rsidR="000B7923" w:rsidRPr="002B1DFC" w:rsidRDefault="000B7923" w:rsidP="00F22047">
            <w:pPr>
              <w:rPr>
                <w:rFonts w:eastAsia="Times New Roman" w:cs="Times New Roman"/>
                <w:b/>
                <w:bCs/>
              </w:rPr>
            </w:pPr>
            <w:r w:rsidRPr="002B1DFC">
              <w:rPr>
                <w:rFonts w:eastAsia="Times New Roman" w:cs="Times New Roman"/>
                <w:bCs/>
              </w:rPr>
              <w:t>Phosphates</w:t>
            </w:r>
          </w:p>
        </w:tc>
        <w:tc>
          <w:tcPr>
            <w:tcW w:w="1667" w:type="pct"/>
          </w:tcPr>
          <w:p w14:paraId="7114C877" w14:textId="77777777" w:rsidR="000B7923" w:rsidRPr="002B1DFC" w:rsidRDefault="000B7923" w:rsidP="008870E0">
            <w:pPr>
              <w:ind w:right="1597"/>
              <w:jc w:val="right"/>
              <w:rPr>
                <w:rFonts w:eastAsia="Times New Roman" w:cs="Times New Roman"/>
              </w:rPr>
            </w:pPr>
            <w:r w:rsidRPr="002B1DFC">
              <w:rPr>
                <w:rFonts w:eastAsia="Times New Roman" w:cs="Times New Roman"/>
              </w:rPr>
              <w:t>815.72</w:t>
            </w:r>
          </w:p>
        </w:tc>
        <w:tc>
          <w:tcPr>
            <w:tcW w:w="1667" w:type="pct"/>
            <w:tcBorders>
              <w:right w:val="single" w:sz="4" w:space="0" w:color="4F81BD"/>
            </w:tcBorders>
          </w:tcPr>
          <w:p w14:paraId="455B6827" w14:textId="77777777" w:rsidR="000B7923" w:rsidRPr="002B1DFC" w:rsidRDefault="000B7923" w:rsidP="008870E0">
            <w:pPr>
              <w:ind w:right="1458"/>
              <w:jc w:val="right"/>
              <w:rPr>
                <w:rFonts w:eastAsia="Times New Roman"/>
              </w:rPr>
            </w:pPr>
            <w:r w:rsidRPr="002B1DFC">
              <w:rPr>
                <w:rFonts w:eastAsia="Times New Roman"/>
              </w:rPr>
              <w:t>$38.34</w:t>
            </w:r>
          </w:p>
        </w:tc>
      </w:tr>
      <w:tr w:rsidR="000B7923" w:rsidRPr="002B1DFC" w14:paraId="68CD36B4" w14:textId="77777777">
        <w:tc>
          <w:tcPr>
            <w:tcW w:w="1667" w:type="pct"/>
            <w:tcBorders>
              <w:top w:val="single" w:sz="4" w:space="0" w:color="4F81BD"/>
              <w:left w:val="single" w:sz="4" w:space="0" w:color="4F81BD"/>
              <w:bottom w:val="single" w:sz="4" w:space="0" w:color="4F81BD"/>
              <w:right w:val="nil"/>
            </w:tcBorders>
            <w:shd w:val="clear" w:color="auto" w:fill="FFFFFF"/>
          </w:tcPr>
          <w:p w14:paraId="40FB62F3" w14:textId="77777777" w:rsidR="000B7923" w:rsidRPr="002B1DFC" w:rsidRDefault="000B7923" w:rsidP="00F22047">
            <w:pPr>
              <w:rPr>
                <w:rFonts w:eastAsia="Times New Roman" w:cs="Times New Roman"/>
                <w:b/>
                <w:bCs/>
              </w:rPr>
            </w:pPr>
            <w:r w:rsidRPr="002B1DFC">
              <w:rPr>
                <w:rFonts w:eastAsia="Times New Roman" w:cs="Times New Roman"/>
                <w:bCs/>
              </w:rPr>
              <w:t>Chlorides</w:t>
            </w:r>
          </w:p>
        </w:tc>
        <w:tc>
          <w:tcPr>
            <w:tcW w:w="1667" w:type="pct"/>
            <w:tcBorders>
              <w:top w:val="single" w:sz="4" w:space="0" w:color="4F81BD"/>
              <w:bottom w:val="single" w:sz="4" w:space="0" w:color="4F81BD"/>
            </w:tcBorders>
          </w:tcPr>
          <w:p w14:paraId="070FD714" w14:textId="77777777" w:rsidR="000B7923" w:rsidRPr="002B1DFC" w:rsidRDefault="000B7923" w:rsidP="008870E0">
            <w:pPr>
              <w:ind w:right="1597"/>
              <w:jc w:val="right"/>
              <w:rPr>
                <w:rFonts w:eastAsia="Times New Roman" w:cs="Times New Roman"/>
              </w:rPr>
            </w:pPr>
            <w:r w:rsidRPr="002B1DFC">
              <w:rPr>
                <w:rFonts w:eastAsia="Times New Roman" w:cs="Times New Roman"/>
              </w:rPr>
              <w:t>29.27</w:t>
            </w:r>
          </w:p>
        </w:tc>
        <w:tc>
          <w:tcPr>
            <w:tcW w:w="1667" w:type="pct"/>
            <w:tcBorders>
              <w:top w:val="single" w:sz="4" w:space="0" w:color="4F81BD"/>
              <w:bottom w:val="single" w:sz="4" w:space="0" w:color="4F81BD"/>
              <w:right w:val="single" w:sz="4" w:space="0" w:color="4F81BD"/>
            </w:tcBorders>
          </w:tcPr>
          <w:p w14:paraId="05BAC2BB" w14:textId="77777777" w:rsidR="000B7923" w:rsidRPr="002B1DFC" w:rsidRDefault="000B7923" w:rsidP="008870E0">
            <w:pPr>
              <w:ind w:right="1458"/>
              <w:jc w:val="right"/>
              <w:rPr>
                <w:rFonts w:eastAsia="Times New Roman"/>
              </w:rPr>
            </w:pPr>
            <w:r w:rsidRPr="002B1DFC">
              <w:rPr>
                <w:rFonts w:eastAsia="Times New Roman"/>
              </w:rPr>
              <w:t>$1.38</w:t>
            </w:r>
          </w:p>
        </w:tc>
      </w:tr>
    </w:tbl>
    <w:p w14:paraId="23B88F21" w14:textId="77777777" w:rsidR="000B7923" w:rsidRPr="009A1289" w:rsidRDefault="000B7923" w:rsidP="00F22047">
      <w:pPr>
        <w:rPr>
          <w:rFonts w:cs="Times New Roman"/>
          <w:iCs/>
          <w:sz w:val="20"/>
          <w:szCs w:val="20"/>
        </w:rPr>
      </w:pPr>
      <w:r w:rsidRPr="009A1289">
        <w:rPr>
          <w:rFonts w:cs="Times New Roman"/>
        </w:rPr>
        <w:t xml:space="preserve"> </w:t>
      </w:r>
      <w:r w:rsidR="00810F94" w:rsidRPr="009A1289">
        <w:rPr>
          <w:rFonts w:cs="Times New Roman"/>
          <w:i/>
        </w:rPr>
        <w:t>*</w:t>
      </w:r>
      <w:r w:rsidRPr="009A1289">
        <w:rPr>
          <w:rFonts w:cs="Times New Roman"/>
          <w:i/>
          <w:iCs/>
          <w:sz w:val="20"/>
          <w:szCs w:val="20"/>
        </w:rPr>
        <w:t xml:space="preserve">Note: </w:t>
      </w:r>
      <w:r w:rsidRPr="009A1289">
        <w:rPr>
          <w:rFonts w:cs="Times New Roman"/>
          <w:iCs/>
          <w:sz w:val="20"/>
          <w:szCs w:val="20"/>
        </w:rPr>
        <w:t xml:space="preserve">Exchange rate on August 1, 2015: 1 UAH = 0.047 </w:t>
      </w:r>
      <w:r w:rsidR="000B3B8A" w:rsidRPr="009A1289">
        <w:rPr>
          <w:rFonts w:cs="Times New Roman"/>
          <w:iCs/>
          <w:sz w:val="20"/>
          <w:szCs w:val="20"/>
        </w:rPr>
        <w:t>US$.</w:t>
      </w:r>
    </w:p>
    <w:p w14:paraId="7A57A280" w14:textId="77777777" w:rsidR="009A1289" w:rsidRDefault="009A1289" w:rsidP="009A1289">
      <w:pPr>
        <w:rPr>
          <w:rFonts w:cs="Times New Roman"/>
          <w:sz w:val="20"/>
          <w:szCs w:val="20"/>
        </w:rPr>
      </w:pPr>
      <w:r w:rsidRPr="009A1289">
        <w:rPr>
          <w:rFonts w:cs="Times New Roman"/>
          <w:i/>
          <w:sz w:val="20"/>
          <w:szCs w:val="20"/>
        </w:rPr>
        <w:t>Source</w:t>
      </w:r>
      <w:r w:rsidRPr="009A1289">
        <w:rPr>
          <w:rFonts w:cs="Times New Roman"/>
          <w:iCs/>
          <w:sz w:val="20"/>
          <w:szCs w:val="20"/>
        </w:rPr>
        <w:t xml:space="preserve">: </w:t>
      </w:r>
      <w:r w:rsidRPr="009A1289">
        <w:rPr>
          <w:rFonts w:cs="Times New Roman"/>
          <w:sz w:val="20"/>
          <w:szCs w:val="20"/>
        </w:rPr>
        <w:t>Law of Ukraine of 02.12.2010 No. 2755-VI “Tax Code of Ukraine.”</w:t>
      </w:r>
    </w:p>
    <w:p w14:paraId="5CCF8AA8" w14:textId="582D1CE4" w:rsidR="000B7923" w:rsidRPr="002B1DFC" w:rsidRDefault="000B7923" w:rsidP="009A1289">
      <w:pPr>
        <w:pStyle w:val="Caption"/>
        <w:rPr>
          <w:noProof w:val="0"/>
          <w:lang w:val="en-US"/>
        </w:rPr>
      </w:pPr>
      <w:bookmarkStart w:id="127" w:name="_Toc440274006"/>
      <w:r w:rsidRPr="002B1DFC">
        <w:rPr>
          <w:noProof w:val="0"/>
          <w:lang w:val="en-US"/>
        </w:rPr>
        <w:lastRenderedPageBreak/>
        <w:t xml:space="preserve">Table </w:t>
      </w:r>
      <w:r w:rsidRPr="002B1DFC">
        <w:rPr>
          <w:noProof w:val="0"/>
          <w:lang w:val="en-US"/>
        </w:rPr>
        <w:fldChar w:fldCharType="begin"/>
      </w:r>
      <w:r w:rsidRPr="002B1DFC">
        <w:rPr>
          <w:noProof w:val="0"/>
          <w:lang w:val="en-US"/>
        </w:rPr>
        <w:instrText xml:space="preserve"> SEQ Table \* ARABIC </w:instrText>
      </w:r>
      <w:r w:rsidRPr="002B1DFC">
        <w:rPr>
          <w:noProof w:val="0"/>
          <w:lang w:val="en-US"/>
        </w:rPr>
        <w:fldChar w:fldCharType="separate"/>
      </w:r>
      <w:r w:rsidR="00356D5F">
        <w:rPr>
          <w:lang w:val="en-US"/>
        </w:rPr>
        <w:t>14</w:t>
      </w:r>
      <w:r w:rsidRPr="002B1DFC">
        <w:rPr>
          <w:noProof w:val="0"/>
          <w:lang w:val="en-US"/>
        </w:rPr>
        <w:fldChar w:fldCharType="end"/>
      </w:r>
      <w:r w:rsidRPr="002B1DFC">
        <w:rPr>
          <w:noProof w:val="0"/>
          <w:lang w:val="en-US"/>
        </w:rPr>
        <w:t>.</w:t>
      </w:r>
      <w:r w:rsidRPr="002B1DFC">
        <w:rPr>
          <w:noProof w:val="0"/>
          <w:color w:val="FF0000"/>
          <w:lang w:val="en-US"/>
        </w:rPr>
        <w:t xml:space="preserve"> </w:t>
      </w:r>
      <w:r w:rsidRPr="002B1DFC">
        <w:rPr>
          <w:noProof w:val="0"/>
          <w:lang w:val="en-US"/>
        </w:rPr>
        <w:t xml:space="preserve">Taxes for </w:t>
      </w:r>
      <w:r w:rsidR="004E6B34">
        <w:rPr>
          <w:noProof w:val="0"/>
          <w:lang w:val="en-US"/>
        </w:rPr>
        <w:t>W</w:t>
      </w:r>
      <w:r w:rsidRPr="002B1DFC">
        <w:rPr>
          <w:noProof w:val="0"/>
          <w:lang w:val="en-US"/>
        </w:rPr>
        <w:t xml:space="preserve">aste </w:t>
      </w:r>
      <w:r w:rsidR="004E6B34">
        <w:rPr>
          <w:noProof w:val="0"/>
          <w:lang w:val="en-US"/>
        </w:rPr>
        <w:t>D</w:t>
      </w:r>
      <w:r w:rsidRPr="002B1DFC">
        <w:rPr>
          <w:noProof w:val="0"/>
          <w:lang w:val="en-US"/>
        </w:rPr>
        <w:t>isposal</w:t>
      </w:r>
      <w:r w:rsidR="004E6B34">
        <w:rPr>
          <w:noProof w:val="0"/>
          <w:lang w:val="en-US"/>
        </w:rPr>
        <w:t xml:space="preserve"> – D</w:t>
      </w:r>
      <w:r w:rsidRPr="002B1DFC">
        <w:rPr>
          <w:noProof w:val="0"/>
          <w:lang w:val="en-US"/>
        </w:rPr>
        <w:t xml:space="preserve">epending on </w:t>
      </w:r>
      <w:r w:rsidR="004E6B34">
        <w:rPr>
          <w:noProof w:val="0"/>
          <w:lang w:val="en-US"/>
        </w:rPr>
        <w:t>C</w:t>
      </w:r>
      <w:r w:rsidRPr="002B1DFC">
        <w:rPr>
          <w:noProof w:val="0"/>
          <w:lang w:val="en-US"/>
        </w:rPr>
        <w:t xml:space="preserve">lass and </w:t>
      </w:r>
      <w:r w:rsidR="004E6B34">
        <w:rPr>
          <w:noProof w:val="0"/>
          <w:lang w:val="en-US"/>
        </w:rPr>
        <w:t>L</w:t>
      </w:r>
      <w:r w:rsidRPr="002B1DFC">
        <w:rPr>
          <w:noProof w:val="0"/>
          <w:lang w:val="en-US"/>
        </w:rPr>
        <w:t xml:space="preserve">evel of </w:t>
      </w:r>
      <w:r w:rsidR="004E6B34">
        <w:rPr>
          <w:noProof w:val="0"/>
          <w:lang w:val="en-US"/>
        </w:rPr>
        <w:t>H</w:t>
      </w:r>
      <w:r w:rsidRPr="002B1DFC">
        <w:rPr>
          <w:noProof w:val="0"/>
          <w:lang w:val="en-US"/>
        </w:rPr>
        <w:t>azard</w:t>
      </w:r>
      <w:bookmarkEnd w:id="127"/>
    </w:p>
    <w:tbl>
      <w:tblPr>
        <w:tblW w:w="5000" w:type="pct"/>
        <w:tblInd w:w="108" w:type="dxa"/>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3972"/>
        <w:gridCol w:w="2689"/>
        <w:gridCol w:w="2689"/>
      </w:tblGrid>
      <w:tr w:rsidR="000B7923" w:rsidRPr="002B1DFC" w14:paraId="40F13090" w14:textId="77777777">
        <w:tc>
          <w:tcPr>
            <w:tcW w:w="2124" w:type="pct"/>
            <w:tcBorders>
              <w:top w:val="single" w:sz="4" w:space="0" w:color="4F81BD"/>
              <w:left w:val="single" w:sz="4" w:space="0" w:color="4F81BD"/>
              <w:bottom w:val="nil"/>
              <w:right w:val="nil"/>
            </w:tcBorders>
            <w:shd w:val="clear" w:color="auto" w:fill="4F81BD"/>
          </w:tcPr>
          <w:p w14:paraId="21072919" w14:textId="77777777" w:rsidR="000B7923" w:rsidRPr="002B1DFC" w:rsidRDefault="000B7923" w:rsidP="00F33595">
            <w:pPr>
              <w:rPr>
                <w:rFonts w:eastAsia="Times New Roman" w:cs="Times New Roman"/>
                <w:b/>
                <w:bCs/>
                <w:color w:val="FFFFFF"/>
              </w:rPr>
            </w:pPr>
            <w:r w:rsidRPr="002B1DFC">
              <w:rPr>
                <w:rFonts w:eastAsia="Times New Roman" w:cs="Times New Roman"/>
                <w:b/>
                <w:color w:val="FFFFFF"/>
              </w:rPr>
              <w:t>Class / Level of waste’ hazard</w:t>
            </w:r>
          </w:p>
        </w:tc>
        <w:tc>
          <w:tcPr>
            <w:tcW w:w="1438" w:type="pct"/>
            <w:tcBorders>
              <w:top w:val="single" w:sz="4" w:space="0" w:color="4F81BD"/>
            </w:tcBorders>
            <w:shd w:val="clear" w:color="auto" w:fill="4F81BD"/>
          </w:tcPr>
          <w:p w14:paraId="2AC0644C" w14:textId="77777777" w:rsidR="000B7923" w:rsidRPr="002B1DFC" w:rsidRDefault="000B7923" w:rsidP="00F33595">
            <w:pPr>
              <w:rPr>
                <w:rFonts w:eastAsia="Times New Roman" w:cs="Times New Roman"/>
                <w:b/>
                <w:bCs/>
                <w:color w:val="FFFFFF"/>
              </w:rPr>
            </w:pPr>
            <w:r w:rsidRPr="002B1DFC">
              <w:rPr>
                <w:rFonts w:eastAsia="Times New Roman" w:cs="Times New Roman"/>
                <w:b/>
                <w:color w:val="FFFFFF"/>
              </w:rPr>
              <w:t>Tax for 1 ton (UAH)</w:t>
            </w:r>
          </w:p>
        </w:tc>
        <w:tc>
          <w:tcPr>
            <w:tcW w:w="1438" w:type="pct"/>
            <w:tcBorders>
              <w:top w:val="single" w:sz="4" w:space="0" w:color="4F81BD"/>
              <w:right w:val="single" w:sz="4" w:space="0" w:color="4F81BD"/>
            </w:tcBorders>
            <w:shd w:val="clear" w:color="auto" w:fill="4F81BD"/>
          </w:tcPr>
          <w:p w14:paraId="31D484A3" w14:textId="77777777" w:rsidR="000B7923" w:rsidRPr="002B1DFC" w:rsidRDefault="000B7923" w:rsidP="00F33595">
            <w:pPr>
              <w:rPr>
                <w:rFonts w:eastAsia="Times New Roman" w:cs="Times New Roman"/>
                <w:b/>
                <w:bCs/>
                <w:color w:val="FFFFFF"/>
              </w:rPr>
            </w:pPr>
            <w:r w:rsidRPr="002B1DFC">
              <w:rPr>
                <w:rFonts w:eastAsia="Times New Roman" w:cs="Times New Roman"/>
                <w:b/>
                <w:color w:val="FFFFFF"/>
              </w:rPr>
              <w:t>Tax per 1 Ton (US</w:t>
            </w:r>
            <w:r w:rsidR="004E6B34">
              <w:rPr>
                <w:rFonts w:eastAsia="Times New Roman" w:cs="Times New Roman"/>
                <w:b/>
                <w:color w:val="FFFFFF"/>
              </w:rPr>
              <w:t>S</w:t>
            </w:r>
            <w:r w:rsidRPr="002B1DFC">
              <w:rPr>
                <w:rFonts w:eastAsia="Times New Roman" w:cs="Times New Roman"/>
                <w:b/>
                <w:color w:val="FFFFFF"/>
              </w:rPr>
              <w:t>)*</w:t>
            </w:r>
          </w:p>
        </w:tc>
      </w:tr>
      <w:tr w:rsidR="000B7923" w:rsidRPr="002B1DFC" w14:paraId="4CD53F6A" w14:textId="77777777">
        <w:tc>
          <w:tcPr>
            <w:tcW w:w="2124" w:type="pct"/>
            <w:tcBorders>
              <w:top w:val="single" w:sz="4" w:space="0" w:color="4F81BD"/>
              <w:left w:val="single" w:sz="4" w:space="0" w:color="4F81BD"/>
              <w:bottom w:val="single" w:sz="4" w:space="0" w:color="4F81BD"/>
              <w:right w:val="nil"/>
            </w:tcBorders>
            <w:shd w:val="clear" w:color="auto" w:fill="FFFFFF"/>
          </w:tcPr>
          <w:p w14:paraId="7FE0EBDC" w14:textId="77777777" w:rsidR="000B7923" w:rsidRPr="002B1DFC" w:rsidRDefault="000B7923" w:rsidP="00193241">
            <w:pPr>
              <w:rPr>
                <w:rFonts w:eastAsia="Times New Roman" w:cs="Times New Roman"/>
                <w:b/>
                <w:bCs/>
              </w:rPr>
            </w:pPr>
            <w:r w:rsidRPr="002B1DFC">
              <w:rPr>
                <w:rFonts w:eastAsia="Times New Roman" w:cs="Times New Roman"/>
                <w:b/>
                <w:bCs/>
              </w:rPr>
              <w:t xml:space="preserve">I / </w:t>
            </w:r>
            <w:r w:rsidR="00F6257E">
              <w:rPr>
                <w:rFonts w:eastAsia="Times New Roman" w:cs="Times New Roman"/>
                <w:b/>
                <w:bCs/>
              </w:rPr>
              <w:t>Es</w:t>
            </w:r>
            <w:r w:rsidRPr="002B1DFC">
              <w:rPr>
                <w:rFonts w:eastAsia="Times New Roman" w:cs="Times New Roman"/>
                <w:b/>
                <w:bCs/>
              </w:rPr>
              <w:t>pecial</w:t>
            </w:r>
            <w:r w:rsidR="00F6257E">
              <w:rPr>
                <w:rFonts w:eastAsia="Times New Roman" w:cs="Times New Roman"/>
                <w:b/>
                <w:bCs/>
              </w:rPr>
              <w:t>ly</w:t>
            </w:r>
            <w:r w:rsidRPr="002B1DFC">
              <w:rPr>
                <w:rFonts w:eastAsia="Times New Roman" w:cs="Times New Roman"/>
                <w:b/>
                <w:bCs/>
              </w:rPr>
              <w:t xml:space="preserve"> dangerous</w:t>
            </w:r>
          </w:p>
        </w:tc>
        <w:tc>
          <w:tcPr>
            <w:tcW w:w="1438" w:type="pct"/>
            <w:tcBorders>
              <w:top w:val="single" w:sz="4" w:space="0" w:color="4F81BD"/>
              <w:bottom w:val="single" w:sz="4" w:space="0" w:color="4F81BD"/>
            </w:tcBorders>
          </w:tcPr>
          <w:p w14:paraId="72C5582C" w14:textId="77777777" w:rsidR="000B7923" w:rsidRPr="002B1DFC" w:rsidRDefault="000B7923" w:rsidP="008870E0">
            <w:pPr>
              <w:ind w:right="1224"/>
              <w:jc w:val="right"/>
              <w:rPr>
                <w:rFonts w:eastAsia="Times New Roman" w:cs="Times New Roman"/>
              </w:rPr>
            </w:pPr>
            <w:r w:rsidRPr="002B1DFC">
              <w:rPr>
                <w:rFonts w:eastAsia="Times New Roman" w:cs="Times New Roman"/>
              </w:rPr>
              <w:t>890.79</w:t>
            </w:r>
          </w:p>
        </w:tc>
        <w:tc>
          <w:tcPr>
            <w:tcW w:w="1438" w:type="pct"/>
            <w:tcBorders>
              <w:top w:val="single" w:sz="4" w:space="0" w:color="4F81BD"/>
              <w:bottom w:val="single" w:sz="4" w:space="0" w:color="4F81BD"/>
              <w:right w:val="single" w:sz="4" w:space="0" w:color="4F81BD"/>
            </w:tcBorders>
          </w:tcPr>
          <w:p w14:paraId="17D47690" w14:textId="77777777" w:rsidR="000B7923" w:rsidRPr="002B1DFC" w:rsidRDefault="000B7923" w:rsidP="008870E0">
            <w:pPr>
              <w:ind w:right="1458"/>
              <w:jc w:val="right"/>
              <w:rPr>
                <w:rFonts w:eastAsia="Times New Roman"/>
              </w:rPr>
            </w:pPr>
            <w:r w:rsidRPr="002B1DFC">
              <w:rPr>
                <w:rFonts w:eastAsia="Times New Roman"/>
              </w:rPr>
              <w:t>$41.87</w:t>
            </w:r>
          </w:p>
        </w:tc>
      </w:tr>
      <w:tr w:rsidR="000B7923" w:rsidRPr="002B1DFC" w14:paraId="05AC26F6" w14:textId="77777777">
        <w:tc>
          <w:tcPr>
            <w:tcW w:w="2124" w:type="pct"/>
            <w:tcBorders>
              <w:left w:val="single" w:sz="4" w:space="0" w:color="4F81BD"/>
              <w:right w:val="nil"/>
            </w:tcBorders>
            <w:shd w:val="clear" w:color="auto" w:fill="FFFFFF"/>
          </w:tcPr>
          <w:p w14:paraId="2BEE9BD4" w14:textId="77777777" w:rsidR="000B7923" w:rsidRPr="002B1DFC" w:rsidRDefault="000B7923" w:rsidP="00193241">
            <w:pPr>
              <w:rPr>
                <w:rFonts w:eastAsia="Times New Roman" w:cs="Times New Roman"/>
                <w:b/>
                <w:bCs/>
              </w:rPr>
            </w:pPr>
            <w:r w:rsidRPr="002B1DFC">
              <w:rPr>
                <w:rFonts w:eastAsia="Times New Roman" w:cs="Times New Roman"/>
                <w:b/>
                <w:bCs/>
              </w:rPr>
              <w:t>II / High</w:t>
            </w:r>
            <w:r w:rsidR="00F6257E">
              <w:rPr>
                <w:rFonts w:eastAsia="Times New Roman" w:cs="Times New Roman"/>
                <w:b/>
                <w:bCs/>
              </w:rPr>
              <w:t>ly</w:t>
            </w:r>
            <w:r w:rsidRPr="002B1DFC">
              <w:rPr>
                <w:rFonts w:eastAsia="Times New Roman" w:cs="Times New Roman"/>
                <w:b/>
                <w:bCs/>
              </w:rPr>
              <w:t xml:space="preserve"> dangerous</w:t>
            </w:r>
          </w:p>
        </w:tc>
        <w:tc>
          <w:tcPr>
            <w:tcW w:w="1438" w:type="pct"/>
          </w:tcPr>
          <w:p w14:paraId="7BDCD114" w14:textId="77777777" w:rsidR="000B7923" w:rsidRPr="002B1DFC" w:rsidRDefault="000B7923" w:rsidP="008870E0">
            <w:pPr>
              <w:ind w:right="1224"/>
              <w:jc w:val="right"/>
              <w:rPr>
                <w:rFonts w:eastAsia="Times New Roman" w:cs="Times New Roman"/>
              </w:rPr>
            </w:pPr>
            <w:r w:rsidRPr="002B1DFC">
              <w:rPr>
                <w:rFonts w:eastAsia="Times New Roman" w:cs="Times New Roman"/>
              </w:rPr>
              <w:t>32.45</w:t>
            </w:r>
          </w:p>
        </w:tc>
        <w:tc>
          <w:tcPr>
            <w:tcW w:w="1438" w:type="pct"/>
            <w:tcBorders>
              <w:right w:val="single" w:sz="4" w:space="0" w:color="4F81BD"/>
            </w:tcBorders>
          </w:tcPr>
          <w:p w14:paraId="614DEDE4" w14:textId="77777777" w:rsidR="000B7923" w:rsidRPr="002B1DFC" w:rsidRDefault="000B7923" w:rsidP="008870E0">
            <w:pPr>
              <w:ind w:right="1458"/>
              <w:jc w:val="right"/>
              <w:rPr>
                <w:rFonts w:eastAsia="Times New Roman"/>
              </w:rPr>
            </w:pPr>
            <w:r w:rsidRPr="002B1DFC">
              <w:rPr>
                <w:rFonts w:eastAsia="Times New Roman"/>
              </w:rPr>
              <w:t>$1.53</w:t>
            </w:r>
          </w:p>
        </w:tc>
      </w:tr>
      <w:tr w:rsidR="000B7923" w:rsidRPr="002B1DFC" w14:paraId="4A90A60F" w14:textId="77777777">
        <w:tc>
          <w:tcPr>
            <w:tcW w:w="2124" w:type="pct"/>
            <w:tcBorders>
              <w:top w:val="single" w:sz="4" w:space="0" w:color="4F81BD"/>
              <w:left w:val="single" w:sz="4" w:space="0" w:color="4F81BD"/>
              <w:bottom w:val="single" w:sz="4" w:space="0" w:color="4F81BD"/>
              <w:right w:val="nil"/>
            </w:tcBorders>
            <w:shd w:val="clear" w:color="auto" w:fill="FFFFFF"/>
          </w:tcPr>
          <w:p w14:paraId="385F6AC2" w14:textId="77777777" w:rsidR="000B7923" w:rsidRPr="002B1DFC" w:rsidRDefault="000B7923" w:rsidP="00193241">
            <w:pPr>
              <w:rPr>
                <w:rFonts w:eastAsia="Times New Roman" w:cs="Times New Roman"/>
                <w:b/>
                <w:bCs/>
              </w:rPr>
            </w:pPr>
            <w:r w:rsidRPr="002B1DFC">
              <w:rPr>
                <w:rFonts w:eastAsia="Times New Roman" w:cs="Times New Roman"/>
                <w:b/>
                <w:bCs/>
              </w:rPr>
              <w:t xml:space="preserve">III / Moderately dangerous </w:t>
            </w:r>
          </w:p>
        </w:tc>
        <w:tc>
          <w:tcPr>
            <w:tcW w:w="1438" w:type="pct"/>
            <w:tcBorders>
              <w:top w:val="single" w:sz="4" w:space="0" w:color="4F81BD"/>
              <w:bottom w:val="single" w:sz="4" w:space="0" w:color="4F81BD"/>
            </w:tcBorders>
          </w:tcPr>
          <w:p w14:paraId="3F8F6194" w14:textId="77777777" w:rsidR="000B7923" w:rsidRPr="002B1DFC" w:rsidRDefault="000B7923" w:rsidP="008870E0">
            <w:pPr>
              <w:ind w:right="1224"/>
              <w:jc w:val="right"/>
              <w:rPr>
                <w:rFonts w:eastAsia="Times New Roman" w:cs="Times New Roman"/>
              </w:rPr>
            </w:pPr>
            <w:r w:rsidRPr="002B1DFC">
              <w:rPr>
                <w:rFonts w:eastAsia="Times New Roman" w:cs="Times New Roman"/>
              </w:rPr>
              <w:t>8.14</w:t>
            </w:r>
          </w:p>
        </w:tc>
        <w:tc>
          <w:tcPr>
            <w:tcW w:w="1438" w:type="pct"/>
            <w:tcBorders>
              <w:top w:val="single" w:sz="4" w:space="0" w:color="4F81BD"/>
              <w:bottom w:val="single" w:sz="4" w:space="0" w:color="4F81BD"/>
              <w:right w:val="single" w:sz="4" w:space="0" w:color="4F81BD"/>
            </w:tcBorders>
          </w:tcPr>
          <w:p w14:paraId="7A9F4114" w14:textId="77777777" w:rsidR="000B7923" w:rsidRPr="002B1DFC" w:rsidRDefault="000B7923" w:rsidP="008870E0">
            <w:pPr>
              <w:ind w:right="1458"/>
              <w:jc w:val="right"/>
              <w:rPr>
                <w:rFonts w:eastAsia="Times New Roman"/>
              </w:rPr>
            </w:pPr>
            <w:r w:rsidRPr="002B1DFC">
              <w:rPr>
                <w:rFonts w:eastAsia="Times New Roman"/>
              </w:rPr>
              <w:t>$0.38</w:t>
            </w:r>
          </w:p>
        </w:tc>
      </w:tr>
      <w:tr w:rsidR="000B7923" w:rsidRPr="002B1DFC" w14:paraId="0E10541B" w14:textId="77777777">
        <w:tc>
          <w:tcPr>
            <w:tcW w:w="2124" w:type="pct"/>
            <w:tcBorders>
              <w:left w:val="single" w:sz="4" w:space="0" w:color="4F81BD"/>
              <w:right w:val="nil"/>
            </w:tcBorders>
            <w:shd w:val="clear" w:color="auto" w:fill="FFFFFF"/>
          </w:tcPr>
          <w:p w14:paraId="2A3F68CA" w14:textId="77777777" w:rsidR="000B7923" w:rsidRPr="002B1DFC" w:rsidRDefault="000B7923" w:rsidP="00A72702">
            <w:pPr>
              <w:rPr>
                <w:rFonts w:eastAsia="Times New Roman" w:cs="Times New Roman"/>
                <w:b/>
                <w:bCs/>
              </w:rPr>
            </w:pPr>
            <w:r w:rsidRPr="002B1DFC">
              <w:rPr>
                <w:rFonts w:eastAsia="Times New Roman" w:cs="Times New Roman"/>
                <w:b/>
                <w:bCs/>
              </w:rPr>
              <w:t xml:space="preserve">IV / </w:t>
            </w:r>
            <w:r w:rsidR="00F6257E">
              <w:rPr>
                <w:rFonts w:eastAsia="Times New Roman" w:cs="Times New Roman"/>
                <w:b/>
                <w:bCs/>
              </w:rPr>
              <w:t>Low-level of</w:t>
            </w:r>
            <w:r w:rsidRPr="002B1DFC">
              <w:rPr>
                <w:rFonts w:eastAsia="Times New Roman" w:cs="Times New Roman"/>
                <w:b/>
                <w:bCs/>
              </w:rPr>
              <w:t xml:space="preserve"> danger</w:t>
            </w:r>
          </w:p>
        </w:tc>
        <w:tc>
          <w:tcPr>
            <w:tcW w:w="1438" w:type="pct"/>
          </w:tcPr>
          <w:p w14:paraId="5DA3D0F7" w14:textId="77777777" w:rsidR="000B7923" w:rsidRPr="002B1DFC" w:rsidRDefault="000B7923" w:rsidP="008870E0">
            <w:pPr>
              <w:ind w:right="1224"/>
              <w:jc w:val="right"/>
              <w:rPr>
                <w:rFonts w:eastAsia="Times New Roman" w:cs="Times New Roman"/>
              </w:rPr>
            </w:pPr>
            <w:r w:rsidRPr="002B1DFC">
              <w:rPr>
                <w:rFonts w:eastAsia="Times New Roman" w:cs="Times New Roman"/>
              </w:rPr>
              <w:t>3.17</w:t>
            </w:r>
          </w:p>
        </w:tc>
        <w:tc>
          <w:tcPr>
            <w:tcW w:w="1438" w:type="pct"/>
            <w:tcBorders>
              <w:right w:val="single" w:sz="4" w:space="0" w:color="4F81BD"/>
            </w:tcBorders>
          </w:tcPr>
          <w:p w14:paraId="70948DC9" w14:textId="77777777" w:rsidR="000B7923" w:rsidRPr="002B1DFC" w:rsidRDefault="000B7923" w:rsidP="008870E0">
            <w:pPr>
              <w:ind w:right="1458"/>
              <w:jc w:val="right"/>
              <w:rPr>
                <w:rFonts w:eastAsia="Times New Roman"/>
              </w:rPr>
            </w:pPr>
            <w:r w:rsidRPr="002B1DFC">
              <w:rPr>
                <w:rFonts w:eastAsia="Times New Roman"/>
              </w:rPr>
              <w:t>$0.15</w:t>
            </w:r>
          </w:p>
        </w:tc>
      </w:tr>
      <w:tr w:rsidR="000B7923" w:rsidRPr="002B1DFC" w14:paraId="3E3CFEF0" w14:textId="77777777">
        <w:tc>
          <w:tcPr>
            <w:tcW w:w="2124" w:type="pct"/>
            <w:tcBorders>
              <w:top w:val="single" w:sz="4" w:space="0" w:color="4F81BD"/>
              <w:left w:val="single" w:sz="4" w:space="0" w:color="4F81BD"/>
              <w:bottom w:val="single" w:sz="4" w:space="0" w:color="4F81BD"/>
              <w:right w:val="nil"/>
            </w:tcBorders>
            <w:shd w:val="clear" w:color="auto" w:fill="FFFFFF"/>
          </w:tcPr>
          <w:p w14:paraId="23773B7E" w14:textId="77777777" w:rsidR="000B7923" w:rsidRPr="002B1DFC" w:rsidRDefault="00F6257E" w:rsidP="00A72702">
            <w:pPr>
              <w:rPr>
                <w:rFonts w:eastAsia="Times New Roman" w:cs="Times New Roman"/>
                <w:b/>
                <w:bCs/>
              </w:rPr>
            </w:pPr>
            <w:r w:rsidRPr="002B1DFC">
              <w:rPr>
                <w:rFonts w:eastAsia="Times New Roman" w:cs="Times New Roman"/>
                <w:b/>
                <w:bCs/>
              </w:rPr>
              <w:t>L</w:t>
            </w:r>
            <w:r>
              <w:rPr>
                <w:rFonts w:eastAsia="Times New Roman" w:cs="Times New Roman"/>
                <w:b/>
                <w:bCs/>
              </w:rPr>
              <w:t>ow-level</w:t>
            </w:r>
            <w:r w:rsidRPr="002B1DFC">
              <w:rPr>
                <w:rFonts w:eastAsia="Times New Roman" w:cs="Times New Roman"/>
                <w:b/>
                <w:bCs/>
              </w:rPr>
              <w:t xml:space="preserve"> </w:t>
            </w:r>
            <w:r>
              <w:rPr>
                <w:rFonts w:eastAsia="Times New Roman" w:cs="Times New Roman"/>
                <w:b/>
                <w:bCs/>
              </w:rPr>
              <w:t xml:space="preserve">of </w:t>
            </w:r>
            <w:r w:rsidR="000B7923" w:rsidRPr="002B1DFC">
              <w:rPr>
                <w:rFonts w:eastAsia="Times New Roman" w:cs="Times New Roman"/>
                <w:b/>
                <w:bCs/>
              </w:rPr>
              <w:t>danger non-toxic mining waste</w:t>
            </w:r>
          </w:p>
        </w:tc>
        <w:tc>
          <w:tcPr>
            <w:tcW w:w="1438" w:type="pct"/>
            <w:tcBorders>
              <w:top w:val="single" w:sz="4" w:space="0" w:color="4F81BD"/>
              <w:bottom w:val="single" w:sz="4" w:space="0" w:color="4F81BD"/>
            </w:tcBorders>
          </w:tcPr>
          <w:p w14:paraId="303226A4" w14:textId="77777777" w:rsidR="000B7923" w:rsidRPr="002B1DFC" w:rsidRDefault="000B7923" w:rsidP="008870E0">
            <w:pPr>
              <w:ind w:right="1224"/>
              <w:jc w:val="right"/>
              <w:rPr>
                <w:rFonts w:eastAsia="Times New Roman" w:cs="Times New Roman"/>
              </w:rPr>
            </w:pPr>
            <w:r w:rsidRPr="002B1DFC">
              <w:rPr>
                <w:rFonts w:eastAsia="Times New Roman" w:cs="Times New Roman"/>
              </w:rPr>
              <w:t>0.31</w:t>
            </w:r>
          </w:p>
        </w:tc>
        <w:tc>
          <w:tcPr>
            <w:tcW w:w="1438" w:type="pct"/>
            <w:tcBorders>
              <w:top w:val="single" w:sz="4" w:space="0" w:color="4F81BD"/>
              <w:bottom w:val="single" w:sz="4" w:space="0" w:color="4F81BD"/>
              <w:right w:val="single" w:sz="4" w:space="0" w:color="4F81BD"/>
            </w:tcBorders>
          </w:tcPr>
          <w:p w14:paraId="0F014191" w14:textId="77777777" w:rsidR="000B7923" w:rsidRPr="002B1DFC" w:rsidRDefault="000B7923" w:rsidP="008870E0">
            <w:pPr>
              <w:ind w:right="1458"/>
              <w:jc w:val="right"/>
              <w:rPr>
                <w:rFonts w:eastAsia="Times New Roman"/>
              </w:rPr>
            </w:pPr>
            <w:r w:rsidRPr="002B1DFC">
              <w:rPr>
                <w:rFonts w:eastAsia="Times New Roman"/>
              </w:rPr>
              <w:t>$0.01</w:t>
            </w:r>
          </w:p>
        </w:tc>
      </w:tr>
    </w:tbl>
    <w:p w14:paraId="450D1DEC" w14:textId="77777777" w:rsidR="000B7923" w:rsidRPr="009A1289" w:rsidRDefault="000B7923" w:rsidP="00F22047">
      <w:pPr>
        <w:rPr>
          <w:rFonts w:cs="Times New Roman"/>
          <w:i/>
          <w:iCs/>
          <w:sz w:val="20"/>
          <w:szCs w:val="20"/>
        </w:rPr>
      </w:pPr>
      <w:r w:rsidRPr="009A1289">
        <w:rPr>
          <w:rFonts w:cs="Times New Roman"/>
        </w:rPr>
        <w:t xml:space="preserve"> </w:t>
      </w:r>
      <w:r w:rsidR="00810F94" w:rsidRPr="009A1289">
        <w:rPr>
          <w:rFonts w:cs="Times New Roman"/>
        </w:rPr>
        <w:t>*</w:t>
      </w:r>
      <w:r w:rsidRPr="009A1289">
        <w:rPr>
          <w:rFonts w:cs="Times New Roman"/>
          <w:i/>
          <w:iCs/>
          <w:sz w:val="20"/>
          <w:szCs w:val="20"/>
        </w:rPr>
        <w:t xml:space="preserve">Note: </w:t>
      </w:r>
      <w:r w:rsidRPr="009A1289">
        <w:rPr>
          <w:rFonts w:cs="Times New Roman"/>
          <w:iCs/>
          <w:sz w:val="20"/>
          <w:szCs w:val="20"/>
        </w:rPr>
        <w:t>Exchange rate on August 1, 2015: 1 UAH = 0.047 US</w:t>
      </w:r>
      <w:r w:rsidR="000B3B8A" w:rsidRPr="009A1289">
        <w:rPr>
          <w:rFonts w:cs="Times New Roman"/>
          <w:iCs/>
          <w:sz w:val="20"/>
          <w:szCs w:val="20"/>
        </w:rPr>
        <w:t>$.</w:t>
      </w:r>
    </w:p>
    <w:p w14:paraId="2341AD52" w14:textId="77777777" w:rsidR="009A1289" w:rsidRPr="009A1289" w:rsidRDefault="009A1289" w:rsidP="009A1289">
      <w:pPr>
        <w:rPr>
          <w:rFonts w:cs="Times New Roman"/>
          <w:iCs/>
          <w:sz w:val="20"/>
          <w:szCs w:val="20"/>
        </w:rPr>
      </w:pPr>
      <w:r w:rsidRPr="009A1289">
        <w:rPr>
          <w:rFonts w:cs="Times New Roman"/>
          <w:i/>
          <w:sz w:val="20"/>
          <w:szCs w:val="20"/>
        </w:rPr>
        <w:t>Source</w:t>
      </w:r>
      <w:r w:rsidRPr="009A1289">
        <w:rPr>
          <w:rFonts w:cs="Times New Roman"/>
          <w:iCs/>
          <w:sz w:val="20"/>
          <w:szCs w:val="20"/>
        </w:rPr>
        <w:t xml:space="preserve">: </w:t>
      </w:r>
      <w:r w:rsidRPr="009A1289">
        <w:rPr>
          <w:rFonts w:cs="Times New Roman"/>
          <w:sz w:val="20"/>
          <w:szCs w:val="20"/>
        </w:rPr>
        <w:t>Law of Ukraine of 02.12.2010 No. 2755-VI “Tax Code of Ukraine.”</w:t>
      </w:r>
    </w:p>
    <w:p w14:paraId="29A2DA50" w14:textId="77777777" w:rsidR="000B7923" w:rsidRPr="00C91AC7" w:rsidRDefault="000B7923" w:rsidP="0075055E">
      <w:pPr>
        <w:rPr>
          <w:rFonts w:cs="Times New Roman"/>
          <w:color w:val="000000" w:themeColor="text1"/>
        </w:rPr>
      </w:pPr>
    </w:p>
    <w:p w14:paraId="679DF964" w14:textId="77777777" w:rsidR="00143BDD" w:rsidRPr="005060F5" w:rsidRDefault="00143BDD" w:rsidP="00143BDD">
      <w:pPr>
        <w:pStyle w:val="Caption"/>
      </w:pPr>
      <w:bookmarkStart w:id="128" w:name="_Toc437354599"/>
      <w:bookmarkStart w:id="129" w:name="_Toc440274007"/>
      <w:r w:rsidRPr="005060F5">
        <w:t xml:space="preserve">Table </w:t>
      </w:r>
      <w:r w:rsidRPr="005060F5">
        <w:fldChar w:fldCharType="begin"/>
      </w:r>
      <w:r w:rsidRPr="005060F5">
        <w:instrText xml:space="preserve"> SEQ Table \* ARABIC </w:instrText>
      </w:r>
      <w:r w:rsidRPr="005060F5">
        <w:fldChar w:fldCharType="separate"/>
      </w:r>
      <w:r w:rsidR="00356D5F">
        <w:t>15</w:t>
      </w:r>
      <w:r w:rsidRPr="005060F5">
        <w:fldChar w:fldCharType="end"/>
      </w:r>
      <w:r w:rsidRPr="005060F5">
        <w:t>. Air Pollution Tax Rates in Ukraine, Baltic States, Czech Republic, Slovakia, EUR/t</w:t>
      </w:r>
      <w:bookmarkEnd w:id="128"/>
      <w:bookmarkEnd w:id="129"/>
    </w:p>
    <w:tbl>
      <w:tblPr>
        <w:tblW w:w="0" w:type="auto"/>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2579"/>
        <w:gridCol w:w="1124"/>
        <w:gridCol w:w="1123"/>
        <w:gridCol w:w="1122"/>
        <w:gridCol w:w="1161"/>
        <w:gridCol w:w="1119"/>
        <w:gridCol w:w="1122"/>
      </w:tblGrid>
      <w:tr w:rsidR="00143BDD" w:rsidRPr="00A55B4B" w14:paraId="4E228C8E" w14:textId="77777777" w:rsidTr="00395E5C">
        <w:tc>
          <w:tcPr>
            <w:tcW w:w="2605" w:type="dxa"/>
            <w:tcBorders>
              <w:bottom w:val="nil"/>
              <w:right w:val="nil"/>
            </w:tcBorders>
            <w:shd w:val="clear" w:color="auto" w:fill="5B9BD5"/>
          </w:tcPr>
          <w:p w14:paraId="3275525D" w14:textId="77777777" w:rsidR="00143BDD" w:rsidRPr="00395E5C" w:rsidRDefault="00143BDD" w:rsidP="00143BDD">
            <w:pPr>
              <w:rPr>
                <w:rFonts w:cs="Times New Roman"/>
                <w:b/>
                <w:bCs/>
                <w:color w:val="FFFFFF"/>
                <w:sz w:val="20"/>
                <w:szCs w:val="20"/>
              </w:rPr>
            </w:pPr>
          </w:p>
        </w:tc>
        <w:tc>
          <w:tcPr>
            <w:tcW w:w="1124" w:type="dxa"/>
            <w:shd w:val="clear" w:color="auto" w:fill="5B9BD5"/>
          </w:tcPr>
          <w:p w14:paraId="59E575E0" w14:textId="77777777" w:rsidR="00143BDD" w:rsidRPr="00395E5C" w:rsidRDefault="00143BDD" w:rsidP="00143BDD">
            <w:pPr>
              <w:rPr>
                <w:rFonts w:cs="Times New Roman"/>
                <w:b/>
                <w:bCs/>
                <w:color w:val="FFFFFF"/>
                <w:sz w:val="20"/>
                <w:szCs w:val="20"/>
              </w:rPr>
            </w:pPr>
            <w:r w:rsidRPr="00395E5C">
              <w:rPr>
                <w:rFonts w:cs="Times New Roman"/>
                <w:b/>
                <w:bCs/>
                <w:color w:val="FFFFFF"/>
                <w:sz w:val="20"/>
                <w:szCs w:val="20"/>
              </w:rPr>
              <w:t>Ukraine**</w:t>
            </w:r>
          </w:p>
        </w:tc>
        <w:tc>
          <w:tcPr>
            <w:tcW w:w="1124" w:type="dxa"/>
            <w:shd w:val="clear" w:color="auto" w:fill="5B9BD5"/>
          </w:tcPr>
          <w:p w14:paraId="52E80623" w14:textId="77777777" w:rsidR="00143BDD" w:rsidRPr="00395E5C" w:rsidRDefault="00143BDD" w:rsidP="00143BDD">
            <w:pPr>
              <w:rPr>
                <w:rFonts w:cs="Times New Roman"/>
                <w:b/>
                <w:bCs/>
                <w:color w:val="FFFFFF"/>
                <w:sz w:val="20"/>
                <w:szCs w:val="20"/>
              </w:rPr>
            </w:pPr>
            <w:r w:rsidRPr="00395E5C">
              <w:rPr>
                <w:rFonts w:cs="Times New Roman"/>
                <w:b/>
                <w:bCs/>
                <w:color w:val="FFFFFF"/>
                <w:sz w:val="20"/>
                <w:szCs w:val="20"/>
              </w:rPr>
              <w:t>Czech Republic*</w:t>
            </w:r>
          </w:p>
        </w:tc>
        <w:tc>
          <w:tcPr>
            <w:tcW w:w="1124" w:type="dxa"/>
            <w:shd w:val="clear" w:color="auto" w:fill="5B9BD5"/>
          </w:tcPr>
          <w:p w14:paraId="2A405EE8" w14:textId="77777777" w:rsidR="00143BDD" w:rsidRPr="00395E5C" w:rsidRDefault="00143BDD" w:rsidP="00143BDD">
            <w:pPr>
              <w:rPr>
                <w:rFonts w:cs="Times New Roman"/>
                <w:b/>
                <w:bCs/>
                <w:color w:val="FFFFFF"/>
                <w:sz w:val="20"/>
                <w:szCs w:val="20"/>
              </w:rPr>
            </w:pPr>
            <w:r w:rsidRPr="00395E5C">
              <w:rPr>
                <w:rFonts w:cs="Times New Roman"/>
                <w:b/>
                <w:bCs/>
                <w:color w:val="FFFFFF"/>
                <w:sz w:val="20"/>
                <w:szCs w:val="20"/>
              </w:rPr>
              <w:t>Slovakia*</w:t>
            </w:r>
          </w:p>
        </w:tc>
        <w:tc>
          <w:tcPr>
            <w:tcW w:w="1161" w:type="dxa"/>
            <w:shd w:val="clear" w:color="auto" w:fill="5B9BD5"/>
          </w:tcPr>
          <w:p w14:paraId="0285BD3B" w14:textId="77777777" w:rsidR="00143BDD" w:rsidRPr="00395E5C" w:rsidRDefault="00143BDD" w:rsidP="00143BDD">
            <w:pPr>
              <w:rPr>
                <w:rFonts w:cs="Times New Roman"/>
                <w:b/>
                <w:bCs/>
                <w:color w:val="FFFFFF"/>
                <w:sz w:val="20"/>
                <w:szCs w:val="20"/>
              </w:rPr>
            </w:pPr>
            <w:r w:rsidRPr="00395E5C">
              <w:rPr>
                <w:rFonts w:cs="Times New Roman"/>
                <w:b/>
                <w:bCs/>
                <w:color w:val="FFFFFF"/>
                <w:sz w:val="20"/>
                <w:szCs w:val="20"/>
              </w:rPr>
              <w:t>Lithuania*</w:t>
            </w:r>
          </w:p>
        </w:tc>
        <w:tc>
          <w:tcPr>
            <w:tcW w:w="1124" w:type="dxa"/>
            <w:shd w:val="clear" w:color="auto" w:fill="5B9BD5"/>
          </w:tcPr>
          <w:p w14:paraId="5FB936D4" w14:textId="77777777" w:rsidR="00143BDD" w:rsidRPr="00395E5C" w:rsidRDefault="00143BDD" w:rsidP="00143BDD">
            <w:pPr>
              <w:rPr>
                <w:rFonts w:cs="Times New Roman"/>
                <w:b/>
                <w:bCs/>
                <w:color w:val="FFFFFF"/>
                <w:sz w:val="20"/>
                <w:szCs w:val="20"/>
              </w:rPr>
            </w:pPr>
            <w:r w:rsidRPr="00395E5C">
              <w:rPr>
                <w:rFonts w:cs="Times New Roman"/>
                <w:b/>
                <w:bCs/>
                <w:color w:val="FFFFFF"/>
                <w:sz w:val="20"/>
                <w:szCs w:val="20"/>
              </w:rPr>
              <w:t>Latvia*</w:t>
            </w:r>
          </w:p>
        </w:tc>
        <w:tc>
          <w:tcPr>
            <w:tcW w:w="1125" w:type="dxa"/>
            <w:shd w:val="clear" w:color="auto" w:fill="5B9BD5"/>
          </w:tcPr>
          <w:p w14:paraId="5F795E46" w14:textId="77777777" w:rsidR="00143BDD" w:rsidRPr="00395E5C" w:rsidRDefault="00143BDD" w:rsidP="00143BDD">
            <w:pPr>
              <w:rPr>
                <w:rFonts w:cs="Times New Roman"/>
                <w:b/>
                <w:bCs/>
                <w:color w:val="FFFFFF"/>
                <w:sz w:val="20"/>
                <w:szCs w:val="20"/>
              </w:rPr>
            </w:pPr>
            <w:r w:rsidRPr="00395E5C">
              <w:rPr>
                <w:rFonts w:cs="Times New Roman"/>
                <w:b/>
                <w:bCs/>
                <w:color w:val="FFFFFF"/>
                <w:sz w:val="20"/>
                <w:szCs w:val="20"/>
              </w:rPr>
              <w:t>Estonia*</w:t>
            </w:r>
          </w:p>
        </w:tc>
      </w:tr>
      <w:tr w:rsidR="00143BDD" w:rsidRPr="00A55B4B" w14:paraId="00BE33DC" w14:textId="77777777" w:rsidTr="00395E5C">
        <w:tc>
          <w:tcPr>
            <w:tcW w:w="2605" w:type="dxa"/>
            <w:tcBorders>
              <w:top w:val="single" w:sz="4" w:space="0" w:color="5B9BD5"/>
              <w:bottom w:val="single" w:sz="4" w:space="0" w:color="5B9BD5"/>
              <w:right w:val="nil"/>
            </w:tcBorders>
            <w:shd w:val="clear" w:color="auto" w:fill="FFFFFF"/>
          </w:tcPr>
          <w:p w14:paraId="1E76F75C" w14:textId="77777777" w:rsidR="00143BDD" w:rsidRPr="00395E5C" w:rsidRDefault="00143BDD" w:rsidP="00143BDD">
            <w:pPr>
              <w:rPr>
                <w:rFonts w:cs="Times New Roman"/>
                <w:b/>
                <w:bCs/>
                <w:sz w:val="20"/>
                <w:szCs w:val="20"/>
              </w:rPr>
            </w:pPr>
            <w:r w:rsidRPr="00395E5C">
              <w:rPr>
                <w:rFonts w:cs="Times New Roman"/>
                <w:b/>
                <w:bCs/>
                <w:sz w:val="20"/>
                <w:szCs w:val="20"/>
              </w:rPr>
              <w:t>Ammonia</w:t>
            </w:r>
          </w:p>
        </w:tc>
        <w:tc>
          <w:tcPr>
            <w:tcW w:w="1124" w:type="dxa"/>
            <w:tcBorders>
              <w:top w:val="single" w:sz="4" w:space="0" w:color="5B9BD5"/>
              <w:bottom w:val="single" w:sz="4" w:space="0" w:color="5B9BD5"/>
            </w:tcBorders>
            <w:shd w:val="clear" w:color="auto" w:fill="auto"/>
          </w:tcPr>
          <w:p w14:paraId="54FC3ABE" w14:textId="77777777" w:rsidR="00143BDD" w:rsidRPr="00395E5C" w:rsidRDefault="00143BDD" w:rsidP="00143BDD">
            <w:pPr>
              <w:rPr>
                <w:rFonts w:cs="Times New Roman"/>
                <w:sz w:val="20"/>
                <w:szCs w:val="20"/>
              </w:rPr>
            </w:pPr>
            <w:r w:rsidRPr="00395E5C">
              <w:rPr>
                <w:rFonts w:cs="Times New Roman"/>
                <w:sz w:val="20"/>
                <w:szCs w:val="20"/>
              </w:rPr>
              <w:t>11.85</w:t>
            </w:r>
          </w:p>
        </w:tc>
        <w:tc>
          <w:tcPr>
            <w:tcW w:w="1124" w:type="dxa"/>
            <w:tcBorders>
              <w:top w:val="single" w:sz="4" w:space="0" w:color="5B9BD5"/>
              <w:bottom w:val="single" w:sz="4" w:space="0" w:color="5B9BD5"/>
            </w:tcBorders>
            <w:shd w:val="clear" w:color="auto" w:fill="auto"/>
          </w:tcPr>
          <w:p w14:paraId="6B667F4F" w14:textId="77777777" w:rsidR="00143BDD" w:rsidRPr="00395E5C" w:rsidRDefault="00143BDD" w:rsidP="00143BDD">
            <w:pPr>
              <w:rPr>
                <w:rFonts w:cs="Times New Roman"/>
                <w:sz w:val="20"/>
                <w:szCs w:val="20"/>
              </w:rPr>
            </w:pPr>
            <w:r w:rsidRPr="00395E5C">
              <w:rPr>
                <w:rFonts w:cs="Times New Roman"/>
                <w:sz w:val="20"/>
                <w:szCs w:val="20"/>
              </w:rPr>
              <w:t>38.50</w:t>
            </w:r>
          </w:p>
        </w:tc>
        <w:tc>
          <w:tcPr>
            <w:tcW w:w="1124" w:type="dxa"/>
            <w:tcBorders>
              <w:top w:val="single" w:sz="4" w:space="0" w:color="5B9BD5"/>
              <w:bottom w:val="single" w:sz="4" w:space="0" w:color="5B9BD5"/>
            </w:tcBorders>
            <w:shd w:val="clear" w:color="auto" w:fill="auto"/>
          </w:tcPr>
          <w:p w14:paraId="562EF64E" w14:textId="77777777" w:rsidR="00143BDD" w:rsidRPr="00395E5C" w:rsidRDefault="00143BDD" w:rsidP="00143BDD">
            <w:pPr>
              <w:rPr>
                <w:rFonts w:cs="Times New Roman"/>
                <w:sz w:val="20"/>
                <w:szCs w:val="20"/>
              </w:rPr>
            </w:pPr>
            <w:r w:rsidRPr="00395E5C">
              <w:rPr>
                <w:rFonts w:cs="Times New Roman"/>
                <w:sz w:val="20"/>
                <w:szCs w:val="20"/>
              </w:rPr>
              <w:t>66.38</w:t>
            </w:r>
          </w:p>
        </w:tc>
        <w:tc>
          <w:tcPr>
            <w:tcW w:w="1161" w:type="dxa"/>
            <w:tcBorders>
              <w:top w:val="single" w:sz="4" w:space="0" w:color="5B9BD5"/>
              <w:bottom w:val="single" w:sz="4" w:space="0" w:color="5B9BD5"/>
            </w:tcBorders>
            <w:shd w:val="clear" w:color="auto" w:fill="auto"/>
          </w:tcPr>
          <w:p w14:paraId="62ABEADF" w14:textId="77777777" w:rsidR="00143BDD" w:rsidRPr="00395E5C" w:rsidRDefault="00143BDD" w:rsidP="00143BDD">
            <w:pPr>
              <w:rPr>
                <w:rFonts w:cs="Times New Roman"/>
                <w:sz w:val="20"/>
                <w:szCs w:val="20"/>
              </w:rPr>
            </w:pPr>
            <w:r w:rsidRPr="00395E5C">
              <w:rPr>
                <w:rFonts w:cs="Times New Roman"/>
                <w:sz w:val="20"/>
                <w:szCs w:val="20"/>
              </w:rPr>
              <w:t>4.0</w:t>
            </w:r>
          </w:p>
        </w:tc>
        <w:tc>
          <w:tcPr>
            <w:tcW w:w="1124" w:type="dxa"/>
            <w:tcBorders>
              <w:top w:val="single" w:sz="4" w:space="0" w:color="5B9BD5"/>
              <w:bottom w:val="single" w:sz="4" w:space="0" w:color="5B9BD5"/>
            </w:tcBorders>
            <w:shd w:val="clear" w:color="auto" w:fill="auto"/>
          </w:tcPr>
          <w:p w14:paraId="785E535C" w14:textId="77777777" w:rsidR="00143BDD" w:rsidRPr="00395E5C" w:rsidRDefault="00143BDD" w:rsidP="00143BDD">
            <w:pPr>
              <w:rPr>
                <w:rFonts w:cs="Times New Roman"/>
                <w:sz w:val="20"/>
                <w:szCs w:val="20"/>
              </w:rPr>
            </w:pPr>
            <w:r w:rsidRPr="00395E5C">
              <w:rPr>
                <w:rFonts w:cs="Times New Roman"/>
                <w:sz w:val="20"/>
                <w:szCs w:val="20"/>
              </w:rPr>
              <w:t>18.50</w:t>
            </w:r>
          </w:p>
        </w:tc>
        <w:tc>
          <w:tcPr>
            <w:tcW w:w="1125" w:type="dxa"/>
            <w:tcBorders>
              <w:top w:val="single" w:sz="4" w:space="0" w:color="5B9BD5"/>
              <w:bottom w:val="single" w:sz="4" w:space="0" w:color="5B9BD5"/>
            </w:tcBorders>
            <w:shd w:val="clear" w:color="auto" w:fill="auto"/>
          </w:tcPr>
          <w:p w14:paraId="55B0F545" w14:textId="77777777" w:rsidR="00143BDD" w:rsidRPr="00395E5C" w:rsidRDefault="00143BDD" w:rsidP="00143BDD">
            <w:pPr>
              <w:rPr>
                <w:rFonts w:cs="Times New Roman"/>
                <w:sz w:val="20"/>
                <w:szCs w:val="20"/>
              </w:rPr>
            </w:pPr>
            <w:r w:rsidRPr="00395E5C">
              <w:rPr>
                <w:rFonts w:cs="Times New Roman"/>
                <w:sz w:val="20"/>
                <w:szCs w:val="20"/>
              </w:rPr>
              <w:t>122.32</w:t>
            </w:r>
          </w:p>
        </w:tc>
      </w:tr>
      <w:tr w:rsidR="00143BDD" w:rsidRPr="00A55B4B" w14:paraId="30DBF088" w14:textId="77777777" w:rsidTr="00395E5C">
        <w:tc>
          <w:tcPr>
            <w:tcW w:w="2605" w:type="dxa"/>
            <w:tcBorders>
              <w:right w:val="nil"/>
            </w:tcBorders>
            <w:shd w:val="clear" w:color="auto" w:fill="FFFFFF"/>
          </w:tcPr>
          <w:p w14:paraId="1BD81F98" w14:textId="77777777" w:rsidR="00143BDD" w:rsidRPr="00395E5C" w:rsidRDefault="00143BDD" w:rsidP="00143BDD">
            <w:pPr>
              <w:rPr>
                <w:rFonts w:cs="Times New Roman"/>
                <w:b/>
                <w:bCs/>
                <w:sz w:val="20"/>
                <w:szCs w:val="20"/>
              </w:rPr>
            </w:pPr>
            <w:r w:rsidRPr="00395E5C">
              <w:rPr>
                <w:rFonts w:cs="Times New Roman"/>
                <w:b/>
                <w:bCs/>
                <w:sz w:val="20"/>
                <w:szCs w:val="20"/>
              </w:rPr>
              <w:t>Carbon Monoxide</w:t>
            </w:r>
          </w:p>
        </w:tc>
        <w:tc>
          <w:tcPr>
            <w:tcW w:w="1124" w:type="dxa"/>
            <w:shd w:val="clear" w:color="auto" w:fill="auto"/>
          </w:tcPr>
          <w:p w14:paraId="4D40C530" w14:textId="77777777" w:rsidR="00143BDD" w:rsidRPr="00395E5C" w:rsidRDefault="00143BDD" w:rsidP="00143BDD">
            <w:pPr>
              <w:rPr>
                <w:rFonts w:cs="Times New Roman"/>
                <w:sz w:val="20"/>
                <w:szCs w:val="20"/>
              </w:rPr>
            </w:pPr>
            <w:r w:rsidRPr="00395E5C">
              <w:rPr>
                <w:rFonts w:cs="Times New Roman"/>
                <w:sz w:val="20"/>
                <w:szCs w:val="20"/>
              </w:rPr>
              <w:t>2.38</w:t>
            </w:r>
          </w:p>
        </w:tc>
        <w:tc>
          <w:tcPr>
            <w:tcW w:w="1124" w:type="dxa"/>
            <w:shd w:val="clear" w:color="auto" w:fill="auto"/>
          </w:tcPr>
          <w:p w14:paraId="48D9A5E8" w14:textId="77777777" w:rsidR="00143BDD" w:rsidRPr="00395E5C" w:rsidRDefault="00143BDD" w:rsidP="00143BDD">
            <w:pPr>
              <w:rPr>
                <w:rFonts w:cs="Times New Roman"/>
                <w:sz w:val="20"/>
                <w:szCs w:val="20"/>
              </w:rPr>
            </w:pPr>
            <w:r w:rsidRPr="00395E5C">
              <w:rPr>
                <w:rFonts w:cs="Times New Roman"/>
                <w:sz w:val="20"/>
                <w:szCs w:val="20"/>
              </w:rPr>
              <w:t>23.10</w:t>
            </w:r>
          </w:p>
        </w:tc>
        <w:tc>
          <w:tcPr>
            <w:tcW w:w="1124" w:type="dxa"/>
            <w:shd w:val="clear" w:color="auto" w:fill="auto"/>
          </w:tcPr>
          <w:p w14:paraId="60BE80CF" w14:textId="77777777" w:rsidR="00143BDD" w:rsidRPr="00395E5C" w:rsidRDefault="00143BDD" w:rsidP="00143BDD">
            <w:pPr>
              <w:rPr>
                <w:rFonts w:cs="Times New Roman"/>
                <w:sz w:val="20"/>
                <w:szCs w:val="20"/>
              </w:rPr>
            </w:pPr>
            <w:r w:rsidRPr="00395E5C">
              <w:rPr>
                <w:rFonts w:cs="Times New Roman"/>
                <w:sz w:val="20"/>
                <w:szCs w:val="20"/>
              </w:rPr>
              <w:t>32.00</w:t>
            </w:r>
          </w:p>
        </w:tc>
        <w:tc>
          <w:tcPr>
            <w:tcW w:w="1161" w:type="dxa"/>
            <w:shd w:val="clear" w:color="auto" w:fill="auto"/>
          </w:tcPr>
          <w:p w14:paraId="076062A3" w14:textId="77777777" w:rsidR="00143BDD" w:rsidRPr="00395E5C" w:rsidRDefault="00143BDD" w:rsidP="00143BDD">
            <w:pPr>
              <w:rPr>
                <w:rFonts w:cs="Times New Roman"/>
                <w:sz w:val="20"/>
                <w:szCs w:val="20"/>
              </w:rPr>
            </w:pPr>
            <w:r w:rsidRPr="00395E5C">
              <w:rPr>
                <w:rFonts w:cs="Times New Roman"/>
                <w:sz w:val="20"/>
                <w:szCs w:val="20"/>
              </w:rPr>
              <w:t>24.0</w:t>
            </w:r>
          </w:p>
        </w:tc>
        <w:tc>
          <w:tcPr>
            <w:tcW w:w="1124" w:type="dxa"/>
            <w:shd w:val="clear" w:color="auto" w:fill="auto"/>
          </w:tcPr>
          <w:p w14:paraId="17B4CE1A" w14:textId="77777777" w:rsidR="00143BDD" w:rsidRPr="00395E5C" w:rsidRDefault="00143BDD" w:rsidP="00143BDD">
            <w:pPr>
              <w:rPr>
                <w:rFonts w:cs="Times New Roman"/>
                <w:sz w:val="20"/>
                <w:szCs w:val="20"/>
              </w:rPr>
            </w:pPr>
            <w:r w:rsidRPr="00395E5C">
              <w:rPr>
                <w:rFonts w:cs="Times New Roman"/>
                <w:sz w:val="20"/>
                <w:szCs w:val="20"/>
              </w:rPr>
              <w:t>7.83</w:t>
            </w:r>
          </w:p>
        </w:tc>
        <w:tc>
          <w:tcPr>
            <w:tcW w:w="1125" w:type="dxa"/>
            <w:shd w:val="clear" w:color="auto" w:fill="auto"/>
          </w:tcPr>
          <w:p w14:paraId="0E53687B" w14:textId="77777777" w:rsidR="00143BDD" w:rsidRPr="00395E5C" w:rsidRDefault="00143BDD" w:rsidP="00143BDD">
            <w:pPr>
              <w:rPr>
                <w:rFonts w:cs="Times New Roman"/>
                <w:sz w:val="20"/>
                <w:szCs w:val="20"/>
              </w:rPr>
            </w:pPr>
            <w:r w:rsidRPr="00395E5C">
              <w:rPr>
                <w:rFonts w:cs="Times New Roman"/>
                <w:sz w:val="20"/>
                <w:szCs w:val="20"/>
              </w:rPr>
              <w:t>7.7</w:t>
            </w:r>
          </w:p>
        </w:tc>
      </w:tr>
      <w:tr w:rsidR="00143BDD" w:rsidRPr="00A55B4B" w14:paraId="5C99452F" w14:textId="77777777" w:rsidTr="00395E5C">
        <w:tc>
          <w:tcPr>
            <w:tcW w:w="2605" w:type="dxa"/>
            <w:tcBorders>
              <w:top w:val="single" w:sz="4" w:space="0" w:color="5B9BD5"/>
              <w:bottom w:val="single" w:sz="4" w:space="0" w:color="5B9BD5"/>
              <w:right w:val="nil"/>
            </w:tcBorders>
            <w:shd w:val="clear" w:color="auto" w:fill="FFFFFF"/>
          </w:tcPr>
          <w:p w14:paraId="00A74D94" w14:textId="77777777" w:rsidR="00143BDD" w:rsidRPr="00395E5C" w:rsidRDefault="00143BDD" w:rsidP="00143BDD">
            <w:pPr>
              <w:rPr>
                <w:rFonts w:cs="Times New Roman"/>
                <w:b/>
                <w:bCs/>
                <w:sz w:val="20"/>
                <w:szCs w:val="20"/>
              </w:rPr>
            </w:pPr>
            <w:r w:rsidRPr="00395E5C">
              <w:rPr>
                <w:rFonts w:cs="Times New Roman"/>
                <w:b/>
                <w:bCs/>
                <w:sz w:val="20"/>
                <w:szCs w:val="20"/>
              </w:rPr>
              <w:t>Heavy Metals</w:t>
            </w:r>
          </w:p>
        </w:tc>
        <w:tc>
          <w:tcPr>
            <w:tcW w:w="1124" w:type="dxa"/>
            <w:tcBorders>
              <w:top w:val="single" w:sz="4" w:space="0" w:color="5B9BD5"/>
              <w:bottom w:val="single" w:sz="4" w:space="0" w:color="5B9BD5"/>
            </w:tcBorders>
            <w:shd w:val="clear" w:color="auto" w:fill="auto"/>
          </w:tcPr>
          <w:p w14:paraId="2D57D4C6" w14:textId="77777777" w:rsidR="00143BDD" w:rsidRPr="00395E5C" w:rsidRDefault="00143BDD" w:rsidP="00143BDD">
            <w:pPr>
              <w:rPr>
                <w:rFonts w:cs="Times New Roman"/>
                <w:sz w:val="20"/>
                <w:szCs w:val="20"/>
              </w:rPr>
            </w:pPr>
          </w:p>
        </w:tc>
        <w:tc>
          <w:tcPr>
            <w:tcW w:w="1124" w:type="dxa"/>
            <w:tcBorders>
              <w:top w:val="single" w:sz="4" w:space="0" w:color="5B9BD5"/>
              <w:bottom w:val="single" w:sz="4" w:space="0" w:color="5B9BD5"/>
            </w:tcBorders>
            <w:shd w:val="clear" w:color="auto" w:fill="auto"/>
          </w:tcPr>
          <w:p w14:paraId="1D8A77A4" w14:textId="77777777" w:rsidR="00143BDD" w:rsidRPr="00395E5C" w:rsidRDefault="00143BDD" w:rsidP="00143BDD">
            <w:pPr>
              <w:rPr>
                <w:rFonts w:cs="Times New Roman"/>
                <w:sz w:val="20"/>
                <w:szCs w:val="20"/>
              </w:rPr>
            </w:pPr>
            <w:r w:rsidRPr="00395E5C">
              <w:rPr>
                <w:rFonts w:cs="Times New Roman"/>
                <w:sz w:val="20"/>
                <w:szCs w:val="20"/>
              </w:rPr>
              <w:t>769.9</w:t>
            </w:r>
          </w:p>
        </w:tc>
        <w:tc>
          <w:tcPr>
            <w:tcW w:w="1124" w:type="dxa"/>
            <w:tcBorders>
              <w:top w:val="single" w:sz="4" w:space="0" w:color="5B9BD5"/>
              <w:bottom w:val="single" w:sz="4" w:space="0" w:color="5B9BD5"/>
            </w:tcBorders>
            <w:shd w:val="clear" w:color="auto" w:fill="auto"/>
          </w:tcPr>
          <w:p w14:paraId="641C8709" w14:textId="77777777" w:rsidR="00143BDD" w:rsidRPr="00395E5C" w:rsidRDefault="00143BDD" w:rsidP="00143BDD">
            <w:pPr>
              <w:rPr>
                <w:rFonts w:cs="Times New Roman"/>
                <w:sz w:val="20"/>
                <w:szCs w:val="20"/>
              </w:rPr>
            </w:pPr>
            <w:r w:rsidRPr="00395E5C">
              <w:rPr>
                <w:rFonts w:cs="Times New Roman"/>
                <w:sz w:val="20"/>
                <w:szCs w:val="20"/>
              </w:rPr>
              <w:t>1280.2</w:t>
            </w:r>
          </w:p>
        </w:tc>
        <w:tc>
          <w:tcPr>
            <w:tcW w:w="1161" w:type="dxa"/>
            <w:tcBorders>
              <w:top w:val="single" w:sz="4" w:space="0" w:color="5B9BD5"/>
              <w:bottom w:val="single" w:sz="4" w:space="0" w:color="5B9BD5"/>
            </w:tcBorders>
            <w:shd w:val="clear" w:color="auto" w:fill="auto"/>
          </w:tcPr>
          <w:p w14:paraId="35754C29" w14:textId="77777777" w:rsidR="00143BDD" w:rsidRPr="00395E5C" w:rsidRDefault="00143BDD" w:rsidP="00143BDD">
            <w:pPr>
              <w:rPr>
                <w:rFonts w:cs="Times New Roman"/>
                <w:sz w:val="20"/>
                <w:szCs w:val="20"/>
              </w:rPr>
            </w:pPr>
            <w:r w:rsidRPr="00395E5C">
              <w:rPr>
                <w:rFonts w:cs="Times New Roman"/>
                <w:sz w:val="20"/>
                <w:szCs w:val="20"/>
              </w:rPr>
              <w:t>3855</w:t>
            </w:r>
          </w:p>
        </w:tc>
        <w:tc>
          <w:tcPr>
            <w:tcW w:w="1124" w:type="dxa"/>
            <w:tcBorders>
              <w:top w:val="single" w:sz="4" w:space="0" w:color="5B9BD5"/>
              <w:bottom w:val="single" w:sz="4" w:space="0" w:color="5B9BD5"/>
            </w:tcBorders>
            <w:shd w:val="clear" w:color="auto" w:fill="auto"/>
          </w:tcPr>
          <w:p w14:paraId="6FF781A1" w14:textId="77777777" w:rsidR="00143BDD" w:rsidRPr="00395E5C" w:rsidRDefault="00143BDD" w:rsidP="00143BDD">
            <w:pPr>
              <w:rPr>
                <w:rFonts w:cs="Times New Roman"/>
                <w:sz w:val="20"/>
                <w:szCs w:val="20"/>
              </w:rPr>
            </w:pPr>
            <w:r w:rsidRPr="00395E5C">
              <w:rPr>
                <w:rFonts w:cs="Times New Roman"/>
                <w:sz w:val="20"/>
                <w:szCs w:val="20"/>
              </w:rPr>
              <w:t>1,138.3</w:t>
            </w:r>
          </w:p>
        </w:tc>
        <w:tc>
          <w:tcPr>
            <w:tcW w:w="1125" w:type="dxa"/>
            <w:tcBorders>
              <w:top w:val="single" w:sz="4" w:space="0" w:color="5B9BD5"/>
              <w:bottom w:val="single" w:sz="4" w:space="0" w:color="5B9BD5"/>
            </w:tcBorders>
            <w:shd w:val="clear" w:color="auto" w:fill="auto"/>
          </w:tcPr>
          <w:p w14:paraId="0534FB4C" w14:textId="77777777" w:rsidR="00143BDD" w:rsidRPr="00395E5C" w:rsidRDefault="00143BDD" w:rsidP="00143BDD">
            <w:pPr>
              <w:rPr>
                <w:rFonts w:cs="Times New Roman"/>
                <w:sz w:val="20"/>
                <w:szCs w:val="20"/>
              </w:rPr>
            </w:pPr>
            <w:r w:rsidRPr="00395E5C">
              <w:rPr>
                <w:rFonts w:cs="Times New Roman"/>
                <w:sz w:val="20"/>
                <w:szCs w:val="20"/>
              </w:rPr>
              <w:t>1278</w:t>
            </w:r>
          </w:p>
        </w:tc>
      </w:tr>
      <w:tr w:rsidR="00143BDD" w:rsidRPr="00A55B4B" w14:paraId="178A4FA3" w14:textId="77777777" w:rsidTr="00395E5C">
        <w:tc>
          <w:tcPr>
            <w:tcW w:w="2605" w:type="dxa"/>
            <w:tcBorders>
              <w:right w:val="nil"/>
            </w:tcBorders>
            <w:shd w:val="clear" w:color="auto" w:fill="FFFFFF"/>
          </w:tcPr>
          <w:p w14:paraId="7F000D36" w14:textId="77777777" w:rsidR="00143BDD" w:rsidRPr="00395E5C" w:rsidRDefault="00143BDD" w:rsidP="00143BDD">
            <w:pPr>
              <w:rPr>
                <w:rFonts w:cs="Times New Roman"/>
                <w:b/>
                <w:bCs/>
                <w:sz w:val="20"/>
                <w:szCs w:val="20"/>
              </w:rPr>
            </w:pPr>
            <w:r w:rsidRPr="00395E5C">
              <w:rPr>
                <w:rFonts w:cs="Times New Roman"/>
                <w:b/>
                <w:bCs/>
                <w:sz w:val="20"/>
                <w:szCs w:val="20"/>
              </w:rPr>
              <w:t>Nitrogen Oxides</w:t>
            </w:r>
          </w:p>
        </w:tc>
        <w:tc>
          <w:tcPr>
            <w:tcW w:w="1124" w:type="dxa"/>
            <w:shd w:val="clear" w:color="auto" w:fill="auto"/>
          </w:tcPr>
          <w:p w14:paraId="4007DB76" w14:textId="77777777" w:rsidR="00143BDD" w:rsidRPr="00395E5C" w:rsidRDefault="00143BDD" w:rsidP="00143BDD">
            <w:pPr>
              <w:rPr>
                <w:rFonts w:cs="Times New Roman"/>
                <w:sz w:val="20"/>
                <w:szCs w:val="20"/>
              </w:rPr>
            </w:pPr>
            <w:r w:rsidRPr="00395E5C">
              <w:rPr>
                <w:rFonts w:cs="Times New Roman"/>
                <w:sz w:val="20"/>
                <w:szCs w:val="20"/>
              </w:rPr>
              <w:t>63.16</w:t>
            </w:r>
          </w:p>
        </w:tc>
        <w:tc>
          <w:tcPr>
            <w:tcW w:w="1124" w:type="dxa"/>
            <w:shd w:val="clear" w:color="auto" w:fill="auto"/>
          </w:tcPr>
          <w:p w14:paraId="087B07AD" w14:textId="77777777" w:rsidR="00143BDD" w:rsidRPr="00395E5C" w:rsidRDefault="00143BDD" w:rsidP="00143BDD">
            <w:pPr>
              <w:rPr>
                <w:rFonts w:cs="Times New Roman"/>
                <w:sz w:val="20"/>
                <w:szCs w:val="20"/>
              </w:rPr>
            </w:pPr>
            <w:r w:rsidRPr="00395E5C">
              <w:rPr>
                <w:rFonts w:cs="Times New Roman"/>
                <w:sz w:val="20"/>
                <w:szCs w:val="20"/>
              </w:rPr>
              <w:t>30.80</w:t>
            </w:r>
          </w:p>
        </w:tc>
        <w:tc>
          <w:tcPr>
            <w:tcW w:w="1124" w:type="dxa"/>
            <w:shd w:val="clear" w:color="auto" w:fill="auto"/>
          </w:tcPr>
          <w:p w14:paraId="72E22819" w14:textId="77777777" w:rsidR="00143BDD" w:rsidRPr="00395E5C" w:rsidRDefault="00143BDD" w:rsidP="00143BDD">
            <w:pPr>
              <w:rPr>
                <w:rFonts w:cs="Times New Roman"/>
                <w:sz w:val="20"/>
                <w:szCs w:val="20"/>
              </w:rPr>
            </w:pPr>
            <w:r w:rsidRPr="00395E5C">
              <w:rPr>
                <w:rFonts w:cs="Times New Roman"/>
                <w:sz w:val="20"/>
                <w:szCs w:val="20"/>
              </w:rPr>
              <w:t>48.01</w:t>
            </w:r>
          </w:p>
        </w:tc>
        <w:tc>
          <w:tcPr>
            <w:tcW w:w="1161" w:type="dxa"/>
            <w:shd w:val="clear" w:color="auto" w:fill="auto"/>
          </w:tcPr>
          <w:p w14:paraId="69294662" w14:textId="77777777" w:rsidR="00143BDD" w:rsidRPr="00395E5C" w:rsidRDefault="00143BDD" w:rsidP="00143BDD">
            <w:pPr>
              <w:rPr>
                <w:rFonts w:cs="Times New Roman"/>
                <w:sz w:val="20"/>
                <w:szCs w:val="20"/>
              </w:rPr>
            </w:pPr>
            <w:r w:rsidRPr="00395E5C">
              <w:rPr>
                <w:rFonts w:cs="Times New Roman"/>
                <w:sz w:val="20"/>
                <w:szCs w:val="20"/>
              </w:rPr>
              <w:t>196</w:t>
            </w:r>
          </w:p>
        </w:tc>
        <w:tc>
          <w:tcPr>
            <w:tcW w:w="1124" w:type="dxa"/>
            <w:shd w:val="clear" w:color="auto" w:fill="auto"/>
          </w:tcPr>
          <w:p w14:paraId="6F7E0ED1" w14:textId="77777777" w:rsidR="00143BDD" w:rsidRPr="00395E5C" w:rsidRDefault="00143BDD" w:rsidP="00143BDD">
            <w:pPr>
              <w:rPr>
                <w:rFonts w:cs="Times New Roman"/>
                <w:sz w:val="20"/>
                <w:szCs w:val="20"/>
              </w:rPr>
            </w:pPr>
            <w:r w:rsidRPr="00395E5C">
              <w:rPr>
                <w:rFonts w:cs="Times New Roman"/>
                <w:sz w:val="20"/>
                <w:szCs w:val="20"/>
              </w:rPr>
              <w:t>85.37</w:t>
            </w:r>
          </w:p>
        </w:tc>
        <w:tc>
          <w:tcPr>
            <w:tcW w:w="1125" w:type="dxa"/>
            <w:shd w:val="clear" w:color="auto" w:fill="auto"/>
          </w:tcPr>
          <w:p w14:paraId="520B535F" w14:textId="77777777" w:rsidR="00143BDD" w:rsidRPr="00395E5C" w:rsidRDefault="00143BDD" w:rsidP="00143BDD">
            <w:pPr>
              <w:rPr>
                <w:rFonts w:cs="Times New Roman"/>
                <w:sz w:val="20"/>
                <w:szCs w:val="20"/>
              </w:rPr>
            </w:pPr>
            <w:r w:rsidRPr="00395E5C">
              <w:rPr>
                <w:rFonts w:cs="Times New Roman"/>
                <w:sz w:val="20"/>
                <w:szCs w:val="20"/>
              </w:rPr>
              <w:t>122.32</w:t>
            </w:r>
          </w:p>
        </w:tc>
      </w:tr>
      <w:tr w:rsidR="00143BDD" w:rsidRPr="00A55B4B" w14:paraId="529450B2" w14:textId="77777777" w:rsidTr="00395E5C">
        <w:tc>
          <w:tcPr>
            <w:tcW w:w="2605" w:type="dxa"/>
            <w:tcBorders>
              <w:top w:val="single" w:sz="4" w:space="0" w:color="5B9BD5"/>
              <w:bottom w:val="single" w:sz="4" w:space="0" w:color="5B9BD5"/>
              <w:right w:val="nil"/>
            </w:tcBorders>
            <w:shd w:val="clear" w:color="auto" w:fill="FFFFFF"/>
          </w:tcPr>
          <w:p w14:paraId="301DD7D0" w14:textId="77777777" w:rsidR="00143BDD" w:rsidRPr="00395E5C" w:rsidRDefault="00143BDD" w:rsidP="00143BDD">
            <w:pPr>
              <w:rPr>
                <w:rFonts w:cs="Times New Roman"/>
                <w:b/>
                <w:bCs/>
                <w:sz w:val="20"/>
                <w:szCs w:val="20"/>
              </w:rPr>
            </w:pPr>
            <w:r w:rsidRPr="00395E5C">
              <w:rPr>
                <w:rFonts w:cs="Times New Roman"/>
                <w:b/>
                <w:bCs/>
                <w:sz w:val="20"/>
                <w:szCs w:val="20"/>
              </w:rPr>
              <w:t>Solid emissions (particulates)</w:t>
            </w:r>
          </w:p>
        </w:tc>
        <w:tc>
          <w:tcPr>
            <w:tcW w:w="1124" w:type="dxa"/>
            <w:tcBorders>
              <w:top w:val="single" w:sz="4" w:space="0" w:color="5B9BD5"/>
              <w:bottom w:val="single" w:sz="4" w:space="0" w:color="5B9BD5"/>
            </w:tcBorders>
            <w:shd w:val="clear" w:color="auto" w:fill="auto"/>
          </w:tcPr>
          <w:p w14:paraId="03ED17DD" w14:textId="77777777" w:rsidR="00143BDD" w:rsidRPr="00395E5C" w:rsidRDefault="00143BDD" w:rsidP="00143BDD">
            <w:pPr>
              <w:rPr>
                <w:rFonts w:cs="Times New Roman"/>
                <w:sz w:val="20"/>
                <w:szCs w:val="20"/>
              </w:rPr>
            </w:pPr>
            <w:r w:rsidRPr="00395E5C">
              <w:rPr>
                <w:rFonts w:cs="Times New Roman"/>
                <w:sz w:val="20"/>
                <w:szCs w:val="20"/>
              </w:rPr>
              <w:t>2.38</w:t>
            </w:r>
          </w:p>
        </w:tc>
        <w:tc>
          <w:tcPr>
            <w:tcW w:w="1124" w:type="dxa"/>
            <w:tcBorders>
              <w:top w:val="single" w:sz="4" w:space="0" w:color="5B9BD5"/>
              <w:bottom w:val="single" w:sz="4" w:space="0" w:color="5B9BD5"/>
            </w:tcBorders>
            <w:shd w:val="clear" w:color="auto" w:fill="auto"/>
          </w:tcPr>
          <w:p w14:paraId="39B92FD5" w14:textId="77777777" w:rsidR="00143BDD" w:rsidRPr="00395E5C" w:rsidRDefault="00143BDD" w:rsidP="00143BDD">
            <w:pPr>
              <w:rPr>
                <w:rFonts w:cs="Times New Roman"/>
                <w:sz w:val="20"/>
                <w:szCs w:val="20"/>
              </w:rPr>
            </w:pPr>
            <w:r w:rsidRPr="00395E5C">
              <w:rPr>
                <w:rFonts w:cs="Times New Roman"/>
                <w:sz w:val="20"/>
                <w:szCs w:val="20"/>
              </w:rPr>
              <w:t>115.50</w:t>
            </w:r>
          </w:p>
        </w:tc>
        <w:tc>
          <w:tcPr>
            <w:tcW w:w="1124" w:type="dxa"/>
            <w:tcBorders>
              <w:top w:val="single" w:sz="4" w:space="0" w:color="5B9BD5"/>
              <w:bottom w:val="single" w:sz="4" w:space="0" w:color="5B9BD5"/>
            </w:tcBorders>
            <w:shd w:val="clear" w:color="auto" w:fill="auto"/>
          </w:tcPr>
          <w:p w14:paraId="106CE136" w14:textId="77777777" w:rsidR="00143BDD" w:rsidRPr="00395E5C" w:rsidRDefault="00143BDD" w:rsidP="00143BDD">
            <w:pPr>
              <w:rPr>
                <w:rFonts w:cs="Times New Roman"/>
                <w:sz w:val="20"/>
                <w:szCs w:val="20"/>
              </w:rPr>
            </w:pPr>
            <w:r w:rsidRPr="00395E5C">
              <w:rPr>
                <w:rFonts w:cs="Times New Roman"/>
                <w:sz w:val="20"/>
                <w:szCs w:val="20"/>
              </w:rPr>
              <w:t>160.00</w:t>
            </w:r>
          </w:p>
        </w:tc>
        <w:tc>
          <w:tcPr>
            <w:tcW w:w="1161" w:type="dxa"/>
            <w:tcBorders>
              <w:top w:val="single" w:sz="4" w:space="0" w:color="5B9BD5"/>
              <w:bottom w:val="single" w:sz="4" w:space="0" w:color="5B9BD5"/>
            </w:tcBorders>
            <w:shd w:val="clear" w:color="auto" w:fill="auto"/>
          </w:tcPr>
          <w:p w14:paraId="3C089E7F" w14:textId="77777777" w:rsidR="00143BDD" w:rsidRPr="00395E5C" w:rsidRDefault="00143BDD" w:rsidP="00143BDD">
            <w:pPr>
              <w:rPr>
                <w:rFonts w:cs="Times New Roman"/>
                <w:sz w:val="20"/>
                <w:szCs w:val="20"/>
              </w:rPr>
            </w:pPr>
            <w:r w:rsidRPr="00395E5C">
              <w:rPr>
                <w:rFonts w:cs="Times New Roman"/>
                <w:sz w:val="20"/>
                <w:szCs w:val="20"/>
              </w:rPr>
              <w:t>61</w:t>
            </w:r>
          </w:p>
        </w:tc>
        <w:tc>
          <w:tcPr>
            <w:tcW w:w="1124" w:type="dxa"/>
            <w:tcBorders>
              <w:top w:val="single" w:sz="4" w:space="0" w:color="5B9BD5"/>
              <w:bottom w:val="single" w:sz="4" w:space="0" w:color="5B9BD5"/>
            </w:tcBorders>
            <w:shd w:val="clear" w:color="auto" w:fill="auto"/>
          </w:tcPr>
          <w:p w14:paraId="31B54BB9" w14:textId="77777777" w:rsidR="00143BDD" w:rsidRPr="00395E5C" w:rsidRDefault="00143BDD" w:rsidP="00143BDD">
            <w:pPr>
              <w:rPr>
                <w:rFonts w:cs="Times New Roman"/>
                <w:sz w:val="20"/>
                <w:szCs w:val="20"/>
              </w:rPr>
            </w:pPr>
            <w:r w:rsidRPr="00395E5C">
              <w:rPr>
                <w:rFonts w:cs="Times New Roman"/>
                <w:sz w:val="20"/>
                <w:szCs w:val="20"/>
              </w:rPr>
              <w:t>75.0</w:t>
            </w:r>
          </w:p>
        </w:tc>
        <w:tc>
          <w:tcPr>
            <w:tcW w:w="1125" w:type="dxa"/>
            <w:tcBorders>
              <w:top w:val="single" w:sz="4" w:space="0" w:color="5B9BD5"/>
              <w:bottom w:val="single" w:sz="4" w:space="0" w:color="5B9BD5"/>
            </w:tcBorders>
            <w:shd w:val="clear" w:color="auto" w:fill="auto"/>
          </w:tcPr>
          <w:p w14:paraId="1326CD07" w14:textId="77777777" w:rsidR="00143BDD" w:rsidRPr="00395E5C" w:rsidRDefault="00143BDD" w:rsidP="00143BDD">
            <w:pPr>
              <w:rPr>
                <w:rFonts w:cs="Times New Roman"/>
                <w:sz w:val="20"/>
                <w:szCs w:val="20"/>
              </w:rPr>
            </w:pPr>
            <w:r w:rsidRPr="00395E5C">
              <w:rPr>
                <w:rFonts w:cs="Times New Roman"/>
                <w:sz w:val="20"/>
                <w:szCs w:val="20"/>
              </w:rPr>
              <w:t>146.16</w:t>
            </w:r>
          </w:p>
        </w:tc>
      </w:tr>
      <w:tr w:rsidR="00143BDD" w:rsidRPr="00A55B4B" w14:paraId="4A545477" w14:textId="77777777" w:rsidTr="00395E5C">
        <w:tc>
          <w:tcPr>
            <w:tcW w:w="2605" w:type="dxa"/>
            <w:tcBorders>
              <w:right w:val="nil"/>
            </w:tcBorders>
            <w:shd w:val="clear" w:color="auto" w:fill="FFFFFF"/>
          </w:tcPr>
          <w:p w14:paraId="1EE89DA0" w14:textId="77777777" w:rsidR="00143BDD" w:rsidRPr="00395E5C" w:rsidRDefault="00143BDD" w:rsidP="00143BDD">
            <w:pPr>
              <w:rPr>
                <w:rFonts w:cs="Times New Roman"/>
                <w:b/>
                <w:bCs/>
                <w:sz w:val="20"/>
                <w:szCs w:val="20"/>
              </w:rPr>
            </w:pPr>
            <w:r w:rsidRPr="00395E5C">
              <w:rPr>
                <w:rFonts w:cs="Times New Roman"/>
                <w:b/>
                <w:bCs/>
                <w:sz w:val="20"/>
                <w:szCs w:val="20"/>
              </w:rPr>
              <w:t>Sulfur Dioxide</w:t>
            </w:r>
          </w:p>
        </w:tc>
        <w:tc>
          <w:tcPr>
            <w:tcW w:w="1124" w:type="dxa"/>
            <w:shd w:val="clear" w:color="auto" w:fill="auto"/>
          </w:tcPr>
          <w:p w14:paraId="5CF3B83F" w14:textId="77777777" w:rsidR="00143BDD" w:rsidRPr="00395E5C" w:rsidRDefault="00143BDD" w:rsidP="00143BDD">
            <w:pPr>
              <w:rPr>
                <w:rFonts w:cs="Times New Roman"/>
                <w:sz w:val="20"/>
                <w:szCs w:val="20"/>
              </w:rPr>
            </w:pPr>
            <w:r w:rsidRPr="00395E5C">
              <w:rPr>
                <w:rFonts w:cs="Times New Roman"/>
                <w:sz w:val="20"/>
                <w:szCs w:val="20"/>
              </w:rPr>
              <w:t>63.16</w:t>
            </w:r>
          </w:p>
        </w:tc>
        <w:tc>
          <w:tcPr>
            <w:tcW w:w="1124" w:type="dxa"/>
            <w:shd w:val="clear" w:color="auto" w:fill="auto"/>
          </w:tcPr>
          <w:p w14:paraId="0CF040C7" w14:textId="77777777" w:rsidR="00143BDD" w:rsidRPr="00395E5C" w:rsidRDefault="00143BDD" w:rsidP="00143BDD">
            <w:pPr>
              <w:rPr>
                <w:rFonts w:cs="Times New Roman"/>
                <w:sz w:val="20"/>
                <w:szCs w:val="20"/>
              </w:rPr>
            </w:pPr>
            <w:r w:rsidRPr="00395E5C">
              <w:rPr>
                <w:rFonts w:cs="Times New Roman"/>
                <w:sz w:val="20"/>
                <w:szCs w:val="20"/>
              </w:rPr>
              <w:t>38.50</w:t>
            </w:r>
          </w:p>
        </w:tc>
        <w:tc>
          <w:tcPr>
            <w:tcW w:w="1124" w:type="dxa"/>
            <w:shd w:val="clear" w:color="auto" w:fill="auto"/>
          </w:tcPr>
          <w:p w14:paraId="77F1B761" w14:textId="77777777" w:rsidR="00143BDD" w:rsidRPr="00395E5C" w:rsidRDefault="00143BDD" w:rsidP="00143BDD">
            <w:pPr>
              <w:rPr>
                <w:rFonts w:cs="Times New Roman"/>
                <w:sz w:val="20"/>
                <w:szCs w:val="20"/>
              </w:rPr>
            </w:pPr>
            <w:r w:rsidRPr="00395E5C">
              <w:rPr>
                <w:rFonts w:cs="Times New Roman"/>
                <w:sz w:val="20"/>
                <w:szCs w:val="20"/>
              </w:rPr>
              <w:t>64.01</w:t>
            </w:r>
          </w:p>
        </w:tc>
        <w:tc>
          <w:tcPr>
            <w:tcW w:w="1161" w:type="dxa"/>
            <w:shd w:val="clear" w:color="auto" w:fill="auto"/>
          </w:tcPr>
          <w:p w14:paraId="0F150112" w14:textId="77777777" w:rsidR="00143BDD" w:rsidRPr="00395E5C" w:rsidRDefault="00143BDD" w:rsidP="00143BDD">
            <w:pPr>
              <w:rPr>
                <w:rFonts w:cs="Times New Roman"/>
                <w:sz w:val="20"/>
                <w:szCs w:val="20"/>
              </w:rPr>
            </w:pPr>
            <w:r w:rsidRPr="00395E5C">
              <w:rPr>
                <w:rFonts w:cs="Times New Roman"/>
                <w:sz w:val="20"/>
                <w:szCs w:val="20"/>
              </w:rPr>
              <w:t>104</w:t>
            </w:r>
          </w:p>
        </w:tc>
        <w:tc>
          <w:tcPr>
            <w:tcW w:w="1124" w:type="dxa"/>
            <w:shd w:val="clear" w:color="auto" w:fill="auto"/>
          </w:tcPr>
          <w:p w14:paraId="33D6DAB1" w14:textId="77777777" w:rsidR="00143BDD" w:rsidRPr="00395E5C" w:rsidRDefault="00143BDD" w:rsidP="00143BDD">
            <w:pPr>
              <w:rPr>
                <w:rFonts w:cs="Times New Roman"/>
                <w:sz w:val="20"/>
                <w:szCs w:val="20"/>
              </w:rPr>
            </w:pPr>
            <w:r w:rsidRPr="00395E5C">
              <w:rPr>
                <w:rFonts w:cs="Times New Roman"/>
                <w:sz w:val="20"/>
                <w:szCs w:val="20"/>
              </w:rPr>
              <w:t>85.37</w:t>
            </w:r>
          </w:p>
        </w:tc>
        <w:tc>
          <w:tcPr>
            <w:tcW w:w="1125" w:type="dxa"/>
            <w:shd w:val="clear" w:color="auto" w:fill="auto"/>
          </w:tcPr>
          <w:p w14:paraId="54909942" w14:textId="77777777" w:rsidR="00143BDD" w:rsidRPr="00395E5C" w:rsidRDefault="00143BDD" w:rsidP="00143BDD">
            <w:pPr>
              <w:rPr>
                <w:rFonts w:cs="Times New Roman"/>
                <w:sz w:val="20"/>
                <w:szCs w:val="20"/>
              </w:rPr>
            </w:pPr>
            <w:r w:rsidRPr="00395E5C">
              <w:rPr>
                <w:rFonts w:cs="Times New Roman"/>
                <w:sz w:val="20"/>
                <w:szCs w:val="20"/>
              </w:rPr>
              <w:t>145.5</w:t>
            </w:r>
          </w:p>
        </w:tc>
      </w:tr>
      <w:tr w:rsidR="00143BDD" w:rsidRPr="00A55B4B" w14:paraId="23D06FA3" w14:textId="77777777" w:rsidTr="00395E5C">
        <w:tc>
          <w:tcPr>
            <w:tcW w:w="2605" w:type="dxa"/>
            <w:tcBorders>
              <w:top w:val="single" w:sz="4" w:space="0" w:color="5B9BD5"/>
              <w:bottom w:val="single" w:sz="4" w:space="0" w:color="5B9BD5"/>
              <w:right w:val="nil"/>
            </w:tcBorders>
            <w:shd w:val="clear" w:color="auto" w:fill="FFFFFF"/>
          </w:tcPr>
          <w:p w14:paraId="20392AC1" w14:textId="77777777" w:rsidR="00143BDD" w:rsidRPr="00395E5C" w:rsidRDefault="00143BDD" w:rsidP="00143BDD">
            <w:pPr>
              <w:rPr>
                <w:rFonts w:cs="Times New Roman"/>
                <w:b/>
                <w:bCs/>
                <w:sz w:val="20"/>
                <w:szCs w:val="20"/>
              </w:rPr>
            </w:pPr>
            <w:r w:rsidRPr="00395E5C">
              <w:rPr>
                <w:rFonts w:cs="Times New Roman"/>
                <w:b/>
                <w:bCs/>
                <w:sz w:val="20"/>
                <w:szCs w:val="20"/>
              </w:rPr>
              <w:t>Volatile Organic Compounds</w:t>
            </w:r>
          </w:p>
        </w:tc>
        <w:tc>
          <w:tcPr>
            <w:tcW w:w="1124" w:type="dxa"/>
            <w:tcBorders>
              <w:top w:val="single" w:sz="4" w:space="0" w:color="5B9BD5"/>
              <w:bottom w:val="single" w:sz="4" w:space="0" w:color="5B9BD5"/>
            </w:tcBorders>
            <w:shd w:val="clear" w:color="auto" w:fill="auto"/>
          </w:tcPr>
          <w:p w14:paraId="4C29F991" w14:textId="77777777" w:rsidR="00143BDD" w:rsidRPr="00395E5C" w:rsidRDefault="00143BDD" w:rsidP="00143BDD">
            <w:pPr>
              <w:rPr>
                <w:rFonts w:cs="Times New Roman"/>
                <w:sz w:val="20"/>
                <w:szCs w:val="20"/>
              </w:rPr>
            </w:pPr>
            <w:r w:rsidRPr="00395E5C">
              <w:rPr>
                <w:rFonts w:cs="Times New Roman"/>
                <w:sz w:val="20"/>
                <w:szCs w:val="20"/>
              </w:rPr>
              <w:t>23.69-156.38</w:t>
            </w:r>
          </w:p>
        </w:tc>
        <w:tc>
          <w:tcPr>
            <w:tcW w:w="1124" w:type="dxa"/>
            <w:tcBorders>
              <w:top w:val="single" w:sz="4" w:space="0" w:color="5B9BD5"/>
              <w:bottom w:val="single" w:sz="4" w:space="0" w:color="5B9BD5"/>
            </w:tcBorders>
            <w:shd w:val="clear" w:color="auto" w:fill="auto"/>
          </w:tcPr>
          <w:p w14:paraId="01580626" w14:textId="77777777" w:rsidR="00143BDD" w:rsidRPr="00395E5C" w:rsidRDefault="00143BDD" w:rsidP="00143BDD">
            <w:pPr>
              <w:rPr>
                <w:rFonts w:cs="Times New Roman"/>
                <w:sz w:val="20"/>
                <w:szCs w:val="20"/>
              </w:rPr>
            </w:pPr>
            <w:r w:rsidRPr="00395E5C">
              <w:rPr>
                <w:rFonts w:cs="Times New Roman"/>
                <w:sz w:val="20"/>
                <w:szCs w:val="20"/>
              </w:rPr>
              <w:t>76.99</w:t>
            </w:r>
          </w:p>
        </w:tc>
        <w:tc>
          <w:tcPr>
            <w:tcW w:w="1124" w:type="dxa"/>
            <w:tcBorders>
              <w:top w:val="single" w:sz="4" w:space="0" w:color="5B9BD5"/>
              <w:bottom w:val="single" w:sz="4" w:space="0" w:color="5B9BD5"/>
            </w:tcBorders>
            <w:shd w:val="clear" w:color="auto" w:fill="auto"/>
          </w:tcPr>
          <w:p w14:paraId="28F08472" w14:textId="77777777" w:rsidR="00143BDD" w:rsidRPr="00395E5C" w:rsidRDefault="00143BDD" w:rsidP="00143BDD">
            <w:pPr>
              <w:rPr>
                <w:rFonts w:cs="Times New Roman"/>
                <w:sz w:val="20"/>
                <w:szCs w:val="20"/>
              </w:rPr>
            </w:pPr>
            <w:r w:rsidRPr="00395E5C">
              <w:rPr>
                <w:rFonts w:cs="Times New Roman"/>
                <w:sz w:val="20"/>
                <w:szCs w:val="20"/>
              </w:rPr>
              <w:t>66.38</w:t>
            </w:r>
          </w:p>
        </w:tc>
        <w:tc>
          <w:tcPr>
            <w:tcW w:w="1161" w:type="dxa"/>
            <w:tcBorders>
              <w:top w:val="single" w:sz="4" w:space="0" w:color="5B9BD5"/>
              <w:bottom w:val="single" w:sz="4" w:space="0" w:color="5B9BD5"/>
            </w:tcBorders>
            <w:shd w:val="clear" w:color="auto" w:fill="auto"/>
          </w:tcPr>
          <w:p w14:paraId="2E15DC70" w14:textId="77777777" w:rsidR="00143BDD" w:rsidRPr="00395E5C" w:rsidRDefault="00143BDD" w:rsidP="00143BDD">
            <w:pPr>
              <w:rPr>
                <w:rFonts w:cs="Times New Roman"/>
                <w:sz w:val="20"/>
                <w:szCs w:val="20"/>
              </w:rPr>
            </w:pPr>
            <w:r w:rsidRPr="00395E5C">
              <w:rPr>
                <w:rFonts w:cs="Times New Roman"/>
                <w:sz w:val="20"/>
                <w:szCs w:val="20"/>
              </w:rPr>
              <w:t>4.0</w:t>
            </w:r>
          </w:p>
        </w:tc>
        <w:tc>
          <w:tcPr>
            <w:tcW w:w="1124" w:type="dxa"/>
            <w:tcBorders>
              <w:top w:val="single" w:sz="4" w:space="0" w:color="5B9BD5"/>
              <w:bottom w:val="single" w:sz="4" w:space="0" w:color="5B9BD5"/>
            </w:tcBorders>
            <w:shd w:val="clear" w:color="auto" w:fill="auto"/>
          </w:tcPr>
          <w:p w14:paraId="17B67D8F" w14:textId="77777777" w:rsidR="00143BDD" w:rsidRPr="00395E5C" w:rsidRDefault="00143BDD" w:rsidP="00143BDD">
            <w:pPr>
              <w:rPr>
                <w:rFonts w:cs="Times New Roman"/>
                <w:sz w:val="20"/>
                <w:szCs w:val="20"/>
              </w:rPr>
            </w:pPr>
            <w:r w:rsidRPr="00395E5C">
              <w:rPr>
                <w:rFonts w:cs="Times New Roman"/>
                <w:sz w:val="20"/>
                <w:szCs w:val="20"/>
              </w:rPr>
              <w:t>85.37</w:t>
            </w:r>
          </w:p>
        </w:tc>
        <w:tc>
          <w:tcPr>
            <w:tcW w:w="1125" w:type="dxa"/>
            <w:tcBorders>
              <w:top w:val="single" w:sz="4" w:space="0" w:color="5B9BD5"/>
              <w:bottom w:val="single" w:sz="4" w:space="0" w:color="5B9BD5"/>
            </w:tcBorders>
            <w:shd w:val="clear" w:color="auto" w:fill="auto"/>
          </w:tcPr>
          <w:p w14:paraId="4EFB9002" w14:textId="77777777" w:rsidR="00143BDD" w:rsidRPr="00395E5C" w:rsidRDefault="00143BDD" w:rsidP="00143BDD">
            <w:pPr>
              <w:rPr>
                <w:rFonts w:cs="Times New Roman"/>
                <w:sz w:val="20"/>
                <w:szCs w:val="20"/>
              </w:rPr>
            </w:pPr>
            <w:r w:rsidRPr="00395E5C">
              <w:rPr>
                <w:rFonts w:cs="Times New Roman"/>
                <w:sz w:val="20"/>
                <w:szCs w:val="20"/>
              </w:rPr>
              <w:t>122.32</w:t>
            </w:r>
          </w:p>
        </w:tc>
      </w:tr>
    </w:tbl>
    <w:p w14:paraId="0E57865A" w14:textId="77777777" w:rsidR="00143BDD" w:rsidRPr="00143BDD" w:rsidRDefault="00143BDD" w:rsidP="009A1289">
      <w:pPr>
        <w:rPr>
          <w:rFonts w:cs="Times New Roman"/>
          <w:iCs/>
        </w:rPr>
      </w:pPr>
      <w:r w:rsidRPr="00143BDD">
        <w:rPr>
          <w:rFonts w:cs="Times New Roman"/>
          <w:i/>
        </w:rPr>
        <w:t>Note</w:t>
      </w:r>
      <w:r w:rsidRPr="00143BDD">
        <w:rPr>
          <w:rFonts w:cs="Times New Roman"/>
          <w:iCs/>
        </w:rPr>
        <w:t xml:space="preserve">: *Source for tax rate for Baltic States, Czech Republic and Slovakia from </w:t>
      </w:r>
      <w:proofErr w:type="spellStart"/>
      <w:r w:rsidRPr="00143BDD">
        <w:rPr>
          <w:rFonts w:cs="Times New Roman"/>
          <w:iCs/>
        </w:rPr>
        <w:t>Streimikiene</w:t>
      </w:r>
      <w:proofErr w:type="spellEnd"/>
      <w:r w:rsidRPr="00143BDD">
        <w:rPr>
          <w:rFonts w:cs="Times New Roman"/>
          <w:iCs/>
        </w:rPr>
        <w:t xml:space="preserve"> (2015).</w:t>
      </w:r>
    </w:p>
    <w:p w14:paraId="4EC9DEC5" w14:textId="77777777" w:rsidR="00143BDD" w:rsidRPr="00143BDD" w:rsidRDefault="00143BDD" w:rsidP="00143BDD">
      <w:pPr>
        <w:rPr>
          <w:rFonts w:cs="Times New Roman"/>
          <w:iCs/>
        </w:rPr>
      </w:pPr>
      <w:r w:rsidRPr="00143BDD">
        <w:rPr>
          <w:rFonts w:cs="Times New Roman"/>
          <w:iCs/>
        </w:rPr>
        <w:t>** Exchange rate: 1 UAH = 24.91 Euro</w:t>
      </w:r>
    </w:p>
    <w:p w14:paraId="31740E9F" w14:textId="77777777" w:rsidR="00143BDD" w:rsidRDefault="00143BDD" w:rsidP="0075055E">
      <w:pPr>
        <w:rPr>
          <w:rFonts w:cs="Times New Roman"/>
          <w:color w:val="000000" w:themeColor="text1"/>
        </w:rPr>
      </w:pPr>
    </w:p>
    <w:p w14:paraId="4C44E2E7" w14:textId="77777777" w:rsidR="00ED1955" w:rsidRPr="00C91AC7" w:rsidRDefault="00ED1955" w:rsidP="0075055E">
      <w:pPr>
        <w:rPr>
          <w:rFonts w:cs="Times New Roman"/>
          <w:color w:val="000000" w:themeColor="text1"/>
        </w:rPr>
      </w:pPr>
    </w:p>
    <w:p w14:paraId="4C61C88C" w14:textId="77777777" w:rsidR="000B7923" w:rsidRDefault="000B7923" w:rsidP="00F55709">
      <w:pPr>
        <w:pStyle w:val="ListParagraph"/>
        <w:numPr>
          <w:ilvl w:val="0"/>
          <w:numId w:val="68"/>
        </w:numPr>
        <w:tabs>
          <w:tab w:val="left" w:pos="360"/>
        </w:tabs>
        <w:ind w:left="0" w:firstLine="0"/>
        <w:rPr>
          <w:rFonts w:cs="Times New Roman"/>
        </w:rPr>
      </w:pPr>
      <w:r w:rsidRPr="002B1DFC">
        <w:rPr>
          <w:rFonts w:cs="Times New Roman"/>
        </w:rPr>
        <w:t>The State Tax Administration is responsible for the timely collection of the pollution charges, and the collection rate is approximately 90%. The Budget Code</w:t>
      </w:r>
      <w:r w:rsidR="009A1289">
        <w:rPr>
          <w:rFonts w:cs="Times New Roman"/>
        </w:rPr>
        <w:t xml:space="preserve"> (</w:t>
      </w:r>
      <w:r w:rsidR="009A1289" w:rsidRPr="009A1289">
        <w:rPr>
          <w:rFonts w:cs="Times New Roman"/>
        </w:rPr>
        <w:t>Law of Ukraine of 08.07.2010 No. 2456-VI “Budget Code of Ukraine.”</w:t>
      </w:r>
      <w:r w:rsidR="009A1289">
        <w:rPr>
          <w:rFonts w:cs="Times New Roman"/>
        </w:rPr>
        <w:t>)</w:t>
      </w:r>
      <w:r w:rsidRPr="002B1DFC">
        <w:rPr>
          <w:rFonts w:cs="Times New Roman"/>
        </w:rPr>
        <w:t>, updated in March 2015, establishes the distribution of the collected environmental taxes as follows: 20% of environmental charges is directed to the state budget</w:t>
      </w:r>
      <w:r w:rsidR="006B1428">
        <w:rPr>
          <w:rFonts w:cs="Times New Roman"/>
        </w:rPr>
        <w:t>,</w:t>
      </w:r>
      <w:r w:rsidRPr="002B1DFC">
        <w:rPr>
          <w:rFonts w:cs="Times New Roman"/>
        </w:rPr>
        <w:t xml:space="preserve"> 25% to oblast budgets</w:t>
      </w:r>
      <w:r w:rsidR="006B1428">
        <w:rPr>
          <w:rFonts w:cs="Times New Roman"/>
        </w:rPr>
        <w:t>,</w:t>
      </w:r>
      <w:r w:rsidRPr="002B1DFC">
        <w:rPr>
          <w:rFonts w:cs="Times New Roman"/>
        </w:rPr>
        <w:t xml:space="preserve"> and 55% to local administration budget</w:t>
      </w:r>
      <w:r w:rsidR="006B1428">
        <w:rPr>
          <w:rFonts w:cs="Times New Roman"/>
        </w:rPr>
        <w:t>s.</w:t>
      </w:r>
      <w:r w:rsidRPr="002B1DFC">
        <w:rPr>
          <w:rFonts w:cs="Times New Roman"/>
        </w:rPr>
        <w:t xml:space="preserve"> </w:t>
      </w:r>
      <w:r w:rsidR="00A55B4B" w:rsidRPr="00A55B4B">
        <w:rPr>
          <w:rFonts w:cs="Times New Roman"/>
        </w:rPr>
        <w:t>Overall, the share of environmental taxes in Ukraine’s overall tax revenue forms approximately 1.3%, compared to EU average of approximately 6.3%.</w:t>
      </w:r>
      <w:r w:rsidR="00143BDD">
        <w:rPr>
          <w:rFonts w:cs="Times New Roman"/>
        </w:rPr>
        <w:t xml:space="preserve"> See Figure 6 below.</w:t>
      </w:r>
    </w:p>
    <w:p w14:paraId="5E577415" w14:textId="77777777" w:rsidR="00143BDD" w:rsidRDefault="00143BDD" w:rsidP="005340D4">
      <w:pPr>
        <w:rPr>
          <w:rFonts w:cs="Times New Roman"/>
        </w:rPr>
      </w:pPr>
    </w:p>
    <w:p w14:paraId="5C0D1F92" w14:textId="3A2FA03E" w:rsidR="00143BDD" w:rsidRPr="002B1DFC" w:rsidRDefault="00143BDD" w:rsidP="009E5CFE">
      <w:pPr>
        <w:pStyle w:val="ListParagraph"/>
        <w:numPr>
          <w:ilvl w:val="0"/>
          <w:numId w:val="68"/>
        </w:numPr>
        <w:tabs>
          <w:tab w:val="left" w:pos="360"/>
        </w:tabs>
        <w:ind w:left="0" w:firstLine="0"/>
        <w:rPr>
          <w:rFonts w:cs="Times New Roman"/>
        </w:rPr>
      </w:pPr>
      <w:r>
        <w:rPr>
          <w:rFonts w:cs="Times New Roman"/>
        </w:rPr>
        <w:t>Table 16 below presents information on e</w:t>
      </w:r>
      <w:r w:rsidRPr="002B1DFC">
        <w:rPr>
          <w:rFonts w:cs="Times New Roman"/>
        </w:rPr>
        <w:t>nvironmental payments (taxes and penalties for environmental pollution)</w:t>
      </w:r>
      <w:r>
        <w:rPr>
          <w:rFonts w:cs="Times New Roman"/>
        </w:rPr>
        <w:t>, and table 17 presents percent breakdowns of</w:t>
      </w:r>
      <w:r w:rsidRPr="002B1DFC">
        <w:rPr>
          <w:rFonts w:cs="Times New Roman"/>
        </w:rPr>
        <w:t xml:space="preserve"> current environmental expenditures. The largest amount of payments was received for air emissions, but the largest expenditures were directed </w:t>
      </w:r>
      <w:r>
        <w:rPr>
          <w:rFonts w:cs="Times New Roman"/>
        </w:rPr>
        <w:t>to</w:t>
      </w:r>
      <w:r w:rsidRPr="002B1DFC">
        <w:rPr>
          <w:rFonts w:cs="Times New Roman"/>
        </w:rPr>
        <w:t xml:space="preserve"> reducing </w:t>
      </w:r>
      <w:r>
        <w:rPr>
          <w:rFonts w:cs="Times New Roman"/>
        </w:rPr>
        <w:t xml:space="preserve">the </w:t>
      </w:r>
      <w:r w:rsidRPr="002B1DFC">
        <w:rPr>
          <w:rFonts w:cs="Times New Roman"/>
        </w:rPr>
        <w:t xml:space="preserve">negative impacts </w:t>
      </w:r>
      <w:r>
        <w:rPr>
          <w:rFonts w:cs="Times New Roman"/>
        </w:rPr>
        <w:t>of</w:t>
      </w:r>
      <w:r w:rsidRPr="002B1DFC">
        <w:rPr>
          <w:rFonts w:cs="Times New Roman"/>
        </w:rPr>
        <w:t xml:space="preserve"> pollution </w:t>
      </w:r>
      <w:r>
        <w:rPr>
          <w:rFonts w:cs="Times New Roman"/>
        </w:rPr>
        <w:t>on</w:t>
      </w:r>
      <w:r w:rsidRPr="002B1DFC">
        <w:rPr>
          <w:rFonts w:cs="Times New Roman"/>
        </w:rPr>
        <w:t xml:space="preserve"> water resources. The “polluter pays</w:t>
      </w:r>
      <w:r>
        <w:rPr>
          <w:rFonts w:cs="Times New Roman"/>
        </w:rPr>
        <w:t>” principle</w:t>
      </w:r>
      <w:r w:rsidRPr="002B1DFC">
        <w:rPr>
          <w:rFonts w:cs="Times New Roman"/>
        </w:rPr>
        <w:t xml:space="preserve"> is not fully developed and implemented in Ukraine yet, and this is </w:t>
      </w:r>
      <w:r>
        <w:rPr>
          <w:rFonts w:cs="Times New Roman"/>
        </w:rPr>
        <w:t>an</w:t>
      </w:r>
      <w:r w:rsidRPr="002B1DFC">
        <w:rPr>
          <w:rFonts w:cs="Times New Roman"/>
        </w:rPr>
        <w:t xml:space="preserve"> area for further work. The public assessment report (2013) underlined that a key lack of environmental policy is the imbalance between costs gathered </w:t>
      </w:r>
      <w:r w:rsidR="009E5CFE">
        <w:rPr>
          <w:rFonts w:cs="Times New Roman"/>
        </w:rPr>
        <w:t>due to</w:t>
      </w:r>
      <w:r w:rsidR="009E5CFE" w:rsidRPr="002B1DFC">
        <w:rPr>
          <w:rFonts w:cs="Times New Roman"/>
        </w:rPr>
        <w:t xml:space="preserve"> </w:t>
      </w:r>
      <w:r w:rsidRPr="002B1DFC">
        <w:rPr>
          <w:rFonts w:cs="Times New Roman"/>
        </w:rPr>
        <w:t>pollution</w:t>
      </w:r>
      <w:r w:rsidR="009E5CFE">
        <w:rPr>
          <w:rFonts w:cs="Times New Roman"/>
        </w:rPr>
        <w:t>,</w:t>
      </w:r>
      <w:r w:rsidRPr="002B1DFC">
        <w:rPr>
          <w:rFonts w:cs="Times New Roman"/>
        </w:rPr>
        <w:t xml:space="preserve"> and costs, which are necessary to eliminate the negative impacts from pollution</w:t>
      </w:r>
      <w:r w:rsidR="009A1289">
        <w:rPr>
          <w:rFonts w:cs="Times New Roman"/>
        </w:rPr>
        <w:t xml:space="preserve"> (</w:t>
      </w:r>
      <w:proofErr w:type="spellStart"/>
      <w:r w:rsidR="009A1289">
        <w:rPr>
          <w:rFonts w:cs="Times New Roman"/>
        </w:rPr>
        <w:t>Ageeva</w:t>
      </w:r>
      <w:proofErr w:type="spellEnd"/>
      <w:r w:rsidR="009A1289">
        <w:rPr>
          <w:rFonts w:cs="Times New Roman"/>
        </w:rPr>
        <w:t xml:space="preserve"> </w:t>
      </w:r>
      <w:r w:rsidR="009A1289" w:rsidRPr="009A1289">
        <w:rPr>
          <w:rFonts w:cs="Times New Roman"/>
          <w:i/>
          <w:iCs/>
        </w:rPr>
        <w:t>et al</w:t>
      </w:r>
      <w:r w:rsidR="009A1289">
        <w:rPr>
          <w:rFonts w:cs="Times New Roman"/>
          <w:i/>
          <w:iCs/>
        </w:rPr>
        <w:t>.</w:t>
      </w:r>
      <w:r w:rsidR="009A1289">
        <w:rPr>
          <w:rFonts w:cs="Times New Roman"/>
        </w:rPr>
        <w:t xml:space="preserve"> 2013)</w:t>
      </w:r>
      <w:r>
        <w:rPr>
          <w:rFonts w:cs="Times New Roman"/>
        </w:rPr>
        <w:t>.</w:t>
      </w:r>
      <w:r w:rsidRPr="002B1DFC">
        <w:rPr>
          <w:rFonts w:cs="Times New Roman"/>
        </w:rPr>
        <w:t xml:space="preserve"> </w:t>
      </w:r>
    </w:p>
    <w:p w14:paraId="7E810AFD" w14:textId="77777777" w:rsidR="00143BDD" w:rsidRDefault="00143BDD" w:rsidP="005340D4">
      <w:pPr>
        <w:rPr>
          <w:rFonts w:cs="Times New Roman"/>
        </w:rPr>
      </w:pPr>
    </w:p>
    <w:p w14:paraId="60E169C9" w14:textId="77777777" w:rsidR="00C91AC7" w:rsidRDefault="00C91AC7">
      <w:pPr>
        <w:jc w:val="left"/>
        <w:rPr>
          <w:rFonts w:cs="Times New Roman"/>
          <w:b/>
          <w:noProof/>
          <w:szCs w:val="20"/>
          <w:lang w:val="en-GB"/>
        </w:rPr>
      </w:pPr>
      <w:r>
        <w:br w:type="page"/>
      </w:r>
    </w:p>
    <w:p w14:paraId="378F7BC7" w14:textId="6FBDD6AC" w:rsidR="005060F5" w:rsidRPr="00ED1955" w:rsidRDefault="00143BDD" w:rsidP="005060F5">
      <w:pPr>
        <w:pStyle w:val="Caption"/>
        <w:rPr>
          <w:sz w:val="2"/>
          <w:szCs w:val="2"/>
        </w:rPr>
      </w:pPr>
      <w:bookmarkStart w:id="130" w:name="_Toc440274016"/>
      <w:r w:rsidRPr="005060F5">
        <w:lastRenderedPageBreak/>
        <w:t xml:space="preserve">Figure </w:t>
      </w:r>
      <w:r w:rsidRPr="005060F5">
        <w:fldChar w:fldCharType="begin"/>
      </w:r>
      <w:r w:rsidRPr="005060F5">
        <w:instrText xml:space="preserve"> SEQ Figure \* ARABIC </w:instrText>
      </w:r>
      <w:r w:rsidRPr="005060F5">
        <w:fldChar w:fldCharType="separate"/>
      </w:r>
      <w:r w:rsidR="00356D5F">
        <w:t>6</w:t>
      </w:r>
      <w:r w:rsidRPr="005060F5">
        <w:fldChar w:fldCharType="end"/>
      </w:r>
      <w:r w:rsidRPr="005060F5">
        <w:t>. Share of Environmental Taxes in the EU Member States (2013) and Ukraine (2014) of Total Taxes and Social Contributions</w:t>
      </w:r>
      <w:bookmarkEnd w:id="130"/>
      <w:r w:rsidRPr="005060F5">
        <w:cr/>
      </w:r>
    </w:p>
    <w:p w14:paraId="168C627A" w14:textId="77777777" w:rsidR="00143BDD" w:rsidRPr="00EE4F77" w:rsidRDefault="00BE4288" w:rsidP="005060F5">
      <w:pPr>
        <w:rPr>
          <w:highlight w:val="yellow"/>
        </w:rPr>
      </w:pPr>
      <w:r w:rsidRPr="00713EA7">
        <w:rPr>
          <w:noProof/>
        </w:rPr>
        <w:drawing>
          <wp:inline distT="0" distB="0" distL="0" distR="0" wp14:anchorId="63D2FC84" wp14:editId="302E513C">
            <wp:extent cx="5800725" cy="2514600"/>
            <wp:effectExtent l="0" t="0" r="9525" b="0"/>
            <wp:docPr id="12" name="Chart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2"/>
                    <pic:cNvPicPr>
                      <a:picLocks noChangeArrowheads="1"/>
                    </pic:cNvPicPr>
                  </pic:nvPicPr>
                  <pic:blipFill>
                    <a:blip r:embed="rId20">
                      <a:extLst>
                        <a:ext uri="{28A0092B-C50C-407E-A947-70E740481C1C}">
                          <a14:useLocalDpi xmlns:a14="http://schemas.microsoft.com/office/drawing/2010/main" val="0"/>
                        </a:ext>
                      </a:extLst>
                    </a:blip>
                    <a:srcRect l="801" t="2106" r="1602" b="1961"/>
                    <a:stretch>
                      <a:fillRect/>
                    </a:stretch>
                  </pic:blipFill>
                  <pic:spPr bwMode="auto">
                    <a:xfrm>
                      <a:off x="0" y="0"/>
                      <a:ext cx="5800725" cy="2514600"/>
                    </a:xfrm>
                    <a:prstGeom prst="rect">
                      <a:avLst/>
                    </a:prstGeom>
                    <a:noFill/>
                    <a:ln>
                      <a:noFill/>
                    </a:ln>
                  </pic:spPr>
                </pic:pic>
              </a:graphicData>
            </a:graphic>
          </wp:inline>
        </w:drawing>
      </w:r>
    </w:p>
    <w:p w14:paraId="22AAAC5A" w14:textId="77777777" w:rsidR="00143BDD" w:rsidRPr="00143BDD" w:rsidRDefault="00143BDD" w:rsidP="00143BDD">
      <w:pPr>
        <w:spacing w:after="200" w:line="276" w:lineRule="auto"/>
        <w:jc w:val="left"/>
        <w:rPr>
          <w:rFonts w:cs="Times New Roman"/>
          <w:sz w:val="20"/>
          <w:szCs w:val="20"/>
        </w:rPr>
      </w:pPr>
      <w:r w:rsidRPr="00143BDD">
        <w:rPr>
          <w:rFonts w:cs="Times New Roman"/>
          <w:i/>
          <w:iCs/>
          <w:sz w:val="20"/>
          <w:szCs w:val="20"/>
        </w:rPr>
        <w:t xml:space="preserve">Source: </w:t>
      </w:r>
      <w:r w:rsidRPr="00143BDD">
        <w:rPr>
          <w:rFonts w:cs="Times New Roman"/>
          <w:sz w:val="20"/>
          <w:szCs w:val="20"/>
        </w:rPr>
        <w:t xml:space="preserve">For EU countries: </w:t>
      </w:r>
      <w:proofErr w:type="spellStart"/>
      <w:r w:rsidRPr="00143BDD">
        <w:rPr>
          <w:rFonts w:cs="Times New Roman"/>
          <w:sz w:val="20"/>
          <w:szCs w:val="20"/>
        </w:rPr>
        <w:t>EuroStat</w:t>
      </w:r>
      <w:proofErr w:type="spellEnd"/>
      <w:r w:rsidRPr="00143BDD">
        <w:rPr>
          <w:rFonts w:cs="Times New Roman"/>
          <w:sz w:val="20"/>
          <w:szCs w:val="20"/>
        </w:rPr>
        <w:t>, for Ukraine: Ministry of Finance Bulletin. Accessed: December 2015.</w:t>
      </w:r>
    </w:p>
    <w:p w14:paraId="08A2BDDC" w14:textId="77777777" w:rsidR="000B7923" w:rsidRPr="002B1DFC" w:rsidRDefault="000B7923" w:rsidP="00143BDD">
      <w:pPr>
        <w:pStyle w:val="Caption"/>
        <w:rPr>
          <w:bCs/>
        </w:rPr>
      </w:pPr>
      <w:bookmarkStart w:id="131" w:name="_Toc440274008"/>
      <w:r w:rsidRPr="002B1DFC">
        <w:t xml:space="preserve">Table </w:t>
      </w:r>
      <w:r w:rsidRPr="002B1DFC">
        <w:fldChar w:fldCharType="begin"/>
      </w:r>
      <w:r w:rsidRPr="002B1DFC">
        <w:instrText xml:space="preserve"> SEQ Table \* ARABIC </w:instrText>
      </w:r>
      <w:r w:rsidRPr="002B1DFC">
        <w:fldChar w:fldCharType="separate"/>
      </w:r>
      <w:r w:rsidR="00356D5F">
        <w:t>16</w:t>
      </w:r>
      <w:r w:rsidRPr="002B1DFC">
        <w:fldChar w:fldCharType="end"/>
      </w:r>
      <w:r w:rsidRPr="002B1DFC">
        <w:t xml:space="preserve">. </w:t>
      </w:r>
      <w:r w:rsidRPr="002B1DFC">
        <w:rPr>
          <w:bCs/>
        </w:rPr>
        <w:t xml:space="preserve">Summary </w:t>
      </w:r>
      <w:r w:rsidR="00DC2622">
        <w:rPr>
          <w:bCs/>
        </w:rPr>
        <w:t xml:space="preserve">of </w:t>
      </w:r>
      <w:r w:rsidRPr="002B1DFC">
        <w:rPr>
          <w:bCs/>
        </w:rPr>
        <w:t>Environmental Charges</w:t>
      </w:r>
      <w:r w:rsidR="004E6B34">
        <w:rPr>
          <w:bCs/>
        </w:rPr>
        <w:t xml:space="preserve"> Collected</w:t>
      </w:r>
      <w:bookmarkEnd w:id="131"/>
    </w:p>
    <w:tbl>
      <w:tblPr>
        <w:tblW w:w="0" w:type="auto"/>
        <w:tblInd w:w="108" w:type="dxa"/>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5842"/>
        <w:gridCol w:w="850"/>
        <w:gridCol w:w="850"/>
        <w:gridCol w:w="850"/>
        <w:gridCol w:w="850"/>
      </w:tblGrid>
      <w:tr w:rsidR="000B7923" w:rsidRPr="002B1DFC" w14:paraId="2996BD25" w14:textId="77777777">
        <w:tc>
          <w:tcPr>
            <w:tcW w:w="6072" w:type="dxa"/>
            <w:tcBorders>
              <w:top w:val="single" w:sz="4" w:space="0" w:color="4F81BD"/>
              <w:left w:val="single" w:sz="4" w:space="0" w:color="4F81BD"/>
              <w:bottom w:val="nil"/>
              <w:right w:val="nil"/>
            </w:tcBorders>
            <w:shd w:val="clear" w:color="auto" w:fill="4F81BD"/>
            <w:noWrap/>
          </w:tcPr>
          <w:p w14:paraId="665A4722" w14:textId="77777777" w:rsidR="000B7923" w:rsidRPr="002B1DFC" w:rsidRDefault="000B7923" w:rsidP="00F441C6">
            <w:pPr>
              <w:jc w:val="left"/>
              <w:rPr>
                <w:rFonts w:eastAsia="Times New Roman" w:cs="Times New Roman"/>
                <w:b/>
                <w:bCs/>
                <w:color w:val="FFFFFF"/>
              </w:rPr>
            </w:pPr>
            <w:r w:rsidRPr="002B1DFC">
              <w:rPr>
                <w:rFonts w:eastAsia="Times New Roman" w:cs="Times New Roman"/>
                <w:b/>
                <w:bCs/>
                <w:color w:val="FFFFFF"/>
              </w:rPr>
              <w:t>Category (Million UAH)</w:t>
            </w:r>
          </w:p>
        </w:tc>
        <w:tc>
          <w:tcPr>
            <w:tcW w:w="876" w:type="dxa"/>
            <w:tcBorders>
              <w:top w:val="single" w:sz="4" w:space="0" w:color="4F81BD"/>
            </w:tcBorders>
            <w:shd w:val="clear" w:color="auto" w:fill="4F81BD"/>
            <w:noWrap/>
          </w:tcPr>
          <w:p w14:paraId="3067D59E" w14:textId="77777777" w:rsidR="000B7923" w:rsidRPr="002B1DFC" w:rsidRDefault="000B7923" w:rsidP="00F441C6">
            <w:pPr>
              <w:jc w:val="left"/>
              <w:rPr>
                <w:rFonts w:eastAsia="Times New Roman" w:cs="Times New Roman"/>
                <w:b/>
                <w:bCs/>
                <w:color w:val="FFFFFF"/>
              </w:rPr>
            </w:pPr>
            <w:r w:rsidRPr="002B1DFC">
              <w:rPr>
                <w:rFonts w:eastAsia="Times New Roman" w:cs="Times New Roman"/>
                <w:b/>
                <w:bCs/>
                <w:color w:val="FFFFFF"/>
              </w:rPr>
              <w:t>2010</w:t>
            </w:r>
          </w:p>
        </w:tc>
        <w:tc>
          <w:tcPr>
            <w:tcW w:w="876" w:type="dxa"/>
            <w:tcBorders>
              <w:top w:val="single" w:sz="4" w:space="0" w:color="4F81BD"/>
            </w:tcBorders>
            <w:shd w:val="clear" w:color="auto" w:fill="4F81BD"/>
            <w:noWrap/>
          </w:tcPr>
          <w:p w14:paraId="1A7AE851" w14:textId="77777777" w:rsidR="000B7923" w:rsidRPr="002B1DFC" w:rsidRDefault="000B7923" w:rsidP="00F441C6">
            <w:pPr>
              <w:jc w:val="left"/>
              <w:rPr>
                <w:rFonts w:eastAsia="Times New Roman" w:cs="Times New Roman"/>
                <w:b/>
                <w:bCs/>
                <w:color w:val="FFFFFF"/>
              </w:rPr>
            </w:pPr>
            <w:r w:rsidRPr="002B1DFC">
              <w:rPr>
                <w:rFonts w:eastAsia="Times New Roman" w:cs="Times New Roman"/>
                <w:b/>
                <w:bCs/>
                <w:color w:val="FFFFFF"/>
              </w:rPr>
              <w:t>2011</w:t>
            </w:r>
          </w:p>
        </w:tc>
        <w:tc>
          <w:tcPr>
            <w:tcW w:w="876" w:type="dxa"/>
            <w:tcBorders>
              <w:top w:val="single" w:sz="4" w:space="0" w:color="4F81BD"/>
            </w:tcBorders>
            <w:shd w:val="clear" w:color="auto" w:fill="4F81BD"/>
            <w:noWrap/>
          </w:tcPr>
          <w:p w14:paraId="782F1DB3" w14:textId="77777777" w:rsidR="000B7923" w:rsidRPr="002B1DFC" w:rsidRDefault="000B7923" w:rsidP="00F441C6">
            <w:pPr>
              <w:jc w:val="left"/>
              <w:rPr>
                <w:rFonts w:eastAsia="Times New Roman" w:cs="Times New Roman"/>
                <w:b/>
                <w:bCs/>
                <w:color w:val="FFFFFF"/>
              </w:rPr>
            </w:pPr>
            <w:r w:rsidRPr="002B1DFC">
              <w:rPr>
                <w:rFonts w:eastAsia="Times New Roman" w:cs="Times New Roman"/>
                <w:b/>
                <w:bCs/>
                <w:color w:val="FFFFFF"/>
              </w:rPr>
              <w:t>2012</w:t>
            </w:r>
          </w:p>
        </w:tc>
        <w:tc>
          <w:tcPr>
            <w:tcW w:w="876" w:type="dxa"/>
            <w:tcBorders>
              <w:top w:val="single" w:sz="4" w:space="0" w:color="4F81BD"/>
              <w:right w:val="single" w:sz="4" w:space="0" w:color="4F81BD"/>
            </w:tcBorders>
            <w:shd w:val="clear" w:color="auto" w:fill="4F81BD"/>
            <w:noWrap/>
          </w:tcPr>
          <w:p w14:paraId="429357A9" w14:textId="77777777" w:rsidR="000B7923" w:rsidRPr="002B1DFC" w:rsidRDefault="000B7923" w:rsidP="00F441C6">
            <w:pPr>
              <w:jc w:val="left"/>
              <w:rPr>
                <w:rFonts w:eastAsia="Times New Roman" w:cs="Times New Roman"/>
                <w:b/>
                <w:bCs/>
                <w:color w:val="FFFFFF"/>
              </w:rPr>
            </w:pPr>
            <w:r w:rsidRPr="002B1DFC">
              <w:rPr>
                <w:rFonts w:eastAsia="Times New Roman" w:cs="Times New Roman"/>
                <w:b/>
                <w:bCs/>
                <w:color w:val="FFFFFF"/>
              </w:rPr>
              <w:t>2013</w:t>
            </w:r>
          </w:p>
        </w:tc>
      </w:tr>
      <w:tr w:rsidR="000B7923" w:rsidRPr="002B1DFC" w14:paraId="6D6A3F3E" w14:textId="77777777">
        <w:tc>
          <w:tcPr>
            <w:tcW w:w="6072" w:type="dxa"/>
            <w:tcBorders>
              <w:top w:val="single" w:sz="4" w:space="0" w:color="4F81BD"/>
              <w:left w:val="single" w:sz="4" w:space="0" w:color="4F81BD"/>
              <w:bottom w:val="single" w:sz="4" w:space="0" w:color="4F81BD"/>
              <w:right w:val="nil"/>
            </w:tcBorders>
            <w:shd w:val="clear" w:color="auto" w:fill="FFFFFF"/>
          </w:tcPr>
          <w:p w14:paraId="16E30A9D" w14:textId="77777777" w:rsidR="000B7923" w:rsidRPr="002B1DFC" w:rsidRDefault="000B7923" w:rsidP="008870E0">
            <w:pPr>
              <w:ind w:right="219"/>
              <w:jc w:val="left"/>
              <w:rPr>
                <w:rFonts w:eastAsia="Times New Roman" w:cs="Times New Roman"/>
                <w:b/>
                <w:bCs/>
              </w:rPr>
            </w:pPr>
            <w:r w:rsidRPr="002B1DFC">
              <w:rPr>
                <w:rFonts w:eastAsia="Times New Roman" w:cs="Times New Roman"/>
                <w:b/>
                <w:bCs/>
              </w:rPr>
              <w:t xml:space="preserve">Total Environmental Tax </w:t>
            </w:r>
          </w:p>
        </w:tc>
        <w:tc>
          <w:tcPr>
            <w:tcW w:w="876" w:type="dxa"/>
            <w:tcBorders>
              <w:top w:val="single" w:sz="4" w:space="0" w:color="4F81BD"/>
              <w:bottom w:val="single" w:sz="4" w:space="0" w:color="4F81BD"/>
            </w:tcBorders>
          </w:tcPr>
          <w:p w14:paraId="1F1AD82B"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w:t>
            </w:r>
            <w:r w:rsidRPr="008870E0">
              <w:rPr>
                <w:rFonts w:eastAsia="Times New Roman" w:cs="Times New Roman"/>
                <w:sz w:val="21"/>
                <w:szCs w:val="21"/>
              </w:rPr>
              <w:t>,</w:t>
            </w:r>
            <w:r w:rsidRPr="008870E0">
              <w:rPr>
                <w:rFonts w:eastAsia="Times New Roman" w:cs="Times New Roman"/>
                <w:sz w:val="21"/>
                <w:szCs w:val="21"/>
                <w:lang w:val="uk-UA"/>
              </w:rPr>
              <w:t>361.2</w:t>
            </w:r>
          </w:p>
        </w:tc>
        <w:tc>
          <w:tcPr>
            <w:tcW w:w="876" w:type="dxa"/>
            <w:tcBorders>
              <w:top w:val="single" w:sz="4" w:space="0" w:color="4F81BD"/>
              <w:bottom w:val="single" w:sz="4" w:space="0" w:color="4F81BD"/>
            </w:tcBorders>
          </w:tcPr>
          <w:p w14:paraId="63E3A6C3"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w:t>
            </w:r>
            <w:r w:rsidRPr="008870E0">
              <w:rPr>
                <w:rFonts w:eastAsia="Times New Roman" w:cs="Times New Roman"/>
                <w:sz w:val="21"/>
                <w:szCs w:val="21"/>
              </w:rPr>
              <w:t>,</w:t>
            </w:r>
            <w:r w:rsidRPr="008870E0">
              <w:rPr>
                <w:rFonts w:eastAsia="Times New Roman" w:cs="Times New Roman"/>
                <w:sz w:val="21"/>
                <w:szCs w:val="21"/>
                <w:lang w:val="uk-UA"/>
              </w:rPr>
              <w:t>990</w:t>
            </w:r>
          </w:p>
        </w:tc>
        <w:tc>
          <w:tcPr>
            <w:tcW w:w="876" w:type="dxa"/>
            <w:tcBorders>
              <w:top w:val="single" w:sz="4" w:space="0" w:color="4F81BD"/>
              <w:bottom w:val="single" w:sz="4" w:space="0" w:color="4F81BD"/>
            </w:tcBorders>
          </w:tcPr>
          <w:p w14:paraId="2F816912"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2</w:t>
            </w:r>
            <w:r w:rsidRPr="008870E0">
              <w:rPr>
                <w:rFonts w:eastAsia="Times New Roman" w:cs="Times New Roman"/>
                <w:sz w:val="21"/>
                <w:szCs w:val="21"/>
              </w:rPr>
              <w:t>,</w:t>
            </w:r>
            <w:r w:rsidRPr="008870E0">
              <w:rPr>
                <w:rFonts w:eastAsia="Times New Roman" w:cs="Times New Roman"/>
                <w:sz w:val="21"/>
                <w:szCs w:val="21"/>
                <w:lang w:val="uk-UA"/>
              </w:rPr>
              <w:t>028.6</w:t>
            </w:r>
          </w:p>
        </w:tc>
        <w:tc>
          <w:tcPr>
            <w:tcW w:w="876" w:type="dxa"/>
            <w:tcBorders>
              <w:top w:val="single" w:sz="4" w:space="0" w:color="4F81BD"/>
              <w:bottom w:val="single" w:sz="4" w:space="0" w:color="4F81BD"/>
              <w:right w:val="single" w:sz="4" w:space="0" w:color="4F81BD"/>
            </w:tcBorders>
          </w:tcPr>
          <w:p w14:paraId="12A8B667"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3</w:t>
            </w:r>
            <w:r w:rsidRPr="008870E0">
              <w:rPr>
                <w:rFonts w:eastAsia="Times New Roman" w:cs="Times New Roman"/>
                <w:sz w:val="21"/>
                <w:szCs w:val="21"/>
              </w:rPr>
              <w:t>,</w:t>
            </w:r>
            <w:r w:rsidRPr="008870E0">
              <w:rPr>
                <w:rFonts w:eastAsia="Times New Roman" w:cs="Times New Roman"/>
                <w:sz w:val="21"/>
                <w:szCs w:val="21"/>
                <w:lang w:val="uk-UA"/>
              </w:rPr>
              <w:t>050.6</w:t>
            </w:r>
          </w:p>
        </w:tc>
      </w:tr>
      <w:tr w:rsidR="000B7923" w:rsidRPr="002B1DFC" w14:paraId="4F20CB15" w14:textId="77777777">
        <w:tc>
          <w:tcPr>
            <w:tcW w:w="6072" w:type="dxa"/>
            <w:tcBorders>
              <w:left w:val="single" w:sz="4" w:space="0" w:color="4F81BD"/>
              <w:right w:val="nil"/>
            </w:tcBorders>
            <w:shd w:val="clear" w:color="auto" w:fill="FFFFFF"/>
          </w:tcPr>
          <w:p w14:paraId="200925B6" w14:textId="77777777" w:rsidR="000B7923" w:rsidRPr="002B1DFC" w:rsidRDefault="000B7923" w:rsidP="008870E0">
            <w:pPr>
              <w:ind w:right="219"/>
              <w:jc w:val="left"/>
              <w:rPr>
                <w:rFonts w:eastAsia="Times New Roman" w:cs="Times New Roman"/>
                <w:b/>
                <w:bCs/>
              </w:rPr>
            </w:pPr>
            <w:r w:rsidRPr="002B1DFC">
              <w:rPr>
                <w:rFonts w:eastAsia="Times New Roman" w:cs="Times New Roman"/>
              </w:rPr>
              <w:t>Air emission pollutants</w:t>
            </w:r>
            <w:r w:rsidRPr="002B1DFC">
              <w:rPr>
                <w:rFonts w:eastAsia="Times New Roman" w:cs="Times New Roman"/>
                <w:lang w:val="uk-UA"/>
              </w:rPr>
              <w:t xml:space="preserve">  </w:t>
            </w:r>
          </w:p>
        </w:tc>
        <w:tc>
          <w:tcPr>
            <w:tcW w:w="876" w:type="dxa"/>
          </w:tcPr>
          <w:p w14:paraId="19F87815"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7</w:t>
            </w:r>
            <w:r w:rsidRPr="008870E0">
              <w:rPr>
                <w:rFonts w:eastAsia="Times New Roman" w:cs="Times New Roman"/>
                <w:sz w:val="21"/>
                <w:szCs w:val="21"/>
              </w:rPr>
              <w:t>,</w:t>
            </w:r>
            <w:r w:rsidRPr="008870E0">
              <w:rPr>
                <w:rFonts w:eastAsia="Times New Roman" w:cs="Times New Roman"/>
                <w:sz w:val="21"/>
                <w:szCs w:val="21"/>
                <w:lang w:val="uk-UA"/>
              </w:rPr>
              <w:t>95.9</w:t>
            </w:r>
          </w:p>
        </w:tc>
        <w:tc>
          <w:tcPr>
            <w:tcW w:w="876" w:type="dxa"/>
          </w:tcPr>
          <w:p w14:paraId="6C23839C"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w:t>
            </w:r>
            <w:r w:rsidRPr="008870E0">
              <w:rPr>
                <w:rFonts w:eastAsia="Times New Roman" w:cs="Times New Roman"/>
                <w:sz w:val="21"/>
                <w:szCs w:val="21"/>
              </w:rPr>
              <w:t>,</w:t>
            </w:r>
            <w:r w:rsidRPr="008870E0">
              <w:rPr>
                <w:rFonts w:eastAsia="Times New Roman" w:cs="Times New Roman"/>
                <w:sz w:val="21"/>
                <w:szCs w:val="21"/>
                <w:lang w:val="uk-UA"/>
              </w:rPr>
              <w:t>438.1</w:t>
            </w:r>
          </w:p>
        </w:tc>
        <w:tc>
          <w:tcPr>
            <w:tcW w:w="876" w:type="dxa"/>
          </w:tcPr>
          <w:p w14:paraId="297CEA8A"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w:t>
            </w:r>
            <w:r w:rsidRPr="008870E0">
              <w:rPr>
                <w:rFonts w:eastAsia="Times New Roman" w:cs="Times New Roman"/>
                <w:sz w:val="21"/>
                <w:szCs w:val="21"/>
              </w:rPr>
              <w:t>,</w:t>
            </w:r>
            <w:r w:rsidRPr="008870E0">
              <w:rPr>
                <w:rFonts w:eastAsia="Times New Roman" w:cs="Times New Roman"/>
                <w:sz w:val="21"/>
                <w:szCs w:val="21"/>
                <w:lang w:val="uk-UA"/>
              </w:rPr>
              <w:t>386.8</w:t>
            </w:r>
          </w:p>
        </w:tc>
        <w:tc>
          <w:tcPr>
            <w:tcW w:w="876" w:type="dxa"/>
            <w:tcBorders>
              <w:right w:val="single" w:sz="4" w:space="0" w:color="4F81BD"/>
            </w:tcBorders>
          </w:tcPr>
          <w:p w14:paraId="383E7524"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2</w:t>
            </w:r>
            <w:r w:rsidRPr="008870E0">
              <w:rPr>
                <w:rFonts w:eastAsia="Times New Roman" w:cs="Times New Roman"/>
                <w:sz w:val="21"/>
                <w:szCs w:val="21"/>
              </w:rPr>
              <w:t>,</w:t>
            </w:r>
            <w:r w:rsidRPr="008870E0">
              <w:rPr>
                <w:rFonts w:eastAsia="Times New Roman" w:cs="Times New Roman"/>
                <w:sz w:val="21"/>
                <w:szCs w:val="21"/>
                <w:lang w:val="uk-UA"/>
              </w:rPr>
              <w:t>159.7</w:t>
            </w:r>
          </w:p>
        </w:tc>
      </w:tr>
      <w:tr w:rsidR="000B7923" w:rsidRPr="002B1DFC" w14:paraId="1E1F8D36" w14:textId="77777777">
        <w:tc>
          <w:tcPr>
            <w:tcW w:w="6072" w:type="dxa"/>
            <w:tcBorders>
              <w:top w:val="single" w:sz="4" w:space="0" w:color="4F81BD"/>
              <w:left w:val="single" w:sz="4" w:space="0" w:color="4F81BD"/>
              <w:bottom w:val="single" w:sz="4" w:space="0" w:color="4F81BD"/>
              <w:right w:val="nil"/>
            </w:tcBorders>
            <w:shd w:val="clear" w:color="auto" w:fill="FFFFFF"/>
          </w:tcPr>
          <w:p w14:paraId="381BB8C6" w14:textId="77777777" w:rsidR="000B7923" w:rsidRPr="002B1DFC" w:rsidRDefault="000B7923" w:rsidP="008870E0">
            <w:pPr>
              <w:ind w:left="720" w:right="219"/>
              <w:jc w:val="left"/>
              <w:rPr>
                <w:rFonts w:eastAsia="Times New Roman" w:cs="Times New Roman"/>
                <w:b/>
                <w:bCs/>
              </w:rPr>
            </w:pPr>
            <w:r w:rsidRPr="002B1DFC">
              <w:rPr>
                <w:rFonts w:eastAsia="Times New Roman" w:cs="Times New Roman"/>
              </w:rPr>
              <w:t>Stationary sources</w:t>
            </w:r>
          </w:p>
        </w:tc>
        <w:tc>
          <w:tcPr>
            <w:tcW w:w="876" w:type="dxa"/>
            <w:tcBorders>
              <w:top w:val="single" w:sz="4" w:space="0" w:color="4F81BD"/>
              <w:bottom w:val="single" w:sz="4" w:space="0" w:color="4F81BD"/>
            </w:tcBorders>
          </w:tcPr>
          <w:p w14:paraId="1A8C5D19"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716.8</w:t>
            </w:r>
          </w:p>
        </w:tc>
        <w:tc>
          <w:tcPr>
            <w:tcW w:w="876" w:type="dxa"/>
            <w:tcBorders>
              <w:top w:val="single" w:sz="4" w:space="0" w:color="4F81BD"/>
              <w:bottom w:val="single" w:sz="4" w:space="0" w:color="4F81BD"/>
            </w:tcBorders>
          </w:tcPr>
          <w:p w14:paraId="15DC4168"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w:t>
            </w:r>
            <w:r w:rsidRPr="008870E0">
              <w:rPr>
                <w:rFonts w:eastAsia="Times New Roman" w:cs="Times New Roman"/>
                <w:sz w:val="21"/>
                <w:szCs w:val="21"/>
              </w:rPr>
              <w:t>,</w:t>
            </w:r>
            <w:r w:rsidRPr="008870E0">
              <w:rPr>
                <w:rFonts w:eastAsia="Times New Roman" w:cs="Times New Roman"/>
                <w:sz w:val="21"/>
                <w:szCs w:val="21"/>
                <w:lang w:val="uk-UA"/>
              </w:rPr>
              <w:t>256.4</w:t>
            </w:r>
          </w:p>
        </w:tc>
        <w:tc>
          <w:tcPr>
            <w:tcW w:w="876" w:type="dxa"/>
            <w:tcBorders>
              <w:top w:val="single" w:sz="4" w:space="0" w:color="4F81BD"/>
              <w:bottom w:val="single" w:sz="4" w:space="0" w:color="4F81BD"/>
            </w:tcBorders>
          </w:tcPr>
          <w:p w14:paraId="3DC5E489"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w:t>
            </w:r>
            <w:r w:rsidRPr="008870E0">
              <w:rPr>
                <w:rFonts w:eastAsia="Times New Roman" w:cs="Times New Roman"/>
                <w:sz w:val="21"/>
                <w:szCs w:val="21"/>
              </w:rPr>
              <w:t>,</w:t>
            </w:r>
            <w:r w:rsidRPr="008870E0">
              <w:rPr>
                <w:rFonts w:eastAsia="Times New Roman" w:cs="Times New Roman"/>
                <w:sz w:val="21"/>
                <w:szCs w:val="21"/>
                <w:lang w:val="uk-UA"/>
              </w:rPr>
              <w:t>271.9</w:t>
            </w:r>
          </w:p>
        </w:tc>
        <w:tc>
          <w:tcPr>
            <w:tcW w:w="876" w:type="dxa"/>
            <w:tcBorders>
              <w:top w:val="single" w:sz="4" w:space="0" w:color="4F81BD"/>
              <w:bottom w:val="single" w:sz="4" w:space="0" w:color="4F81BD"/>
              <w:right w:val="single" w:sz="4" w:space="0" w:color="4F81BD"/>
            </w:tcBorders>
          </w:tcPr>
          <w:p w14:paraId="6BDD269F"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2</w:t>
            </w:r>
            <w:r w:rsidRPr="008870E0">
              <w:rPr>
                <w:rFonts w:eastAsia="Times New Roman" w:cs="Times New Roman"/>
                <w:sz w:val="21"/>
                <w:szCs w:val="21"/>
              </w:rPr>
              <w:t>,</w:t>
            </w:r>
            <w:r w:rsidRPr="008870E0">
              <w:rPr>
                <w:rFonts w:eastAsia="Times New Roman" w:cs="Times New Roman"/>
                <w:sz w:val="21"/>
                <w:szCs w:val="21"/>
                <w:lang w:val="uk-UA"/>
              </w:rPr>
              <w:t>046</w:t>
            </w:r>
          </w:p>
        </w:tc>
      </w:tr>
      <w:tr w:rsidR="000B7923" w:rsidRPr="002B1DFC" w14:paraId="2D2E2FE6" w14:textId="77777777">
        <w:tc>
          <w:tcPr>
            <w:tcW w:w="6072" w:type="dxa"/>
            <w:tcBorders>
              <w:left w:val="single" w:sz="4" w:space="0" w:color="4F81BD"/>
              <w:right w:val="nil"/>
            </w:tcBorders>
            <w:shd w:val="clear" w:color="auto" w:fill="FFFFFF"/>
          </w:tcPr>
          <w:p w14:paraId="3B791660" w14:textId="77777777" w:rsidR="000B7923" w:rsidRPr="002B1DFC" w:rsidRDefault="000B7923" w:rsidP="008870E0">
            <w:pPr>
              <w:ind w:left="720" w:right="219"/>
              <w:jc w:val="left"/>
              <w:rPr>
                <w:rFonts w:eastAsia="Times New Roman" w:cs="Times New Roman"/>
                <w:b/>
                <w:bCs/>
              </w:rPr>
            </w:pPr>
            <w:r w:rsidRPr="002B1DFC">
              <w:rPr>
                <w:rFonts w:eastAsia="Times New Roman" w:cs="Times New Roman"/>
              </w:rPr>
              <w:t>Mobile Sources</w:t>
            </w:r>
          </w:p>
        </w:tc>
        <w:tc>
          <w:tcPr>
            <w:tcW w:w="876" w:type="dxa"/>
          </w:tcPr>
          <w:p w14:paraId="2F5C3ED6"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79.1</w:t>
            </w:r>
          </w:p>
        </w:tc>
        <w:tc>
          <w:tcPr>
            <w:tcW w:w="876" w:type="dxa"/>
          </w:tcPr>
          <w:p w14:paraId="00E3690B"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181.7</w:t>
            </w:r>
          </w:p>
        </w:tc>
        <w:tc>
          <w:tcPr>
            <w:tcW w:w="876" w:type="dxa"/>
          </w:tcPr>
          <w:p w14:paraId="2F41818C"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114.8</w:t>
            </w:r>
          </w:p>
        </w:tc>
        <w:tc>
          <w:tcPr>
            <w:tcW w:w="876" w:type="dxa"/>
            <w:tcBorders>
              <w:right w:val="single" w:sz="4" w:space="0" w:color="4F81BD"/>
            </w:tcBorders>
          </w:tcPr>
          <w:p w14:paraId="7F139453"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113.7</w:t>
            </w:r>
          </w:p>
        </w:tc>
      </w:tr>
      <w:tr w:rsidR="000B7923" w:rsidRPr="002B1DFC" w14:paraId="600D4D23" w14:textId="77777777">
        <w:tc>
          <w:tcPr>
            <w:tcW w:w="6072" w:type="dxa"/>
            <w:tcBorders>
              <w:top w:val="single" w:sz="4" w:space="0" w:color="4F81BD"/>
              <w:left w:val="single" w:sz="4" w:space="0" w:color="4F81BD"/>
              <w:bottom w:val="single" w:sz="4" w:space="0" w:color="4F81BD"/>
              <w:right w:val="nil"/>
            </w:tcBorders>
            <w:shd w:val="clear" w:color="auto" w:fill="FFFFFF"/>
          </w:tcPr>
          <w:p w14:paraId="5FF05076" w14:textId="77777777" w:rsidR="000B7923" w:rsidRPr="002B1DFC" w:rsidRDefault="000B7923" w:rsidP="008870E0">
            <w:pPr>
              <w:ind w:right="219"/>
              <w:jc w:val="left"/>
              <w:rPr>
                <w:rFonts w:eastAsia="Times New Roman" w:cs="Times New Roman"/>
                <w:b/>
                <w:bCs/>
              </w:rPr>
            </w:pPr>
            <w:r w:rsidRPr="002B1DFC">
              <w:rPr>
                <w:rFonts w:eastAsia="Times New Roman" w:cs="Times New Roman"/>
              </w:rPr>
              <w:t>Discharges of pollutants into water bodies</w:t>
            </w:r>
          </w:p>
        </w:tc>
        <w:tc>
          <w:tcPr>
            <w:tcW w:w="876" w:type="dxa"/>
            <w:tcBorders>
              <w:top w:val="single" w:sz="4" w:space="0" w:color="4F81BD"/>
              <w:bottom w:val="single" w:sz="4" w:space="0" w:color="4F81BD"/>
            </w:tcBorders>
          </w:tcPr>
          <w:p w14:paraId="214BAAC4"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93.7</w:t>
            </w:r>
          </w:p>
        </w:tc>
        <w:tc>
          <w:tcPr>
            <w:tcW w:w="876" w:type="dxa"/>
            <w:tcBorders>
              <w:top w:val="single" w:sz="4" w:space="0" w:color="4F81BD"/>
              <w:bottom w:val="single" w:sz="4" w:space="0" w:color="4F81BD"/>
            </w:tcBorders>
          </w:tcPr>
          <w:p w14:paraId="6EE2EA41"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60.3</w:t>
            </w:r>
          </w:p>
        </w:tc>
        <w:tc>
          <w:tcPr>
            <w:tcW w:w="876" w:type="dxa"/>
            <w:tcBorders>
              <w:top w:val="single" w:sz="4" w:space="0" w:color="4F81BD"/>
              <w:bottom w:val="single" w:sz="4" w:space="0" w:color="4F81BD"/>
            </w:tcBorders>
          </w:tcPr>
          <w:p w14:paraId="1241C3A4"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74.3</w:t>
            </w:r>
          </w:p>
        </w:tc>
        <w:tc>
          <w:tcPr>
            <w:tcW w:w="876" w:type="dxa"/>
            <w:tcBorders>
              <w:top w:val="single" w:sz="4" w:space="0" w:color="4F81BD"/>
              <w:bottom w:val="single" w:sz="4" w:space="0" w:color="4F81BD"/>
              <w:right w:val="single" w:sz="4" w:space="0" w:color="4F81BD"/>
            </w:tcBorders>
          </w:tcPr>
          <w:p w14:paraId="7FFB2026"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117.1</w:t>
            </w:r>
          </w:p>
        </w:tc>
      </w:tr>
      <w:tr w:rsidR="000B7923" w:rsidRPr="002B1DFC" w14:paraId="69EC069E" w14:textId="77777777">
        <w:tc>
          <w:tcPr>
            <w:tcW w:w="6072" w:type="dxa"/>
            <w:tcBorders>
              <w:left w:val="single" w:sz="4" w:space="0" w:color="4F81BD"/>
              <w:right w:val="nil"/>
            </w:tcBorders>
            <w:shd w:val="clear" w:color="auto" w:fill="FFFFFF"/>
          </w:tcPr>
          <w:p w14:paraId="795510F4" w14:textId="77777777" w:rsidR="000B7923" w:rsidRPr="002B1DFC" w:rsidRDefault="000B7923" w:rsidP="008870E0">
            <w:pPr>
              <w:ind w:right="219"/>
              <w:jc w:val="left"/>
              <w:rPr>
                <w:rFonts w:eastAsia="Times New Roman" w:cs="Times New Roman"/>
                <w:b/>
                <w:bCs/>
              </w:rPr>
            </w:pPr>
            <w:r w:rsidRPr="002B1DFC">
              <w:rPr>
                <w:rFonts w:eastAsia="Times New Roman" w:cs="Times New Roman"/>
              </w:rPr>
              <w:t>Discharging</w:t>
            </w:r>
            <w:r w:rsidRPr="002B1DFC">
              <w:rPr>
                <w:rFonts w:eastAsia="Times New Roman" w:cs="Times New Roman"/>
                <w:lang w:val="uk-UA"/>
              </w:rPr>
              <w:t xml:space="preserve"> waste in designated areas or sites</w:t>
            </w:r>
            <w:r w:rsidRPr="002B1DFC">
              <w:rPr>
                <w:rFonts w:eastAsia="Times New Roman" w:cs="Times New Roman"/>
              </w:rPr>
              <w:t>,</w:t>
            </w:r>
            <w:r w:rsidRPr="002B1DFC">
              <w:rPr>
                <w:rFonts w:eastAsia="Times New Roman" w:cs="Times New Roman"/>
                <w:lang w:val="uk-UA"/>
              </w:rPr>
              <w:t xml:space="preserve"> </w:t>
            </w:r>
            <w:r w:rsidRPr="002B1DFC">
              <w:rPr>
                <w:rFonts w:eastAsia="Times New Roman" w:cs="Times New Roman"/>
              </w:rPr>
              <w:t xml:space="preserve">except </w:t>
            </w:r>
            <w:r w:rsidRPr="002B1DFC">
              <w:rPr>
                <w:rFonts w:eastAsia="Times New Roman" w:cs="Times New Roman"/>
                <w:lang w:val="uk-UA"/>
              </w:rPr>
              <w:t xml:space="preserve">certain types of waste </w:t>
            </w:r>
            <w:r w:rsidRPr="002B1DFC">
              <w:rPr>
                <w:rFonts w:eastAsia="Times New Roman" w:cs="Times New Roman"/>
              </w:rPr>
              <w:t xml:space="preserve">that is used </w:t>
            </w:r>
            <w:r w:rsidRPr="002B1DFC">
              <w:rPr>
                <w:rFonts w:eastAsia="Times New Roman" w:cs="Times New Roman"/>
                <w:lang w:val="uk-UA"/>
              </w:rPr>
              <w:t>as secondary raw materials</w:t>
            </w:r>
          </w:p>
        </w:tc>
        <w:tc>
          <w:tcPr>
            <w:tcW w:w="876" w:type="dxa"/>
          </w:tcPr>
          <w:p w14:paraId="4F78474B"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471.6</w:t>
            </w:r>
          </w:p>
        </w:tc>
        <w:tc>
          <w:tcPr>
            <w:tcW w:w="876" w:type="dxa"/>
          </w:tcPr>
          <w:p w14:paraId="5453DC64"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491.6</w:t>
            </w:r>
          </w:p>
        </w:tc>
        <w:tc>
          <w:tcPr>
            <w:tcW w:w="876" w:type="dxa"/>
          </w:tcPr>
          <w:p w14:paraId="303AC17E"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567.5</w:t>
            </w:r>
          </w:p>
        </w:tc>
        <w:tc>
          <w:tcPr>
            <w:tcW w:w="876" w:type="dxa"/>
            <w:tcBorders>
              <w:right w:val="single" w:sz="4" w:space="0" w:color="4F81BD"/>
            </w:tcBorders>
          </w:tcPr>
          <w:p w14:paraId="591DDE75"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773.8</w:t>
            </w:r>
          </w:p>
        </w:tc>
      </w:tr>
      <w:tr w:rsidR="000B7923" w:rsidRPr="002B1DFC" w14:paraId="31822C4A" w14:textId="77777777">
        <w:trPr>
          <w:trHeight w:val="253"/>
        </w:trPr>
        <w:tc>
          <w:tcPr>
            <w:tcW w:w="6072" w:type="dxa"/>
            <w:tcBorders>
              <w:top w:val="single" w:sz="4" w:space="0" w:color="4F81BD"/>
              <w:left w:val="single" w:sz="4" w:space="0" w:color="4F81BD"/>
              <w:bottom w:val="single" w:sz="4" w:space="0" w:color="4F81BD"/>
              <w:right w:val="nil"/>
            </w:tcBorders>
            <w:shd w:val="clear" w:color="auto" w:fill="FFFFFF"/>
          </w:tcPr>
          <w:p w14:paraId="1EC6CC9E" w14:textId="77777777" w:rsidR="000B7923" w:rsidRPr="002B1DFC" w:rsidRDefault="000B7923" w:rsidP="008870E0">
            <w:pPr>
              <w:ind w:right="219"/>
              <w:rPr>
                <w:rFonts w:eastAsia="Times New Roman" w:cs="Times New Roman"/>
                <w:b/>
                <w:bCs/>
              </w:rPr>
            </w:pPr>
            <w:r w:rsidRPr="002B1DFC">
              <w:rPr>
                <w:rFonts w:eastAsia="Times New Roman" w:cs="Times New Roman"/>
              </w:rPr>
              <w:t>Penalties for violations of legislation on environmental protection</w:t>
            </w:r>
          </w:p>
        </w:tc>
        <w:tc>
          <w:tcPr>
            <w:tcW w:w="876" w:type="dxa"/>
            <w:tcBorders>
              <w:top w:val="single" w:sz="4" w:space="0" w:color="4F81BD"/>
              <w:bottom w:val="single" w:sz="4" w:space="0" w:color="4F81BD"/>
            </w:tcBorders>
          </w:tcPr>
          <w:p w14:paraId="4BA48E7B"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rPr>
              <w:t>147.5</w:t>
            </w:r>
          </w:p>
        </w:tc>
        <w:tc>
          <w:tcPr>
            <w:tcW w:w="876" w:type="dxa"/>
            <w:tcBorders>
              <w:top w:val="single" w:sz="4" w:space="0" w:color="4F81BD"/>
              <w:bottom w:val="single" w:sz="4" w:space="0" w:color="4F81BD"/>
            </w:tcBorders>
          </w:tcPr>
          <w:p w14:paraId="02FAF0A9"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rPr>
              <w:t>132.8</w:t>
            </w:r>
          </w:p>
        </w:tc>
        <w:tc>
          <w:tcPr>
            <w:tcW w:w="876" w:type="dxa"/>
            <w:tcBorders>
              <w:top w:val="single" w:sz="4" w:space="0" w:color="4F81BD"/>
              <w:bottom w:val="single" w:sz="4" w:space="0" w:color="4F81BD"/>
            </w:tcBorders>
          </w:tcPr>
          <w:p w14:paraId="6FEF2D0D"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rPr>
              <w:t>19.3</w:t>
            </w:r>
          </w:p>
        </w:tc>
        <w:tc>
          <w:tcPr>
            <w:tcW w:w="876" w:type="dxa"/>
            <w:tcBorders>
              <w:top w:val="single" w:sz="4" w:space="0" w:color="4F81BD"/>
              <w:bottom w:val="single" w:sz="4" w:space="0" w:color="4F81BD"/>
              <w:right w:val="single" w:sz="4" w:space="0" w:color="4F81BD"/>
            </w:tcBorders>
          </w:tcPr>
          <w:p w14:paraId="45A04BA1"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rPr>
              <w:t>44.4</w:t>
            </w:r>
          </w:p>
        </w:tc>
      </w:tr>
      <w:tr w:rsidR="000B7923" w:rsidRPr="002B1DFC" w14:paraId="60AB2671" w14:textId="77777777">
        <w:tc>
          <w:tcPr>
            <w:tcW w:w="6072" w:type="dxa"/>
            <w:tcBorders>
              <w:left w:val="single" w:sz="4" w:space="0" w:color="4F81BD"/>
              <w:bottom w:val="single" w:sz="4" w:space="0" w:color="4F81BD"/>
              <w:right w:val="nil"/>
            </w:tcBorders>
            <w:shd w:val="clear" w:color="auto" w:fill="FFFFFF"/>
          </w:tcPr>
          <w:p w14:paraId="69E9F3B0" w14:textId="77777777" w:rsidR="000B7923" w:rsidRPr="002B1DFC" w:rsidRDefault="000B7923" w:rsidP="008870E0">
            <w:pPr>
              <w:ind w:right="219"/>
              <w:jc w:val="left"/>
              <w:rPr>
                <w:rFonts w:eastAsia="Times New Roman" w:cs="Times New Roman"/>
                <w:b/>
                <w:bCs/>
              </w:rPr>
            </w:pPr>
            <w:r w:rsidRPr="002B1DFC">
              <w:rPr>
                <w:rFonts w:eastAsia="Times New Roman" w:cs="Times New Roman"/>
              </w:rPr>
              <w:t>Actual proportion of tax paid out of total charges, percent</w:t>
            </w:r>
          </w:p>
        </w:tc>
        <w:tc>
          <w:tcPr>
            <w:tcW w:w="876" w:type="dxa"/>
            <w:tcBorders>
              <w:bottom w:val="single" w:sz="4" w:space="0" w:color="4F81BD"/>
            </w:tcBorders>
          </w:tcPr>
          <w:p w14:paraId="4F369ADA"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90.3</w:t>
            </w:r>
          </w:p>
        </w:tc>
        <w:tc>
          <w:tcPr>
            <w:tcW w:w="876" w:type="dxa"/>
            <w:tcBorders>
              <w:bottom w:val="single" w:sz="4" w:space="0" w:color="4F81BD"/>
            </w:tcBorders>
          </w:tcPr>
          <w:p w14:paraId="7CDF76F5"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91.7</w:t>
            </w:r>
          </w:p>
        </w:tc>
        <w:tc>
          <w:tcPr>
            <w:tcW w:w="876" w:type="dxa"/>
            <w:tcBorders>
              <w:bottom w:val="single" w:sz="4" w:space="0" w:color="4F81BD"/>
            </w:tcBorders>
          </w:tcPr>
          <w:p w14:paraId="23E38613"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95.2</w:t>
            </w:r>
          </w:p>
        </w:tc>
        <w:tc>
          <w:tcPr>
            <w:tcW w:w="876" w:type="dxa"/>
            <w:tcBorders>
              <w:bottom w:val="single" w:sz="4" w:space="0" w:color="4F81BD"/>
              <w:right w:val="single" w:sz="4" w:space="0" w:color="4F81BD"/>
            </w:tcBorders>
          </w:tcPr>
          <w:p w14:paraId="6A9B3E1F"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88.8</w:t>
            </w:r>
          </w:p>
        </w:tc>
      </w:tr>
    </w:tbl>
    <w:p w14:paraId="20EEAE92" w14:textId="77777777" w:rsidR="000B7923" w:rsidRPr="008870E0" w:rsidRDefault="000B7923" w:rsidP="002578F7">
      <w:pPr>
        <w:spacing w:after="200" w:line="276" w:lineRule="auto"/>
        <w:jc w:val="left"/>
        <w:rPr>
          <w:rFonts w:cs="Times New Roman"/>
          <w:sz w:val="20"/>
          <w:szCs w:val="20"/>
        </w:rPr>
      </w:pPr>
      <w:r w:rsidRPr="008870E0">
        <w:rPr>
          <w:rFonts w:cs="Times New Roman"/>
          <w:i/>
          <w:sz w:val="20"/>
          <w:szCs w:val="20"/>
        </w:rPr>
        <w:t>Source</w:t>
      </w:r>
      <w:r w:rsidRPr="008870E0">
        <w:rPr>
          <w:rFonts w:cs="Times New Roman"/>
          <w:sz w:val="20"/>
          <w:szCs w:val="20"/>
        </w:rPr>
        <w:t xml:space="preserve">: State Statistics Service of Ukraine. 2014. </w:t>
      </w:r>
      <w:r w:rsidRPr="008870E0">
        <w:rPr>
          <w:rFonts w:cs="Times New Roman"/>
          <w:i/>
          <w:sz w:val="20"/>
          <w:szCs w:val="20"/>
        </w:rPr>
        <w:t>Statistical Yearbook</w:t>
      </w:r>
      <w:r w:rsidR="005C2264" w:rsidRPr="0061686D">
        <w:rPr>
          <w:rFonts w:cs="Times New Roman"/>
          <w:i/>
          <w:sz w:val="20"/>
          <w:szCs w:val="20"/>
        </w:rPr>
        <w:t xml:space="preserve">: </w:t>
      </w:r>
      <w:r w:rsidRPr="008870E0">
        <w:rPr>
          <w:rFonts w:cs="Times New Roman"/>
          <w:i/>
          <w:sz w:val="20"/>
          <w:szCs w:val="20"/>
        </w:rPr>
        <w:t xml:space="preserve">Ukraine in Figures </w:t>
      </w:r>
      <w:r w:rsidR="005C2264" w:rsidRPr="0061686D">
        <w:rPr>
          <w:rFonts w:cs="Times New Roman"/>
          <w:i/>
          <w:sz w:val="20"/>
          <w:szCs w:val="20"/>
        </w:rPr>
        <w:t>–</w:t>
      </w:r>
      <w:r w:rsidRPr="008870E0">
        <w:rPr>
          <w:rFonts w:cs="Times New Roman"/>
          <w:i/>
          <w:sz w:val="20"/>
          <w:szCs w:val="20"/>
        </w:rPr>
        <w:t xml:space="preserve"> 2013</w:t>
      </w:r>
      <w:r w:rsidR="005C2264" w:rsidRPr="008870E0">
        <w:rPr>
          <w:rFonts w:cs="Times New Roman"/>
          <w:sz w:val="20"/>
          <w:szCs w:val="20"/>
        </w:rPr>
        <w:t xml:space="preserve">. </w:t>
      </w:r>
      <w:r w:rsidRPr="008870E0">
        <w:rPr>
          <w:rFonts w:cs="Times New Roman"/>
          <w:sz w:val="20"/>
          <w:szCs w:val="20"/>
        </w:rPr>
        <w:t>State Statistics Service of Ukraine, Kyiv</w:t>
      </w:r>
      <w:r w:rsidR="005C2264" w:rsidRPr="008870E0">
        <w:rPr>
          <w:rFonts w:cs="Times New Roman"/>
          <w:sz w:val="20"/>
          <w:szCs w:val="20"/>
        </w:rPr>
        <w:t>.</w:t>
      </w:r>
    </w:p>
    <w:p w14:paraId="7FABD1A1" w14:textId="77777777" w:rsidR="000B7923" w:rsidRPr="002B1DFC" w:rsidRDefault="000B7923" w:rsidP="008870E0">
      <w:pPr>
        <w:pStyle w:val="Caption"/>
        <w:spacing w:before="0"/>
      </w:pPr>
      <w:bookmarkStart w:id="132" w:name="_Toc440274009"/>
      <w:r w:rsidRPr="002B1DFC">
        <w:t xml:space="preserve">Table </w:t>
      </w:r>
      <w:r w:rsidRPr="002B1DFC">
        <w:fldChar w:fldCharType="begin"/>
      </w:r>
      <w:r w:rsidRPr="002B1DFC">
        <w:instrText xml:space="preserve"> SEQ Table \* ARABIC </w:instrText>
      </w:r>
      <w:r w:rsidRPr="002B1DFC">
        <w:fldChar w:fldCharType="separate"/>
      </w:r>
      <w:r w:rsidR="00356D5F">
        <w:t>17</w:t>
      </w:r>
      <w:r w:rsidRPr="002B1DFC">
        <w:fldChar w:fldCharType="end"/>
      </w:r>
      <w:r w:rsidRPr="002B1DFC">
        <w:t xml:space="preserve">. Structure of </w:t>
      </w:r>
      <w:r w:rsidR="004E6B34">
        <w:t>E</w:t>
      </w:r>
      <w:r w:rsidRPr="002B1DFC">
        <w:t xml:space="preserve">nvironmental </w:t>
      </w:r>
      <w:r w:rsidR="004E6B34">
        <w:t>E</w:t>
      </w:r>
      <w:r w:rsidRPr="002B1DFC">
        <w:t>xpenditures</w:t>
      </w:r>
      <w:r w:rsidR="00540E69">
        <w:t>,</w:t>
      </w:r>
      <w:r w:rsidRPr="002B1DFC">
        <w:t xml:space="preserve"> 2010</w:t>
      </w:r>
      <w:r w:rsidR="00BB1676">
        <w:t>–</w:t>
      </w:r>
      <w:r w:rsidRPr="002B1DFC">
        <w:t>2013</w:t>
      </w:r>
      <w:r w:rsidR="00540E69">
        <w:t xml:space="preserve"> (</w:t>
      </w:r>
      <w:r w:rsidR="00B13467">
        <w:t>a</w:t>
      </w:r>
      <w:r w:rsidR="00DC2622">
        <w:t xml:space="preserve">s </w:t>
      </w:r>
      <w:r w:rsidR="00B13467">
        <w:t>% of Annual Total</w:t>
      </w:r>
      <w:r w:rsidR="00540E69">
        <w:t>s)</w:t>
      </w:r>
      <w:bookmarkEnd w:id="132"/>
    </w:p>
    <w:tbl>
      <w:tblPr>
        <w:tblW w:w="0" w:type="auto"/>
        <w:tblInd w:w="108" w:type="dxa"/>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5842"/>
        <w:gridCol w:w="850"/>
        <w:gridCol w:w="850"/>
        <w:gridCol w:w="850"/>
        <w:gridCol w:w="850"/>
      </w:tblGrid>
      <w:tr w:rsidR="000B7923" w:rsidRPr="002B1DFC" w14:paraId="57115198" w14:textId="77777777">
        <w:tc>
          <w:tcPr>
            <w:tcW w:w="6072" w:type="dxa"/>
            <w:tcBorders>
              <w:top w:val="single" w:sz="4" w:space="0" w:color="4F81BD"/>
              <w:left w:val="single" w:sz="4" w:space="0" w:color="4F81BD"/>
              <w:bottom w:val="nil"/>
              <w:right w:val="nil"/>
            </w:tcBorders>
            <w:shd w:val="clear" w:color="auto" w:fill="4F81BD"/>
            <w:noWrap/>
          </w:tcPr>
          <w:p w14:paraId="7D960F56" w14:textId="77777777" w:rsidR="000B7923" w:rsidRPr="002B1DFC" w:rsidRDefault="000B7923" w:rsidP="00F441C6">
            <w:pPr>
              <w:jc w:val="left"/>
              <w:rPr>
                <w:rFonts w:eastAsia="Times New Roman" w:cs="Times New Roman"/>
                <w:b/>
                <w:bCs/>
                <w:color w:val="FFFFFF"/>
              </w:rPr>
            </w:pPr>
            <w:r w:rsidRPr="002B1DFC">
              <w:rPr>
                <w:rFonts w:eastAsia="Times New Roman" w:cs="Times New Roman"/>
                <w:b/>
                <w:bCs/>
                <w:color w:val="FFFFFF"/>
              </w:rPr>
              <w:t>Category</w:t>
            </w:r>
          </w:p>
        </w:tc>
        <w:tc>
          <w:tcPr>
            <w:tcW w:w="876" w:type="dxa"/>
            <w:tcBorders>
              <w:top w:val="single" w:sz="4" w:space="0" w:color="4F81BD"/>
            </w:tcBorders>
            <w:shd w:val="clear" w:color="auto" w:fill="4F81BD"/>
            <w:noWrap/>
          </w:tcPr>
          <w:p w14:paraId="00D74E35" w14:textId="77777777" w:rsidR="000B7923" w:rsidRPr="002B1DFC" w:rsidRDefault="000B7923" w:rsidP="008870E0">
            <w:pPr>
              <w:jc w:val="right"/>
              <w:rPr>
                <w:rFonts w:eastAsia="Times New Roman" w:cs="Times New Roman"/>
                <w:b/>
                <w:bCs/>
                <w:color w:val="FFFFFF"/>
              </w:rPr>
            </w:pPr>
            <w:r w:rsidRPr="002B1DFC">
              <w:rPr>
                <w:rFonts w:eastAsia="Times New Roman" w:cs="Times New Roman"/>
                <w:b/>
                <w:bCs/>
                <w:color w:val="FFFFFF"/>
              </w:rPr>
              <w:t>2010</w:t>
            </w:r>
          </w:p>
        </w:tc>
        <w:tc>
          <w:tcPr>
            <w:tcW w:w="876" w:type="dxa"/>
            <w:tcBorders>
              <w:top w:val="single" w:sz="4" w:space="0" w:color="4F81BD"/>
            </w:tcBorders>
            <w:shd w:val="clear" w:color="auto" w:fill="4F81BD"/>
            <w:noWrap/>
          </w:tcPr>
          <w:p w14:paraId="5EDFF363" w14:textId="77777777" w:rsidR="000B7923" w:rsidRPr="002B1DFC" w:rsidRDefault="000B7923" w:rsidP="008870E0">
            <w:pPr>
              <w:jc w:val="right"/>
              <w:rPr>
                <w:rFonts w:eastAsia="Times New Roman" w:cs="Times New Roman"/>
                <w:b/>
                <w:bCs/>
                <w:color w:val="FFFFFF"/>
              </w:rPr>
            </w:pPr>
            <w:r w:rsidRPr="002B1DFC">
              <w:rPr>
                <w:rFonts w:eastAsia="Times New Roman" w:cs="Times New Roman"/>
                <w:b/>
                <w:bCs/>
                <w:color w:val="FFFFFF"/>
              </w:rPr>
              <w:t>2011</w:t>
            </w:r>
          </w:p>
        </w:tc>
        <w:tc>
          <w:tcPr>
            <w:tcW w:w="876" w:type="dxa"/>
            <w:tcBorders>
              <w:top w:val="single" w:sz="4" w:space="0" w:color="4F81BD"/>
            </w:tcBorders>
            <w:shd w:val="clear" w:color="auto" w:fill="4F81BD"/>
            <w:noWrap/>
          </w:tcPr>
          <w:p w14:paraId="5088F648" w14:textId="77777777" w:rsidR="000B7923" w:rsidRPr="002B1DFC" w:rsidRDefault="000B7923" w:rsidP="008870E0">
            <w:pPr>
              <w:jc w:val="right"/>
              <w:rPr>
                <w:rFonts w:eastAsia="Times New Roman" w:cs="Times New Roman"/>
                <w:b/>
                <w:bCs/>
                <w:color w:val="FFFFFF"/>
              </w:rPr>
            </w:pPr>
            <w:r w:rsidRPr="002B1DFC">
              <w:rPr>
                <w:rFonts w:eastAsia="Times New Roman" w:cs="Times New Roman"/>
                <w:b/>
                <w:bCs/>
                <w:color w:val="FFFFFF"/>
              </w:rPr>
              <w:t>2012</w:t>
            </w:r>
          </w:p>
        </w:tc>
        <w:tc>
          <w:tcPr>
            <w:tcW w:w="876" w:type="dxa"/>
            <w:tcBorders>
              <w:top w:val="single" w:sz="4" w:space="0" w:color="4F81BD"/>
              <w:right w:val="single" w:sz="4" w:space="0" w:color="4F81BD"/>
            </w:tcBorders>
            <w:shd w:val="clear" w:color="auto" w:fill="4F81BD"/>
            <w:noWrap/>
          </w:tcPr>
          <w:p w14:paraId="315CFAE1" w14:textId="77777777" w:rsidR="000B7923" w:rsidRPr="002B1DFC" w:rsidRDefault="000B7923" w:rsidP="008870E0">
            <w:pPr>
              <w:jc w:val="right"/>
              <w:rPr>
                <w:rFonts w:eastAsia="Times New Roman" w:cs="Times New Roman"/>
                <w:b/>
                <w:bCs/>
                <w:color w:val="FFFFFF"/>
              </w:rPr>
            </w:pPr>
            <w:r w:rsidRPr="002B1DFC">
              <w:rPr>
                <w:rFonts w:eastAsia="Times New Roman" w:cs="Times New Roman"/>
                <w:b/>
                <w:bCs/>
                <w:color w:val="FFFFFF"/>
              </w:rPr>
              <w:t>2013</w:t>
            </w:r>
          </w:p>
        </w:tc>
      </w:tr>
      <w:tr w:rsidR="000B7923" w:rsidRPr="002B1DFC" w14:paraId="15DDDCA2" w14:textId="77777777">
        <w:tc>
          <w:tcPr>
            <w:tcW w:w="6072" w:type="dxa"/>
            <w:tcBorders>
              <w:top w:val="single" w:sz="4" w:space="0" w:color="4F81BD"/>
              <w:left w:val="single" w:sz="4" w:space="0" w:color="4F81BD"/>
              <w:bottom w:val="single" w:sz="4" w:space="0" w:color="4F81BD"/>
              <w:right w:val="nil"/>
            </w:tcBorders>
            <w:shd w:val="clear" w:color="auto" w:fill="FFFFFF"/>
          </w:tcPr>
          <w:p w14:paraId="4E74157A" w14:textId="77777777" w:rsidR="000B7923" w:rsidRPr="002B1DFC" w:rsidRDefault="000B7923" w:rsidP="00F441C6">
            <w:pPr>
              <w:jc w:val="left"/>
              <w:rPr>
                <w:rFonts w:eastAsia="Times New Roman" w:cs="Times New Roman"/>
                <w:b/>
                <w:bCs/>
              </w:rPr>
            </w:pPr>
            <w:r w:rsidRPr="002B1DFC">
              <w:rPr>
                <w:rFonts w:eastAsia="Times New Roman" w:cs="Times New Roman"/>
              </w:rPr>
              <w:t>Air quality and climate</w:t>
            </w:r>
          </w:p>
        </w:tc>
        <w:tc>
          <w:tcPr>
            <w:tcW w:w="876" w:type="dxa"/>
            <w:tcBorders>
              <w:top w:val="single" w:sz="4" w:space="0" w:color="4F81BD"/>
              <w:bottom w:val="single" w:sz="4" w:space="0" w:color="4F81BD"/>
            </w:tcBorders>
          </w:tcPr>
          <w:p w14:paraId="5668BA51"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12.7</w:t>
            </w:r>
          </w:p>
        </w:tc>
        <w:tc>
          <w:tcPr>
            <w:tcW w:w="876" w:type="dxa"/>
            <w:tcBorders>
              <w:top w:val="single" w:sz="4" w:space="0" w:color="4F81BD"/>
              <w:bottom w:val="single" w:sz="4" w:space="0" w:color="4F81BD"/>
            </w:tcBorders>
          </w:tcPr>
          <w:p w14:paraId="0AC09CD5"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12.3</w:t>
            </w:r>
          </w:p>
        </w:tc>
        <w:tc>
          <w:tcPr>
            <w:tcW w:w="876" w:type="dxa"/>
            <w:tcBorders>
              <w:top w:val="single" w:sz="4" w:space="0" w:color="4F81BD"/>
              <w:bottom w:val="single" w:sz="4" w:space="0" w:color="4F81BD"/>
            </w:tcBorders>
          </w:tcPr>
          <w:p w14:paraId="1A4D3DF8"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9.6</w:t>
            </w:r>
          </w:p>
        </w:tc>
        <w:tc>
          <w:tcPr>
            <w:tcW w:w="876" w:type="dxa"/>
            <w:tcBorders>
              <w:top w:val="single" w:sz="4" w:space="0" w:color="4F81BD"/>
              <w:bottom w:val="single" w:sz="4" w:space="0" w:color="4F81BD"/>
              <w:right w:val="single" w:sz="4" w:space="0" w:color="4F81BD"/>
            </w:tcBorders>
          </w:tcPr>
          <w:p w14:paraId="204F1B7A"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9.9</w:t>
            </w:r>
          </w:p>
        </w:tc>
      </w:tr>
      <w:tr w:rsidR="000B7923" w:rsidRPr="002B1DFC" w14:paraId="5FD48B21" w14:textId="77777777">
        <w:tc>
          <w:tcPr>
            <w:tcW w:w="6072" w:type="dxa"/>
            <w:tcBorders>
              <w:left w:val="single" w:sz="4" w:space="0" w:color="4F81BD"/>
              <w:right w:val="nil"/>
            </w:tcBorders>
            <w:shd w:val="clear" w:color="auto" w:fill="FFFFFF"/>
          </w:tcPr>
          <w:p w14:paraId="7B65E700" w14:textId="77777777" w:rsidR="000B7923" w:rsidRPr="002B1DFC" w:rsidRDefault="000B7923" w:rsidP="00F441C6">
            <w:pPr>
              <w:jc w:val="left"/>
              <w:rPr>
                <w:rFonts w:eastAsia="Times New Roman" w:cs="Times New Roman"/>
                <w:b/>
                <w:bCs/>
              </w:rPr>
            </w:pPr>
            <w:r w:rsidRPr="002B1DFC">
              <w:rPr>
                <w:rFonts w:eastAsia="Times New Roman" w:cs="Times New Roman"/>
              </w:rPr>
              <w:t>Wastewater treatment</w:t>
            </w:r>
          </w:p>
        </w:tc>
        <w:tc>
          <w:tcPr>
            <w:tcW w:w="876" w:type="dxa"/>
          </w:tcPr>
          <w:p w14:paraId="0F5BD507"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48.6</w:t>
            </w:r>
          </w:p>
        </w:tc>
        <w:tc>
          <w:tcPr>
            <w:tcW w:w="876" w:type="dxa"/>
          </w:tcPr>
          <w:p w14:paraId="510821EB"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44.8</w:t>
            </w:r>
          </w:p>
        </w:tc>
        <w:tc>
          <w:tcPr>
            <w:tcW w:w="876" w:type="dxa"/>
          </w:tcPr>
          <w:p w14:paraId="400A0CF0"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44.5</w:t>
            </w:r>
          </w:p>
        </w:tc>
        <w:tc>
          <w:tcPr>
            <w:tcW w:w="876" w:type="dxa"/>
            <w:tcBorders>
              <w:right w:val="single" w:sz="4" w:space="0" w:color="4F81BD"/>
            </w:tcBorders>
          </w:tcPr>
          <w:p w14:paraId="5C9F217C"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43.1</w:t>
            </w:r>
          </w:p>
        </w:tc>
      </w:tr>
      <w:tr w:rsidR="000B7923" w:rsidRPr="002B1DFC" w14:paraId="01D50C1F" w14:textId="77777777">
        <w:tc>
          <w:tcPr>
            <w:tcW w:w="6072" w:type="dxa"/>
            <w:tcBorders>
              <w:top w:val="single" w:sz="4" w:space="0" w:color="4F81BD"/>
              <w:left w:val="single" w:sz="4" w:space="0" w:color="4F81BD"/>
              <w:bottom w:val="single" w:sz="4" w:space="0" w:color="4F81BD"/>
              <w:right w:val="nil"/>
            </w:tcBorders>
            <w:shd w:val="clear" w:color="auto" w:fill="FFFFFF"/>
          </w:tcPr>
          <w:p w14:paraId="77EA5F34" w14:textId="77777777" w:rsidR="000B7923" w:rsidRPr="002B1DFC" w:rsidRDefault="000B7923" w:rsidP="00F441C6">
            <w:pPr>
              <w:jc w:val="left"/>
              <w:rPr>
                <w:rFonts w:eastAsia="Times New Roman" w:cs="Times New Roman"/>
                <w:b/>
                <w:bCs/>
              </w:rPr>
            </w:pPr>
            <w:r w:rsidRPr="002B1DFC">
              <w:rPr>
                <w:rFonts w:eastAsia="Times New Roman" w:cs="Times New Roman"/>
              </w:rPr>
              <w:t>Waste management</w:t>
            </w:r>
          </w:p>
        </w:tc>
        <w:tc>
          <w:tcPr>
            <w:tcW w:w="876" w:type="dxa"/>
            <w:tcBorders>
              <w:top w:val="single" w:sz="4" w:space="0" w:color="4F81BD"/>
              <w:bottom w:val="single" w:sz="4" w:space="0" w:color="4F81BD"/>
            </w:tcBorders>
          </w:tcPr>
          <w:p w14:paraId="75535582"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25.1</w:t>
            </w:r>
          </w:p>
        </w:tc>
        <w:tc>
          <w:tcPr>
            <w:tcW w:w="876" w:type="dxa"/>
            <w:tcBorders>
              <w:top w:val="single" w:sz="4" w:space="0" w:color="4F81BD"/>
              <w:bottom w:val="single" w:sz="4" w:space="0" w:color="4F81BD"/>
            </w:tcBorders>
          </w:tcPr>
          <w:p w14:paraId="190453BD"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32.1</w:t>
            </w:r>
          </w:p>
        </w:tc>
        <w:tc>
          <w:tcPr>
            <w:tcW w:w="876" w:type="dxa"/>
            <w:tcBorders>
              <w:top w:val="single" w:sz="4" w:space="0" w:color="4F81BD"/>
              <w:bottom w:val="single" w:sz="4" w:space="0" w:color="4F81BD"/>
            </w:tcBorders>
          </w:tcPr>
          <w:p w14:paraId="560D48B5"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34.2</w:t>
            </w:r>
          </w:p>
        </w:tc>
        <w:tc>
          <w:tcPr>
            <w:tcW w:w="876" w:type="dxa"/>
            <w:tcBorders>
              <w:top w:val="single" w:sz="4" w:space="0" w:color="4F81BD"/>
              <w:bottom w:val="single" w:sz="4" w:space="0" w:color="4F81BD"/>
              <w:right w:val="single" w:sz="4" w:space="0" w:color="4F81BD"/>
            </w:tcBorders>
          </w:tcPr>
          <w:p w14:paraId="56AB39CB"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33.8</w:t>
            </w:r>
          </w:p>
        </w:tc>
      </w:tr>
      <w:tr w:rsidR="000B7923" w:rsidRPr="002B1DFC" w14:paraId="12A3334A" w14:textId="77777777">
        <w:tc>
          <w:tcPr>
            <w:tcW w:w="6072" w:type="dxa"/>
            <w:tcBorders>
              <w:left w:val="single" w:sz="4" w:space="0" w:color="4F81BD"/>
              <w:right w:val="nil"/>
            </w:tcBorders>
            <w:shd w:val="clear" w:color="auto" w:fill="FFFFFF"/>
          </w:tcPr>
          <w:p w14:paraId="653EBFE6" w14:textId="77777777" w:rsidR="000B7923" w:rsidRPr="002B1DFC" w:rsidRDefault="000B7923" w:rsidP="00F441C6">
            <w:pPr>
              <w:jc w:val="left"/>
              <w:rPr>
                <w:rFonts w:eastAsia="Times New Roman" w:cs="Times New Roman"/>
                <w:b/>
                <w:bCs/>
              </w:rPr>
            </w:pPr>
            <w:r w:rsidRPr="002B1DFC">
              <w:rPr>
                <w:rFonts w:eastAsia="Times New Roman" w:cs="Times New Roman"/>
                <w:lang w:val="uk-UA"/>
              </w:rPr>
              <w:t>Protection and rehabilitation of soil, ground and surface water</w:t>
            </w:r>
            <w:r w:rsidRPr="002B1DFC">
              <w:rPr>
                <w:rFonts w:eastAsia="Times New Roman" w:cs="Times New Roman"/>
              </w:rPr>
              <w:t>s</w:t>
            </w:r>
          </w:p>
        </w:tc>
        <w:tc>
          <w:tcPr>
            <w:tcW w:w="876" w:type="dxa"/>
          </w:tcPr>
          <w:p w14:paraId="3354D511"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4.6</w:t>
            </w:r>
          </w:p>
        </w:tc>
        <w:tc>
          <w:tcPr>
            <w:tcW w:w="876" w:type="dxa"/>
          </w:tcPr>
          <w:p w14:paraId="587EB6FB"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4.9</w:t>
            </w:r>
          </w:p>
        </w:tc>
        <w:tc>
          <w:tcPr>
            <w:tcW w:w="876" w:type="dxa"/>
          </w:tcPr>
          <w:p w14:paraId="103E91CE"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5.3</w:t>
            </w:r>
          </w:p>
        </w:tc>
        <w:tc>
          <w:tcPr>
            <w:tcW w:w="876" w:type="dxa"/>
            <w:tcBorders>
              <w:right w:val="single" w:sz="4" w:space="0" w:color="4F81BD"/>
            </w:tcBorders>
          </w:tcPr>
          <w:p w14:paraId="4B6C3E6A"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6.4</w:t>
            </w:r>
          </w:p>
        </w:tc>
      </w:tr>
      <w:tr w:rsidR="000B7923" w:rsidRPr="002B1DFC" w14:paraId="649EF3E4" w14:textId="77777777">
        <w:tc>
          <w:tcPr>
            <w:tcW w:w="6072" w:type="dxa"/>
            <w:tcBorders>
              <w:top w:val="single" w:sz="4" w:space="0" w:color="4F81BD"/>
              <w:left w:val="single" w:sz="4" w:space="0" w:color="4F81BD"/>
              <w:bottom w:val="single" w:sz="4" w:space="0" w:color="4F81BD"/>
              <w:right w:val="nil"/>
            </w:tcBorders>
            <w:shd w:val="clear" w:color="auto" w:fill="FFFFFF"/>
          </w:tcPr>
          <w:p w14:paraId="19F35C00" w14:textId="77777777" w:rsidR="000B7923" w:rsidRPr="002B1DFC" w:rsidRDefault="000B7923" w:rsidP="00F441C6">
            <w:pPr>
              <w:jc w:val="left"/>
              <w:rPr>
                <w:rFonts w:eastAsia="Times New Roman" w:cs="Times New Roman"/>
                <w:b/>
                <w:bCs/>
              </w:rPr>
            </w:pPr>
            <w:r w:rsidRPr="002B1DFC">
              <w:rPr>
                <w:rFonts w:eastAsia="Times New Roman" w:cs="Times New Roman"/>
              </w:rPr>
              <w:t>Noise and vibration reduction</w:t>
            </w:r>
          </w:p>
        </w:tc>
        <w:tc>
          <w:tcPr>
            <w:tcW w:w="876" w:type="dxa"/>
            <w:tcBorders>
              <w:top w:val="single" w:sz="4" w:space="0" w:color="4F81BD"/>
              <w:bottom w:val="single" w:sz="4" w:space="0" w:color="4F81BD"/>
            </w:tcBorders>
          </w:tcPr>
          <w:p w14:paraId="281D35BB"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0</w:t>
            </w:r>
          </w:p>
        </w:tc>
        <w:tc>
          <w:tcPr>
            <w:tcW w:w="876" w:type="dxa"/>
            <w:tcBorders>
              <w:top w:val="single" w:sz="4" w:space="0" w:color="4F81BD"/>
              <w:bottom w:val="single" w:sz="4" w:space="0" w:color="4F81BD"/>
            </w:tcBorders>
          </w:tcPr>
          <w:p w14:paraId="03A31696"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0.3</w:t>
            </w:r>
          </w:p>
        </w:tc>
        <w:tc>
          <w:tcPr>
            <w:tcW w:w="876" w:type="dxa"/>
            <w:tcBorders>
              <w:top w:val="single" w:sz="4" w:space="0" w:color="4F81BD"/>
              <w:bottom w:val="single" w:sz="4" w:space="0" w:color="4F81BD"/>
            </w:tcBorders>
          </w:tcPr>
          <w:p w14:paraId="22A62F31"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0.8</w:t>
            </w:r>
          </w:p>
        </w:tc>
        <w:tc>
          <w:tcPr>
            <w:tcW w:w="876" w:type="dxa"/>
            <w:tcBorders>
              <w:top w:val="single" w:sz="4" w:space="0" w:color="4F81BD"/>
              <w:bottom w:val="single" w:sz="4" w:space="0" w:color="4F81BD"/>
              <w:right w:val="single" w:sz="4" w:space="0" w:color="4F81BD"/>
            </w:tcBorders>
          </w:tcPr>
          <w:p w14:paraId="5C6D3534"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0.8</w:t>
            </w:r>
          </w:p>
        </w:tc>
      </w:tr>
      <w:tr w:rsidR="000B7923" w:rsidRPr="002B1DFC" w14:paraId="567844B3" w14:textId="77777777">
        <w:tc>
          <w:tcPr>
            <w:tcW w:w="6072" w:type="dxa"/>
            <w:tcBorders>
              <w:left w:val="single" w:sz="4" w:space="0" w:color="4F81BD"/>
              <w:right w:val="nil"/>
            </w:tcBorders>
            <w:shd w:val="clear" w:color="auto" w:fill="FFFFFF"/>
          </w:tcPr>
          <w:p w14:paraId="40FF502A" w14:textId="77777777" w:rsidR="000B7923" w:rsidRPr="002B1DFC" w:rsidRDefault="000B7923" w:rsidP="00F441C6">
            <w:pPr>
              <w:jc w:val="left"/>
              <w:rPr>
                <w:rFonts w:eastAsia="Times New Roman" w:cs="Times New Roman"/>
                <w:b/>
                <w:bCs/>
              </w:rPr>
            </w:pPr>
            <w:r w:rsidRPr="002B1DFC">
              <w:rPr>
                <w:rFonts w:eastAsia="Times New Roman" w:cs="Times New Roman"/>
              </w:rPr>
              <w:t>Biodiversity and habitat conservation</w:t>
            </w:r>
          </w:p>
        </w:tc>
        <w:tc>
          <w:tcPr>
            <w:tcW w:w="876" w:type="dxa"/>
          </w:tcPr>
          <w:p w14:paraId="1DB32909"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2.3</w:t>
            </w:r>
          </w:p>
        </w:tc>
        <w:tc>
          <w:tcPr>
            <w:tcW w:w="876" w:type="dxa"/>
          </w:tcPr>
          <w:p w14:paraId="7D3A0692"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2.7</w:t>
            </w:r>
          </w:p>
        </w:tc>
        <w:tc>
          <w:tcPr>
            <w:tcW w:w="876" w:type="dxa"/>
          </w:tcPr>
          <w:p w14:paraId="361B1A1B"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2.8</w:t>
            </w:r>
          </w:p>
        </w:tc>
        <w:tc>
          <w:tcPr>
            <w:tcW w:w="876" w:type="dxa"/>
            <w:tcBorders>
              <w:right w:val="single" w:sz="4" w:space="0" w:color="4F81BD"/>
            </w:tcBorders>
          </w:tcPr>
          <w:p w14:paraId="48C55C71"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2.9</w:t>
            </w:r>
          </w:p>
        </w:tc>
      </w:tr>
      <w:tr w:rsidR="000B7923" w:rsidRPr="002B1DFC" w14:paraId="651D92EA" w14:textId="77777777">
        <w:tc>
          <w:tcPr>
            <w:tcW w:w="6072" w:type="dxa"/>
            <w:tcBorders>
              <w:top w:val="single" w:sz="4" w:space="0" w:color="4F81BD"/>
              <w:left w:val="single" w:sz="4" w:space="0" w:color="4F81BD"/>
              <w:bottom w:val="single" w:sz="4" w:space="0" w:color="4F81BD"/>
              <w:right w:val="nil"/>
            </w:tcBorders>
            <w:shd w:val="clear" w:color="auto" w:fill="FFFFFF"/>
          </w:tcPr>
          <w:p w14:paraId="5EF06536" w14:textId="77777777" w:rsidR="000B7923" w:rsidRPr="002B1DFC" w:rsidRDefault="000B7923" w:rsidP="00F441C6">
            <w:pPr>
              <w:jc w:val="left"/>
              <w:rPr>
                <w:rFonts w:eastAsia="Times New Roman" w:cs="Times New Roman"/>
                <w:b/>
                <w:bCs/>
              </w:rPr>
            </w:pPr>
            <w:r w:rsidRPr="002B1DFC">
              <w:rPr>
                <w:rFonts w:eastAsia="Times New Roman" w:cs="Times New Roman"/>
              </w:rPr>
              <w:t>Radiation safety</w:t>
            </w:r>
          </w:p>
        </w:tc>
        <w:tc>
          <w:tcPr>
            <w:tcW w:w="876" w:type="dxa"/>
            <w:tcBorders>
              <w:top w:val="single" w:sz="4" w:space="0" w:color="4F81BD"/>
              <w:bottom w:val="single" w:sz="4" w:space="0" w:color="4F81BD"/>
            </w:tcBorders>
          </w:tcPr>
          <w:p w14:paraId="4767AED2"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4.4</w:t>
            </w:r>
          </w:p>
        </w:tc>
        <w:tc>
          <w:tcPr>
            <w:tcW w:w="876" w:type="dxa"/>
            <w:tcBorders>
              <w:top w:val="single" w:sz="4" w:space="0" w:color="4F81BD"/>
              <w:bottom w:val="single" w:sz="4" w:space="0" w:color="4F81BD"/>
            </w:tcBorders>
          </w:tcPr>
          <w:p w14:paraId="6FAA7ED6"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0.6</w:t>
            </w:r>
          </w:p>
        </w:tc>
        <w:tc>
          <w:tcPr>
            <w:tcW w:w="876" w:type="dxa"/>
            <w:tcBorders>
              <w:top w:val="single" w:sz="4" w:space="0" w:color="4F81BD"/>
              <w:bottom w:val="single" w:sz="4" w:space="0" w:color="4F81BD"/>
            </w:tcBorders>
          </w:tcPr>
          <w:p w14:paraId="7AD0BBB1"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0.6</w:t>
            </w:r>
          </w:p>
        </w:tc>
        <w:tc>
          <w:tcPr>
            <w:tcW w:w="876" w:type="dxa"/>
            <w:tcBorders>
              <w:top w:val="single" w:sz="4" w:space="0" w:color="4F81BD"/>
              <w:bottom w:val="single" w:sz="4" w:space="0" w:color="4F81BD"/>
              <w:right w:val="single" w:sz="4" w:space="0" w:color="4F81BD"/>
            </w:tcBorders>
          </w:tcPr>
          <w:p w14:paraId="34BD817E"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1.1</w:t>
            </w:r>
          </w:p>
        </w:tc>
      </w:tr>
      <w:tr w:rsidR="000B7923" w:rsidRPr="002B1DFC" w14:paraId="731E73D6" w14:textId="77777777">
        <w:tc>
          <w:tcPr>
            <w:tcW w:w="6072" w:type="dxa"/>
            <w:tcBorders>
              <w:left w:val="single" w:sz="4" w:space="0" w:color="4F81BD"/>
              <w:right w:val="nil"/>
            </w:tcBorders>
            <w:shd w:val="clear" w:color="auto" w:fill="FFFFFF"/>
          </w:tcPr>
          <w:p w14:paraId="3A9A1A89" w14:textId="77777777" w:rsidR="000B7923" w:rsidRPr="002B1DFC" w:rsidRDefault="000B7923" w:rsidP="00F441C6">
            <w:pPr>
              <w:jc w:val="left"/>
              <w:rPr>
                <w:rFonts w:eastAsia="Times New Roman" w:cs="Times New Roman"/>
                <w:b/>
                <w:bCs/>
              </w:rPr>
            </w:pPr>
            <w:r w:rsidRPr="002B1DFC">
              <w:rPr>
                <w:rFonts w:eastAsia="Times New Roman" w:cs="Times New Roman"/>
              </w:rPr>
              <w:t xml:space="preserve">Research </w:t>
            </w:r>
          </w:p>
        </w:tc>
        <w:tc>
          <w:tcPr>
            <w:tcW w:w="876" w:type="dxa"/>
          </w:tcPr>
          <w:p w14:paraId="44F8D974"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0.5</w:t>
            </w:r>
          </w:p>
        </w:tc>
        <w:tc>
          <w:tcPr>
            <w:tcW w:w="876" w:type="dxa"/>
          </w:tcPr>
          <w:p w14:paraId="19BB0F42"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0.4</w:t>
            </w:r>
          </w:p>
        </w:tc>
        <w:tc>
          <w:tcPr>
            <w:tcW w:w="876" w:type="dxa"/>
          </w:tcPr>
          <w:p w14:paraId="384521D5"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0.5</w:t>
            </w:r>
          </w:p>
        </w:tc>
        <w:tc>
          <w:tcPr>
            <w:tcW w:w="876" w:type="dxa"/>
            <w:tcBorders>
              <w:right w:val="single" w:sz="4" w:space="0" w:color="4F81BD"/>
            </w:tcBorders>
          </w:tcPr>
          <w:p w14:paraId="4F2FAD76"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0.4</w:t>
            </w:r>
          </w:p>
        </w:tc>
      </w:tr>
      <w:tr w:rsidR="000B7923" w:rsidRPr="002B1DFC" w14:paraId="7526583E" w14:textId="77777777">
        <w:tc>
          <w:tcPr>
            <w:tcW w:w="6072" w:type="dxa"/>
            <w:tcBorders>
              <w:top w:val="single" w:sz="4" w:space="0" w:color="4F81BD"/>
              <w:left w:val="single" w:sz="4" w:space="0" w:color="4F81BD"/>
              <w:bottom w:val="single" w:sz="4" w:space="0" w:color="4F81BD"/>
              <w:right w:val="nil"/>
            </w:tcBorders>
            <w:shd w:val="clear" w:color="auto" w:fill="FFFFFF"/>
          </w:tcPr>
          <w:p w14:paraId="724ECF20" w14:textId="77777777" w:rsidR="000B7923" w:rsidRPr="002B1DFC" w:rsidRDefault="000B7923" w:rsidP="00F441C6">
            <w:pPr>
              <w:jc w:val="left"/>
              <w:rPr>
                <w:rFonts w:eastAsia="Times New Roman" w:cs="Times New Roman"/>
                <w:b/>
                <w:bCs/>
              </w:rPr>
            </w:pPr>
            <w:r w:rsidRPr="002B1DFC">
              <w:rPr>
                <w:rFonts w:eastAsia="Times New Roman" w:cs="Times New Roman"/>
              </w:rPr>
              <w:t>Others</w:t>
            </w:r>
          </w:p>
        </w:tc>
        <w:tc>
          <w:tcPr>
            <w:tcW w:w="876" w:type="dxa"/>
            <w:tcBorders>
              <w:top w:val="single" w:sz="4" w:space="0" w:color="4F81BD"/>
              <w:bottom w:val="single" w:sz="4" w:space="0" w:color="4F81BD"/>
            </w:tcBorders>
          </w:tcPr>
          <w:p w14:paraId="546CFE87"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1.8</w:t>
            </w:r>
          </w:p>
        </w:tc>
        <w:tc>
          <w:tcPr>
            <w:tcW w:w="876" w:type="dxa"/>
            <w:tcBorders>
              <w:top w:val="single" w:sz="4" w:space="0" w:color="4F81BD"/>
              <w:bottom w:val="single" w:sz="4" w:space="0" w:color="4F81BD"/>
            </w:tcBorders>
          </w:tcPr>
          <w:p w14:paraId="746D5D47"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1.9</w:t>
            </w:r>
          </w:p>
        </w:tc>
        <w:tc>
          <w:tcPr>
            <w:tcW w:w="876" w:type="dxa"/>
            <w:tcBorders>
              <w:top w:val="single" w:sz="4" w:space="0" w:color="4F81BD"/>
              <w:bottom w:val="single" w:sz="4" w:space="0" w:color="4F81BD"/>
            </w:tcBorders>
          </w:tcPr>
          <w:p w14:paraId="22A05DA3"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1.7</w:t>
            </w:r>
          </w:p>
        </w:tc>
        <w:tc>
          <w:tcPr>
            <w:tcW w:w="876" w:type="dxa"/>
            <w:tcBorders>
              <w:top w:val="single" w:sz="4" w:space="0" w:color="4F81BD"/>
              <w:bottom w:val="single" w:sz="4" w:space="0" w:color="4F81BD"/>
              <w:right w:val="single" w:sz="4" w:space="0" w:color="4F81BD"/>
            </w:tcBorders>
          </w:tcPr>
          <w:p w14:paraId="7D34FEF8" w14:textId="77777777" w:rsidR="000B7923" w:rsidRPr="008870E0" w:rsidRDefault="000B7923" w:rsidP="008870E0">
            <w:pPr>
              <w:jc w:val="right"/>
              <w:rPr>
                <w:rFonts w:eastAsia="Times New Roman" w:cs="Times New Roman"/>
                <w:sz w:val="21"/>
                <w:szCs w:val="21"/>
              </w:rPr>
            </w:pPr>
            <w:r w:rsidRPr="008870E0">
              <w:rPr>
                <w:rFonts w:eastAsia="Times New Roman" w:cs="Times New Roman"/>
                <w:sz w:val="21"/>
                <w:szCs w:val="21"/>
                <w:lang w:val="uk-UA"/>
              </w:rPr>
              <w:t>1.6</w:t>
            </w:r>
          </w:p>
        </w:tc>
      </w:tr>
      <w:tr w:rsidR="000B7923" w:rsidRPr="002B1DFC" w14:paraId="01B639A9" w14:textId="77777777">
        <w:tc>
          <w:tcPr>
            <w:tcW w:w="6072" w:type="dxa"/>
            <w:tcBorders>
              <w:left w:val="single" w:sz="4" w:space="0" w:color="4F81BD"/>
              <w:bottom w:val="single" w:sz="4" w:space="0" w:color="4F81BD"/>
              <w:right w:val="nil"/>
            </w:tcBorders>
            <w:shd w:val="clear" w:color="auto" w:fill="FFFFFF"/>
          </w:tcPr>
          <w:p w14:paraId="5B142EF1" w14:textId="77777777" w:rsidR="000B7923" w:rsidRPr="002B1DFC" w:rsidRDefault="000B7923" w:rsidP="00F441C6">
            <w:pPr>
              <w:jc w:val="left"/>
              <w:rPr>
                <w:rFonts w:eastAsia="Times New Roman" w:cs="Times New Roman"/>
                <w:b/>
                <w:bCs/>
              </w:rPr>
            </w:pPr>
            <w:r w:rsidRPr="002B1DFC">
              <w:rPr>
                <w:rFonts w:eastAsia="Times New Roman" w:cs="Times New Roman"/>
              </w:rPr>
              <w:t>Total</w:t>
            </w:r>
          </w:p>
        </w:tc>
        <w:tc>
          <w:tcPr>
            <w:tcW w:w="876" w:type="dxa"/>
            <w:tcBorders>
              <w:bottom w:val="single" w:sz="4" w:space="0" w:color="4F81BD"/>
            </w:tcBorders>
          </w:tcPr>
          <w:p w14:paraId="3059CD76" w14:textId="77777777" w:rsidR="000B7923" w:rsidRPr="002B1DFC" w:rsidRDefault="000B7923" w:rsidP="00F441C6">
            <w:pPr>
              <w:jc w:val="left"/>
              <w:rPr>
                <w:rFonts w:eastAsia="Times New Roman" w:cs="Times New Roman"/>
                <w:i/>
                <w:iCs/>
              </w:rPr>
            </w:pPr>
            <w:r w:rsidRPr="002B1DFC">
              <w:rPr>
                <w:rFonts w:eastAsia="Times New Roman" w:cs="Times New Roman"/>
                <w:i/>
                <w:iCs/>
                <w:lang w:val="uk-UA"/>
              </w:rPr>
              <w:t>100%</w:t>
            </w:r>
          </w:p>
        </w:tc>
        <w:tc>
          <w:tcPr>
            <w:tcW w:w="876" w:type="dxa"/>
            <w:tcBorders>
              <w:bottom w:val="single" w:sz="4" w:space="0" w:color="4F81BD"/>
            </w:tcBorders>
          </w:tcPr>
          <w:p w14:paraId="002BEFA7" w14:textId="77777777" w:rsidR="000B7923" w:rsidRPr="002B1DFC" w:rsidRDefault="000B7923" w:rsidP="00F441C6">
            <w:pPr>
              <w:jc w:val="left"/>
              <w:rPr>
                <w:rFonts w:eastAsia="Times New Roman" w:cs="Times New Roman"/>
                <w:i/>
                <w:iCs/>
              </w:rPr>
            </w:pPr>
            <w:r w:rsidRPr="002B1DFC">
              <w:rPr>
                <w:rFonts w:eastAsia="Times New Roman" w:cs="Times New Roman"/>
                <w:i/>
                <w:iCs/>
                <w:lang w:val="uk-UA"/>
              </w:rPr>
              <w:t>100%</w:t>
            </w:r>
          </w:p>
        </w:tc>
        <w:tc>
          <w:tcPr>
            <w:tcW w:w="876" w:type="dxa"/>
            <w:tcBorders>
              <w:bottom w:val="single" w:sz="4" w:space="0" w:color="4F81BD"/>
            </w:tcBorders>
          </w:tcPr>
          <w:p w14:paraId="30958D98" w14:textId="77777777" w:rsidR="000B7923" w:rsidRPr="002B1DFC" w:rsidRDefault="000B7923" w:rsidP="00F441C6">
            <w:pPr>
              <w:jc w:val="left"/>
              <w:rPr>
                <w:rFonts w:eastAsia="Times New Roman" w:cs="Times New Roman"/>
                <w:i/>
                <w:iCs/>
              </w:rPr>
            </w:pPr>
            <w:r w:rsidRPr="002B1DFC">
              <w:rPr>
                <w:rFonts w:eastAsia="Times New Roman" w:cs="Times New Roman"/>
                <w:i/>
                <w:iCs/>
                <w:lang w:val="uk-UA"/>
              </w:rPr>
              <w:t>100%</w:t>
            </w:r>
          </w:p>
        </w:tc>
        <w:tc>
          <w:tcPr>
            <w:tcW w:w="876" w:type="dxa"/>
            <w:tcBorders>
              <w:bottom w:val="single" w:sz="4" w:space="0" w:color="4F81BD"/>
              <w:right w:val="single" w:sz="4" w:space="0" w:color="4F81BD"/>
            </w:tcBorders>
          </w:tcPr>
          <w:p w14:paraId="7465D556" w14:textId="77777777" w:rsidR="000B7923" w:rsidRPr="002B1DFC" w:rsidRDefault="000B7923" w:rsidP="00F441C6">
            <w:pPr>
              <w:jc w:val="left"/>
              <w:rPr>
                <w:rFonts w:eastAsia="Times New Roman" w:cs="Times New Roman"/>
                <w:i/>
                <w:iCs/>
              </w:rPr>
            </w:pPr>
            <w:r w:rsidRPr="002B1DFC">
              <w:rPr>
                <w:rFonts w:eastAsia="Times New Roman" w:cs="Times New Roman"/>
                <w:i/>
                <w:iCs/>
                <w:lang w:val="uk-UA"/>
              </w:rPr>
              <w:t>100%</w:t>
            </w:r>
          </w:p>
        </w:tc>
      </w:tr>
    </w:tbl>
    <w:p w14:paraId="46CEADC9" w14:textId="77777777" w:rsidR="000B7923" w:rsidRPr="008870E0" w:rsidRDefault="000B7923" w:rsidP="0075055E">
      <w:pPr>
        <w:spacing w:after="200" w:line="276" w:lineRule="auto"/>
        <w:jc w:val="left"/>
        <w:rPr>
          <w:rFonts w:cs="Times New Roman"/>
          <w:sz w:val="20"/>
          <w:szCs w:val="20"/>
        </w:rPr>
      </w:pPr>
      <w:r w:rsidRPr="008870E0">
        <w:rPr>
          <w:rFonts w:cs="Times New Roman"/>
          <w:i/>
          <w:sz w:val="20"/>
          <w:szCs w:val="20"/>
        </w:rPr>
        <w:t>Source:</w:t>
      </w:r>
      <w:r w:rsidRPr="008870E0">
        <w:rPr>
          <w:rFonts w:cs="Times New Roman"/>
          <w:sz w:val="20"/>
          <w:szCs w:val="20"/>
        </w:rPr>
        <w:t xml:space="preserve"> State Statistics Service of Ukraine. 2014. </w:t>
      </w:r>
      <w:r w:rsidRPr="008870E0">
        <w:rPr>
          <w:rFonts w:cs="Times New Roman"/>
          <w:i/>
          <w:sz w:val="20"/>
          <w:szCs w:val="20"/>
        </w:rPr>
        <w:t>Statistical Yearbook</w:t>
      </w:r>
      <w:r w:rsidR="005C2264" w:rsidRPr="008870E0">
        <w:rPr>
          <w:rFonts w:cs="Times New Roman"/>
          <w:i/>
          <w:sz w:val="20"/>
          <w:szCs w:val="20"/>
        </w:rPr>
        <w:t>:</w:t>
      </w:r>
      <w:r w:rsidRPr="008870E0">
        <w:rPr>
          <w:rFonts w:cs="Times New Roman"/>
          <w:i/>
          <w:sz w:val="20"/>
          <w:szCs w:val="20"/>
        </w:rPr>
        <w:t xml:space="preserve"> Ukraine in Figures </w:t>
      </w:r>
      <w:r w:rsidR="00BB1676">
        <w:rPr>
          <w:rFonts w:cs="Times New Roman"/>
          <w:i/>
          <w:sz w:val="20"/>
          <w:szCs w:val="20"/>
        </w:rPr>
        <w:t>–</w:t>
      </w:r>
      <w:r w:rsidRPr="008870E0">
        <w:rPr>
          <w:rFonts w:cs="Times New Roman"/>
          <w:i/>
          <w:sz w:val="20"/>
          <w:szCs w:val="20"/>
        </w:rPr>
        <w:t xml:space="preserve"> 2013</w:t>
      </w:r>
      <w:r w:rsidRPr="008870E0">
        <w:rPr>
          <w:rFonts w:cs="Times New Roman"/>
          <w:sz w:val="20"/>
          <w:szCs w:val="20"/>
        </w:rPr>
        <w:t>. State Statistics Service of Ukraine, Kyiv</w:t>
      </w:r>
      <w:r w:rsidR="005C2264" w:rsidRPr="008870E0">
        <w:rPr>
          <w:rFonts w:cs="Times New Roman"/>
          <w:sz w:val="20"/>
          <w:szCs w:val="20"/>
        </w:rPr>
        <w:t>.</w:t>
      </w:r>
    </w:p>
    <w:p w14:paraId="01EDC401"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lastRenderedPageBreak/>
        <w:t xml:space="preserve">A public environmental expenditure review carried out by the World Bank (2003) identified a number of challenges facing the use of economic instruments in Ukraine. </w:t>
      </w:r>
      <w:r w:rsidR="006B1428">
        <w:rPr>
          <w:rFonts w:cs="Times New Roman"/>
        </w:rPr>
        <w:t>A k</w:t>
      </w:r>
      <w:r w:rsidRPr="002B1DFC">
        <w:rPr>
          <w:rFonts w:cs="Times New Roman"/>
        </w:rPr>
        <w:t xml:space="preserve">ey </w:t>
      </w:r>
      <w:r w:rsidR="006B1428">
        <w:rPr>
          <w:rFonts w:cs="Times New Roman"/>
        </w:rPr>
        <w:t xml:space="preserve">point in the Bank’s review </w:t>
      </w:r>
      <w:r w:rsidRPr="002B1DFC">
        <w:rPr>
          <w:rFonts w:cs="Times New Roman"/>
        </w:rPr>
        <w:t>was that pollution charges were seen more as revenue</w:t>
      </w:r>
      <w:r w:rsidR="006B1428">
        <w:rPr>
          <w:rFonts w:cs="Times New Roman"/>
        </w:rPr>
        <w:t>-</w:t>
      </w:r>
      <w:r w:rsidRPr="002B1DFC">
        <w:rPr>
          <w:rFonts w:cs="Times New Roman"/>
        </w:rPr>
        <w:t xml:space="preserve">generating instruments rather than instruments to achieve environmental quality. This was further confirmed by regional data disaggregation, which showed that compliance rates with charges and fines </w:t>
      </w:r>
      <w:r w:rsidR="006B1428">
        <w:rPr>
          <w:rFonts w:cs="Times New Roman"/>
        </w:rPr>
        <w:t>we</w:t>
      </w:r>
      <w:r w:rsidRPr="002B1DFC">
        <w:rPr>
          <w:rFonts w:cs="Times New Roman"/>
        </w:rPr>
        <w:t xml:space="preserve">re lower in regions with higher pollution loads and where fines were less likely to be imposed. </w:t>
      </w:r>
    </w:p>
    <w:p w14:paraId="19850586" w14:textId="77777777" w:rsidR="000B7923" w:rsidRPr="002B1DFC" w:rsidRDefault="000B7923" w:rsidP="00B805BD">
      <w:pPr>
        <w:rPr>
          <w:rFonts w:cs="Times New Roman"/>
        </w:rPr>
      </w:pPr>
    </w:p>
    <w:p w14:paraId="1F31B123"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Currently, there is another change regarding target use of environmental payments. Before 2014, environmental charges were directed to </w:t>
      </w:r>
      <w:r w:rsidR="006B1428">
        <w:rPr>
          <w:rFonts w:cs="Times New Roman"/>
        </w:rPr>
        <w:t>MENR’s</w:t>
      </w:r>
      <w:r w:rsidR="006B1428" w:rsidRPr="002B1DFC">
        <w:rPr>
          <w:rFonts w:cs="Times New Roman"/>
        </w:rPr>
        <w:t xml:space="preserve"> </w:t>
      </w:r>
      <w:r w:rsidRPr="002B1DFC">
        <w:rPr>
          <w:rFonts w:cs="Times New Roman"/>
        </w:rPr>
        <w:t>Special Fund and earmarked for environmental protection measures. However, the latest changes to Ukrainian legislation foresee that environmental payments will be directed to</w:t>
      </w:r>
      <w:r w:rsidR="006B1428">
        <w:rPr>
          <w:rFonts w:cs="Times New Roman"/>
        </w:rPr>
        <w:t xml:space="preserve"> the</w:t>
      </w:r>
      <w:r w:rsidRPr="002B1DFC">
        <w:rPr>
          <w:rFonts w:cs="Times New Roman"/>
        </w:rPr>
        <w:t xml:space="preserve"> General State Fund</w:t>
      </w:r>
      <w:r w:rsidR="009A1289">
        <w:rPr>
          <w:rFonts w:cs="Times New Roman"/>
        </w:rPr>
        <w:t xml:space="preserve"> (MENR 2015</w:t>
      </w:r>
      <w:r w:rsidR="00C8434D">
        <w:rPr>
          <w:rFonts w:cs="Times New Roman"/>
        </w:rPr>
        <w:t>b</w:t>
      </w:r>
      <w:r w:rsidR="009A1289">
        <w:rPr>
          <w:rFonts w:cs="Times New Roman"/>
        </w:rPr>
        <w:t>)</w:t>
      </w:r>
      <w:r w:rsidR="006B1428">
        <w:rPr>
          <w:rFonts w:cs="Times New Roman"/>
        </w:rPr>
        <w:t>.</w:t>
      </w:r>
      <w:r w:rsidRPr="002B1DFC">
        <w:rPr>
          <w:rFonts w:cs="Times New Roman"/>
        </w:rPr>
        <w:t xml:space="preserve"> </w:t>
      </w:r>
    </w:p>
    <w:p w14:paraId="506552D2" w14:textId="77777777" w:rsidR="000B7923" w:rsidRPr="002B1DFC" w:rsidRDefault="000B7923" w:rsidP="00F33595">
      <w:pPr>
        <w:rPr>
          <w:rFonts w:cs="Times New Roman"/>
        </w:rPr>
      </w:pPr>
    </w:p>
    <w:p w14:paraId="5A272A97"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Market</w:t>
      </w:r>
      <w:r w:rsidR="006B1428">
        <w:rPr>
          <w:rFonts w:cs="Times New Roman"/>
        </w:rPr>
        <w:t>-</w:t>
      </w:r>
      <w:r w:rsidRPr="002B1DFC">
        <w:rPr>
          <w:rFonts w:cs="Times New Roman"/>
        </w:rPr>
        <w:t xml:space="preserve">based mechanisms/instruments are not </w:t>
      </w:r>
      <w:r w:rsidR="006B1428">
        <w:rPr>
          <w:rFonts w:cs="Times New Roman"/>
        </w:rPr>
        <w:t>well developed</w:t>
      </w:r>
      <w:r w:rsidRPr="002B1DFC">
        <w:rPr>
          <w:rFonts w:cs="Times New Roman"/>
        </w:rPr>
        <w:t xml:space="preserve"> in Ukraine. The Government plans to introduce internal emissions trading scheme between largest industrial companies. However, for this moment, there are no legislative, institutional and technical backgrounds for this activity. Some market based mechanisms were operated under the Kyoto Protocol implementation’ period during 2008</w:t>
      </w:r>
      <w:r w:rsidR="00BB1676">
        <w:rPr>
          <w:rFonts w:cs="Times New Roman"/>
        </w:rPr>
        <w:t>–</w:t>
      </w:r>
      <w:r w:rsidRPr="002B1DFC">
        <w:rPr>
          <w:rFonts w:cs="Times New Roman"/>
        </w:rPr>
        <w:t xml:space="preserve">2012, and it included joint implementation projects for emissions reduction, and international greenhouse gas emissions trading scheme. Those mechanisms allowed modernizing the industrial companies, attracting investment and reducing emissions. New opportunities and mechanisms will be developed under </w:t>
      </w:r>
      <w:r w:rsidR="006B1428">
        <w:rPr>
          <w:rFonts w:cs="Times New Roman"/>
        </w:rPr>
        <w:t xml:space="preserve">the </w:t>
      </w:r>
      <w:r w:rsidRPr="002B1DFC">
        <w:rPr>
          <w:rFonts w:cs="Times New Roman"/>
        </w:rPr>
        <w:t xml:space="preserve">upcoming global climate change agreement, which is planned to be adopted in Paris </w:t>
      </w:r>
      <w:r w:rsidR="006B1428">
        <w:rPr>
          <w:rFonts w:cs="Times New Roman"/>
        </w:rPr>
        <w:t>at</w:t>
      </w:r>
      <w:r w:rsidRPr="002B1DFC">
        <w:rPr>
          <w:rFonts w:cs="Times New Roman"/>
        </w:rPr>
        <w:t xml:space="preserve"> the end of 2015. </w:t>
      </w:r>
    </w:p>
    <w:p w14:paraId="2B99B6B4" w14:textId="77777777" w:rsidR="000B7923" w:rsidRPr="002B1DFC" w:rsidRDefault="000B7923" w:rsidP="00F33595">
      <w:pPr>
        <w:rPr>
          <w:rFonts w:cs="Times New Roman"/>
          <w:color w:val="FF0000"/>
        </w:rPr>
      </w:pPr>
    </w:p>
    <w:p w14:paraId="4302D4AF" w14:textId="77777777" w:rsidR="000B7923" w:rsidRPr="002B1DFC" w:rsidRDefault="000B7923" w:rsidP="00F55709">
      <w:pPr>
        <w:pStyle w:val="ListParagraph"/>
        <w:numPr>
          <w:ilvl w:val="0"/>
          <w:numId w:val="68"/>
        </w:numPr>
        <w:tabs>
          <w:tab w:val="left" w:pos="360"/>
        </w:tabs>
        <w:ind w:left="0" w:firstLine="0"/>
        <w:rPr>
          <w:rFonts w:eastAsia="Times New Roman" w:cs="Times New Roman"/>
        </w:rPr>
      </w:pPr>
      <w:r w:rsidRPr="002B1DFC">
        <w:rPr>
          <w:rFonts w:cs="Times New Roman"/>
        </w:rPr>
        <w:t xml:space="preserve">OECD (2006) carried out a performance review of the State Environmental Protection Fund of Ukraine. The review aimed to improve the management of the public environmental finance system in line with international good practices.  </w:t>
      </w:r>
      <w:r w:rsidR="00523EFA">
        <w:rPr>
          <w:rFonts w:cs="Times New Roman"/>
        </w:rPr>
        <w:t>A</w:t>
      </w:r>
      <w:r w:rsidR="00523EFA" w:rsidRPr="002B1DFC">
        <w:rPr>
          <w:rFonts w:cs="Times New Roman"/>
        </w:rPr>
        <w:t xml:space="preserve"> </w:t>
      </w:r>
      <w:r w:rsidRPr="002B1DFC">
        <w:rPr>
          <w:rFonts w:cs="Times New Roman"/>
        </w:rPr>
        <w:t>part of the review</w:t>
      </w:r>
      <w:r w:rsidR="00523EFA">
        <w:rPr>
          <w:rFonts w:cs="Times New Roman"/>
        </w:rPr>
        <w:t xml:space="preserve"> was</w:t>
      </w:r>
      <w:r w:rsidRPr="002B1DFC">
        <w:rPr>
          <w:rFonts w:cs="Times New Roman"/>
        </w:rPr>
        <w:t xml:space="preserve"> </w:t>
      </w:r>
      <w:r w:rsidR="00523EFA">
        <w:rPr>
          <w:rFonts w:cs="Times New Roman"/>
        </w:rPr>
        <w:t xml:space="preserve">an </w:t>
      </w:r>
      <w:r w:rsidRPr="002B1DFC">
        <w:rPr>
          <w:rFonts w:cs="Times New Roman"/>
        </w:rPr>
        <w:t xml:space="preserve">analysis of the </w:t>
      </w:r>
      <w:r w:rsidR="00523EFA">
        <w:rPr>
          <w:rFonts w:cs="Times New Roman"/>
        </w:rPr>
        <w:t>f</w:t>
      </w:r>
      <w:r w:rsidRPr="002B1DFC">
        <w:rPr>
          <w:rFonts w:cs="Times New Roman"/>
        </w:rPr>
        <w:t>und</w:t>
      </w:r>
      <w:r w:rsidR="00523EFA">
        <w:rPr>
          <w:rFonts w:cs="Times New Roman"/>
        </w:rPr>
        <w:t>’s</w:t>
      </w:r>
      <w:r w:rsidRPr="002B1DFC">
        <w:rPr>
          <w:rFonts w:cs="Times New Roman"/>
        </w:rPr>
        <w:t xml:space="preserve"> </w:t>
      </w:r>
      <w:r w:rsidRPr="002B1DFC">
        <w:rPr>
          <w:rFonts w:eastAsia="Times New Roman" w:cs="Times New Roman"/>
        </w:rPr>
        <w:t>administration,</w:t>
      </w:r>
      <w:r w:rsidR="00523EFA">
        <w:rPr>
          <w:rFonts w:eastAsia="Times New Roman" w:cs="Times New Roman"/>
        </w:rPr>
        <w:t xml:space="preserve"> and of its</w:t>
      </w:r>
      <w:r w:rsidRPr="002B1DFC">
        <w:rPr>
          <w:rFonts w:eastAsia="Times New Roman" w:cs="Times New Roman"/>
        </w:rPr>
        <w:t xml:space="preserve"> operation</w:t>
      </w:r>
      <w:r w:rsidR="00523EFA">
        <w:rPr>
          <w:rFonts w:eastAsia="Times New Roman" w:cs="Times New Roman"/>
        </w:rPr>
        <w:t>al</w:t>
      </w:r>
      <w:r w:rsidRPr="002B1DFC">
        <w:rPr>
          <w:rFonts w:eastAsia="Times New Roman" w:cs="Times New Roman"/>
        </w:rPr>
        <w:t xml:space="preserve"> strengths and weaknesses</w:t>
      </w:r>
      <w:r w:rsidR="00523EFA">
        <w:rPr>
          <w:rFonts w:eastAsia="Times New Roman" w:cs="Times New Roman"/>
        </w:rPr>
        <w:t>. In addition, the review proposed</w:t>
      </w:r>
      <w:r w:rsidRPr="002B1DFC">
        <w:rPr>
          <w:rFonts w:eastAsia="Times New Roman" w:cs="Times New Roman"/>
        </w:rPr>
        <w:t xml:space="preserve"> a reform plan to strengthen </w:t>
      </w:r>
      <w:r w:rsidR="00523EFA">
        <w:rPr>
          <w:rFonts w:eastAsia="Times New Roman" w:cs="Times New Roman"/>
        </w:rPr>
        <w:t xml:space="preserve">the fund’s </w:t>
      </w:r>
      <w:r w:rsidRPr="002B1DFC">
        <w:rPr>
          <w:rFonts w:eastAsia="Times New Roman" w:cs="Times New Roman"/>
        </w:rPr>
        <w:t>expenditure</w:t>
      </w:r>
      <w:r w:rsidR="00523EFA">
        <w:rPr>
          <w:rFonts w:eastAsia="Times New Roman" w:cs="Times New Roman"/>
        </w:rPr>
        <w:t>-</w:t>
      </w:r>
      <w:r w:rsidRPr="002B1DFC">
        <w:rPr>
          <w:rFonts w:eastAsia="Times New Roman" w:cs="Times New Roman"/>
        </w:rPr>
        <w:t>management capacity. The review identified key issues to be addressed, these included</w:t>
      </w:r>
      <w:r w:rsidR="00523EFA">
        <w:rPr>
          <w:rFonts w:eastAsia="Times New Roman" w:cs="Times New Roman"/>
        </w:rPr>
        <w:t xml:space="preserve"> the</w:t>
      </w:r>
      <w:r w:rsidRPr="002B1DFC">
        <w:rPr>
          <w:rFonts w:eastAsia="Times New Roman" w:cs="Times New Roman"/>
        </w:rPr>
        <w:t xml:space="preserve"> lack of appropriate policy and institutional structure</w:t>
      </w:r>
      <w:r w:rsidR="00523EFA">
        <w:rPr>
          <w:rFonts w:eastAsia="Times New Roman" w:cs="Times New Roman"/>
        </w:rPr>
        <w:t>,</w:t>
      </w:r>
      <w:r w:rsidRPr="002B1DFC">
        <w:rPr>
          <w:rFonts w:eastAsia="Times New Roman" w:cs="Times New Roman"/>
        </w:rPr>
        <w:t xml:space="preserve"> and</w:t>
      </w:r>
      <w:r w:rsidRPr="002B1DFC">
        <w:rPr>
          <w:rFonts w:cs="Times New Roman"/>
          <w:b/>
          <w:bCs/>
        </w:rPr>
        <w:t xml:space="preserve"> </w:t>
      </w:r>
      <w:r w:rsidRPr="002B1DFC">
        <w:rPr>
          <w:rFonts w:cs="Times New Roman"/>
        </w:rPr>
        <w:t>absence of a clearly formulated national environmental policy. The review also provided recommendations to strengthen the effectiveness of the state environmental protection fund. These included:</w:t>
      </w:r>
    </w:p>
    <w:p w14:paraId="5EA60761" w14:textId="77777777" w:rsidR="000B7923" w:rsidRPr="002B1DFC" w:rsidRDefault="000B7923" w:rsidP="00F55709">
      <w:pPr>
        <w:pStyle w:val="ListParagraph"/>
        <w:numPr>
          <w:ilvl w:val="0"/>
          <w:numId w:val="36"/>
        </w:numPr>
        <w:autoSpaceDE w:val="0"/>
        <w:autoSpaceDN w:val="0"/>
        <w:adjustRightInd w:val="0"/>
        <w:ind w:left="720"/>
        <w:jc w:val="left"/>
        <w:rPr>
          <w:rFonts w:cs="Times New Roman"/>
        </w:rPr>
      </w:pPr>
      <w:r w:rsidRPr="002B1DFC">
        <w:rPr>
          <w:rFonts w:cs="Times New Roman"/>
        </w:rPr>
        <w:t>Reduce the number of local funds and concentrate the resources at a national and oblast level;</w:t>
      </w:r>
    </w:p>
    <w:p w14:paraId="2275EADC" w14:textId="77777777" w:rsidR="000B7923" w:rsidRPr="002B1DFC" w:rsidRDefault="000B7923" w:rsidP="00F55709">
      <w:pPr>
        <w:pStyle w:val="ListParagraph"/>
        <w:numPr>
          <w:ilvl w:val="0"/>
          <w:numId w:val="36"/>
        </w:numPr>
        <w:autoSpaceDE w:val="0"/>
        <w:autoSpaceDN w:val="0"/>
        <w:adjustRightInd w:val="0"/>
        <w:ind w:left="720"/>
        <w:jc w:val="left"/>
        <w:rPr>
          <w:rFonts w:cs="Times New Roman"/>
        </w:rPr>
      </w:pPr>
      <w:r w:rsidRPr="002B1DFC">
        <w:rPr>
          <w:rFonts w:cs="Times New Roman"/>
        </w:rPr>
        <w:t xml:space="preserve">In consultation with stakeholders, identify a particular niche for the Fund to ensure that it plays a strategic role in the national environmental policy. </w:t>
      </w:r>
    </w:p>
    <w:p w14:paraId="20BFAC80" w14:textId="77777777" w:rsidR="000B7923" w:rsidRPr="002B1DFC" w:rsidRDefault="000B7923" w:rsidP="00F55709">
      <w:pPr>
        <w:pStyle w:val="ListParagraph"/>
        <w:numPr>
          <w:ilvl w:val="0"/>
          <w:numId w:val="36"/>
        </w:numPr>
        <w:autoSpaceDE w:val="0"/>
        <w:autoSpaceDN w:val="0"/>
        <w:adjustRightInd w:val="0"/>
        <w:ind w:left="720"/>
        <w:jc w:val="left"/>
        <w:rPr>
          <w:rFonts w:cs="Times New Roman"/>
        </w:rPr>
      </w:pPr>
      <w:r w:rsidRPr="002B1DFC">
        <w:rPr>
          <w:rFonts w:cs="Times New Roman"/>
        </w:rPr>
        <w:t xml:space="preserve">Design a proper organization and management structure of the State Fund. </w:t>
      </w:r>
    </w:p>
    <w:p w14:paraId="74497547" w14:textId="77777777" w:rsidR="000B7923" w:rsidRPr="002B1DFC" w:rsidRDefault="000B7923" w:rsidP="00F55709">
      <w:pPr>
        <w:pStyle w:val="ListParagraph"/>
        <w:numPr>
          <w:ilvl w:val="0"/>
          <w:numId w:val="36"/>
        </w:numPr>
        <w:autoSpaceDE w:val="0"/>
        <w:autoSpaceDN w:val="0"/>
        <w:adjustRightInd w:val="0"/>
        <w:ind w:left="720"/>
        <w:jc w:val="left"/>
        <w:rPr>
          <w:rFonts w:cs="Times New Roman"/>
        </w:rPr>
      </w:pPr>
      <w:r w:rsidRPr="002B1DFC">
        <w:rPr>
          <w:rFonts w:cs="Times New Roman"/>
        </w:rPr>
        <w:t>Define the programs of the Fund in line with good international practices;</w:t>
      </w:r>
    </w:p>
    <w:p w14:paraId="41250946" w14:textId="77777777" w:rsidR="000B7923" w:rsidRPr="002B1DFC" w:rsidRDefault="000B7923" w:rsidP="00F55709">
      <w:pPr>
        <w:pStyle w:val="ListParagraph"/>
        <w:numPr>
          <w:ilvl w:val="0"/>
          <w:numId w:val="36"/>
        </w:numPr>
        <w:autoSpaceDE w:val="0"/>
        <w:autoSpaceDN w:val="0"/>
        <w:adjustRightInd w:val="0"/>
        <w:ind w:left="720"/>
        <w:jc w:val="left"/>
        <w:rPr>
          <w:rFonts w:cs="Times New Roman"/>
        </w:rPr>
      </w:pPr>
      <w:r w:rsidRPr="002B1DFC">
        <w:rPr>
          <w:rFonts w:cs="Times New Roman"/>
        </w:rPr>
        <w:t>Introduce a medium-term budget framework to allow for the smooth implementation of multiyear projects;</w:t>
      </w:r>
    </w:p>
    <w:p w14:paraId="44E18C3C" w14:textId="77777777" w:rsidR="000B7923" w:rsidRDefault="000B7923" w:rsidP="00F55709">
      <w:pPr>
        <w:pStyle w:val="ListParagraph"/>
        <w:numPr>
          <w:ilvl w:val="0"/>
          <w:numId w:val="36"/>
        </w:numPr>
        <w:autoSpaceDE w:val="0"/>
        <w:autoSpaceDN w:val="0"/>
        <w:adjustRightInd w:val="0"/>
        <w:ind w:left="720"/>
        <w:jc w:val="left"/>
        <w:rPr>
          <w:rFonts w:cs="Times New Roman"/>
        </w:rPr>
      </w:pPr>
      <w:r w:rsidRPr="002B1DFC">
        <w:rPr>
          <w:rFonts w:cs="Times New Roman"/>
        </w:rPr>
        <w:t xml:space="preserve">Introduce and maintain regular monitoring and control of individual investment projects implemented with support by the Fund. </w:t>
      </w:r>
    </w:p>
    <w:p w14:paraId="1BCDB06B" w14:textId="77777777" w:rsidR="00DC2622" w:rsidRPr="002B1DFC" w:rsidRDefault="00DC2622" w:rsidP="0061686D">
      <w:pPr>
        <w:pStyle w:val="ListParagraph"/>
        <w:autoSpaceDE w:val="0"/>
        <w:autoSpaceDN w:val="0"/>
        <w:adjustRightInd w:val="0"/>
        <w:ind w:left="360"/>
        <w:jc w:val="left"/>
        <w:rPr>
          <w:rFonts w:cs="Times New Roman"/>
        </w:rPr>
      </w:pPr>
    </w:p>
    <w:p w14:paraId="3CF5AB73" w14:textId="2F8F071C" w:rsidR="000B7923" w:rsidRPr="002B1DFC" w:rsidRDefault="000B7923" w:rsidP="005C4ECB">
      <w:pPr>
        <w:pStyle w:val="Heading2"/>
      </w:pPr>
      <w:bookmarkStart w:id="133" w:name="_Toc440273977"/>
      <w:bookmarkStart w:id="134" w:name="_Toc403738269"/>
      <w:bookmarkEnd w:id="96"/>
      <w:r w:rsidRPr="002B1DFC">
        <w:t>Public Access to Information and Public Participation</w:t>
      </w:r>
      <w:bookmarkEnd w:id="133"/>
      <w:r w:rsidRPr="002B1DFC">
        <w:t xml:space="preserve"> </w:t>
      </w:r>
      <w:bookmarkEnd w:id="134"/>
    </w:p>
    <w:p w14:paraId="37BF258E" w14:textId="77777777" w:rsidR="000B7923" w:rsidRPr="002B1DFC" w:rsidRDefault="000B7923" w:rsidP="00EF32FD">
      <w:pPr>
        <w:rPr>
          <w:rFonts w:cs="Times New Roman"/>
        </w:rPr>
      </w:pPr>
    </w:p>
    <w:p w14:paraId="3B109D11"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In 1999, Ukraine ratified the Convention on Access to Information, Public Participation in Decision-Making and Access to Justice in Environmental Matters (Aarhus Convention). Access to information is provided by publishing information in official printed matter and on official </w:t>
      </w:r>
      <w:r w:rsidR="00591FD4">
        <w:rPr>
          <w:rFonts w:cs="Times New Roman"/>
        </w:rPr>
        <w:t>Web site</w:t>
      </w:r>
      <w:r w:rsidRPr="002B1DFC">
        <w:rPr>
          <w:rFonts w:cs="Times New Roman"/>
        </w:rPr>
        <w:t xml:space="preserve">s, informational stands, and giving information to </w:t>
      </w:r>
      <w:r w:rsidR="00523EFA">
        <w:rPr>
          <w:rFonts w:cs="Times New Roman"/>
        </w:rPr>
        <w:t xml:space="preserve">the </w:t>
      </w:r>
      <w:r w:rsidRPr="002B1DFC">
        <w:rPr>
          <w:rFonts w:cs="Times New Roman"/>
        </w:rPr>
        <w:t xml:space="preserve">public </w:t>
      </w:r>
      <w:r w:rsidR="00523EFA">
        <w:rPr>
          <w:rFonts w:cs="Times New Roman"/>
        </w:rPr>
        <w:t>in response to</w:t>
      </w:r>
      <w:r w:rsidRPr="002B1DFC">
        <w:rPr>
          <w:rFonts w:cs="Times New Roman"/>
        </w:rPr>
        <w:t xml:space="preserve"> official requests. However, not all information could be open by the state authority to public access, and there is a restriction </w:t>
      </w:r>
      <w:r w:rsidR="00523EFA">
        <w:rPr>
          <w:rFonts w:cs="Times New Roman"/>
        </w:rPr>
        <w:t>on</w:t>
      </w:r>
      <w:r w:rsidRPr="002B1DFC">
        <w:rPr>
          <w:rFonts w:cs="Times New Roman"/>
        </w:rPr>
        <w:t xml:space="preserve"> access to confidential information, </w:t>
      </w:r>
      <w:r w:rsidR="00523EFA">
        <w:rPr>
          <w:rFonts w:cs="Times New Roman"/>
        </w:rPr>
        <w:t xml:space="preserve">and to </w:t>
      </w:r>
      <w:r w:rsidRPr="002B1DFC">
        <w:rPr>
          <w:rFonts w:cs="Times New Roman"/>
        </w:rPr>
        <w:t xml:space="preserve">secret and organizational information. </w:t>
      </w:r>
    </w:p>
    <w:p w14:paraId="07665EE9" w14:textId="77777777" w:rsidR="000B7923" w:rsidRPr="002B1DFC" w:rsidRDefault="000B7923" w:rsidP="00F33595">
      <w:pPr>
        <w:rPr>
          <w:rFonts w:cs="Times New Roman"/>
        </w:rPr>
      </w:pPr>
    </w:p>
    <w:p w14:paraId="7D53B9ED"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The MENR publishes environmental information and the results of its work on the following </w:t>
      </w:r>
      <w:r w:rsidR="00591FD4">
        <w:rPr>
          <w:rFonts w:cs="Times New Roman"/>
        </w:rPr>
        <w:t>Web site</w:t>
      </w:r>
      <w:r w:rsidRPr="002B1DFC">
        <w:rPr>
          <w:rFonts w:cs="Times New Roman"/>
        </w:rPr>
        <w:t xml:space="preserve"> </w:t>
      </w:r>
      <w:hyperlink r:id="rId21" w:history="1">
        <w:r w:rsidRPr="006020B3">
          <w:rPr>
            <w:rStyle w:val="Hyperlink"/>
            <w:color w:val="auto"/>
            <w:u w:val="none"/>
          </w:rPr>
          <w:t>www.menr.gov.ua</w:t>
        </w:r>
      </w:hyperlink>
      <w:r w:rsidRPr="005A1195">
        <w:rPr>
          <w:rFonts w:cs="Times New Roman"/>
        </w:rPr>
        <w:t>.</w:t>
      </w:r>
      <w:r w:rsidRPr="002B1DFC">
        <w:rPr>
          <w:rFonts w:cs="Times New Roman"/>
        </w:rPr>
        <w:t xml:space="preserve"> However, some information is outdated. </w:t>
      </w:r>
    </w:p>
    <w:p w14:paraId="1010BC86" w14:textId="77777777" w:rsidR="000B7923" w:rsidRPr="002B1DFC" w:rsidRDefault="000B7923" w:rsidP="00EF32FD">
      <w:pPr>
        <w:rPr>
          <w:rFonts w:cs="Times New Roman"/>
        </w:rPr>
      </w:pPr>
    </w:p>
    <w:p w14:paraId="6D1D2B3B"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Any person and/or organization may request information they need from the MENR by sending </w:t>
      </w:r>
      <w:r w:rsidR="00523EFA">
        <w:rPr>
          <w:rFonts w:cs="Times New Roman"/>
        </w:rPr>
        <w:t>an</w:t>
      </w:r>
      <w:r w:rsidR="00523EFA" w:rsidRPr="002B1DFC">
        <w:rPr>
          <w:rFonts w:cs="Times New Roman"/>
        </w:rPr>
        <w:t xml:space="preserve"> </w:t>
      </w:r>
      <w:r w:rsidRPr="002B1DFC">
        <w:rPr>
          <w:rFonts w:cs="Times New Roman"/>
        </w:rPr>
        <w:t xml:space="preserve">official letter to the </w:t>
      </w:r>
      <w:r w:rsidR="00523EFA">
        <w:rPr>
          <w:rFonts w:cs="Times New Roman"/>
        </w:rPr>
        <w:t>m</w:t>
      </w:r>
      <w:r w:rsidRPr="002B1DFC">
        <w:rPr>
          <w:rFonts w:cs="Times New Roman"/>
        </w:rPr>
        <w:t>inistry. According to the Law “On Access to Public Information”, the MENR has a responsibility to provide the required information during 5 days. If the information about environmental protection is related to persons</w:t>
      </w:r>
      <w:r w:rsidR="00523EFA">
        <w:rPr>
          <w:rFonts w:cs="Times New Roman"/>
        </w:rPr>
        <w:t>’</w:t>
      </w:r>
      <w:r w:rsidRPr="002B1DFC">
        <w:rPr>
          <w:rFonts w:cs="Times New Roman"/>
        </w:rPr>
        <w:t xml:space="preserve"> life and health, food quality, catastrophe</w:t>
      </w:r>
      <w:r w:rsidR="00523EFA">
        <w:rPr>
          <w:rFonts w:cs="Times New Roman"/>
        </w:rPr>
        <w:t>,</w:t>
      </w:r>
      <w:r w:rsidRPr="002B1DFC">
        <w:rPr>
          <w:rFonts w:cs="Times New Roman"/>
        </w:rPr>
        <w:t xml:space="preserve"> or emergency situations, </w:t>
      </w:r>
      <w:r w:rsidR="00523EFA">
        <w:rPr>
          <w:rFonts w:cs="Times New Roman"/>
        </w:rPr>
        <w:t xml:space="preserve">then </w:t>
      </w:r>
      <w:r w:rsidRPr="002B1DFC">
        <w:rPr>
          <w:rFonts w:cs="Times New Roman"/>
        </w:rPr>
        <w:t xml:space="preserve">the </w:t>
      </w:r>
      <w:r w:rsidR="005A1195">
        <w:rPr>
          <w:rFonts w:cs="Times New Roman"/>
        </w:rPr>
        <w:t>ministry</w:t>
      </w:r>
      <w:r w:rsidRPr="002B1DFC">
        <w:rPr>
          <w:rFonts w:cs="Times New Roman"/>
        </w:rPr>
        <w:t xml:space="preserve"> should provide the required information to the public during 48 hours. In case the required information is large and additional data are needed to be collected, the MENR could extend a term of preparation of this information up to 20 days with informing the person or organization about this extension in written form. </w:t>
      </w:r>
    </w:p>
    <w:p w14:paraId="13106C60" w14:textId="77777777" w:rsidR="000B7923" w:rsidRPr="002B1DFC" w:rsidRDefault="000B7923" w:rsidP="00EF32FD">
      <w:pPr>
        <w:rPr>
          <w:rFonts w:cs="Times New Roman"/>
        </w:rPr>
      </w:pPr>
    </w:p>
    <w:p w14:paraId="781A4EC0" w14:textId="77777777" w:rsidR="000B7923" w:rsidRPr="002B1DFC"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Over the past years, civil society organizations noted some challenges in receiving information, which include absence of responses from the state authority or </w:t>
      </w:r>
      <w:r w:rsidR="00D60574">
        <w:rPr>
          <w:rFonts w:cs="Times New Roman"/>
        </w:rPr>
        <w:t>just</w:t>
      </w:r>
      <w:r w:rsidR="00D60574" w:rsidRPr="002B1DFC">
        <w:rPr>
          <w:rFonts w:cs="Times New Roman"/>
        </w:rPr>
        <w:t xml:space="preserve"> </w:t>
      </w:r>
      <w:r w:rsidRPr="002B1DFC">
        <w:rPr>
          <w:rFonts w:cs="Times New Roman"/>
        </w:rPr>
        <w:t>partial answers; failure to comply with the terms of replying; scrambling ecological information by the state bodies and using a “classified information”</w:t>
      </w:r>
      <w:r w:rsidR="00D60AF4">
        <w:rPr>
          <w:rFonts w:cs="Times New Roman"/>
        </w:rPr>
        <w:t xml:space="preserve"> stamp</w:t>
      </w:r>
      <w:r w:rsidRPr="002B1DFC">
        <w:rPr>
          <w:rFonts w:cs="Times New Roman"/>
        </w:rPr>
        <w:t>; restriction</w:t>
      </w:r>
      <w:r w:rsidR="00D60AF4">
        <w:rPr>
          <w:rFonts w:cs="Times New Roman"/>
        </w:rPr>
        <w:t>s</w:t>
      </w:r>
      <w:r w:rsidRPr="002B1DFC">
        <w:rPr>
          <w:rFonts w:cs="Times New Roman"/>
        </w:rPr>
        <w:t xml:space="preserve"> </w:t>
      </w:r>
      <w:r w:rsidR="00D60AF4">
        <w:rPr>
          <w:rFonts w:cs="Times New Roman"/>
        </w:rPr>
        <w:t>on</w:t>
      </w:r>
      <w:r w:rsidR="00D60AF4" w:rsidRPr="002B1DFC">
        <w:rPr>
          <w:rFonts w:cs="Times New Roman"/>
        </w:rPr>
        <w:t xml:space="preserve"> </w:t>
      </w:r>
      <w:r w:rsidRPr="002B1DFC">
        <w:rPr>
          <w:rFonts w:cs="Times New Roman"/>
        </w:rPr>
        <w:t>receiving information about draft strategies, programs</w:t>
      </w:r>
      <w:r w:rsidR="00D60574">
        <w:rPr>
          <w:rFonts w:cs="Times New Roman"/>
        </w:rPr>
        <w:t>,</w:t>
      </w:r>
      <w:r w:rsidRPr="002B1DFC">
        <w:rPr>
          <w:rFonts w:cs="Times New Roman"/>
        </w:rPr>
        <w:t xml:space="preserve"> and plans</w:t>
      </w:r>
      <w:r w:rsidR="009A1289">
        <w:rPr>
          <w:rFonts w:cs="Times New Roman"/>
        </w:rPr>
        <w:t xml:space="preserve"> </w:t>
      </w:r>
      <w:r w:rsidR="009A1289" w:rsidRPr="00F30524">
        <w:rPr>
          <w:rFonts w:cs="Times New Roman"/>
        </w:rPr>
        <w:t>(</w:t>
      </w:r>
      <w:proofErr w:type="spellStart"/>
      <w:r w:rsidR="00F30524" w:rsidRPr="00F30524">
        <w:rPr>
          <w:rFonts w:cs="Times New Roman"/>
        </w:rPr>
        <w:t>Ageeva</w:t>
      </w:r>
      <w:proofErr w:type="spellEnd"/>
      <w:r w:rsidR="00F30524" w:rsidRPr="00F30524">
        <w:rPr>
          <w:rFonts w:cs="Times New Roman"/>
        </w:rPr>
        <w:t xml:space="preserve"> </w:t>
      </w:r>
      <w:r w:rsidR="00F30524" w:rsidRPr="00F30524">
        <w:rPr>
          <w:rFonts w:cs="Times New Roman"/>
          <w:i/>
          <w:iCs/>
        </w:rPr>
        <w:t>et al.</w:t>
      </w:r>
      <w:r w:rsidR="00F30524" w:rsidRPr="00F30524">
        <w:rPr>
          <w:rFonts w:cs="Times New Roman"/>
        </w:rPr>
        <w:t xml:space="preserve"> 2013</w:t>
      </w:r>
      <w:r w:rsidR="00F30524">
        <w:rPr>
          <w:rFonts w:cs="Times New Roman"/>
        </w:rPr>
        <w:t xml:space="preserve"> and </w:t>
      </w:r>
      <w:proofErr w:type="spellStart"/>
      <w:r w:rsidR="009A1289" w:rsidRPr="00F30524">
        <w:rPr>
          <w:rFonts w:cs="Times New Roman"/>
        </w:rPr>
        <w:t>Melnych</w:t>
      </w:r>
      <w:r w:rsidR="00F30524">
        <w:rPr>
          <w:rFonts w:cs="Times New Roman"/>
        </w:rPr>
        <w:t>uk</w:t>
      </w:r>
      <w:proofErr w:type="spellEnd"/>
      <w:r w:rsidR="00F30524">
        <w:rPr>
          <w:rFonts w:cs="Times New Roman"/>
        </w:rPr>
        <w:t xml:space="preserve"> </w:t>
      </w:r>
      <w:r w:rsidR="009A1289" w:rsidRPr="00F30524">
        <w:rPr>
          <w:rFonts w:cs="Times New Roman"/>
          <w:i/>
          <w:iCs/>
        </w:rPr>
        <w:t>et al.</w:t>
      </w:r>
      <w:r w:rsidR="009A1289" w:rsidRPr="00F30524">
        <w:rPr>
          <w:rFonts w:cs="Times New Roman"/>
        </w:rPr>
        <w:t xml:space="preserve"> 2012</w:t>
      </w:r>
      <w:r w:rsidR="00F30524" w:rsidRPr="00F30524">
        <w:rPr>
          <w:rFonts w:cs="Times New Roman"/>
        </w:rPr>
        <w:t>)</w:t>
      </w:r>
      <w:r w:rsidR="00B13467" w:rsidRPr="00F30524">
        <w:rPr>
          <w:rFonts w:cs="Times New Roman"/>
        </w:rPr>
        <w:t>.</w:t>
      </w:r>
      <w:r w:rsidRPr="002B1DFC">
        <w:rPr>
          <w:rFonts w:cs="Times New Roman"/>
        </w:rPr>
        <w:t xml:space="preserve"> </w:t>
      </w:r>
    </w:p>
    <w:p w14:paraId="244C1E94" w14:textId="77777777" w:rsidR="000B7923" w:rsidRPr="002B1DFC" w:rsidRDefault="000B7923" w:rsidP="00EF32FD">
      <w:pPr>
        <w:rPr>
          <w:rFonts w:cs="Times New Roman"/>
        </w:rPr>
      </w:pPr>
    </w:p>
    <w:p w14:paraId="173DCCF0" w14:textId="77777777" w:rsidR="000B7923" w:rsidRDefault="000B7923" w:rsidP="00F55709">
      <w:pPr>
        <w:pStyle w:val="ListParagraph"/>
        <w:numPr>
          <w:ilvl w:val="0"/>
          <w:numId w:val="68"/>
        </w:numPr>
        <w:tabs>
          <w:tab w:val="left" w:pos="360"/>
        </w:tabs>
        <w:ind w:left="0" w:firstLine="0"/>
        <w:rPr>
          <w:rFonts w:cs="Times New Roman"/>
        </w:rPr>
      </w:pPr>
      <w:r w:rsidRPr="002B1DFC">
        <w:rPr>
          <w:rFonts w:cs="Times New Roman"/>
        </w:rPr>
        <w:t xml:space="preserve">While making documents available on the </w:t>
      </w:r>
      <w:r w:rsidR="00591FD4">
        <w:rPr>
          <w:rFonts w:cs="Times New Roman"/>
        </w:rPr>
        <w:t>Internet</w:t>
      </w:r>
      <w:r w:rsidRPr="002B1DFC">
        <w:rPr>
          <w:rFonts w:cs="Times New Roman"/>
        </w:rPr>
        <w:t xml:space="preserve"> is important way of making data and reports available for access and consultations, it has its limitations taking into consideration that only 32% of individuals reported using a computer in 2012 and 35% of households have </w:t>
      </w:r>
      <w:r w:rsidR="00591FD4">
        <w:rPr>
          <w:rFonts w:cs="Times New Roman"/>
        </w:rPr>
        <w:t>Internet</w:t>
      </w:r>
      <w:r w:rsidRPr="002B1DFC">
        <w:rPr>
          <w:rFonts w:cs="Times New Roman"/>
        </w:rPr>
        <w:t xml:space="preserve"> access at home</w:t>
      </w:r>
      <w:r w:rsidR="00176E32">
        <w:rPr>
          <w:rFonts w:cs="Times New Roman"/>
        </w:rPr>
        <w:t xml:space="preserve"> (UN Data 2015)</w:t>
      </w:r>
      <w:r w:rsidR="000F05D8">
        <w:rPr>
          <w:rFonts w:cs="Times New Roman"/>
        </w:rPr>
        <w:t>.</w:t>
      </w:r>
      <w:r w:rsidRPr="002B1DFC">
        <w:rPr>
          <w:rFonts w:cs="Times New Roman"/>
        </w:rPr>
        <w:t xml:space="preserve"> Moreover, there is gap between urban and rural areas in terms of </w:t>
      </w:r>
      <w:r w:rsidR="00591FD4">
        <w:rPr>
          <w:rFonts w:cs="Times New Roman"/>
        </w:rPr>
        <w:t>Internet</w:t>
      </w:r>
      <w:r w:rsidRPr="002B1DFC">
        <w:rPr>
          <w:rFonts w:cs="Times New Roman"/>
        </w:rPr>
        <w:t xml:space="preserve"> users</w:t>
      </w:r>
      <w:r w:rsidR="000F05D8">
        <w:rPr>
          <w:rFonts w:cs="Times New Roman"/>
        </w:rPr>
        <w:t>:</w:t>
      </w:r>
      <w:r w:rsidRPr="002B1DFC">
        <w:rPr>
          <w:rFonts w:cs="Times New Roman"/>
        </w:rPr>
        <w:t xml:space="preserve"> 82</w:t>
      </w:r>
      <w:r w:rsidR="000F05D8">
        <w:rPr>
          <w:rFonts w:cs="Times New Roman"/>
        </w:rPr>
        <w:t>%</w:t>
      </w:r>
      <w:r w:rsidRPr="002B1DFC">
        <w:rPr>
          <w:rFonts w:cs="Times New Roman"/>
        </w:rPr>
        <w:t xml:space="preserve"> of </w:t>
      </w:r>
      <w:r w:rsidR="00591FD4">
        <w:rPr>
          <w:rFonts w:cs="Times New Roman"/>
        </w:rPr>
        <w:t>Internet</w:t>
      </w:r>
      <w:r w:rsidRPr="002B1DFC">
        <w:rPr>
          <w:rFonts w:cs="Times New Roman"/>
        </w:rPr>
        <w:t xml:space="preserve"> users live in urban areas, 37</w:t>
      </w:r>
      <w:r w:rsidR="000F05D8">
        <w:rPr>
          <w:rFonts w:cs="Times New Roman"/>
        </w:rPr>
        <w:t>%</w:t>
      </w:r>
      <w:r w:rsidRPr="002B1DFC">
        <w:rPr>
          <w:rFonts w:cs="Times New Roman"/>
        </w:rPr>
        <w:t xml:space="preserve"> of whom live in cities with a population over 500,000, while </w:t>
      </w:r>
      <w:r w:rsidR="00591FD4">
        <w:rPr>
          <w:rFonts w:cs="Times New Roman"/>
        </w:rPr>
        <w:t>Internet</w:t>
      </w:r>
      <w:r w:rsidRPr="002B1DFC">
        <w:rPr>
          <w:rFonts w:cs="Times New Roman"/>
        </w:rPr>
        <w:t xml:space="preserve"> penetration in rural areas is </w:t>
      </w:r>
      <w:r w:rsidR="000F05D8">
        <w:rPr>
          <w:rFonts w:cs="Times New Roman"/>
        </w:rPr>
        <w:t xml:space="preserve">only </w:t>
      </w:r>
      <w:r w:rsidRPr="002B1DFC">
        <w:rPr>
          <w:rFonts w:cs="Times New Roman"/>
        </w:rPr>
        <w:t>18%</w:t>
      </w:r>
      <w:r w:rsidR="00176E32">
        <w:rPr>
          <w:rFonts w:cs="Times New Roman"/>
        </w:rPr>
        <w:t xml:space="preserve"> (Freedom House 2014)</w:t>
      </w:r>
      <w:r w:rsidR="000F05D8">
        <w:rPr>
          <w:rFonts w:cs="Times New Roman"/>
        </w:rPr>
        <w:t>.</w:t>
      </w:r>
      <w:r w:rsidRPr="002B1DFC">
        <w:rPr>
          <w:rFonts w:cs="Times New Roman"/>
        </w:rPr>
        <w:t xml:space="preserve"> For this reason, supplementing </w:t>
      </w:r>
      <w:r w:rsidR="000F05D8">
        <w:rPr>
          <w:rFonts w:cs="Times New Roman"/>
        </w:rPr>
        <w:t>the posting of documents</w:t>
      </w:r>
      <w:r w:rsidRPr="002B1DFC">
        <w:rPr>
          <w:rFonts w:cs="Times New Roman"/>
        </w:rPr>
        <w:t xml:space="preserve"> online with other methods would ensure their wider </w:t>
      </w:r>
      <w:r w:rsidR="000F05D8">
        <w:rPr>
          <w:rFonts w:cs="Times New Roman"/>
        </w:rPr>
        <w:t>dissemination. Such supplementary methods could include the use of television and cellular phones, since</w:t>
      </w:r>
      <w:r w:rsidRPr="002B1DFC">
        <w:rPr>
          <w:rFonts w:cs="Times New Roman"/>
        </w:rPr>
        <w:t xml:space="preserve"> almost 96% of households own a television and 90% of households own a cellular device. </w:t>
      </w:r>
      <w:r w:rsidR="00DC2622">
        <w:rPr>
          <w:rFonts w:cs="Times New Roman"/>
        </w:rPr>
        <w:t xml:space="preserve">(See figure </w:t>
      </w:r>
      <w:r w:rsidR="005060F5">
        <w:rPr>
          <w:rFonts w:cs="Times New Roman"/>
        </w:rPr>
        <w:t>7</w:t>
      </w:r>
      <w:r w:rsidR="00DC2622">
        <w:rPr>
          <w:rFonts w:cs="Times New Roman"/>
        </w:rPr>
        <w:t>.)</w:t>
      </w:r>
    </w:p>
    <w:p w14:paraId="38EBDD5E" w14:textId="77777777" w:rsidR="0055551D" w:rsidRDefault="0055551D" w:rsidP="00176E32">
      <w:pPr>
        <w:rPr>
          <w:rFonts w:cs="Times New Roman"/>
        </w:rPr>
      </w:pPr>
    </w:p>
    <w:p w14:paraId="4B98323E" w14:textId="68AFB506" w:rsidR="000F05D8" w:rsidRPr="00D31370" w:rsidRDefault="00D31370" w:rsidP="00D31370">
      <w:pPr>
        <w:pStyle w:val="Caption"/>
        <w:rPr>
          <w:bCs/>
          <w:sz w:val="16"/>
          <w:szCs w:val="16"/>
        </w:rPr>
      </w:pPr>
      <w:bookmarkStart w:id="135" w:name="_Toc440274017"/>
      <w:r w:rsidRPr="00D31370">
        <w:rPr>
          <w:bCs/>
        </w:rPr>
        <w:t>F</w:t>
      </w:r>
      <w:r w:rsidR="00DC2622" w:rsidRPr="00D31370">
        <w:rPr>
          <w:bCs/>
        </w:rPr>
        <w:t xml:space="preserve">igure </w:t>
      </w:r>
      <w:r w:rsidRPr="00D31370">
        <w:rPr>
          <w:bCs/>
        </w:rPr>
        <w:fldChar w:fldCharType="begin"/>
      </w:r>
      <w:r w:rsidRPr="00D31370">
        <w:rPr>
          <w:bCs/>
        </w:rPr>
        <w:instrText xml:space="preserve"> SEQ Figure \* ARABIC </w:instrText>
      </w:r>
      <w:r w:rsidRPr="00D31370">
        <w:rPr>
          <w:bCs/>
        </w:rPr>
        <w:fldChar w:fldCharType="separate"/>
      </w:r>
      <w:r w:rsidR="00356D5F">
        <w:rPr>
          <w:bCs/>
        </w:rPr>
        <w:t>7</w:t>
      </w:r>
      <w:r w:rsidRPr="00D31370">
        <w:rPr>
          <w:bCs/>
        </w:rPr>
        <w:fldChar w:fldCharType="end"/>
      </w:r>
      <w:r w:rsidR="00DC2622" w:rsidRPr="00D31370">
        <w:rPr>
          <w:bCs/>
        </w:rPr>
        <w:t xml:space="preserve">. </w:t>
      </w:r>
      <w:r w:rsidRPr="00D31370">
        <w:rPr>
          <w:bCs/>
        </w:rPr>
        <w:t>Number of Internet Users per 100 People (2013)</w:t>
      </w:r>
      <w:bookmarkEnd w:id="135"/>
      <w:r w:rsidRPr="00D31370">
        <w:rPr>
          <w:bCs/>
        </w:rPr>
        <w:t xml:space="preserve"> </w:t>
      </w:r>
    </w:p>
    <w:p w14:paraId="28CC5F39" w14:textId="77777777" w:rsidR="000B7923" w:rsidRPr="002B1DFC" w:rsidRDefault="00BE4288" w:rsidP="00EF32FD">
      <w:pPr>
        <w:rPr>
          <w:rFonts w:cs="Times New Roman"/>
        </w:rPr>
      </w:pPr>
      <w:r w:rsidRPr="002B1DFC">
        <w:rPr>
          <w:rFonts w:cs="Times New Roman"/>
          <w:noProof/>
        </w:rPr>
        <w:drawing>
          <wp:inline distT="0" distB="0" distL="0" distR="0" wp14:anchorId="7BEF393E" wp14:editId="2374068C">
            <wp:extent cx="5715000" cy="2867025"/>
            <wp:effectExtent l="0" t="0" r="0" b="9525"/>
            <wp:docPr id="13"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22">
                      <a:extLst>
                        <a:ext uri="{28A0092B-C50C-407E-A947-70E740481C1C}">
                          <a14:useLocalDpi xmlns:a14="http://schemas.microsoft.com/office/drawing/2010/main" val="0"/>
                        </a:ext>
                      </a:extLst>
                    </a:blip>
                    <a:srcRect l="647" t="1080" r="2371" b="1512"/>
                    <a:stretch>
                      <a:fillRect/>
                    </a:stretch>
                  </pic:blipFill>
                  <pic:spPr bwMode="auto">
                    <a:xfrm>
                      <a:off x="0" y="0"/>
                      <a:ext cx="5715000" cy="2867025"/>
                    </a:xfrm>
                    <a:prstGeom prst="rect">
                      <a:avLst/>
                    </a:prstGeom>
                    <a:noFill/>
                    <a:ln>
                      <a:noFill/>
                    </a:ln>
                  </pic:spPr>
                </pic:pic>
              </a:graphicData>
            </a:graphic>
          </wp:inline>
        </w:drawing>
      </w:r>
    </w:p>
    <w:p w14:paraId="436DDA5C" w14:textId="77777777" w:rsidR="000B7923" w:rsidRPr="0061686D" w:rsidRDefault="000B7923" w:rsidP="00EF32FD">
      <w:pPr>
        <w:rPr>
          <w:rFonts w:cs="Times New Roman"/>
          <w:sz w:val="20"/>
          <w:szCs w:val="20"/>
        </w:rPr>
      </w:pPr>
      <w:r w:rsidRPr="0061686D">
        <w:rPr>
          <w:rFonts w:cs="Times New Roman"/>
          <w:i/>
          <w:sz w:val="20"/>
          <w:szCs w:val="20"/>
        </w:rPr>
        <w:t>Source:</w:t>
      </w:r>
      <w:r w:rsidRPr="0061686D">
        <w:rPr>
          <w:rFonts w:cs="Times New Roman"/>
          <w:sz w:val="20"/>
          <w:szCs w:val="20"/>
        </w:rPr>
        <w:t xml:space="preserve"> World Bank DDP</w:t>
      </w:r>
      <w:r w:rsidR="00F763F0">
        <w:rPr>
          <w:rFonts w:cs="Times New Roman"/>
          <w:sz w:val="20"/>
          <w:szCs w:val="20"/>
        </w:rPr>
        <w:t>.</w:t>
      </w:r>
      <w:r w:rsidRPr="0061686D">
        <w:rPr>
          <w:rFonts w:cs="Times New Roman"/>
          <w:sz w:val="20"/>
          <w:szCs w:val="20"/>
        </w:rPr>
        <w:t xml:space="preserve"> Accessed </w:t>
      </w:r>
      <w:r w:rsidR="005A1195">
        <w:rPr>
          <w:rFonts w:cs="Times New Roman"/>
          <w:sz w:val="20"/>
          <w:szCs w:val="20"/>
        </w:rPr>
        <w:t xml:space="preserve">July 21, </w:t>
      </w:r>
      <w:r w:rsidRPr="0061686D">
        <w:rPr>
          <w:rFonts w:cs="Times New Roman"/>
          <w:sz w:val="20"/>
          <w:szCs w:val="20"/>
        </w:rPr>
        <w:t>2015</w:t>
      </w:r>
      <w:r w:rsidR="007F4475" w:rsidRPr="0061686D">
        <w:rPr>
          <w:rFonts w:cs="Times New Roman"/>
          <w:sz w:val="20"/>
          <w:szCs w:val="20"/>
        </w:rPr>
        <w:t>.</w:t>
      </w:r>
      <w:r w:rsidRPr="0061686D">
        <w:rPr>
          <w:rFonts w:cs="Times New Roman"/>
          <w:sz w:val="20"/>
          <w:szCs w:val="20"/>
        </w:rPr>
        <w:t xml:space="preserve"> </w:t>
      </w:r>
    </w:p>
    <w:p w14:paraId="685ECE4A" w14:textId="77777777" w:rsidR="000B7923" w:rsidRPr="002B1DFC" w:rsidRDefault="000B7923" w:rsidP="00F33595">
      <w:pPr>
        <w:rPr>
          <w:rFonts w:cs="Times New Roman"/>
        </w:rPr>
      </w:pPr>
    </w:p>
    <w:p w14:paraId="181CE90B" w14:textId="77777777" w:rsidR="000B7923" w:rsidRPr="002B1DFC" w:rsidRDefault="000B7923" w:rsidP="00BE4A82">
      <w:pPr>
        <w:pStyle w:val="ListParagraph"/>
        <w:numPr>
          <w:ilvl w:val="0"/>
          <w:numId w:val="68"/>
        </w:numPr>
        <w:tabs>
          <w:tab w:val="left" w:pos="360"/>
        </w:tabs>
        <w:ind w:left="0" w:firstLine="0"/>
        <w:rPr>
          <w:rFonts w:cs="Times New Roman"/>
        </w:rPr>
      </w:pPr>
      <w:r w:rsidRPr="002B1DFC">
        <w:rPr>
          <w:rFonts w:cs="Times New Roman"/>
        </w:rPr>
        <w:t>In April 2015, the Government of Ukraine took additional steps to increase transparency by granting free access to public information online in the form of open data</w:t>
      </w:r>
      <w:r w:rsidR="000F05D8">
        <w:rPr>
          <w:rFonts w:cs="Times New Roman"/>
        </w:rPr>
        <w:t>. These government steps were</w:t>
      </w:r>
      <w:r w:rsidRPr="002B1DFC">
        <w:rPr>
          <w:rFonts w:cs="Times New Roman"/>
        </w:rPr>
        <w:t xml:space="preserve"> Law </w:t>
      </w:r>
      <w:r w:rsidR="000F05D8">
        <w:rPr>
          <w:rFonts w:cs="Times New Roman"/>
        </w:rPr>
        <w:t>N</w:t>
      </w:r>
      <w:r w:rsidRPr="002B1DFC">
        <w:rPr>
          <w:rFonts w:cs="Times New Roman"/>
        </w:rPr>
        <w:t>o. 319-VIII (</w:t>
      </w:r>
      <w:r w:rsidR="000F05D8">
        <w:rPr>
          <w:rFonts w:cs="Times New Roman"/>
        </w:rPr>
        <w:t>“</w:t>
      </w:r>
      <w:r w:rsidRPr="002B1DFC">
        <w:rPr>
          <w:rFonts w:cs="Times New Roman"/>
        </w:rPr>
        <w:t xml:space="preserve">Amendments to Some Laws of Ukraine on Access to Public Information in the Form </w:t>
      </w:r>
      <w:r w:rsidRPr="002B1DFC">
        <w:rPr>
          <w:rFonts w:cs="Times New Roman"/>
        </w:rPr>
        <w:lastRenderedPageBreak/>
        <w:t>of Open Data</w:t>
      </w:r>
      <w:r w:rsidR="000F05D8">
        <w:rPr>
          <w:rFonts w:cs="Times New Roman"/>
        </w:rPr>
        <w:t>”</w:t>
      </w:r>
      <w:r w:rsidRPr="002B1DFC">
        <w:rPr>
          <w:rFonts w:cs="Times New Roman"/>
        </w:rPr>
        <w:t xml:space="preserve">) and </w:t>
      </w:r>
      <w:r w:rsidR="000F05D8">
        <w:rPr>
          <w:rFonts w:cs="Times New Roman"/>
        </w:rPr>
        <w:t>L</w:t>
      </w:r>
      <w:r w:rsidRPr="002B1DFC">
        <w:rPr>
          <w:rFonts w:cs="Times New Roman"/>
        </w:rPr>
        <w:t xml:space="preserve">aw </w:t>
      </w:r>
      <w:r w:rsidR="000F05D8">
        <w:rPr>
          <w:rFonts w:cs="Times New Roman"/>
        </w:rPr>
        <w:t>N</w:t>
      </w:r>
      <w:r w:rsidRPr="002B1DFC">
        <w:rPr>
          <w:rFonts w:cs="Times New Roman"/>
        </w:rPr>
        <w:t>o. 313-19 (</w:t>
      </w:r>
      <w:r w:rsidR="000F05D8">
        <w:rPr>
          <w:rFonts w:cs="Times New Roman"/>
        </w:rPr>
        <w:t>“</w:t>
      </w:r>
      <w:r w:rsidRPr="002B1DFC">
        <w:rPr>
          <w:rFonts w:cs="Times New Roman"/>
        </w:rPr>
        <w:t>Access to Information on Budget Figures in the Form of Open Data</w:t>
      </w:r>
      <w:r w:rsidR="000F05D8">
        <w:rPr>
          <w:rFonts w:cs="Times New Roman"/>
        </w:rPr>
        <w:t>”</w:t>
      </w:r>
      <w:r w:rsidRPr="002B1DFC">
        <w:rPr>
          <w:rFonts w:cs="Times New Roman"/>
        </w:rPr>
        <w:t>). The</w:t>
      </w:r>
      <w:r w:rsidR="000F05D8">
        <w:rPr>
          <w:rFonts w:cs="Times New Roman"/>
        </w:rPr>
        <w:t>se</w:t>
      </w:r>
      <w:r w:rsidRPr="002B1DFC">
        <w:rPr>
          <w:rFonts w:cs="Times New Roman"/>
        </w:rPr>
        <w:t xml:space="preserve"> law</w:t>
      </w:r>
      <w:r w:rsidR="000F05D8">
        <w:rPr>
          <w:rFonts w:cs="Times New Roman"/>
        </w:rPr>
        <w:t>s</w:t>
      </w:r>
      <w:r w:rsidRPr="002B1DFC">
        <w:rPr>
          <w:rFonts w:cs="Times New Roman"/>
        </w:rPr>
        <w:t xml:space="preserve"> </w:t>
      </w:r>
      <w:r w:rsidR="000F05D8">
        <w:rPr>
          <w:rFonts w:cs="Times New Roman"/>
        </w:rPr>
        <w:t>are</w:t>
      </w:r>
      <w:r w:rsidRPr="002B1DFC">
        <w:rPr>
          <w:rFonts w:cs="Times New Roman"/>
        </w:rPr>
        <w:t xml:space="preserve"> expected to push government agencies to publish operational data, </w:t>
      </w:r>
      <w:r w:rsidR="000F05D8" w:rsidRPr="002B1DFC">
        <w:rPr>
          <w:rFonts w:cs="Times New Roman"/>
        </w:rPr>
        <w:t>statistics</w:t>
      </w:r>
      <w:r w:rsidR="000F05D8">
        <w:rPr>
          <w:rFonts w:cs="Times New Roman"/>
        </w:rPr>
        <w:t xml:space="preserve">, </w:t>
      </w:r>
      <w:r w:rsidRPr="002B1DFC">
        <w:rPr>
          <w:rFonts w:cs="Times New Roman"/>
        </w:rPr>
        <w:t xml:space="preserve">and reports upon request. Data will have to be updated regularly and published on government </w:t>
      </w:r>
      <w:r w:rsidR="00591FD4">
        <w:rPr>
          <w:rFonts w:cs="Times New Roman"/>
        </w:rPr>
        <w:t>Web site</w:t>
      </w:r>
      <w:r w:rsidRPr="002B1DFC">
        <w:rPr>
          <w:rFonts w:cs="Times New Roman"/>
        </w:rPr>
        <w:t xml:space="preserve">s and </w:t>
      </w:r>
      <w:r w:rsidR="005A1195">
        <w:rPr>
          <w:rFonts w:cs="Times New Roman"/>
        </w:rPr>
        <w:t xml:space="preserve">on </w:t>
      </w:r>
      <w:r w:rsidRPr="002B1DFC">
        <w:rPr>
          <w:rFonts w:cs="Times New Roman"/>
        </w:rPr>
        <w:t>the national open data web platform at data.gov.ua. Additional regulation is needed however to specify the types of data that will be public</w:t>
      </w:r>
      <w:r w:rsidR="00FB5B93">
        <w:rPr>
          <w:rFonts w:cs="Times New Roman"/>
        </w:rPr>
        <w:t xml:space="preserve"> (</w:t>
      </w:r>
      <w:r w:rsidR="00FB5B93" w:rsidRPr="00FB5B93">
        <w:rPr>
          <w:rFonts w:cs="Times New Roman"/>
        </w:rPr>
        <w:t>Kyiv Post 2015</w:t>
      </w:r>
      <w:r w:rsidR="00FB5B93">
        <w:rPr>
          <w:rFonts w:cs="Times New Roman"/>
        </w:rPr>
        <w:t>)</w:t>
      </w:r>
      <w:r w:rsidRPr="002B1DFC">
        <w:rPr>
          <w:rFonts w:cs="Times New Roman"/>
        </w:rPr>
        <w:t xml:space="preserve">. </w:t>
      </w:r>
    </w:p>
    <w:p w14:paraId="2824FDA6" w14:textId="77777777" w:rsidR="000B7923" w:rsidRPr="002B1DFC" w:rsidRDefault="000B7923" w:rsidP="00F33595">
      <w:pPr>
        <w:pStyle w:val="m"/>
        <w:numPr>
          <w:ilvl w:val="0"/>
          <w:numId w:val="0"/>
        </w:numPr>
        <w:spacing w:before="0" w:line="240" w:lineRule="auto"/>
        <w:rPr>
          <w:szCs w:val="22"/>
        </w:rPr>
      </w:pPr>
    </w:p>
    <w:p w14:paraId="2E239B0E" w14:textId="77777777" w:rsidR="000B7923" w:rsidRPr="002B1DFC" w:rsidRDefault="000B7923" w:rsidP="00BE4A82">
      <w:pPr>
        <w:pStyle w:val="ListParagraph"/>
        <w:numPr>
          <w:ilvl w:val="0"/>
          <w:numId w:val="68"/>
        </w:numPr>
        <w:tabs>
          <w:tab w:val="left" w:pos="360"/>
        </w:tabs>
        <w:ind w:left="0" w:firstLine="0"/>
        <w:rPr>
          <w:rFonts w:cs="Times New Roman"/>
        </w:rPr>
      </w:pPr>
      <w:r w:rsidRPr="002B1DFC">
        <w:rPr>
          <w:rFonts w:cs="Times New Roman"/>
        </w:rPr>
        <w:t xml:space="preserve">Public and non-government ecological organizations (NGOs) have the opportunity to influence the decision making process by making their proposal to the draft legislative acts and reports, which are published for the consultations on the state authority’s </w:t>
      </w:r>
      <w:r w:rsidR="00591FD4">
        <w:rPr>
          <w:rFonts w:cs="Times New Roman"/>
        </w:rPr>
        <w:t>Web site</w:t>
      </w:r>
      <w:r w:rsidRPr="002B1DFC">
        <w:rPr>
          <w:rFonts w:cs="Times New Roman"/>
        </w:rPr>
        <w:t>. According to the Law “On Access to Public Information</w:t>
      </w:r>
      <w:r w:rsidR="00D60AF4">
        <w:rPr>
          <w:rFonts w:cs="Times New Roman"/>
        </w:rPr>
        <w:t>,</w:t>
      </w:r>
      <w:r w:rsidRPr="002B1DFC">
        <w:rPr>
          <w:rFonts w:cs="Times New Roman"/>
        </w:rPr>
        <w:t xml:space="preserve">” the state bodies should published a draft legislative act or other documents on their </w:t>
      </w:r>
      <w:r w:rsidR="00591FD4">
        <w:rPr>
          <w:rFonts w:cs="Times New Roman"/>
        </w:rPr>
        <w:t>Web site</w:t>
      </w:r>
      <w:r w:rsidRPr="002B1DFC">
        <w:rPr>
          <w:rFonts w:cs="Times New Roman"/>
        </w:rPr>
        <w:t xml:space="preserve">s at least 20 days before the date of adoption a legislative act. When the state authority publishes a draft document, it is necessary to point out the contact </w:t>
      </w:r>
      <w:r w:rsidR="005A1195">
        <w:rPr>
          <w:rFonts w:cs="Times New Roman"/>
        </w:rPr>
        <w:t>information</w:t>
      </w:r>
      <w:r w:rsidR="005A1195" w:rsidRPr="002B1DFC">
        <w:rPr>
          <w:rFonts w:cs="Times New Roman"/>
        </w:rPr>
        <w:t xml:space="preserve"> </w:t>
      </w:r>
      <w:r w:rsidRPr="002B1DFC">
        <w:rPr>
          <w:rFonts w:cs="Times New Roman"/>
        </w:rPr>
        <w:t xml:space="preserve">of the person to whom the proposals could be sent. However, not always the state bodies involve the public and in many cases comments are not taken into consideration. For example, during adoption of the </w:t>
      </w:r>
      <w:r w:rsidR="00D60AF4">
        <w:rPr>
          <w:rFonts w:cs="Times New Roman"/>
        </w:rPr>
        <w:t>L</w:t>
      </w:r>
      <w:r w:rsidRPr="002B1DFC">
        <w:rPr>
          <w:rFonts w:cs="Times New Roman"/>
        </w:rPr>
        <w:t>aw of Ukraine “About Regulation of Town Planning Activity</w:t>
      </w:r>
      <w:r w:rsidR="00D60AF4">
        <w:rPr>
          <w:rFonts w:cs="Times New Roman"/>
        </w:rPr>
        <w:t>,</w:t>
      </w:r>
      <w:r w:rsidRPr="002B1DFC">
        <w:rPr>
          <w:rFonts w:cs="Times New Roman"/>
        </w:rPr>
        <w:t>” public opinion was not considered</w:t>
      </w:r>
      <w:r w:rsidR="00DE78BF">
        <w:rPr>
          <w:rFonts w:cs="Times New Roman"/>
        </w:rPr>
        <w:t xml:space="preserve"> (</w:t>
      </w:r>
      <w:proofErr w:type="spellStart"/>
      <w:r w:rsidR="00DE78BF" w:rsidRPr="004E3024">
        <w:rPr>
          <w:rFonts w:cs="Times New Roman"/>
        </w:rPr>
        <w:t>Ageeva</w:t>
      </w:r>
      <w:proofErr w:type="spellEnd"/>
      <w:r w:rsidR="00DE78BF" w:rsidRPr="004E3024">
        <w:rPr>
          <w:rFonts w:cs="Times New Roman"/>
        </w:rPr>
        <w:t xml:space="preserve"> </w:t>
      </w:r>
      <w:r w:rsidR="00DE78BF" w:rsidRPr="00F046A2">
        <w:rPr>
          <w:rFonts w:cs="Times New Roman"/>
          <w:iCs/>
        </w:rPr>
        <w:t>et al</w:t>
      </w:r>
      <w:r w:rsidR="00DE78BF" w:rsidRPr="00A72702">
        <w:rPr>
          <w:rFonts w:cs="Times New Roman"/>
        </w:rPr>
        <w:t>.</w:t>
      </w:r>
      <w:r w:rsidR="00DE78BF" w:rsidRPr="004E3024">
        <w:rPr>
          <w:rFonts w:cs="Times New Roman"/>
        </w:rPr>
        <w:t xml:space="preserve"> 2013</w:t>
      </w:r>
      <w:r w:rsidR="00DE78BF">
        <w:rPr>
          <w:rFonts w:cs="Times New Roman"/>
        </w:rPr>
        <w:t>)</w:t>
      </w:r>
      <w:r w:rsidR="00F763F0">
        <w:rPr>
          <w:rFonts w:cs="Times New Roman"/>
        </w:rPr>
        <w:t>.</w:t>
      </w:r>
      <w:r w:rsidRPr="002B1DFC">
        <w:rPr>
          <w:rFonts w:cs="Times New Roman"/>
        </w:rPr>
        <w:t xml:space="preserve"> </w:t>
      </w:r>
    </w:p>
    <w:p w14:paraId="27002215" w14:textId="77777777" w:rsidR="000B7923" w:rsidRPr="002B1DFC" w:rsidRDefault="000B7923" w:rsidP="00EF32FD">
      <w:pPr>
        <w:rPr>
          <w:rFonts w:cs="Times New Roman"/>
        </w:rPr>
      </w:pPr>
    </w:p>
    <w:p w14:paraId="4B2849BC" w14:textId="77777777" w:rsidR="000B7923" w:rsidRPr="002B1DFC" w:rsidRDefault="000B7923" w:rsidP="00BE4A82">
      <w:pPr>
        <w:pStyle w:val="ListParagraph"/>
        <w:numPr>
          <w:ilvl w:val="0"/>
          <w:numId w:val="68"/>
        </w:numPr>
        <w:tabs>
          <w:tab w:val="left" w:pos="360"/>
        </w:tabs>
        <w:ind w:left="0" w:firstLine="0"/>
        <w:rPr>
          <w:rFonts w:cs="Times New Roman"/>
        </w:rPr>
      </w:pPr>
      <w:r w:rsidRPr="002B1DFC">
        <w:rPr>
          <w:rFonts w:cs="Times New Roman"/>
        </w:rPr>
        <w:t>Following the ratification of the Aarhus Convention, an important step was taken by establishing the Public Council (</w:t>
      </w:r>
      <w:proofErr w:type="spellStart"/>
      <w:r w:rsidRPr="002B1DFC">
        <w:rPr>
          <w:rFonts w:cs="Times New Roman"/>
        </w:rPr>
        <w:t>Hromadska</w:t>
      </w:r>
      <w:proofErr w:type="spellEnd"/>
      <w:r w:rsidRPr="002B1DFC">
        <w:rPr>
          <w:rFonts w:cs="Times New Roman"/>
        </w:rPr>
        <w:t xml:space="preserve"> Rada) under the MENR in 1996. The Public Council fulfills the functions of consultation and advising body and aims to ensure public participation in decision making for the development of environmental policy. Staff members from the </w:t>
      </w:r>
      <w:r w:rsidR="005A1195">
        <w:rPr>
          <w:rFonts w:cs="Times New Roman"/>
        </w:rPr>
        <w:t>ministry</w:t>
      </w:r>
      <w:r w:rsidRPr="002B1DFC">
        <w:rPr>
          <w:rFonts w:cs="Times New Roman"/>
        </w:rPr>
        <w:t xml:space="preserve"> have participated in the meetings of the Public Council, which give the opportunity to receive the information and discuss strategic and current environmental issues. Decisions of the Public Council were mandatory for the consideration by the MENR. In 2012</w:t>
      </w:r>
      <w:r w:rsidR="00F763F0">
        <w:rPr>
          <w:rFonts w:cs="Times New Roman"/>
        </w:rPr>
        <w:t>,</w:t>
      </w:r>
      <w:r w:rsidRPr="002B1DFC">
        <w:rPr>
          <w:rFonts w:cs="Times New Roman"/>
        </w:rPr>
        <w:t xml:space="preserve"> the Public Council conducted </w:t>
      </w:r>
      <w:r w:rsidR="005A1195">
        <w:rPr>
          <w:rFonts w:cs="Times New Roman"/>
        </w:rPr>
        <w:t>seven</w:t>
      </w:r>
      <w:r w:rsidRPr="002B1DFC">
        <w:rPr>
          <w:rFonts w:cs="Times New Roman"/>
        </w:rPr>
        <w:t xml:space="preserve"> meetings. Unfortunately, frequent changes and appointment of new ministers lead to inefficient work and disagreement between the Public Council and high authority</w:t>
      </w:r>
      <w:r w:rsidR="00DE78BF">
        <w:rPr>
          <w:rFonts w:cs="Times New Roman"/>
        </w:rPr>
        <w:t xml:space="preserve"> (</w:t>
      </w:r>
      <w:proofErr w:type="spellStart"/>
      <w:r w:rsidR="00DE78BF" w:rsidRPr="004E3024">
        <w:rPr>
          <w:rFonts w:cs="Times New Roman"/>
        </w:rPr>
        <w:t>Ageeva</w:t>
      </w:r>
      <w:proofErr w:type="spellEnd"/>
      <w:r w:rsidR="00DE78BF" w:rsidRPr="004E3024">
        <w:rPr>
          <w:rFonts w:cs="Times New Roman"/>
        </w:rPr>
        <w:t xml:space="preserve"> </w:t>
      </w:r>
      <w:r w:rsidR="00DE78BF" w:rsidRPr="00F046A2">
        <w:rPr>
          <w:rFonts w:cs="Times New Roman"/>
          <w:iCs/>
        </w:rPr>
        <w:t>et al</w:t>
      </w:r>
      <w:r w:rsidR="00DE78BF" w:rsidRPr="00A72702">
        <w:rPr>
          <w:rFonts w:cs="Times New Roman"/>
        </w:rPr>
        <w:t>.</w:t>
      </w:r>
      <w:r w:rsidR="00DE78BF" w:rsidRPr="004E3024">
        <w:rPr>
          <w:rFonts w:cs="Times New Roman"/>
        </w:rPr>
        <w:t xml:space="preserve"> 2013</w:t>
      </w:r>
      <w:r w:rsidR="00DE78BF">
        <w:rPr>
          <w:rFonts w:cs="Times New Roman"/>
        </w:rPr>
        <w:t>)</w:t>
      </w:r>
      <w:r w:rsidR="00F763F0">
        <w:rPr>
          <w:rFonts w:cs="Times New Roman"/>
        </w:rPr>
        <w:t>.</w:t>
      </w:r>
      <w:r w:rsidRPr="002B1DFC">
        <w:rPr>
          <w:rFonts w:cs="Times New Roman"/>
        </w:rPr>
        <w:t xml:space="preserve"> </w:t>
      </w:r>
    </w:p>
    <w:p w14:paraId="63A17D6C" w14:textId="77777777" w:rsidR="000B7923" w:rsidRPr="002B1DFC" w:rsidRDefault="000B7923" w:rsidP="00EF32FD">
      <w:pPr>
        <w:rPr>
          <w:rFonts w:cs="Times New Roman"/>
        </w:rPr>
      </w:pPr>
    </w:p>
    <w:p w14:paraId="4555870E" w14:textId="77777777" w:rsidR="000B7923" w:rsidRPr="002B1DFC" w:rsidRDefault="000B7923" w:rsidP="00BE4A82">
      <w:pPr>
        <w:pStyle w:val="ListParagraph"/>
        <w:numPr>
          <w:ilvl w:val="0"/>
          <w:numId w:val="68"/>
        </w:numPr>
        <w:tabs>
          <w:tab w:val="left" w:pos="360"/>
        </w:tabs>
        <w:ind w:left="0" w:firstLine="0"/>
        <w:rPr>
          <w:rFonts w:cs="Times New Roman"/>
        </w:rPr>
      </w:pPr>
      <w:r w:rsidRPr="002B1DFC">
        <w:rPr>
          <w:rFonts w:cs="Times New Roman"/>
        </w:rPr>
        <w:t>Another positive step was made in 2004, when Aarhus Informational Center was created in the MENR’s structure. The Center provided ecological information and information about environmental policy to all interested stakeholders and public. It also conducted trainings for state officials, prepared and published information in mass media, conducted roundtables and conferences</w:t>
      </w:r>
      <w:r w:rsidR="005A1195">
        <w:rPr>
          <w:rFonts w:cs="Times New Roman"/>
        </w:rPr>
        <w:t>,</w:t>
      </w:r>
      <w:r w:rsidRPr="002B1DFC">
        <w:rPr>
          <w:rFonts w:cs="Times New Roman"/>
        </w:rPr>
        <w:t xml:space="preserve"> as well as organized public consultation regarding environmental impact assessment. In 2012, the Aarhus Informational Center was liquidated, </w:t>
      </w:r>
      <w:r w:rsidR="0061686D">
        <w:rPr>
          <w:rFonts w:cs="Times New Roman"/>
        </w:rPr>
        <w:t>which</w:t>
      </w:r>
      <w:r w:rsidR="0061686D" w:rsidRPr="002B1DFC">
        <w:rPr>
          <w:rFonts w:cs="Times New Roman"/>
        </w:rPr>
        <w:t xml:space="preserve"> </w:t>
      </w:r>
      <w:r w:rsidR="0061686D">
        <w:rPr>
          <w:rFonts w:cs="Times New Roman"/>
        </w:rPr>
        <w:t xml:space="preserve">impacted </w:t>
      </w:r>
      <w:r w:rsidRPr="002B1DFC">
        <w:rPr>
          <w:rFonts w:cs="Times New Roman"/>
        </w:rPr>
        <w:t>collaboration between public and state authority as well as fulfillment of the provisions of Aarhus Convention</w:t>
      </w:r>
      <w:r w:rsidR="00DE78BF">
        <w:rPr>
          <w:rFonts w:cs="Times New Roman"/>
        </w:rPr>
        <w:t xml:space="preserve"> (</w:t>
      </w:r>
      <w:proofErr w:type="spellStart"/>
      <w:r w:rsidR="00DE78BF" w:rsidRPr="004E3024">
        <w:rPr>
          <w:rFonts w:cs="Times New Roman"/>
        </w:rPr>
        <w:t>Ageeva</w:t>
      </w:r>
      <w:proofErr w:type="spellEnd"/>
      <w:r w:rsidR="00DE78BF" w:rsidRPr="004E3024">
        <w:rPr>
          <w:rFonts w:cs="Times New Roman"/>
        </w:rPr>
        <w:t xml:space="preserve"> </w:t>
      </w:r>
      <w:r w:rsidR="00DE78BF" w:rsidRPr="00DE78BF">
        <w:rPr>
          <w:rFonts w:cs="Times New Roman"/>
          <w:i/>
        </w:rPr>
        <w:t>et al.</w:t>
      </w:r>
      <w:r w:rsidR="00DE78BF" w:rsidRPr="004E3024">
        <w:rPr>
          <w:rFonts w:cs="Times New Roman"/>
        </w:rPr>
        <w:t xml:space="preserve"> 2013</w:t>
      </w:r>
      <w:r w:rsidR="00DE78BF">
        <w:rPr>
          <w:rFonts w:cs="Times New Roman"/>
        </w:rPr>
        <w:t xml:space="preserve"> and </w:t>
      </w:r>
      <w:proofErr w:type="spellStart"/>
      <w:r w:rsidR="00DE78BF">
        <w:rPr>
          <w:rFonts w:cs="Times New Roman"/>
        </w:rPr>
        <w:t>Melnychuk</w:t>
      </w:r>
      <w:proofErr w:type="spellEnd"/>
      <w:r w:rsidR="00DE78BF">
        <w:rPr>
          <w:rFonts w:cs="Times New Roman"/>
        </w:rPr>
        <w:t xml:space="preserve"> </w:t>
      </w:r>
      <w:r w:rsidR="00DE78BF" w:rsidRPr="00DE78BF">
        <w:rPr>
          <w:rFonts w:cs="Times New Roman"/>
          <w:i/>
          <w:iCs/>
        </w:rPr>
        <w:t>et al.</w:t>
      </w:r>
      <w:r w:rsidR="00DE78BF">
        <w:rPr>
          <w:rFonts w:cs="Times New Roman"/>
        </w:rPr>
        <w:t xml:space="preserve"> 2012)</w:t>
      </w:r>
      <w:r w:rsidR="00F763F0">
        <w:rPr>
          <w:rFonts w:cs="Times New Roman"/>
        </w:rPr>
        <w:t>.</w:t>
      </w:r>
      <w:r w:rsidRPr="002B1DFC">
        <w:rPr>
          <w:rFonts w:cs="Times New Roman"/>
        </w:rPr>
        <w:t xml:space="preserve"> </w:t>
      </w:r>
    </w:p>
    <w:p w14:paraId="7D2AF05C" w14:textId="77777777" w:rsidR="000B7923" w:rsidRPr="002B1DFC" w:rsidRDefault="000B7923" w:rsidP="00F33595">
      <w:pPr>
        <w:pStyle w:val="m"/>
        <w:numPr>
          <w:ilvl w:val="0"/>
          <w:numId w:val="0"/>
        </w:numPr>
        <w:spacing w:before="0" w:line="240" w:lineRule="auto"/>
        <w:rPr>
          <w:szCs w:val="22"/>
        </w:rPr>
      </w:pPr>
    </w:p>
    <w:p w14:paraId="7353F62D" w14:textId="30552E1F" w:rsidR="000B7923" w:rsidRPr="002B1DFC" w:rsidRDefault="000B7923" w:rsidP="00341202">
      <w:pPr>
        <w:pStyle w:val="ListParagraph"/>
        <w:numPr>
          <w:ilvl w:val="0"/>
          <w:numId w:val="68"/>
        </w:numPr>
        <w:tabs>
          <w:tab w:val="left" w:pos="360"/>
        </w:tabs>
        <w:ind w:left="0" w:firstLine="0"/>
        <w:rPr>
          <w:rFonts w:cs="Times New Roman"/>
        </w:rPr>
      </w:pPr>
      <w:r w:rsidRPr="002B1DFC">
        <w:rPr>
          <w:rFonts w:cs="Times New Roman"/>
        </w:rPr>
        <w:t>According to Ukraine’s NGO portal, approximately 1</w:t>
      </w:r>
      <w:r w:rsidR="000F05D8">
        <w:rPr>
          <w:rFonts w:cs="Times New Roman"/>
        </w:rPr>
        <w:t>,</w:t>
      </w:r>
      <w:r w:rsidRPr="002B1DFC">
        <w:rPr>
          <w:rFonts w:cs="Times New Roman"/>
        </w:rPr>
        <w:t>500 non-governmental organizations</w:t>
      </w:r>
      <w:r w:rsidR="00EF6971">
        <w:rPr>
          <w:rFonts w:cs="Times New Roman"/>
        </w:rPr>
        <w:t>, all over the country,</w:t>
      </w:r>
      <w:r w:rsidRPr="002B1DFC">
        <w:rPr>
          <w:rFonts w:cs="Times New Roman"/>
        </w:rPr>
        <w:t xml:space="preserve"> note </w:t>
      </w:r>
      <w:r w:rsidR="00F32959">
        <w:rPr>
          <w:rFonts w:cs="Times New Roman"/>
        </w:rPr>
        <w:t>“</w:t>
      </w:r>
      <w:r w:rsidRPr="002B1DFC">
        <w:rPr>
          <w:rFonts w:cs="Times New Roman"/>
        </w:rPr>
        <w:t>protection of environment</w:t>
      </w:r>
      <w:r w:rsidR="00F32959">
        <w:rPr>
          <w:rFonts w:cs="Times New Roman"/>
        </w:rPr>
        <w:t>” in their registration information</w:t>
      </w:r>
      <w:r w:rsidR="00EF6971">
        <w:rPr>
          <w:rFonts w:cs="Times New Roman"/>
        </w:rPr>
        <w:t xml:space="preserve"> </w:t>
      </w:r>
      <w:r w:rsidR="00540E69">
        <w:rPr>
          <w:rFonts w:cs="Times New Roman"/>
        </w:rPr>
        <w:t>(</w:t>
      </w:r>
      <w:r w:rsidR="00147937" w:rsidRPr="00147937">
        <w:rPr>
          <w:rFonts w:cs="Times New Roman"/>
        </w:rPr>
        <w:t>Single NGO Register</w:t>
      </w:r>
      <w:r w:rsidR="00147937" w:rsidRPr="00147937" w:rsidDel="00EF6971">
        <w:rPr>
          <w:rFonts w:cs="Times New Roman"/>
        </w:rPr>
        <w:t xml:space="preserve"> </w:t>
      </w:r>
      <w:r w:rsidR="00147937">
        <w:rPr>
          <w:rFonts w:cs="Times New Roman"/>
        </w:rPr>
        <w:t>2015</w:t>
      </w:r>
      <w:r w:rsidR="00540E69">
        <w:rPr>
          <w:rFonts w:cs="Times New Roman"/>
        </w:rPr>
        <w:t>)</w:t>
      </w:r>
      <w:r w:rsidR="00F32959">
        <w:rPr>
          <w:rFonts w:cs="Times New Roman"/>
        </w:rPr>
        <w:t>.</w:t>
      </w:r>
      <w:r w:rsidRPr="002B1DFC">
        <w:rPr>
          <w:rFonts w:cs="Times New Roman"/>
        </w:rPr>
        <w:t xml:space="preserve"> The number is expected to be </w:t>
      </w:r>
      <w:r w:rsidR="00F32959">
        <w:rPr>
          <w:rFonts w:cs="Times New Roman"/>
        </w:rPr>
        <w:t>lower, since</w:t>
      </w:r>
      <w:r w:rsidRPr="002B1DFC">
        <w:rPr>
          <w:rFonts w:cs="Times New Roman"/>
        </w:rPr>
        <w:t xml:space="preserve"> many of these are associations or clubs for hunting/fishing.</w:t>
      </w:r>
    </w:p>
    <w:p w14:paraId="5D09D739" w14:textId="77777777" w:rsidR="00DC2622" w:rsidRDefault="00DC2622" w:rsidP="00F33595">
      <w:pPr>
        <w:rPr>
          <w:rFonts w:cs="Times New Roman"/>
        </w:rPr>
      </w:pPr>
    </w:p>
    <w:p w14:paraId="5D92840A" w14:textId="77777777" w:rsidR="000B7923" w:rsidRPr="002B1DFC" w:rsidRDefault="000B7923" w:rsidP="00540E69">
      <w:pPr>
        <w:pStyle w:val="Heading2"/>
      </w:pPr>
      <w:bookmarkStart w:id="136" w:name="_Toc440273978"/>
      <w:r w:rsidRPr="002B1DFC">
        <w:t>Private Sector Engagement in Environmental Management</w:t>
      </w:r>
      <w:bookmarkEnd w:id="136"/>
    </w:p>
    <w:p w14:paraId="58E067C5" w14:textId="77777777" w:rsidR="000B7923" w:rsidRPr="002B1DFC" w:rsidRDefault="000B7923" w:rsidP="005C4ECB">
      <w:pPr>
        <w:rPr>
          <w:rFonts w:cs="Times New Roman"/>
        </w:rPr>
      </w:pPr>
    </w:p>
    <w:p w14:paraId="33F9DF3D" w14:textId="77777777" w:rsidR="000B7923" w:rsidRPr="002B1DFC" w:rsidRDefault="000B7923" w:rsidP="00BE4A82">
      <w:pPr>
        <w:pStyle w:val="ListParagraph"/>
        <w:numPr>
          <w:ilvl w:val="0"/>
          <w:numId w:val="68"/>
        </w:numPr>
        <w:tabs>
          <w:tab w:val="left" w:pos="360"/>
        </w:tabs>
        <w:ind w:left="0" w:firstLine="0"/>
        <w:rPr>
          <w:rFonts w:cs="Times New Roman"/>
        </w:rPr>
      </w:pPr>
      <w:r w:rsidRPr="002B1DFC">
        <w:rPr>
          <w:rFonts w:cs="Times New Roman"/>
        </w:rPr>
        <w:t xml:space="preserve">Ukraine’s Environmental Protection Law </w:t>
      </w:r>
      <w:r w:rsidR="00A849A9">
        <w:rPr>
          <w:rFonts w:cs="Times New Roman"/>
        </w:rPr>
        <w:t>calls for</w:t>
      </w:r>
      <w:r w:rsidR="00A849A9" w:rsidRPr="002B1DFC">
        <w:rPr>
          <w:rFonts w:cs="Times New Roman"/>
        </w:rPr>
        <w:t xml:space="preserve"> </w:t>
      </w:r>
      <w:r w:rsidRPr="002B1DFC">
        <w:rPr>
          <w:rFonts w:cs="Times New Roman"/>
        </w:rPr>
        <w:t>the establishment of an incentive mechanism for private sector through the provision of tax benefits, loans</w:t>
      </w:r>
      <w:r w:rsidR="00591FD4">
        <w:rPr>
          <w:rFonts w:cs="Times New Roman"/>
        </w:rPr>
        <w:t>, and so forth</w:t>
      </w:r>
      <w:r w:rsidRPr="002B1DFC">
        <w:rPr>
          <w:rFonts w:cs="Times New Roman"/>
        </w:rPr>
        <w:t>, if enterprises introduce a clean technology production, develop and implement various energy-efficient and environmental measures. However, public assessment of environmental policy</w:t>
      </w:r>
      <w:r w:rsidR="00A714C3">
        <w:rPr>
          <w:rFonts w:cs="Times New Roman"/>
        </w:rPr>
        <w:t xml:space="preserve"> (</w:t>
      </w:r>
      <w:proofErr w:type="spellStart"/>
      <w:r w:rsidR="00A714C3">
        <w:rPr>
          <w:rFonts w:cs="Times New Roman"/>
        </w:rPr>
        <w:t>Melnychuk</w:t>
      </w:r>
      <w:proofErr w:type="spellEnd"/>
      <w:r w:rsidR="00A714C3">
        <w:rPr>
          <w:rFonts w:cs="Times New Roman"/>
        </w:rPr>
        <w:t xml:space="preserve"> </w:t>
      </w:r>
      <w:r w:rsidR="00A714C3" w:rsidRPr="00A714C3">
        <w:rPr>
          <w:rFonts w:cs="Times New Roman"/>
          <w:i/>
          <w:iCs/>
        </w:rPr>
        <w:t>et al.</w:t>
      </w:r>
      <w:r w:rsidR="00A714C3">
        <w:rPr>
          <w:rFonts w:cs="Times New Roman"/>
        </w:rPr>
        <w:t xml:space="preserve"> 2012)</w:t>
      </w:r>
      <w:r w:rsidRPr="002B1DFC">
        <w:rPr>
          <w:rFonts w:cs="Times New Roman"/>
        </w:rPr>
        <w:t xml:space="preserve"> underlines that this mechanism does not work in practice.</w:t>
      </w:r>
    </w:p>
    <w:p w14:paraId="13F5E581" w14:textId="77777777" w:rsidR="000B7923" w:rsidRPr="002B1DFC" w:rsidRDefault="000B7923" w:rsidP="005C4ECB">
      <w:pPr>
        <w:rPr>
          <w:rFonts w:cs="Times New Roman"/>
        </w:rPr>
      </w:pPr>
    </w:p>
    <w:p w14:paraId="5B723E22" w14:textId="29FB4AD0" w:rsidR="000B7923" w:rsidRPr="002B1DFC" w:rsidRDefault="000B7923" w:rsidP="00147937">
      <w:pPr>
        <w:pStyle w:val="ListParagraph"/>
        <w:numPr>
          <w:ilvl w:val="0"/>
          <w:numId w:val="68"/>
        </w:numPr>
        <w:tabs>
          <w:tab w:val="left" w:pos="360"/>
        </w:tabs>
        <w:ind w:left="0" w:firstLine="0"/>
        <w:rPr>
          <w:rFonts w:cs="Times New Roman"/>
        </w:rPr>
      </w:pPr>
      <w:r w:rsidRPr="002B1DFC">
        <w:rPr>
          <w:rFonts w:cs="Times New Roman"/>
        </w:rPr>
        <w:t xml:space="preserve">The National Environmental Strategy (NES) foresees the development and implementation of incentives for enterprises by 2015, based on a system of environmental management, corporate social responsibility and environmental audit and certification. However, assessment of the NES’s implementation demonstrated that this task of the Strategy was not </w:t>
      </w:r>
      <w:r w:rsidR="003E70D8">
        <w:rPr>
          <w:rFonts w:cs="Times New Roman"/>
        </w:rPr>
        <w:t>implemented</w:t>
      </w:r>
      <w:r w:rsidR="00A714C3">
        <w:rPr>
          <w:rFonts w:cs="Times New Roman"/>
        </w:rPr>
        <w:t xml:space="preserve"> (MENR 2015a)</w:t>
      </w:r>
      <w:r w:rsidRPr="002B1DFC">
        <w:rPr>
          <w:rFonts w:cs="Times New Roman"/>
        </w:rPr>
        <w:t xml:space="preserve">. </w:t>
      </w:r>
    </w:p>
    <w:p w14:paraId="48C68800" w14:textId="77777777" w:rsidR="000B7923" w:rsidRPr="002B1DFC" w:rsidRDefault="000B7923" w:rsidP="005C4ECB">
      <w:pPr>
        <w:rPr>
          <w:rFonts w:cs="Times New Roman"/>
        </w:rPr>
      </w:pPr>
    </w:p>
    <w:p w14:paraId="035C4630" w14:textId="77777777" w:rsidR="003E70D8" w:rsidRDefault="000B7923" w:rsidP="00BE4A82">
      <w:pPr>
        <w:pStyle w:val="ListParagraph"/>
        <w:numPr>
          <w:ilvl w:val="0"/>
          <w:numId w:val="68"/>
        </w:numPr>
        <w:tabs>
          <w:tab w:val="left" w:pos="360"/>
        </w:tabs>
        <w:ind w:left="0" w:firstLine="0"/>
        <w:rPr>
          <w:rFonts w:cs="Times New Roman"/>
        </w:rPr>
      </w:pPr>
      <w:r w:rsidRPr="002B1DFC">
        <w:rPr>
          <w:rFonts w:cs="Times New Roman"/>
        </w:rPr>
        <w:t xml:space="preserve">Currently, the largest companies introduce by themselves such international certifications in environmental management and quality as ISO 14001. </w:t>
      </w:r>
      <w:r w:rsidR="00F54DDC">
        <w:rPr>
          <w:rFonts w:cs="Times New Roman"/>
        </w:rPr>
        <w:t>The emphasis of ISO</w:t>
      </w:r>
      <w:r w:rsidR="00346254">
        <w:rPr>
          <w:rFonts w:cs="Times New Roman"/>
        </w:rPr>
        <w:t xml:space="preserve"> </w:t>
      </w:r>
      <w:r w:rsidR="00F54DDC">
        <w:rPr>
          <w:rFonts w:cs="Times New Roman"/>
        </w:rPr>
        <w:t xml:space="preserve">14001 is threefold: </w:t>
      </w:r>
      <w:r w:rsidR="00346254">
        <w:rPr>
          <w:rFonts w:cs="Times New Roman"/>
        </w:rPr>
        <w:t xml:space="preserve">(i) </w:t>
      </w:r>
      <w:r w:rsidR="00F54DDC">
        <w:rPr>
          <w:rFonts w:cs="Times New Roman"/>
        </w:rPr>
        <w:t xml:space="preserve">compliance with legislation; </w:t>
      </w:r>
      <w:r w:rsidR="00346254">
        <w:rPr>
          <w:rFonts w:cs="Times New Roman"/>
        </w:rPr>
        <w:t>(</w:t>
      </w:r>
      <w:r w:rsidR="00F54DDC">
        <w:rPr>
          <w:rFonts w:cs="Times New Roman"/>
        </w:rPr>
        <w:t>ii) prevention of pollution by avoiding, reducing</w:t>
      </w:r>
      <w:r w:rsidR="00346254">
        <w:rPr>
          <w:rFonts w:cs="Times New Roman"/>
        </w:rPr>
        <w:t>,</w:t>
      </w:r>
      <w:r w:rsidR="00F54DDC">
        <w:rPr>
          <w:rFonts w:cs="Times New Roman"/>
        </w:rPr>
        <w:t xml:space="preserve"> and controlling pollutants; and </w:t>
      </w:r>
      <w:r w:rsidR="00346254">
        <w:rPr>
          <w:rFonts w:cs="Times New Roman"/>
        </w:rPr>
        <w:t>(</w:t>
      </w:r>
      <w:r w:rsidR="00F54DDC">
        <w:rPr>
          <w:rFonts w:cs="Times New Roman"/>
        </w:rPr>
        <w:t xml:space="preserve">iii) continual improvement of the environmental management system.  </w:t>
      </w:r>
      <w:r w:rsidRPr="002B1DFC">
        <w:rPr>
          <w:rFonts w:cs="Times New Roman"/>
        </w:rPr>
        <w:t>Figure</w:t>
      </w:r>
      <w:r w:rsidR="006A0CA0">
        <w:rPr>
          <w:rFonts w:cs="Times New Roman"/>
        </w:rPr>
        <w:t xml:space="preserve">s </w:t>
      </w:r>
      <w:r w:rsidR="005060F5">
        <w:rPr>
          <w:rFonts w:cs="Times New Roman"/>
        </w:rPr>
        <w:t>8 and 9</w:t>
      </w:r>
      <w:r w:rsidR="006A0CA0">
        <w:rPr>
          <w:rFonts w:cs="Times New Roman"/>
        </w:rPr>
        <w:t xml:space="preserve"> </w:t>
      </w:r>
      <w:r w:rsidRPr="002B1DFC">
        <w:rPr>
          <w:rFonts w:cs="Times New Roman"/>
        </w:rPr>
        <w:t xml:space="preserve">below show </w:t>
      </w:r>
      <w:r w:rsidR="00346254">
        <w:rPr>
          <w:rFonts w:cs="Times New Roman"/>
        </w:rPr>
        <w:t xml:space="preserve">the </w:t>
      </w:r>
      <w:r w:rsidRPr="002B1DFC">
        <w:rPr>
          <w:rFonts w:cs="Times New Roman"/>
        </w:rPr>
        <w:t>evolution of ISO 14001 certificates in Ukraine</w:t>
      </w:r>
      <w:r w:rsidR="006A0CA0">
        <w:rPr>
          <w:rFonts w:cs="Times New Roman"/>
        </w:rPr>
        <w:t xml:space="preserve"> and </w:t>
      </w:r>
      <w:r w:rsidR="00346254">
        <w:rPr>
          <w:rFonts w:cs="Times New Roman"/>
        </w:rPr>
        <w:t>compare the</w:t>
      </w:r>
      <w:r w:rsidR="006A0CA0">
        <w:rPr>
          <w:rFonts w:cs="Times New Roman"/>
        </w:rPr>
        <w:t xml:space="preserve"> number of certificates per 1</w:t>
      </w:r>
      <w:r w:rsidR="00346254">
        <w:rPr>
          <w:rFonts w:cs="Times New Roman"/>
        </w:rPr>
        <w:t>,</w:t>
      </w:r>
      <w:r w:rsidR="006A0CA0">
        <w:rPr>
          <w:rFonts w:cs="Times New Roman"/>
        </w:rPr>
        <w:t xml:space="preserve">000 enterprises internationally. </w:t>
      </w:r>
      <w:r w:rsidR="00346254">
        <w:rPr>
          <w:rFonts w:cs="Times New Roman"/>
        </w:rPr>
        <w:t>T</w:t>
      </w:r>
      <w:r w:rsidR="006A0CA0">
        <w:rPr>
          <w:rFonts w:cs="Times New Roman"/>
        </w:rPr>
        <w:t>here has been significant increase</w:t>
      </w:r>
      <w:r w:rsidR="00346254">
        <w:rPr>
          <w:rFonts w:cs="Times New Roman"/>
        </w:rPr>
        <w:t xml:space="preserve"> over the past decade</w:t>
      </w:r>
      <w:r w:rsidR="006A0CA0">
        <w:rPr>
          <w:rFonts w:cs="Times New Roman"/>
        </w:rPr>
        <w:t xml:space="preserve"> in the number of companies that obtain ISO 14001 certification in Ukraine</w:t>
      </w:r>
      <w:r w:rsidR="001C436F">
        <w:rPr>
          <w:rFonts w:cs="Times New Roman"/>
        </w:rPr>
        <w:t xml:space="preserve"> (see figure </w:t>
      </w:r>
      <w:r w:rsidR="005060F5">
        <w:rPr>
          <w:rFonts w:cs="Times New Roman"/>
        </w:rPr>
        <w:t>8</w:t>
      </w:r>
      <w:r w:rsidR="001C436F">
        <w:rPr>
          <w:rFonts w:cs="Times New Roman"/>
        </w:rPr>
        <w:t>)</w:t>
      </w:r>
      <w:r w:rsidR="00346254">
        <w:rPr>
          <w:rFonts w:cs="Times New Roman"/>
        </w:rPr>
        <w:t xml:space="preserve">. However, </w:t>
      </w:r>
      <w:r w:rsidR="006A0CA0">
        <w:rPr>
          <w:rFonts w:cs="Times New Roman"/>
        </w:rPr>
        <w:t xml:space="preserve">the number </w:t>
      </w:r>
      <w:r w:rsidR="00346254">
        <w:rPr>
          <w:rFonts w:cs="Times New Roman"/>
        </w:rPr>
        <w:t xml:space="preserve">of such companies </w:t>
      </w:r>
      <w:r w:rsidR="006A0CA0">
        <w:rPr>
          <w:rFonts w:cs="Times New Roman"/>
        </w:rPr>
        <w:t xml:space="preserve">as </w:t>
      </w:r>
      <w:r w:rsidR="00346254">
        <w:rPr>
          <w:rFonts w:cs="Times New Roman"/>
        </w:rPr>
        <w:t xml:space="preserve">a </w:t>
      </w:r>
      <w:r w:rsidR="006A0CA0">
        <w:rPr>
          <w:rFonts w:cs="Times New Roman"/>
        </w:rPr>
        <w:t xml:space="preserve">share of total enterprises is smaller than </w:t>
      </w:r>
      <w:r w:rsidR="00346254">
        <w:rPr>
          <w:rFonts w:cs="Times New Roman"/>
        </w:rPr>
        <w:t xml:space="preserve">in comparison </w:t>
      </w:r>
      <w:r w:rsidR="006A0CA0">
        <w:rPr>
          <w:rFonts w:cs="Times New Roman"/>
        </w:rPr>
        <w:t>countries</w:t>
      </w:r>
      <w:r w:rsidR="001C436F">
        <w:rPr>
          <w:rFonts w:cs="Times New Roman"/>
        </w:rPr>
        <w:t xml:space="preserve"> (see figure </w:t>
      </w:r>
      <w:r w:rsidR="005060F5">
        <w:rPr>
          <w:rFonts w:cs="Times New Roman"/>
        </w:rPr>
        <w:t>9</w:t>
      </w:r>
      <w:r w:rsidR="001C436F">
        <w:rPr>
          <w:rFonts w:cs="Times New Roman"/>
        </w:rPr>
        <w:t>)</w:t>
      </w:r>
      <w:r w:rsidR="006A0CA0">
        <w:rPr>
          <w:rFonts w:cs="Times New Roman"/>
        </w:rPr>
        <w:t>.</w:t>
      </w:r>
      <w:r w:rsidR="00D46377">
        <w:rPr>
          <w:rFonts w:cs="Times New Roman"/>
        </w:rPr>
        <w:t xml:space="preserve">  </w:t>
      </w:r>
    </w:p>
    <w:p w14:paraId="7749F6BF" w14:textId="2871CA42" w:rsidR="00ED1955" w:rsidRDefault="00ED1955">
      <w:pPr>
        <w:jc w:val="left"/>
        <w:rPr>
          <w:rFonts w:cs="Times New Roman"/>
          <w:b/>
          <w:noProof/>
          <w:szCs w:val="20"/>
          <w:lang w:val="en-GB"/>
        </w:rPr>
      </w:pPr>
    </w:p>
    <w:p w14:paraId="643CF757" w14:textId="1F7C1BFA" w:rsidR="000B7923" w:rsidRPr="002B1DFC" w:rsidRDefault="000B7923" w:rsidP="00D072BB">
      <w:pPr>
        <w:pStyle w:val="Caption"/>
      </w:pPr>
      <w:bookmarkStart w:id="137" w:name="_Toc440274018"/>
      <w:r w:rsidRPr="002B1DFC">
        <w:t xml:space="preserve">Figure </w:t>
      </w:r>
      <w:r w:rsidR="00D072BB">
        <w:fldChar w:fldCharType="begin"/>
      </w:r>
      <w:r w:rsidR="00D072BB">
        <w:instrText xml:space="preserve"> SEQ Figure \* ARABIC </w:instrText>
      </w:r>
      <w:r w:rsidR="00D072BB">
        <w:fldChar w:fldCharType="separate"/>
      </w:r>
      <w:r w:rsidR="00356D5F">
        <w:t>8</w:t>
      </w:r>
      <w:r w:rsidR="00D072BB">
        <w:fldChar w:fldCharType="end"/>
      </w:r>
      <w:r w:rsidRPr="002B1DFC">
        <w:t>. Evolution of ISO 14001 Certificates in Ukraine</w:t>
      </w:r>
      <w:bookmarkEnd w:id="137"/>
    </w:p>
    <w:p w14:paraId="11E9A890" w14:textId="77777777" w:rsidR="000B7923" w:rsidRPr="002B1DFC" w:rsidRDefault="00BE4288" w:rsidP="005C4ECB">
      <w:pPr>
        <w:rPr>
          <w:rFonts w:cs="Times New Roman"/>
        </w:rPr>
      </w:pPr>
      <w:r w:rsidRPr="002B1DFC">
        <w:rPr>
          <w:rFonts w:cs="Times New Roman"/>
          <w:noProof/>
        </w:rPr>
        <w:drawing>
          <wp:inline distT="0" distB="0" distL="0" distR="0" wp14:anchorId="352BE8A0" wp14:editId="70880BB4">
            <wp:extent cx="5924550" cy="15240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l="1353" t="22380" r="3133" b="12723"/>
                    <a:stretch>
                      <a:fillRect/>
                    </a:stretch>
                  </pic:blipFill>
                  <pic:spPr bwMode="auto">
                    <a:xfrm>
                      <a:off x="0" y="0"/>
                      <a:ext cx="5924550" cy="1524000"/>
                    </a:xfrm>
                    <a:prstGeom prst="rect">
                      <a:avLst/>
                    </a:prstGeom>
                    <a:noFill/>
                    <a:ln>
                      <a:noFill/>
                    </a:ln>
                  </pic:spPr>
                </pic:pic>
              </a:graphicData>
            </a:graphic>
          </wp:inline>
        </w:drawing>
      </w:r>
    </w:p>
    <w:p w14:paraId="4BF45BA0" w14:textId="77777777" w:rsidR="00DC2622" w:rsidRPr="0061686D" w:rsidRDefault="000B7923" w:rsidP="009761EB">
      <w:pPr>
        <w:rPr>
          <w:rFonts w:cs="Times New Roman"/>
          <w:sz w:val="20"/>
          <w:szCs w:val="20"/>
        </w:rPr>
      </w:pPr>
      <w:r w:rsidRPr="0061686D">
        <w:rPr>
          <w:rFonts w:cs="Times New Roman"/>
          <w:i/>
          <w:sz w:val="20"/>
          <w:szCs w:val="20"/>
        </w:rPr>
        <w:t>Source:</w:t>
      </w:r>
      <w:r w:rsidRPr="0061686D">
        <w:rPr>
          <w:rFonts w:cs="Times New Roman"/>
          <w:sz w:val="20"/>
          <w:szCs w:val="20"/>
        </w:rPr>
        <w:t xml:space="preserve"> ISO 2015</w:t>
      </w:r>
      <w:r w:rsidR="00F763F0">
        <w:rPr>
          <w:rFonts w:cs="Times New Roman"/>
          <w:sz w:val="20"/>
          <w:szCs w:val="20"/>
        </w:rPr>
        <w:t>.</w:t>
      </w:r>
      <w:r w:rsidRPr="0061686D">
        <w:rPr>
          <w:rFonts w:cs="Times New Roman"/>
          <w:sz w:val="20"/>
          <w:szCs w:val="20"/>
        </w:rPr>
        <w:t xml:space="preserve"> </w:t>
      </w:r>
    </w:p>
    <w:p w14:paraId="786BF59E" w14:textId="77777777" w:rsidR="00F763F0" w:rsidRDefault="00F763F0" w:rsidP="0061686D"/>
    <w:p w14:paraId="60BAAF33" w14:textId="77777777" w:rsidR="00432E10" w:rsidRDefault="00D072BB" w:rsidP="00D072BB">
      <w:pPr>
        <w:pStyle w:val="Caption"/>
      </w:pPr>
      <w:bookmarkStart w:id="138" w:name="_Toc440274019"/>
      <w:r>
        <w:t xml:space="preserve">Figure </w:t>
      </w:r>
      <w:r>
        <w:fldChar w:fldCharType="begin"/>
      </w:r>
      <w:r>
        <w:instrText xml:space="preserve"> SEQ Figure \* ARABIC </w:instrText>
      </w:r>
      <w:r>
        <w:fldChar w:fldCharType="separate"/>
      </w:r>
      <w:r w:rsidR="00356D5F">
        <w:t>9</w:t>
      </w:r>
      <w:r>
        <w:fldChar w:fldCharType="end"/>
      </w:r>
      <w:r w:rsidR="000B7923" w:rsidRPr="002B1DFC">
        <w:t>. Comparison of Number of ISO Certificates by Country</w:t>
      </w:r>
      <w:bookmarkEnd w:id="138"/>
    </w:p>
    <w:p w14:paraId="74E01AA8" w14:textId="77777777" w:rsidR="00432E10" w:rsidRDefault="00BE4288" w:rsidP="001557B4">
      <w:pPr>
        <w:rPr>
          <w:lang w:val="en-GB"/>
        </w:rPr>
      </w:pPr>
      <w:r>
        <w:rPr>
          <w:noProof/>
        </w:rPr>
        <w:drawing>
          <wp:inline distT="0" distB="0" distL="0" distR="0" wp14:anchorId="2E35E078" wp14:editId="371941D7">
            <wp:extent cx="5257800" cy="3438144"/>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0" cy="3438144"/>
                    </a:xfrm>
                    <a:prstGeom prst="rect">
                      <a:avLst/>
                    </a:prstGeom>
                    <a:noFill/>
                  </pic:spPr>
                </pic:pic>
              </a:graphicData>
            </a:graphic>
          </wp:inline>
        </w:drawing>
      </w:r>
    </w:p>
    <w:p w14:paraId="546B84C8" w14:textId="77777777" w:rsidR="000B7923" w:rsidRPr="0061686D" w:rsidRDefault="000B7923" w:rsidP="00452C91">
      <w:pPr>
        <w:spacing w:before="120"/>
        <w:rPr>
          <w:rFonts w:cs="Times New Roman"/>
          <w:sz w:val="20"/>
          <w:szCs w:val="20"/>
        </w:rPr>
      </w:pPr>
      <w:r w:rsidRPr="0061686D">
        <w:rPr>
          <w:rFonts w:cs="Times New Roman"/>
          <w:i/>
          <w:sz w:val="20"/>
          <w:szCs w:val="20"/>
        </w:rPr>
        <w:t>Source</w:t>
      </w:r>
      <w:r w:rsidR="007F4475">
        <w:rPr>
          <w:rFonts w:cs="Times New Roman"/>
          <w:i/>
          <w:sz w:val="20"/>
          <w:szCs w:val="20"/>
        </w:rPr>
        <w:t>s</w:t>
      </w:r>
      <w:r w:rsidRPr="0061686D">
        <w:rPr>
          <w:rFonts w:cs="Times New Roman"/>
          <w:i/>
          <w:sz w:val="20"/>
          <w:szCs w:val="20"/>
        </w:rPr>
        <w:t>:</w:t>
      </w:r>
      <w:r w:rsidRPr="0061686D">
        <w:rPr>
          <w:rFonts w:cs="Times New Roman"/>
          <w:sz w:val="20"/>
          <w:szCs w:val="20"/>
        </w:rPr>
        <w:t xml:space="preserve"> </w:t>
      </w:r>
      <w:r w:rsidR="007F4475">
        <w:rPr>
          <w:rFonts w:cs="Times New Roman"/>
          <w:sz w:val="20"/>
          <w:szCs w:val="20"/>
        </w:rPr>
        <w:t>N</w:t>
      </w:r>
      <w:r w:rsidRPr="0061686D">
        <w:rPr>
          <w:rFonts w:cs="Times New Roman"/>
          <w:sz w:val="20"/>
          <w:szCs w:val="20"/>
        </w:rPr>
        <w:t xml:space="preserve">umber of enterprises: UNIDO STAT </w:t>
      </w:r>
      <w:hyperlink r:id="rId25" w:history="1">
        <w:r w:rsidRPr="0061686D">
          <w:rPr>
            <w:rStyle w:val="Hyperlink"/>
            <w:color w:val="auto"/>
            <w:sz w:val="20"/>
            <w:szCs w:val="20"/>
            <w:u w:val="none"/>
          </w:rPr>
          <w:t>https://stat.unido.org/</w:t>
        </w:r>
      </w:hyperlink>
      <w:r w:rsidR="007F4475" w:rsidRPr="00A72702">
        <w:rPr>
          <w:rFonts w:cs="Times New Roman"/>
          <w:sz w:val="20"/>
          <w:szCs w:val="20"/>
        </w:rPr>
        <w:t>;</w:t>
      </w:r>
      <w:r w:rsidR="007F4475">
        <w:rPr>
          <w:rFonts w:cs="Times New Roman"/>
          <w:sz w:val="20"/>
          <w:szCs w:val="20"/>
        </w:rPr>
        <w:t xml:space="preserve"> </w:t>
      </w:r>
      <w:r w:rsidRPr="0061686D">
        <w:rPr>
          <w:rFonts w:cs="Times New Roman"/>
          <w:sz w:val="20"/>
          <w:szCs w:val="20"/>
        </w:rPr>
        <w:t xml:space="preserve">number of ISO certificates: the ISO survey </w:t>
      </w:r>
      <w:hyperlink r:id="rId26" w:history="1">
        <w:r w:rsidRPr="0061686D">
          <w:rPr>
            <w:rStyle w:val="Hyperlink"/>
            <w:color w:val="auto"/>
            <w:sz w:val="20"/>
            <w:szCs w:val="20"/>
            <w:u w:val="none"/>
          </w:rPr>
          <w:t>http://www.iso.org/iso/iso-survey</w:t>
        </w:r>
      </w:hyperlink>
      <w:r w:rsidRPr="0061686D">
        <w:rPr>
          <w:rFonts w:cs="Times New Roman"/>
          <w:sz w:val="20"/>
          <w:szCs w:val="20"/>
        </w:rPr>
        <w:t xml:space="preserve">) </w:t>
      </w:r>
    </w:p>
    <w:p w14:paraId="3BD1E045" w14:textId="77777777" w:rsidR="00D93D38" w:rsidRDefault="00D93D38" w:rsidP="00BE4A82">
      <w:pPr>
        <w:pStyle w:val="ListParagraph"/>
        <w:numPr>
          <w:ilvl w:val="0"/>
          <w:numId w:val="68"/>
        </w:numPr>
        <w:tabs>
          <w:tab w:val="left" w:pos="360"/>
        </w:tabs>
        <w:spacing w:before="200"/>
        <w:ind w:left="0" w:firstLine="0"/>
        <w:rPr>
          <w:rFonts w:cs="Times New Roman"/>
        </w:rPr>
      </w:pPr>
      <w:r>
        <w:rPr>
          <w:rFonts w:cs="Times New Roman"/>
        </w:rPr>
        <w:lastRenderedPageBreak/>
        <w:t xml:space="preserve">The adoption of environmental management systems can assist firms to obtain financing </w:t>
      </w:r>
      <w:r w:rsidR="00781B71">
        <w:rPr>
          <w:rFonts w:cs="Times New Roman"/>
        </w:rPr>
        <w:t xml:space="preserve">by, </w:t>
      </w:r>
      <w:r>
        <w:rPr>
          <w:rFonts w:cs="Times New Roman"/>
        </w:rPr>
        <w:t>for example, fulfilling</w:t>
      </w:r>
      <w:r w:rsidRPr="00732059">
        <w:rPr>
          <w:rFonts w:cs="Times New Roman"/>
        </w:rPr>
        <w:t xml:space="preserve"> </w:t>
      </w:r>
      <w:r>
        <w:rPr>
          <w:rFonts w:cs="Times New Roman"/>
        </w:rPr>
        <w:t xml:space="preserve">the environment requirements of </w:t>
      </w:r>
      <w:r w:rsidRPr="00732059">
        <w:rPr>
          <w:rFonts w:cs="Times New Roman"/>
        </w:rPr>
        <w:t>potential financial investors</w:t>
      </w:r>
      <w:r>
        <w:rPr>
          <w:rFonts w:cs="Times New Roman"/>
        </w:rPr>
        <w:t>, enhance their competitiveness through reducing reputational risks</w:t>
      </w:r>
      <w:r w:rsidR="00781B71">
        <w:rPr>
          <w:rFonts w:cs="Times New Roman"/>
        </w:rPr>
        <w:t xml:space="preserve"> and </w:t>
      </w:r>
      <w:r>
        <w:rPr>
          <w:rFonts w:cs="Times New Roman"/>
        </w:rPr>
        <w:t>improving efficiency, and access new clients by meeting buyer</w:t>
      </w:r>
      <w:r w:rsidR="00781B71">
        <w:rPr>
          <w:rFonts w:cs="Times New Roman"/>
        </w:rPr>
        <w:t>s</w:t>
      </w:r>
      <w:r>
        <w:rPr>
          <w:rFonts w:cs="Times New Roman"/>
        </w:rPr>
        <w:t>’ environmental demands</w:t>
      </w:r>
      <w:r w:rsidR="00781B71">
        <w:rPr>
          <w:rFonts w:cs="Times New Roman"/>
        </w:rPr>
        <w:t xml:space="preserve">, </w:t>
      </w:r>
      <w:r>
        <w:rPr>
          <w:rFonts w:cs="Times New Roman"/>
        </w:rPr>
        <w:t xml:space="preserve">which may further enhance the opportunities provided by the </w:t>
      </w:r>
      <w:r w:rsidR="008357CD">
        <w:rPr>
          <w:rFonts w:cs="Times New Roman"/>
        </w:rPr>
        <w:t>EU–</w:t>
      </w:r>
      <w:r>
        <w:rPr>
          <w:rFonts w:cs="Times New Roman"/>
        </w:rPr>
        <w:t>Ukraine Association Agreement.</w:t>
      </w:r>
    </w:p>
    <w:p w14:paraId="7D959B51" w14:textId="77777777" w:rsidR="00D93D38" w:rsidRDefault="00D93D38" w:rsidP="00E9091B">
      <w:pPr>
        <w:rPr>
          <w:rFonts w:cs="Times New Roman"/>
        </w:rPr>
      </w:pPr>
    </w:p>
    <w:p w14:paraId="6F7473F9" w14:textId="77777777" w:rsidR="000B7923" w:rsidRDefault="000B7923" w:rsidP="00BE4A82">
      <w:pPr>
        <w:pStyle w:val="ListParagraph"/>
        <w:numPr>
          <w:ilvl w:val="0"/>
          <w:numId w:val="68"/>
        </w:numPr>
        <w:tabs>
          <w:tab w:val="left" w:pos="360"/>
        </w:tabs>
        <w:ind w:left="0" w:firstLine="0"/>
        <w:rPr>
          <w:rFonts w:cs="Times New Roman"/>
        </w:rPr>
      </w:pPr>
      <w:r w:rsidRPr="002B1DFC">
        <w:rPr>
          <w:rFonts w:cs="Times New Roman"/>
        </w:rPr>
        <w:t>Support for private sector are currently provided through two projects: “The Public-Private Partnership Development Program (P3DP)” supported by USAID</w:t>
      </w:r>
      <w:r w:rsidRPr="002B1DFC">
        <w:rPr>
          <w:rStyle w:val="FootnoteReference"/>
        </w:rPr>
        <w:footnoteReference w:id="19"/>
      </w:r>
      <w:r w:rsidRPr="002B1DFC">
        <w:rPr>
          <w:rFonts w:cs="Times New Roman"/>
        </w:rPr>
        <w:t xml:space="preserve"> and “Support Resource Efficient and Cleaner Production Center (RECPC)” supported by the UNIDO and UNEP</w:t>
      </w:r>
      <w:r w:rsidR="00781B71">
        <w:rPr>
          <w:rFonts w:cs="Times New Roman"/>
        </w:rPr>
        <w:t>.</w:t>
      </w:r>
      <w:r w:rsidRPr="002B1DFC">
        <w:rPr>
          <w:rStyle w:val="FootnoteReference"/>
        </w:rPr>
        <w:footnoteReference w:id="20"/>
      </w:r>
      <w:r w:rsidRPr="002B1DFC">
        <w:rPr>
          <w:rFonts w:cs="Times New Roman"/>
        </w:rPr>
        <w:t xml:space="preserve"> Thus, in 2013</w:t>
      </w:r>
      <w:r w:rsidR="00781B71">
        <w:rPr>
          <w:rFonts w:cs="Times New Roman"/>
        </w:rPr>
        <w:t>–</w:t>
      </w:r>
      <w:r w:rsidRPr="002B1DFC">
        <w:rPr>
          <w:rFonts w:cs="Times New Roman"/>
        </w:rPr>
        <w:t xml:space="preserve">2014 the regional work of RECPC focused on more than 20 industrial companies in </w:t>
      </w:r>
      <w:r w:rsidR="00346254">
        <w:rPr>
          <w:rFonts w:cs="Times New Roman"/>
        </w:rPr>
        <w:t xml:space="preserve">the </w:t>
      </w:r>
      <w:r w:rsidRPr="002B1DFC">
        <w:rPr>
          <w:rFonts w:cs="Times New Roman"/>
        </w:rPr>
        <w:t xml:space="preserve">Kyiv, Odesa, </w:t>
      </w:r>
      <w:proofErr w:type="spellStart"/>
      <w:r w:rsidRPr="002B1DFC">
        <w:rPr>
          <w:rFonts w:cs="Times New Roman"/>
        </w:rPr>
        <w:t>Vinnytsya</w:t>
      </w:r>
      <w:proofErr w:type="spellEnd"/>
      <w:r w:rsidR="00346254">
        <w:rPr>
          <w:rFonts w:cs="Times New Roman"/>
        </w:rPr>
        <w:t>,</w:t>
      </w:r>
      <w:r w:rsidRPr="002B1DFC">
        <w:rPr>
          <w:rFonts w:cs="Times New Roman"/>
        </w:rPr>
        <w:t xml:space="preserve"> and </w:t>
      </w:r>
      <w:proofErr w:type="spellStart"/>
      <w:r w:rsidRPr="002B1DFC">
        <w:rPr>
          <w:rFonts w:cs="Times New Roman"/>
        </w:rPr>
        <w:t>Zaporizhzhya</w:t>
      </w:r>
      <w:proofErr w:type="spellEnd"/>
      <w:r w:rsidRPr="002B1DFC">
        <w:rPr>
          <w:rFonts w:cs="Times New Roman"/>
        </w:rPr>
        <w:t xml:space="preserve"> regions in order to assist them in implementi</w:t>
      </w:r>
      <w:r w:rsidR="00346254">
        <w:rPr>
          <w:rFonts w:cs="Times New Roman"/>
        </w:rPr>
        <w:t>ng</w:t>
      </w:r>
      <w:r w:rsidRPr="002B1DFC">
        <w:rPr>
          <w:rFonts w:cs="Times New Roman"/>
        </w:rPr>
        <w:t xml:space="preserve"> energy-efficient measures and </w:t>
      </w:r>
      <w:r w:rsidR="00346254">
        <w:rPr>
          <w:rFonts w:cs="Times New Roman"/>
        </w:rPr>
        <w:t xml:space="preserve">the concept of </w:t>
      </w:r>
      <w:r w:rsidRPr="002B1DFC">
        <w:rPr>
          <w:rFonts w:cs="Times New Roman"/>
        </w:rPr>
        <w:t xml:space="preserve">clean production. </w:t>
      </w:r>
    </w:p>
    <w:p w14:paraId="619219E8" w14:textId="77777777" w:rsidR="001C436F" w:rsidRDefault="001C436F" w:rsidP="00663979">
      <w:pPr>
        <w:rPr>
          <w:rFonts w:cs="Times New Roman"/>
        </w:rPr>
      </w:pPr>
    </w:p>
    <w:p w14:paraId="3CF8BC43" w14:textId="77777777" w:rsidR="000B7923" w:rsidRPr="002B1DFC" w:rsidRDefault="000B7923" w:rsidP="005C4ECB">
      <w:pPr>
        <w:pStyle w:val="Heading2"/>
      </w:pPr>
      <w:bookmarkStart w:id="139" w:name="_Toc436053748"/>
      <w:bookmarkStart w:id="140" w:name="_Toc436658355"/>
      <w:bookmarkStart w:id="141" w:name="_Toc436749540"/>
      <w:bookmarkStart w:id="142" w:name="_Toc436832052"/>
      <w:bookmarkStart w:id="143" w:name="_Toc436053749"/>
      <w:bookmarkStart w:id="144" w:name="_Toc436658356"/>
      <w:bookmarkStart w:id="145" w:name="_Toc436749541"/>
      <w:bookmarkStart w:id="146" w:name="_Toc436832053"/>
      <w:bookmarkStart w:id="147" w:name="_Toc436053750"/>
      <w:bookmarkStart w:id="148" w:name="_Toc436658357"/>
      <w:bookmarkStart w:id="149" w:name="_Toc436749542"/>
      <w:bookmarkStart w:id="150" w:name="_Toc436832054"/>
      <w:bookmarkStart w:id="151" w:name="_Toc436053751"/>
      <w:bookmarkStart w:id="152" w:name="_Toc436658358"/>
      <w:bookmarkStart w:id="153" w:name="_Toc436749543"/>
      <w:bookmarkStart w:id="154" w:name="_Toc436832055"/>
      <w:bookmarkStart w:id="155" w:name="_Toc44027397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B1DFC">
        <w:t>Access to Justice in Environmental Matters</w:t>
      </w:r>
      <w:bookmarkEnd w:id="155"/>
    </w:p>
    <w:p w14:paraId="2D5B2E28" w14:textId="77777777" w:rsidR="000B7923" w:rsidRPr="002B1DFC" w:rsidRDefault="000B7923" w:rsidP="0097635F">
      <w:pPr>
        <w:rPr>
          <w:rFonts w:cs="Times New Roman"/>
        </w:rPr>
      </w:pPr>
    </w:p>
    <w:p w14:paraId="1E0689E1" w14:textId="77777777" w:rsidR="000B7923" w:rsidRDefault="000B7923" w:rsidP="00BE4A82">
      <w:pPr>
        <w:pStyle w:val="ListParagraph"/>
        <w:numPr>
          <w:ilvl w:val="0"/>
          <w:numId w:val="68"/>
        </w:numPr>
        <w:tabs>
          <w:tab w:val="left" w:pos="360"/>
        </w:tabs>
        <w:ind w:left="0" w:firstLine="0"/>
        <w:rPr>
          <w:rFonts w:cs="Times New Roman"/>
        </w:rPr>
      </w:pPr>
      <w:r w:rsidRPr="002B1DFC">
        <w:rPr>
          <w:rFonts w:cs="Times New Roman"/>
        </w:rPr>
        <w:t>The Civil Procedure Code (Art. 3) and the Administrative Code (Art. 6) provide the citizens of Ukraine the right to seek legal recourse in cases of violation of their rights, freedoms and interests, including in the area of environmental protection and environmental rights. However, the role of judiciary in environmental matters is limited by a number of factors, including – the overall weaknesses in judiciary that face Ukrainian judiciary – for example, the Global Competitiveness Index (2014</w:t>
      </w:r>
      <w:r w:rsidR="00781B71">
        <w:rPr>
          <w:rFonts w:cs="Times New Roman"/>
        </w:rPr>
        <w:t>–</w:t>
      </w:r>
      <w:r w:rsidRPr="002B1DFC">
        <w:rPr>
          <w:rFonts w:cs="Times New Roman"/>
        </w:rPr>
        <w:t>2015) ranked Ukraine at 140 out of 144 in terms of Judicial Independence</w:t>
      </w:r>
      <w:r w:rsidRPr="002B1DFC">
        <w:rPr>
          <w:rStyle w:val="FootnoteReference"/>
        </w:rPr>
        <w:footnoteReference w:id="21"/>
      </w:r>
      <w:r w:rsidRPr="002B1DFC">
        <w:rPr>
          <w:rFonts w:cs="Times New Roman"/>
        </w:rPr>
        <w:t xml:space="preserve"> with a score of 2.0 out of 4.0. Barriers include lack of legal support</w:t>
      </w:r>
      <w:r w:rsidR="006020B3">
        <w:rPr>
          <w:rFonts w:cs="Times New Roman"/>
        </w:rPr>
        <w:t>,</w:t>
      </w:r>
      <w:r w:rsidRPr="002B1DFC">
        <w:rPr>
          <w:rFonts w:cs="Times New Roman"/>
        </w:rPr>
        <w:t xml:space="preserve"> </w:t>
      </w:r>
      <w:r w:rsidR="00346254">
        <w:rPr>
          <w:rFonts w:cs="Times New Roman"/>
        </w:rPr>
        <w:t xml:space="preserve">the </w:t>
      </w:r>
      <w:r w:rsidRPr="002B1DFC">
        <w:rPr>
          <w:rFonts w:cs="Times New Roman"/>
        </w:rPr>
        <w:t>psychological barrier to accessing judiciary for environmental matters</w:t>
      </w:r>
      <w:r w:rsidR="006020B3">
        <w:rPr>
          <w:rFonts w:cs="Times New Roman"/>
        </w:rPr>
        <w:t>, and</w:t>
      </w:r>
      <w:r w:rsidRPr="002B1DFC">
        <w:rPr>
          <w:rFonts w:cs="Times New Roman"/>
        </w:rPr>
        <w:t xml:space="preserve"> lack of knowledge on court processes</w:t>
      </w:r>
      <w:r w:rsidR="006020B3">
        <w:rPr>
          <w:rFonts w:cs="Times New Roman"/>
        </w:rPr>
        <w:t>. Additional barriers are the</w:t>
      </w:r>
      <w:r w:rsidRPr="002B1DFC">
        <w:rPr>
          <w:rFonts w:cs="Times New Roman"/>
        </w:rPr>
        <w:t xml:space="preserve"> perceived high legal costs, restrictive judiciary procedures, </w:t>
      </w:r>
      <w:r w:rsidR="00346254">
        <w:rPr>
          <w:rFonts w:cs="Times New Roman"/>
        </w:rPr>
        <w:t xml:space="preserve">a </w:t>
      </w:r>
      <w:r w:rsidRPr="002B1DFC">
        <w:rPr>
          <w:rFonts w:cs="Times New Roman"/>
        </w:rPr>
        <w:t xml:space="preserve">complex legislative base, lack of effective enforcement mechanisms, and corruption as identified by EPL in their project on monitoring court cases related to </w:t>
      </w:r>
      <w:r w:rsidR="006020B3">
        <w:rPr>
          <w:rFonts w:cs="Times New Roman"/>
        </w:rPr>
        <w:t xml:space="preserve">the </w:t>
      </w:r>
      <w:r w:rsidRPr="002B1DFC">
        <w:rPr>
          <w:rFonts w:cs="Times New Roman"/>
        </w:rPr>
        <w:t xml:space="preserve">environmental rights of people in </w:t>
      </w:r>
      <w:r w:rsidR="006020B3">
        <w:rPr>
          <w:rFonts w:cs="Times New Roman"/>
        </w:rPr>
        <w:t xml:space="preserve">the </w:t>
      </w:r>
      <w:proofErr w:type="spellStart"/>
      <w:r w:rsidRPr="002B1DFC">
        <w:rPr>
          <w:rFonts w:cs="Times New Roman"/>
        </w:rPr>
        <w:t>Lviv</w:t>
      </w:r>
      <w:proofErr w:type="spellEnd"/>
      <w:r w:rsidRPr="002B1DFC">
        <w:rPr>
          <w:rFonts w:cs="Times New Roman"/>
        </w:rPr>
        <w:t xml:space="preserve"> and </w:t>
      </w:r>
      <w:proofErr w:type="spellStart"/>
      <w:r w:rsidRPr="002B1DFC">
        <w:rPr>
          <w:rFonts w:cs="Times New Roman"/>
        </w:rPr>
        <w:t>Ternopil</w:t>
      </w:r>
      <w:proofErr w:type="spellEnd"/>
      <w:r w:rsidRPr="002B1DFC">
        <w:rPr>
          <w:rFonts w:cs="Times New Roman"/>
        </w:rPr>
        <w:t xml:space="preserve"> </w:t>
      </w:r>
      <w:r w:rsidR="006020B3">
        <w:rPr>
          <w:rFonts w:cs="Times New Roman"/>
        </w:rPr>
        <w:t>r</w:t>
      </w:r>
      <w:r w:rsidRPr="002B1DFC">
        <w:rPr>
          <w:rFonts w:cs="Times New Roman"/>
        </w:rPr>
        <w:t xml:space="preserve">egions (Environment People Law 2010). The analysis noted that a large portion of the cases surveyed during the survey period pertained to right to access to environmental information. </w:t>
      </w:r>
    </w:p>
    <w:p w14:paraId="7BE42BF1" w14:textId="77777777" w:rsidR="00C92630" w:rsidRDefault="00C92630" w:rsidP="00F56622">
      <w:pPr>
        <w:rPr>
          <w:rFonts w:cs="Times New Roman"/>
        </w:rPr>
      </w:pPr>
    </w:p>
    <w:p w14:paraId="7B76A705" w14:textId="77777777" w:rsidR="00C92630" w:rsidRDefault="00C92630" w:rsidP="0061686D">
      <w:pPr>
        <w:pStyle w:val="Heading2"/>
        <w:tabs>
          <w:tab w:val="clear" w:pos="576"/>
        </w:tabs>
        <w:ind w:left="540"/>
      </w:pPr>
      <w:bookmarkStart w:id="156" w:name="_Toc440273980"/>
      <w:r>
        <w:t>Recommendations</w:t>
      </w:r>
      <w:bookmarkEnd w:id="156"/>
    </w:p>
    <w:p w14:paraId="11F26F5E" w14:textId="77777777" w:rsidR="00A05970" w:rsidRDefault="00A05970" w:rsidP="00A05970"/>
    <w:p w14:paraId="64327343" w14:textId="48912430" w:rsidR="00A05970" w:rsidRPr="00B76BDA" w:rsidRDefault="00A05970" w:rsidP="00B76BDA">
      <w:pPr>
        <w:pStyle w:val="ListParagraph"/>
        <w:numPr>
          <w:ilvl w:val="0"/>
          <w:numId w:val="68"/>
        </w:numPr>
        <w:tabs>
          <w:tab w:val="left" w:pos="360"/>
        </w:tabs>
        <w:ind w:left="0" w:firstLine="0"/>
      </w:pPr>
      <w:r w:rsidRPr="00F53FEA">
        <w:rPr>
          <w:rFonts w:cs="Times New Roman"/>
        </w:rPr>
        <w:t xml:space="preserve">A key challenge facing Ukraine is expanding the range of environmental policy instruments and mechanisms to foster green inclusive growth.  </w:t>
      </w:r>
      <w:r w:rsidRPr="00F53FEA">
        <w:t>Developing a portfolio of well-functioning environmental policy instruments, that include a mix of command and control and market based instruments, supported by community based and voluntary policy tools will help Ukraine to achieve its environmental protection and sustainable growth objectives and</w:t>
      </w:r>
      <w:r w:rsidRPr="00F53FEA">
        <w:rPr>
          <w:rFonts w:cs="Times New Roman"/>
        </w:rPr>
        <w:t xml:space="preserve"> would create incentives to address Ukraine’s priority environmental problems. While basis for many tools is already there, as has been discussed in the sections above, many of the existing tools require strengthening to ensure that their implementation is in line with international good practice.</w:t>
      </w:r>
    </w:p>
    <w:p w14:paraId="7E7CB19F" w14:textId="77777777" w:rsidR="00A05970" w:rsidRPr="00B76BDA" w:rsidRDefault="00A05970" w:rsidP="00B76BDA">
      <w:pPr>
        <w:ind w:left="1440"/>
        <w:rPr>
          <w:rFonts w:asciiTheme="majorBidi" w:hAnsiTheme="majorBidi" w:cstheme="majorBidi"/>
        </w:rPr>
      </w:pPr>
    </w:p>
    <w:p w14:paraId="182DF8A0" w14:textId="6DC52DBB" w:rsidR="00B326B3" w:rsidRPr="00B76BDA" w:rsidRDefault="00B326B3" w:rsidP="00B76BDA">
      <w:pPr>
        <w:numPr>
          <w:ilvl w:val="0"/>
          <w:numId w:val="69"/>
        </w:numPr>
        <w:rPr>
          <w:rFonts w:asciiTheme="majorBidi" w:hAnsiTheme="majorBidi" w:cstheme="majorBidi"/>
        </w:rPr>
      </w:pPr>
      <w:r w:rsidRPr="006428F7">
        <w:rPr>
          <w:rFonts w:asciiTheme="majorBidi" w:hAnsiTheme="majorBidi" w:cstheme="majorBidi"/>
        </w:rPr>
        <w:t>Strengthen the environmental monitoring as an effective tool for setting priorities and building demand for strengthened environmental management.</w:t>
      </w:r>
    </w:p>
    <w:p w14:paraId="799C7136" w14:textId="77777777" w:rsidR="00B326B3" w:rsidRPr="006428F7" w:rsidRDefault="00B326B3" w:rsidP="00B76BDA">
      <w:pPr>
        <w:ind w:left="1440"/>
        <w:rPr>
          <w:rFonts w:asciiTheme="majorBidi" w:hAnsiTheme="majorBidi" w:cstheme="majorBidi"/>
        </w:rPr>
      </w:pPr>
    </w:p>
    <w:p w14:paraId="02A4A786" w14:textId="142735C9" w:rsidR="00E656E1" w:rsidRPr="006428F7" w:rsidRDefault="00E656E1" w:rsidP="00B76BDA">
      <w:pPr>
        <w:numPr>
          <w:ilvl w:val="0"/>
          <w:numId w:val="70"/>
        </w:numPr>
        <w:rPr>
          <w:rFonts w:asciiTheme="majorBidi" w:hAnsiTheme="majorBidi" w:cstheme="majorBidi"/>
        </w:rPr>
      </w:pPr>
      <w:r w:rsidRPr="006428F7">
        <w:rPr>
          <w:rFonts w:asciiTheme="majorBidi" w:hAnsiTheme="majorBidi" w:cstheme="majorBidi"/>
        </w:rPr>
        <w:lastRenderedPageBreak/>
        <w:t>Introduce changes to the legislation regarding environmental monitoring with clear allocation of responsibilities between all stakeholders regarding gathering and submission of environmental data and activity of Information Analytical Center, and provide appropriate financial resource for supporting this work and making monitoring information available to the public on the MENR’s Web site.</w:t>
      </w:r>
    </w:p>
    <w:p w14:paraId="646DBB0A" w14:textId="77777777" w:rsidR="00E656E1" w:rsidRPr="006428F7" w:rsidRDefault="00E656E1" w:rsidP="00B76BDA">
      <w:pPr>
        <w:ind w:left="1440"/>
        <w:rPr>
          <w:rFonts w:asciiTheme="majorBidi" w:hAnsiTheme="majorBidi" w:cstheme="majorBidi"/>
        </w:rPr>
      </w:pPr>
    </w:p>
    <w:p w14:paraId="4EB0107A" w14:textId="77777777" w:rsidR="00B326B3" w:rsidRPr="006428F7" w:rsidRDefault="00B326B3" w:rsidP="00B76BDA">
      <w:pPr>
        <w:numPr>
          <w:ilvl w:val="0"/>
          <w:numId w:val="70"/>
        </w:numPr>
        <w:rPr>
          <w:rFonts w:asciiTheme="majorBidi" w:hAnsiTheme="majorBidi" w:cstheme="majorBidi"/>
        </w:rPr>
      </w:pPr>
      <w:r w:rsidRPr="00B76BDA">
        <w:rPr>
          <w:rFonts w:asciiTheme="majorBidi" w:hAnsiTheme="majorBidi" w:cstheme="majorBidi"/>
        </w:rPr>
        <w:t xml:space="preserve">Review monitoring parameters to harmonize them with the EU monitoring parameters.  </w:t>
      </w:r>
    </w:p>
    <w:p w14:paraId="77EF4002" w14:textId="77777777" w:rsidR="00E656E1" w:rsidRPr="006428F7" w:rsidRDefault="00E656E1" w:rsidP="00B76BDA">
      <w:pPr>
        <w:ind w:left="1440"/>
        <w:rPr>
          <w:rFonts w:asciiTheme="majorBidi" w:hAnsiTheme="majorBidi" w:cstheme="majorBidi"/>
        </w:rPr>
      </w:pPr>
    </w:p>
    <w:p w14:paraId="2F21982C" w14:textId="455E4986" w:rsidR="00B326B3" w:rsidRPr="006428F7" w:rsidRDefault="00B326B3">
      <w:pPr>
        <w:numPr>
          <w:ilvl w:val="0"/>
          <w:numId w:val="70"/>
        </w:numPr>
        <w:rPr>
          <w:rFonts w:asciiTheme="majorBidi" w:hAnsiTheme="majorBidi" w:cstheme="majorBidi"/>
        </w:rPr>
      </w:pPr>
      <w:r w:rsidRPr="006428F7">
        <w:rPr>
          <w:rFonts w:asciiTheme="majorBidi" w:hAnsiTheme="majorBidi" w:cstheme="majorBidi"/>
        </w:rPr>
        <w:t>Revise the Provision on State Environmental Monitoring System, adopted by the CMU in 1998, taking into account reforms of central government organs, administrative reforms and changes in functions between organizations at national and regional level. The Provision should reflect appropriate mechanisms of state, regional, public and private responsibilities in this a</w:t>
      </w:r>
      <w:r w:rsidR="00E656E1" w:rsidRPr="006428F7">
        <w:rPr>
          <w:rFonts w:asciiTheme="majorBidi" w:hAnsiTheme="majorBidi" w:cstheme="majorBidi"/>
        </w:rPr>
        <w:t>rea. Introduce changes to the legislation regarding environmental monitoring with clear allocation of responsibilities.</w:t>
      </w:r>
    </w:p>
    <w:p w14:paraId="36D78E2D" w14:textId="77777777" w:rsidR="00B326B3" w:rsidRPr="006428F7" w:rsidRDefault="00B326B3" w:rsidP="00B326B3">
      <w:pPr>
        <w:ind w:left="1440"/>
        <w:rPr>
          <w:rFonts w:asciiTheme="majorBidi" w:hAnsiTheme="majorBidi" w:cstheme="majorBidi"/>
        </w:rPr>
      </w:pPr>
    </w:p>
    <w:p w14:paraId="0676250D" w14:textId="68D07EA8" w:rsidR="00B326B3" w:rsidRPr="006428F7" w:rsidRDefault="00B326B3">
      <w:pPr>
        <w:numPr>
          <w:ilvl w:val="0"/>
          <w:numId w:val="70"/>
        </w:numPr>
        <w:rPr>
          <w:rFonts w:asciiTheme="majorBidi" w:hAnsiTheme="majorBidi" w:cstheme="majorBidi"/>
        </w:rPr>
      </w:pPr>
      <w:r w:rsidRPr="006428F7">
        <w:rPr>
          <w:rFonts w:asciiTheme="majorBidi" w:hAnsiTheme="majorBidi" w:cstheme="majorBidi"/>
        </w:rPr>
        <w:t>Build capacity of government and regional agencies to gather environmental information and disclose it</w:t>
      </w:r>
      <w:r w:rsidR="006428F7" w:rsidRPr="006428F7">
        <w:rPr>
          <w:rFonts w:asciiTheme="majorBidi" w:hAnsiTheme="majorBidi" w:cstheme="majorBidi"/>
        </w:rPr>
        <w:t>, and prevent the loss of</w:t>
      </w:r>
      <w:r w:rsidRPr="006428F7">
        <w:rPr>
          <w:rFonts w:asciiTheme="majorBidi" w:hAnsiTheme="majorBidi" w:cstheme="majorBidi"/>
        </w:rPr>
        <w:t xml:space="preserve"> available documentation and archives during the admin-reform process. </w:t>
      </w:r>
    </w:p>
    <w:p w14:paraId="387A2537" w14:textId="77777777" w:rsidR="00B326B3" w:rsidRPr="006428F7" w:rsidRDefault="00B326B3" w:rsidP="00B76BDA">
      <w:pPr>
        <w:ind w:left="360"/>
        <w:rPr>
          <w:rFonts w:asciiTheme="majorBidi" w:hAnsiTheme="majorBidi" w:cstheme="majorBidi"/>
        </w:rPr>
      </w:pPr>
    </w:p>
    <w:p w14:paraId="19D26BB1" w14:textId="21286BB5" w:rsidR="00B326B3" w:rsidRPr="006428F7" w:rsidRDefault="00B326B3" w:rsidP="00B76BDA">
      <w:pPr>
        <w:numPr>
          <w:ilvl w:val="0"/>
          <w:numId w:val="69"/>
        </w:numPr>
        <w:rPr>
          <w:rFonts w:asciiTheme="majorBidi" w:hAnsiTheme="majorBidi" w:cstheme="majorBidi"/>
        </w:rPr>
      </w:pPr>
      <w:r w:rsidRPr="006428F7">
        <w:rPr>
          <w:rFonts w:asciiTheme="majorBidi" w:hAnsiTheme="majorBidi" w:cstheme="majorBidi"/>
        </w:rPr>
        <w:t>Streamline the e</w:t>
      </w:r>
      <w:r w:rsidRPr="00B76BDA">
        <w:rPr>
          <w:rFonts w:asciiTheme="majorBidi" w:hAnsiTheme="majorBidi" w:cstheme="majorBidi"/>
        </w:rPr>
        <w:t>nvironmental permitting process.</w:t>
      </w:r>
    </w:p>
    <w:p w14:paraId="376FC7AB" w14:textId="77777777" w:rsidR="00B326B3" w:rsidRPr="006428F7" w:rsidRDefault="00B326B3" w:rsidP="00B76BDA">
      <w:pPr>
        <w:ind w:left="1440"/>
        <w:rPr>
          <w:rFonts w:asciiTheme="majorBidi" w:hAnsiTheme="majorBidi" w:cstheme="majorBidi"/>
        </w:rPr>
      </w:pPr>
    </w:p>
    <w:p w14:paraId="6E1817DE" w14:textId="77777777" w:rsidR="00F53FEA" w:rsidRPr="00B76BDA" w:rsidRDefault="00F53FEA" w:rsidP="00B76BDA">
      <w:pPr>
        <w:numPr>
          <w:ilvl w:val="0"/>
          <w:numId w:val="75"/>
        </w:numPr>
        <w:rPr>
          <w:rFonts w:asciiTheme="majorBidi" w:hAnsiTheme="majorBidi" w:cstheme="majorBidi"/>
        </w:rPr>
      </w:pPr>
      <w:r w:rsidRPr="00B76BDA">
        <w:rPr>
          <w:rFonts w:asciiTheme="majorBidi" w:hAnsiTheme="majorBidi" w:cstheme="majorBidi"/>
        </w:rPr>
        <w:t>Carry out the inventory of current environmental permits taking into consideration administrative changes and establish appropriate mechanism for issuing permits at the national and local levels in line with international good practice and EU directives.</w:t>
      </w:r>
    </w:p>
    <w:p w14:paraId="7AD75CC9" w14:textId="77777777" w:rsidR="00A05970" w:rsidRPr="00B76BDA" w:rsidRDefault="00A05970">
      <w:pPr>
        <w:rPr>
          <w:rFonts w:asciiTheme="majorBidi" w:hAnsiTheme="majorBidi" w:cstheme="majorBidi"/>
        </w:rPr>
      </w:pPr>
    </w:p>
    <w:p w14:paraId="330F8348" w14:textId="15DEA798" w:rsidR="00A05970" w:rsidRPr="00B76BDA" w:rsidRDefault="00F53FEA" w:rsidP="00B76BDA">
      <w:pPr>
        <w:numPr>
          <w:ilvl w:val="0"/>
          <w:numId w:val="69"/>
        </w:numPr>
        <w:rPr>
          <w:rFonts w:asciiTheme="majorBidi" w:hAnsiTheme="majorBidi" w:cstheme="majorBidi"/>
        </w:rPr>
      </w:pPr>
      <w:r w:rsidRPr="00B76BDA">
        <w:rPr>
          <w:rFonts w:asciiTheme="majorBidi" w:hAnsiTheme="majorBidi" w:cstheme="majorBidi"/>
        </w:rPr>
        <w:t>Strengthen compliance enforcement capacity of relevant agencies at local and national levels</w:t>
      </w:r>
      <w:r w:rsidR="00A05970" w:rsidRPr="00B76BDA">
        <w:rPr>
          <w:rFonts w:asciiTheme="majorBidi" w:hAnsiTheme="majorBidi" w:cstheme="majorBidi"/>
        </w:rPr>
        <w:t>.</w:t>
      </w:r>
    </w:p>
    <w:p w14:paraId="752C2929" w14:textId="77777777" w:rsidR="00A05970" w:rsidRPr="00B76BDA" w:rsidRDefault="00A05970" w:rsidP="00A05970">
      <w:pPr>
        <w:rPr>
          <w:rFonts w:asciiTheme="majorBidi" w:hAnsiTheme="majorBidi" w:cstheme="majorBidi"/>
          <w:b/>
          <w:bCs/>
          <w:color w:val="000000"/>
        </w:rPr>
      </w:pPr>
    </w:p>
    <w:p w14:paraId="3A33F917" w14:textId="19D02626" w:rsidR="00A05970" w:rsidRPr="00B76BDA" w:rsidRDefault="00A05970" w:rsidP="00B76BDA">
      <w:pPr>
        <w:numPr>
          <w:ilvl w:val="0"/>
          <w:numId w:val="75"/>
        </w:numPr>
        <w:rPr>
          <w:rFonts w:asciiTheme="majorBidi" w:hAnsiTheme="majorBidi" w:cstheme="majorBidi"/>
        </w:rPr>
      </w:pPr>
      <w:r w:rsidRPr="00B76BDA">
        <w:rPr>
          <w:rFonts w:asciiTheme="majorBidi" w:hAnsiTheme="majorBidi" w:cstheme="majorBidi"/>
        </w:rPr>
        <w:t xml:space="preserve">Develop appropriate mechanisms and instruments for conducting inspections by the State Ecological </w:t>
      </w:r>
      <w:r w:rsidR="00A80CE6" w:rsidRPr="006428F7">
        <w:rPr>
          <w:rFonts w:asciiTheme="majorBidi" w:hAnsiTheme="majorBidi" w:cstheme="majorBidi"/>
        </w:rPr>
        <w:t>Inspectorate</w:t>
      </w:r>
      <w:r w:rsidR="00A80CE6" w:rsidRPr="00B76BDA">
        <w:rPr>
          <w:rFonts w:asciiTheme="majorBidi" w:hAnsiTheme="majorBidi" w:cstheme="majorBidi"/>
        </w:rPr>
        <w:t xml:space="preserve"> </w:t>
      </w:r>
      <w:r w:rsidRPr="00B76BDA">
        <w:rPr>
          <w:rFonts w:asciiTheme="majorBidi" w:hAnsiTheme="majorBidi" w:cstheme="majorBidi"/>
        </w:rPr>
        <w:t xml:space="preserve">for the compliance with environmental standards by the enterprises. </w:t>
      </w:r>
    </w:p>
    <w:p w14:paraId="76E7B01C" w14:textId="77777777" w:rsidR="00A05970" w:rsidRPr="00B76BDA" w:rsidRDefault="00A05970" w:rsidP="00B76BDA">
      <w:pPr>
        <w:ind w:left="1440"/>
        <w:rPr>
          <w:rFonts w:asciiTheme="majorBidi" w:hAnsiTheme="majorBidi" w:cstheme="majorBidi"/>
        </w:rPr>
      </w:pPr>
    </w:p>
    <w:p w14:paraId="315C0A53" w14:textId="77777777" w:rsidR="00A05970" w:rsidRPr="00B76BDA" w:rsidRDefault="00A05970" w:rsidP="00B76BDA">
      <w:pPr>
        <w:numPr>
          <w:ilvl w:val="0"/>
          <w:numId w:val="75"/>
        </w:numPr>
        <w:rPr>
          <w:rFonts w:asciiTheme="majorBidi" w:hAnsiTheme="majorBidi" w:cstheme="majorBidi"/>
        </w:rPr>
      </w:pPr>
      <w:r w:rsidRPr="00B76BDA">
        <w:rPr>
          <w:rFonts w:asciiTheme="majorBidi" w:hAnsiTheme="majorBidi" w:cstheme="majorBidi"/>
        </w:rPr>
        <w:t>Strengthen capacity of environmental inspectorate on central and regional level (legal, technical, analytical, law enforcement issues).</w:t>
      </w:r>
    </w:p>
    <w:p w14:paraId="3304D836" w14:textId="77777777" w:rsidR="00A05970" w:rsidRPr="00B76BDA" w:rsidRDefault="00A05970" w:rsidP="00B76BDA">
      <w:pPr>
        <w:ind w:left="1440"/>
        <w:rPr>
          <w:rFonts w:asciiTheme="majorBidi" w:hAnsiTheme="majorBidi" w:cstheme="majorBidi"/>
        </w:rPr>
      </w:pPr>
    </w:p>
    <w:p w14:paraId="5BE76316" w14:textId="68FF585A" w:rsidR="00A05970" w:rsidRPr="00B76BDA" w:rsidRDefault="00A05970" w:rsidP="009E5CFE">
      <w:pPr>
        <w:numPr>
          <w:ilvl w:val="0"/>
          <w:numId w:val="75"/>
        </w:numPr>
        <w:rPr>
          <w:rFonts w:asciiTheme="majorBidi" w:hAnsiTheme="majorBidi" w:cstheme="majorBidi"/>
        </w:rPr>
      </w:pPr>
      <w:r w:rsidRPr="00B76BDA">
        <w:rPr>
          <w:rFonts w:asciiTheme="majorBidi" w:hAnsiTheme="majorBidi" w:cstheme="majorBidi"/>
        </w:rPr>
        <w:t xml:space="preserve">Ensure coordination </w:t>
      </w:r>
      <w:r w:rsidR="006020B3" w:rsidRPr="00B76BDA">
        <w:rPr>
          <w:rFonts w:asciiTheme="majorBidi" w:hAnsiTheme="majorBidi" w:cstheme="majorBidi"/>
        </w:rPr>
        <w:t xml:space="preserve">between, on the one hand, the </w:t>
      </w:r>
      <w:r w:rsidRPr="00B76BDA">
        <w:rPr>
          <w:rFonts w:asciiTheme="majorBidi" w:hAnsiTheme="majorBidi" w:cstheme="majorBidi"/>
        </w:rPr>
        <w:t xml:space="preserve">environmental inspectorate on </w:t>
      </w:r>
      <w:r w:rsidR="006020B3" w:rsidRPr="00B76BDA">
        <w:rPr>
          <w:rFonts w:asciiTheme="majorBidi" w:hAnsiTheme="majorBidi" w:cstheme="majorBidi"/>
        </w:rPr>
        <w:t xml:space="preserve">the </w:t>
      </w:r>
      <w:r w:rsidRPr="00B76BDA">
        <w:rPr>
          <w:rFonts w:asciiTheme="majorBidi" w:hAnsiTheme="majorBidi" w:cstheme="majorBidi"/>
        </w:rPr>
        <w:t>central and regional level</w:t>
      </w:r>
      <w:r w:rsidR="006020B3" w:rsidRPr="00B76BDA">
        <w:rPr>
          <w:rFonts w:asciiTheme="majorBidi" w:hAnsiTheme="majorBidi" w:cstheme="majorBidi"/>
        </w:rPr>
        <w:t>s, and, on the other hand,</w:t>
      </w:r>
      <w:r w:rsidRPr="00B76BDA">
        <w:rPr>
          <w:rFonts w:asciiTheme="majorBidi" w:hAnsiTheme="majorBidi" w:cstheme="majorBidi"/>
        </w:rPr>
        <w:t xml:space="preserve"> other central and regional government </w:t>
      </w:r>
      <w:r w:rsidR="006020B3" w:rsidRPr="00B76BDA">
        <w:rPr>
          <w:rFonts w:asciiTheme="majorBidi" w:hAnsiTheme="majorBidi" w:cstheme="majorBidi"/>
        </w:rPr>
        <w:t>bodies having</w:t>
      </w:r>
      <w:r w:rsidRPr="00B76BDA">
        <w:rPr>
          <w:rFonts w:asciiTheme="majorBidi" w:hAnsiTheme="majorBidi" w:cstheme="majorBidi"/>
        </w:rPr>
        <w:t xml:space="preserve"> a role in compliance monitoring and law enforcement over various natur</w:t>
      </w:r>
      <w:r w:rsidR="006020B3" w:rsidRPr="00B76BDA">
        <w:rPr>
          <w:rFonts w:asciiTheme="majorBidi" w:hAnsiTheme="majorBidi" w:cstheme="majorBidi"/>
        </w:rPr>
        <w:t>al</w:t>
      </w:r>
      <w:r w:rsidRPr="00B76BDA">
        <w:rPr>
          <w:rFonts w:asciiTheme="majorBidi" w:hAnsiTheme="majorBidi" w:cstheme="majorBidi"/>
        </w:rPr>
        <w:t xml:space="preserve"> resources</w:t>
      </w:r>
      <w:r w:rsidR="006020B3" w:rsidRPr="00B76BDA">
        <w:rPr>
          <w:rFonts w:asciiTheme="majorBidi" w:hAnsiTheme="majorBidi" w:cstheme="majorBidi"/>
        </w:rPr>
        <w:t xml:space="preserve">, such as </w:t>
      </w:r>
      <w:r w:rsidR="006848FB" w:rsidRPr="00B76BDA">
        <w:rPr>
          <w:rFonts w:asciiTheme="majorBidi" w:hAnsiTheme="majorBidi" w:cstheme="majorBidi"/>
        </w:rPr>
        <w:t xml:space="preserve">air, water, </w:t>
      </w:r>
      <w:r w:rsidRPr="00B76BDA">
        <w:rPr>
          <w:rFonts w:asciiTheme="majorBidi" w:hAnsiTheme="majorBidi" w:cstheme="majorBidi"/>
        </w:rPr>
        <w:t xml:space="preserve">land, forest, </w:t>
      </w:r>
      <w:r w:rsidR="009E5CFE">
        <w:rPr>
          <w:rFonts w:asciiTheme="majorBidi" w:hAnsiTheme="majorBidi" w:cstheme="majorBidi"/>
        </w:rPr>
        <w:t xml:space="preserve">biodiversity, </w:t>
      </w:r>
      <w:r w:rsidRPr="00B76BDA">
        <w:rPr>
          <w:rFonts w:asciiTheme="majorBidi" w:hAnsiTheme="majorBidi" w:cstheme="majorBidi"/>
        </w:rPr>
        <w:t>fish</w:t>
      </w:r>
      <w:r w:rsidR="006020B3" w:rsidRPr="00B76BDA">
        <w:rPr>
          <w:rFonts w:asciiTheme="majorBidi" w:hAnsiTheme="majorBidi" w:cstheme="majorBidi"/>
        </w:rPr>
        <w:t>, and so on.</w:t>
      </w:r>
      <w:r w:rsidRPr="00B76BDA">
        <w:rPr>
          <w:rFonts w:asciiTheme="majorBidi" w:hAnsiTheme="majorBidi" w:cstheme="majorBidi"/>
        </w:rPr>
        <w:t xml:space="preserve"> </w:t>
      </w:r>
    </w:p>
    <w:p w14:paraId="56D12A2B" w14:textId="77777777" w:rsidR="00A05970" w:rsidRPr="00B76BDA" w:rsidRDefault="00A05970" w:rsidP="00A05970">
      <w:pPr>
        <w:rPr>
          <w:rFonts w:asciiTheme="majorBidi" w:hAnsiTheme="majorBidi" w:cstheme="majorBidi"/>
        </w:rPr>
      </w:pPr>
    </w:p>
    <w:p w14:paraId="141396B7" w14:textId="77777777" w:rsidR="00F53FEA" w:rsidRPr="00B76BDA" w:rsidRDefault="00F53FEA" w:rsidP="00F53FEA">
      <w:pPr>
        <w:numPr>
          <w:ilvl w:val="0"/>
          <w:numId w:val="69"/>
        </w:numPr>
        <w:rPr>
          <w:rFonts w:asciiTheme="majorBidi" w:hAnsiTheme="majorBidi" w:cstheme="majorBidi"/>
        </w:rPr>
      </w:pPr>
      <w:r w:rsidRPr="00B76BDA">
        <w:rPr>
          <w:rFonts w:asciiTheme="majorBidi" w:hAnsiTheme="majorBidi" w:cstheme="majorBidi"/>
        </w:rPr>
        <w:t>Develop appropriate legislative framework and mechanisms for introducing a “polluter pays” principle and an integrated permitting system according to the Directive 2010/75/EU.</w:t>
      </w:r>
    </w:p>
    <w:p w14:paraId="3C9C4B46" w14:textId="77777777" w:rsidR="00A05970" w:rsidRPr="00B76BDA" w:rsidRDefault="00A05970" w:rsidP="00A05970">
      <w:pPr>
        <w:rPr>
          <w:rFonts w:asciiTheme="majorBidi" w:hAnsiTheme="majorBidi" w:cstheme="majorBidi"/>
        </w:rPr>
      </w:pPr>
    </w:p>
    <w:p w14:paraId="5300979E" w14:textId="77777777" w:rsidR="00A05970" w:rsidRPr="00B76BDA" w:rsidRDefault="00A05970" w:rsidP="00B76BDA">
      <w:pPr>
        <w:numPr>
          <w:ilvl w:val="0"/>
          <w:numId w:val="69"/>
        </w:numPr>
        <w:rPr>
          <w:rFonts w:asciiTheme="majorBidi" w:hAnsiTheme="majorBidi" w:cstheme="majorBidi"/>
        </w:rPr>
      </w:pPr>
      <w:r w:rsidRPr="00B76BDA">
        <w:rPr>
          <w:rFonts w:asciiTheme="majorBidi" w:hAnsiTheme="majorBidi" w:cstheme="majorBidi"/>
        </w:rPr>
        <w:t>Strengthen EIA as a preventative tool and SEA as a planning tool.</w:t>
      </w:r>
    </w:p>
    <w:p w14:paraId="58C56469" w14:textId="77777777" w:rsidR="00A05970" w:rsidRPr="00B76BDA" w:rsidRDefault="00A05970" w:rsidP="00A05970">
      <w:pPr>
        <w:rPr>
          <w:rFonts w:asciiTheme="majorBidi" w:hAnsiTheme="majorBidi" w:cstheme="majorBidi"/>
          <w:b/>
          <w:bCs/>
        </w:rPr>
      </w:pPr>
    </w:p>
    <w:p w14:paraId="27A9EC15" w14:textId="7230E94A" w:rsidR="00A05970" w:rsidRPr="00B76BDA" w:rsidRDefault="00A05970" w:rsidP="00B76BDA">
      <w:pPr>
        <w:numPr>
          <w:ilvl w:val="0"/>
          <w:numId w:val="72"/>
        </w:numPr>
        <w:rPr>
          <w:rFonts w:asciiTheme="majorBidi" w:hAnsiTheme="majorBidi" w:cstheme="majorBidi"/>
        </w:rPr>
      </w:pPr>
      <w:r w:rsidRPr="00B76BDA">
        <w:rPr>
          <w:rFonts w:asciiTheme="majorBidi" w:hAnsiTheme="majorBidi" w:cstheme="majorBidi"/>
        </w:rPr>
        <w:t>The draft EIA law being prepared within the context of approximati</w:t>
      </w:r>
      <w:r w:rsidR="006020B3" w:rsidRPr="00B76BDA">
        <w:rPr>
          <w:rFonts w:asciiTheme="majorBidi" w:hAnsiTheme="majorBidi" w:cstheme="majorBidi"/>
        </w:rPr>
        <w:t>ng</w:t>
      </w:r>
      <w:r w:rsidRPr="00B76BDA">
        <w:rPr>
          <w:rFonts w:asciiTheme="majorBidi" w:hAnsiTheme="majorBidi" w:cstheme="majorBidi"/>
        </w:rPr>
        <w:t xml:space="preserve"> Ukraine’s legislation to the EU </w:t>
      </w:r>
      <w:r w:rsidR="00452C91" w:rsidRPr="00B76BDA">
        <w:rPr>
          <w:rFonts w:asciiTheme="majorBidi" w:hAnsiTheme="majorBidi" w:cstheme="majorBidi"/>
        </w:rPr>
        <w:t xml:space="preserve">Acquis </w:t>
      </w:r>
      <w:r w:rsidRPr="00B76BDA">
        <w:rPr>
          <w:rFonts w:asciiTheme="majorBidi" w:hAnsiTheme="majorBidi" w:cstheme="majorBidi"/>
        </w:rPr>
        <w:t xml:space="preserve">is a step forward that has the potential to strengthen and bring to international good practice the EIA legislation and practice. Nevertheless, managing decentralization reform requires institutional strengthening at the regional (oblast) level. </w:t>
      </w:r>
    </w:p>
    <w:p w14:paraId="3CD2B699" w14:textId="77777777" w:rsidR="00A05970" w:rsidRPr="00B76BDA" w:rsidRDefault="00A05970" w:rsidP="00B76BDA">
      <w:pPr>
        <w:ind w:left="1440"/>
        <w:rPr>
          <w:rFonts w:asciiTheme="majorBidi" w:hAnsiTheme="majorBidi" w:cstheme="majorBidi"/>
        </w:rPr>
      </w:pPr>
    </w:p>
    <w:p w14:paraId="7AB3E4AB" w14:textId="77777777" w:rsidR="00A05970" w:rsidRPr="00B76BDA" w:rsidRDefault="00A05970" w:rsidP="00B76BDA">
      <w:pPr>
        <w:ind w:left="1440"/>
        <w:rPr>
          <w:rFonts w:asciiTheme="majorBidi" w:hAnsiTheme="majorBidi" w:cstheme="majorBidi"/>
        </w:rPr>
      </w:pPr>
      <w:r w:rsidRPr="00B76BDA">
        <w:rPr>
          <w:rFonts w:asciiTheme="majorBidi" w:hAnsiTheme="majorBidi" w:cstheme="majorBidi"/>
        </w:rPr>
        <w:t xml:space="preserve">Adopt the new EIA law in line with the EU directive and international good practice. Supplement the Law with appropriate regulatory acts. Preparation of the new legislation </w:t>
      </w:r>
      <w:r w:rsidRPr="00B76BDA">
        <w:rPr>
          <w:rFonts w:asciiTheme="majorBidi" w:hAnsiTheme="majorBidi" w:cstheme="majorBidi"/>
        </w:rPr>
        <w:lastRenderedPageBreak/>
        <w:t>and regulation should be carried out in close and intensive consultations with all stakeholders</w:t>
      </w:r>
      <w:r w:rsidR="00781B71" w:rsidRPr="00B76BDA">
        <w:rPr>
          <w:rFonts w:asciiTheme="majorBidi" w:hAnsiTheme="majorBidi" w:cstheme="majorBidi"/>
        </w:rPr>
        <w:t>:</w:t>
      </w:r>
      <w:r w:rsidRPr="00B76BDA">
        <w:rPr>
          <w:rFonts w:asciiTheme="majorBidi" w:hAnsiTheme="majorBidi" w:cstheme="majorBidi"/>
        </w:rPr>
        <w:t xml:space="preserve"> sectoral ministries, regional and local authorities, business</w:t>
      </w:r>
      <w:r w:rsidR="00781B71" w:rsidRPr="00B76BDA">
        <w:rPr>
          <w:rFonts w:asciiTheme="majorBidi" w:hAnsiTheme="majorBidi" w:cstheme="majorBidi"/>
        </w:rPr>
        <w:t>,</w:t>
      </w:r>
      <w:r w:rsidRPr="00B76BDA">
        <w:rPr>
          <w:rFonts w:asciiTheme="majorBidi" w:hAnsiTheme="majorBidi" w:cstheme="majorBidi"/>
        </w:rPr>
        <w:t xml:space="preserve"> and NGO communities. Consultations with stakeholders and </w:t>
      </w:r>
      <w:r w:rsidR="006020B3" w:rsidRPr="00B76BDA">
        <w:rPr>
          <w:rFonts w:asciiTheme="majorBidi" w:hAnsiTheme="majorBidi" w:cstheme="majorBidi"/>
        </w:rPr>
        <w:t xml:space="preserve">the </w:t>
      </w:r>
      <w:r w:rsidRPr="00B76BDA">
        <w:rPr>
          <w:rFonts w:asciiTheme="majorBidi" w:hAnsiTheme="majorBidi" w:cstheme="majorBidi"/>
        </w:rPr>
        <w:t>public on the prepared draft should be organized not only in Kyiv, but in other regions as well, and sufficient time for addressing comments should be reserved. Implementation of EU directives requires strict adherence to the</w:t>
      </w:r>
      <w:r w:rsidR="006020B3" w:rsidRPr="00B76BDA">
        <w:rPr>
          <w:rFonts w:asciiTheme="majorBidi" w:hAnsiTheme="majorBidi" w:cstheme="majorBidi"/>
        </w:rPr>
        <w:t>ir</w:t>
      </w:r>
      <w:r w:rsidRPr="00B76BDA">
        <w:rPr>
          <w:rFonts w:asciiTheme="majorBidi" w:hAnsiTheme="majorBidi" w:cstheme="majorBidi"/>
        </w:rPr>
        <w:t xml:space="preserve"> principles</w:t>
      </w:r>
      <w:r w:rsidR="006020B3" w:rsidRPr="00B76BDA">
        <w:rPr>
          <w:rFonts w:asciiTheme="majorBidi" w:hAnsiTheme="majorBidi" w:cstheme="majorBidi"/>
        </w:rPr>
        <w:t>. However,</w:t>
      </w:r>
      <w:r w:rsidRPr="00B76BDA">
        <w:rPr>
          <w:rFonts w:asciiTheme="majorBidi" w:hAnsiTheme="majorBidi" w:cstheme="majorBidi"/>
        </w:rPr>
        <w:t xml:space="preserve"> it provides quite significant opportunities for taking into account each country's existing traditions, practices</w:t>
      </w:r>
      <w:r w:rsidR="006020B3" w:rsidRPr="00B76BDA">
        <w:rPr>
          <w:rFonts w:asciiTheme="majorBidi" w:hAnsiTheme="majorBidi" w:cstheme="majorBidi"/>
        </w:rPr>
        <w:t>,</w:t>
      </w:r>
      <w:r w:rsidRPr="00B76BDA">
        <w:rPr>
          <w:rFonts w:asciiTheme="majorBidi" w:hAnsiTheme="majorBidi" w:cstheme="majorBidi"/>
        </w:rPr>
        <w:t xml:space="preserve"> and approaches. Close work with stakeholders will be important for this, </w:t>
      </w:r>
      <w:r w:rsidR="006020B3" w:rsidRPr="00B76BDA">
        <w:rPr>
          <w:rFonts w:asciiTheme="majorBidi" w:hAnsiTheme="majorBidi" w:cstheme="majorBidi"/>
        </w:rPr>
        <w:t xml:space="preserve">and </w:t>
      </w:r>
      <w:r w:rsidRPr="00B76BDA">
        <w:rPr>
          <w:rFonts w:asciiTheme="majorBidi" w:hAnsiTheme="majorBidi" w:cstheme="majorBidi"/>
        </w:rPr>
        <w:t xml:space="preserve">stakeholders will have </w:t>
      </w:r>
      <w:r w:rsidR="006020B3" w:rsidRPr="00B76BDA">
        <w:rPr>
          <w:rFonts w:asciiTheme="majorBidi" w:hAnsiTheme="majorBidi" w:cstheme="majorBidi"/>
        </w:rPr>
        <w:t xml:space="preserve">a </w:t>
      </w:r>
      <w:r w:rsidRPr="00B76BDA">
        <w:rPr>
          <w:rFonts w:asciiTheme="majorBidi" w:hAnsiTheme="majorBidi" w:cstheme="majorBidi"/>
        </w:rPr>
        <w:t>forum to voice their opinion</w:t>
      </w:r>
      <w:r w:rsidR="006020B3" w:rsidRPr="00B76BDA">
        <w:rPr>
          <w:rFonts w:asciiTheme="majorBidi" w:hAnsiTheme="majorBidi" w:cstheme="majorBidi"/>
        </w:rPr>
        <w:t>s</w:t>
      </w:r>
      <w:r w:rsidRPr="00B76BDA">
        <w:rPr>
          <w:rFonts w:asciiTheme="majorBidi" w:hAnsiTheme="majorBidi" w:cstheme="majorBidi"/>
        </w:rPr>
        <w:t>, and they will be aware of the nature of upcoming changes well before th</w:t>
      </w:r>
      <w:r w:rsidR="006020B3" w:rsidRPr="00B76BDA">
        <w:rPr>
          <w:rFonts w:asciiTheme="majorBidi" w:hAnsiTheme="majorBidi" w:cstheme="majorBidi"/>
        </w:rPr>
        <w:t>ese</w:t>
      </w:r>
      <w:r w:rsidRPr="00B76BDA">
        <w:rPr>
          <w:rFonts w:asciiTheme="majorBidi" w:hAnsiTheme="majorBidi" w:cstheme="majorBidi"/>
        </w:rPr>
        <w:t xml:space="preserve"> changes become mandatory</w:t>
      </w:r>
      <w:r w:rsidR="006020B3" w:rsidRPr="00B76BDA">
        <w:rPr>
          <w:rFonts w:asciiTheme="majorBidi" w:hAnsiTheme="majorBidi" w:cstheme="majorBidi"/>
        </w:rPr>
        <w:t>.</w:t>
      </w:r>
    </w:p>
    <w:p w14:paraId="62587333" w14:textId="77777777" w:rsidR="00A05970" w:rsidRPr="00B76BDA" w:rsidRDefault="00A05970" w:rsidP="00B76BDA">
      <w:pPr>
        <w:ind w:left="1440"/>
        <w:rPr>
          <w:rFonts w:asciiTheme="majorBidi" w:hAnsiTheme="majorBidi" w:cstheme="majorBidi"/>
        </w:rPr>
      </w:pPr>
    </w:p>
    <w:p w14:paraId="764847C3" w14:textId="77777777" w:rsidR="00A05970" w:rsidRPr="00B76BDA" w:rsidRDefault="00A05970" w:rsidP="00B76BDA">
      <w:pPr>
        <w:numPr>
          <w:ilvl w:val="0"/>
          <w:numId w:val="72"/>
        </w:numPr>
        <w:rPr>
          <w:rFonts w:asciiTheme="majorBidi" w:hAnsiTheme="majorBidi" w:cstheme="majorBidi"/>
        </w:rPr>
      </w:pPr>
      <w:r w:rsidRPr="00B76BDA">
        <w:rPr>
          <w:rFonts w:asciiTheme="majorBidi" w:hAnsiTheme="majorBidi" w:cstheme="majorBidi"/>
        </w:rPr>
        <w:t>Carry out a detailed review of the EIA procedures, roles and functions of various government agencies. In line with assessment recommendations, prepare standard procedures and technical guidelines based on the new law and agreed functions of various government and regional organs.</w:t>
      </w:r>
      <w:r w:rsidRPr="00B76BDA">
        <w:rPr>
          <w:rFonts w:asciiTheme="majorBidi" w:hAnsiTheme="majorBidi" w:cstheme="majorBidi"/>
        </w:rPr>
        <w:tab/>
      </w:r>
    </w:p>
    <w:p w14:paraId="4DF5F4AE" w14:textId="77777777" w:rsidR="00A05970" w:rsidRPr="00B76BDA" w:rsidRDefault="00A05970" w:rsidP="00B76BDA">
      <w:pPr>
        <w:ind w:left="1440"/>
        <w:rPr>
          <w:rFonts w:asciiTheme="majorBidi" w:hAnsiTheme="majorBidi" w:cstheme="majorBidi"/>
        </w:rPr>
      </w:pPr>
    </w:p>
    <w:p w14:paraId="20A5822E" w14:textId="77777777" w:rsidR="00A05970" w:rsidRPr="006428F7" w:rsidRDefault="00A05970" w:rsidP="00B76BDA">
      <w:pPr>
        <w:numPr>
          <w:ilvl w:val="0"/>
          <w:numId w:val="72"/>
        </w:numPr>
        <w:rPr>
          <w:rFonts w:asciiTheme="majorBidi" w:hAnsiTheme="majorBidi" w:cstheme="majorBidi"/>
        </w:rPr>
      </w:pPr>
      <w:r w:rsidRPr="00B76BDA">
        <w:rPr>
          <w:rFonts w:asciiTheme="majorBidi" w:hAnsiTheme="majorBidi" w:cstheme="majorBidi"/>
        </w:rPr>
        <w:t>Adopt the law on strategic environmental assessment and supplement the law with appropriate regulatory acts with involvement of local authorities, public and private sector.</w:t>
      </w:r>
    </w:p>
    <w:p w14:paraId="06612140" w14:textId="77777777" w:rsidR="00B326B3" w:rsidRPr="006428F7" w:rsidRDefault="00B326B3" w:rsidP="00B76BDA">
      <w:pPr>
        <w:ind w:left="1440"/>
        <w:rPr>
          <w:rFonts w:asciiTheme="majorBidi" w:hAnsiTheme="majorBidi" w:cstheme="majorBidi"/>
        </w:rPr>
      </w:pPr>
    </w:p>
    <w:p w14:paraId="45270E6C" w14:textId="77777777" w:rsidR="00B326B3" w:rsidRPr="00B76BDA" w:rsidRDefault="00B326B3" w:rsidP="00B76BDA">
      <w:pPr>
        <w:numPr>
          <w:ilvl w:val="0"/>
          <w:numId w:val="72"/>
        </w:numPr>
        <w:rPr>
          <w:rFonts w:asciiTheme="majorBidi" w:hAnsiTheme="majorBidi" w:cstheme="majorBidi"/>
        </w:rPr>
      </w:pPr>
      <w:r w:rsidRPr="00B76BDA">
        <w:rPr>
          <w:rFonts w:asciiTheme="majorBidi" w:hAnsiTheme="majorBidi" w:cstheme="majorBidi"/>
        </w:rPr>
        <w:t>Establish a national EIA / SEA database that is accessible to all stakeholders. There is already basis for database in the MENR and some regional departments publishing information on the EIA (but not the EIAs themselves except for the case of transboundary impacts). The database should include information on preparation of EIA (that is, following screening) and should store information on EIAs, SEAs, and allow for searching by keyword, region, year, and so forth. Such a database would simplify the commenting by public and relevant authorities facilitate compliance monitoring and allow monitoring and evaluation of the national EIA system.</w:t>
      </w:r>
    </w:p>
    <w:p w14:paraId="087FF22F" w14:textId="77777777" w:rsidR="00A05970" w:rsidRPr="00B76BDA" w:rsidRDefault="00A05970" w:rsidP="00A05970">
      <w:pPr>
        <w:rPr>
          <w:rFonts w:asciiTheme="majorBidi" w:hAnsiTheme="majorBidi" w:cstheme="majorBidi"/>
          <w:b/>
          <w:bCs/>
          <w:color w:val="000000"/>
        </w:rPr>
      </w:pPr>
    </w:p>
    <w:p w14:paraId="5ABB9D1E" w14:textId="53DF747E" w:rsidR="00A05970" w:rsidRPr="00B76BDA" w:rsidRDefault="00891C9F" w:rsidP="00B76BDA">
      <w:pPr>
        <w:numPr>
          <w:ilvl w:val="0"/>
          <w:numId w:val="69"/>
        </w:numPr>
        <w:rPr>
          <w:rFonts w:asciiTheme="majorBidi" w:hAnsiTheme="majorBidi" w:cstheme="majorBidi"/>
        </w:rPr>
      </w:pPr>
      <w:r w:rsidRPr="00B76BDA">
        <w:rPr>
          <w:rFonts w:asciiTheme="majorBidi" w:hAnsiTheme="majorBidi" w:cstheme="majorBidi"/>
        </w:rPr>
        <w:t>Build demand for strengthened environmental management and governance with public participation</w:t>
      </w:r>
      <w:r w:rsidRPr="00B76BDA" w:rsidDel="00891C9F">
        <w:rPr>
          <w:rFonts w:asciiTheme="majorBidi" w:hAnsiTheme="majorBidi" w:cstheme="majorBidi"/>
        </w:rPr>
        <w:t xml:space="preserve"> </w:t>
      </w:r>
    </w:p>
    <w:p w14:paraId="6A877272" w14:textId="77777777" w:rsidR="00A05970" w:rsidRPr="00B76BDA" w:rsidRDefault="00A05970" w:rsidP="00A05970">
      <w:pPr>
        <w:rPr>
          <w:rFonts w:asciiTheme="majorBidi" w:hAnsiTheme="majorBidi" w:cstheme="majorBidi"/>
        </w:rPr>
      </w:pPr>
    </w:p>
    <w:p w14:paraId="693E647D" w14:textId="77777777" w:rsidR="00A05970" w:rsidRPr="00B76BDA" w:rsidRDefault="00A05970" w:rsidP="00B76BDA">
      <w:pPr>
        <w:numPr>
          <w:ilvl w:val="0"/>
          <w:numId w:val="73"/>
        </w:numPr>
        <w:rPr>
          <w:rFonts w:asciiTheme="majorBidi" w:hAnsiTheme="majorBidi" w:cstheme="majorBidi"/>
        </w:rPr>
      </w:pPr>
      <w:r w:rsidRPr="00B76BDA">
        <w:rPr>
          <w:rFonts w:asciiTheme="majorBidi" w:hAnsiTheme="majorBidi" w:cstheme="majorBidi"/>
        </w:rPr>
        <w:t>Enhance the implementation of a Law of Ukraine “On Access to Public Information</w:t>
      </w:r>
      <w:r w:rsidR="00D60AF4" w:rsidRPr="00B76BDA">
        <w:rPr>
          <w:rFonts w:asciiTheme="majorBidi" w:hAnsiTheme="majorBidi" w:cstheme="majorBidi"/>
        </w:rPr>
        <w:t>.</w:t>
      </w:r>
      <w:r w:rsidRPr="00B76BDA">
        <w:rPr>
          <w:rFonts w:asciiTheme="majorBidi" w:hAnsiTheme="majorBidi" w:cstheme="majorBidi"/>
        </w:rPr>
        <w:t xml:space="preserve">” Permanently update and publish information on the MENR’s </w:t>
      </w:r>
      <w:r w:rsidR="00591FD4" w:rsidRPr="00B76BDA">
        <w:rPr>
          <w:rFonts w:asciiTheme="majorBidi" w:hAnsiTheme="majorBidi" w:cstheme="majorBidi"/>
        </w:rPr>
        <w:t>Web site</w:t>
      </w:r>
      <w:r w:rsidRPr="00B76BDA">
        <w:rPr>
          <w:rFonts w:asciiTheme="majorBidi" w:hAnsiTheme="majorBidi" w:cstheme="majorBidi"/>
        </w:rPr>
        <w:t xml:space="preserve"> and </w:t>
      </w:r>
      <w:r w:rsidR="00591FD4" w:rsidRPr="00B76BDA">
        <w:rPr>
          <w:rFonts w:asciiTheme="majorBidi" w:hAnsiTheme="majorBidi" w:cstheme="majorBidi"/>
        </w:rPr>
        <w:t>Web site</w:t>
      </w:r>
      <w:r w:rsidRPr="00B76BDA">
        <w:rPr>
          <w:rFonts w:asciiTheme="majorBidi" w:hAnsiTheme="majorBidi" w:cstheme="majorBidi"/>
        </w:rPr>
        <w:t>s of other ministries and regional organs in systematic way.</w:t>
      </w:r>
    </w:p>
    <w:p w14:paraId="19A210E4" w14:textId="77777777" w:rsidR="00A05970" w:rsidRPr="00B76BDA" w:rsidRDefault="00A05970" w:rsidP="00B76BDA">
      <w:pPr>
        <w:ind w:left="1440"/>
        <w:rPr>
          <w:rFonts w:asciiTheme="majorBidi" w:hAnsiTheme="majorBidi" w:cstheme="majorBidi"/>
        </w:rPr>
      </w:pPr>
    </w:p>
    <w:p w14:paraId="796EA981" w14:textId="77777777" w:rsidR="00A05970" w:rsidRPr="00B76BDA" w:rsidRDefault="00A05970" w:rsidP="00B76BDA">
      <w:pPr>
        <w:numPr>
          <w:ilvl w:val="0"/>
          <w:numId w:val="73"/>
        </w:numPr>
        <w:rPr>
          <w:rFonts w:asciiTheme="majorBidi" w:hAnsiTheme="majorBidi" w:cstheme="majorBidi"/>
        </w:rPr>
      </w:pPr>
      <w:r w:rsidRPr="00B76BDA">
        <w:rPr>
          <w:rFonts w:asciiTheme="majorBidi" w:hAnsiTheme="majorBidi" w:cstheme="majorBidi"/>
        </w:rPr>
        <w:t>Develop and implement clear procedures of information disclosure and public participation in environmental decision making, which would specify for each type of activity the scope of disclosure, mandatory level of public involvement, responsibilities of government organs and other stakeholders, mechanisms of addressing public comments.</w:t>
      </w:r>
    </w:p>
    <w:p w14:paraId="275E4951" w14:textId="77777777" w:rsidR="00891C9F" w:rsidRPr="00B76BDA" w:rsidRDefault="00891C9F" w:rsidP="00B76BDA">
      <w:pPr>
        <w:ind w:left="1440"/>
        <w:rPr>
          <w:rFonts w:asciiTheme="majorBidi" w:hAnsiTheme="majorBidi" w:cstheme="majorBidi"/>
        </w:rPr>
      </w:pPr>
    </w:p>
    <w:p w14:paraId="65028543" w14:textId="40AE245F" w:rsidR="00A05970" w:rsidRPr="00B76BDA" w:rsidRDefault="00E656E1" w:rsidP="00B76BDA">
      <w:pPr>
        <w:numPr>
          <w:ilvl w:val="0"/>
          <w:numId w:val="73"/>
        </w:numPr>
        <w:rPr>
          <w:rFonts w:asciiTheme="majorBidi" w:hAnsiTheme="majorBidi" w:cstheme="majorBidi"/>
        </w:rPr>
      </w:pPr>
      <w:r w:rsidRPr="006428F7">
        <w:rPr>
          <w:rFonts w:asciiTheme="majorBidi" w:hAnsiTheme="majorBidi" w:cstheme="majorBidi"/>
        </w:rPr>
        <w:t xml:space="preserve">Strengthen the capacity of judiciary to address environmental issues. </w:t>
      </w:r>
    </w:p>
    <w:p w14:paraId="2CBF45E4" w14:textId="526375E9" w:rsidR="00777D23" w:rsidRDefault="000B7923">
      <w:pPr>
        <w:jc w:val="left"/>
      </w:pPr>
      <w:bookmarkStart w:id="157" w:name="_Toc403738272"/>
      <w:r w:rsidRPr="002B1DFC">
        <w:br w:type="page"/>
      </w:r>
      <w:r w:rsidR="00777D23">
        <w:lastRenderedPageBreak/>
        <w:br w:type="page"/>
      </w:r>
    </w:p>
    <w:p w14:paraId="1E331E32" w14:textId="26113B99" w:rsidR="00991FA8" w:rsidRDefault="00991FA8">
      <w:pPr>
        <w:jc w:val="left"/>
        <w:rPr>
          <w:rFonts w:cs="Times New Roman"/>
          <w:b/>
          <w:bCs/>
          <w:smallCaps/>
          <w:color w:val="365F91"/>
          <w:sz w:val="28"/>
          <w:szCs w:val="28"/>
        </w:rPr>
      </w:pPr>
    </w:p>
    <w:p w14:paraId="40E8FA8B" w14:textId="681F920E" w:rsidR="000B7923" w:rsidRPr="002B1DFC" w:rsidRDefault="000B7923" w:rsidP="0061686D">
      <w:pPr>
        <w:pStyle w:val="Heading1"/>
        <w:tabs>
          <w:tab w:val="clear" w:pos="720"/>
          <w:tab w:val="left" w:pos="450"/>
        </w:tabs>
        <w:spacing w:before="0"/>
      </w:pPr>
      <w:bookmarkStart w:id="158" w:name="_Toc440273981"/>
      <w:r w:rsidRPr="002B1DFC">
        <w:t>Key Policy Recommendations</w:t>
      </w:r>
      <w:bookmarkEnd w:id="157"/>
      <w:bookmarkEnd w:id="158"/>
    </w:p>
    <w:p w14:paraId="44E0819C" w14:textId="77777777" w:rsidR="000B7923" w:rsidRPr="002B1DFC" w:rsidRDefault="000B7923" w:rsidP="00F33595">
      <w:pPr>
        <w:rPr>
          <w:rFonts w:cs="Times New Roman"/>
        </w:rPr>
      </w:pPr>
    </w:p>
    <w:p w14:paraId="73D912B6" w14:textId="77777777" w:rsidR="00A05970" w:rsidRDefault="00C2096A" w:rsidP="00BE4A82">
      <w:pPr>
        <w:pStyle w:val="ListParagraph"/>
        <w:numPr>
          <w:ilvl w:val="0"/>
          <w:numId w:val="68"/>
        </w:numPr>
        <w:tabs>
          <w:tab w:val="left" w:pos="360"/>
        </w:tabs>
        <w:ind w:left="0" w:firstLine="0"/>
      </w:pPr>
      <w:r>
        <w:t>Th</w:t>
      </w:r>
      <w:r w:rsidR="004B335E">
        <w:t>e institutional analysis has identified several key challenges that face Ukraine’s environmental</w:t>
      </w:r>
      <w:r w:rsidR="006020B3">
        <w:t xml:space="preserve"> m</w:t>
      </w:r>
      <w:r w:rsidR="00A05970">
        <w:t>anagement system. Key among these are</w:t>
      </w:r>
      <w:r w:rsidR="00781B71">
        <w:t xml:space="preserve"> the following</w:t>
      </w:r>
      <w:r w:rsidR="00A05970">
        <w:t xml:space="preserve">: </w:t>
      </w:r>
    </w:p>
    <w:p w14:paraId="0C254008" w14:textId="2D88A950" w:rsidR="00F53FEA" w:rsidRDefault="00F53FEA" w:rsidP="00B76BDA">
      <w:pPr>
        <w:numPr>
          <w:ilvl w:val="0"/>
          <w:numId w:val="41"/>
        </w:numPr>
        <w:ind w:left="450" w:hanging="450"/>
      </w:pPr>
      <w:r w:rsidRPr="00F53FEA">
        <w:t>Enhance the legislative framework for environmental management.</w:t>
      </w:r>
    </w:p>
    <w:p w14:paraId="62AB980B" w14:textId="77777777" w:rsidR="00A51600" w:rsidRDefault="00A51600" w:rsidP="00A51600">
      <w:pPr>
        <w:numPr>
          <w:ilvl w:val="0"/>
          <w:numId w:val="41"/>
        </w:numPr>
        <w:ind w:left="450" w:hanging="450"/>
      </w:pPr>
      <w:r w:rsidRPr="00F53FEA">
        <w:t>Strengthen mechanisms for setting environmental priorities linked with Ukraine’s growth and development objectives and reflect these priorities in environmental and sectoral policies and strategies.</w:t>
      </w:r>
    </w:p>
    <w:p w14:paraId="5E3F4CC0" w14:textId="71B22E4A" w:rsidR="00F53FEA" w:rsidRDefault="00F53FEA" w:rsidP="00B76BDA">
      <w:pPr>
        <w:numPr>
          <w:ilvl w:val="0"/>
          <w:numId w:val="41"/>
        </w:numPr>
        <w:ind w:left="450" w:hanging="450"/>
      </w:pPr>
      <w:r w:rsidRPr="00F53FEA">
        <w:t>Build effectiveness of the environmental institutions by improving coordination and streamlining mandates across the different agencies.</w:t>
      </w:r>
    </w:p>
    <w:p w14:paraId="27778E22" w14:textId="72ED0C6F" w:rsidR="00F53FEA" w:rsidRDefault="00F53FEA" w:rsidP="00B76BDA">
      <w:pPr>
        <w:numPr>
          <w:ilvl w:val="0"/>
          <w:numId w:val="41"/>
        </w:numPr>
        <w:ind w:left="450" w:hanging="450"/>
      </w:pPr>
      <w:r w:rsidRPr="00F53FEA">
        <w:t>Strengthen environmental management capacity at the regional level.</w:t>
      </w:r>
    </w:p>
    <w:p w14:paraId="34437437" w14:textId="43848353" w:rsidR="00F53FEA" w:rsidRDefault="00F53FEA" w:rsidP="00B76BDA">
      <w:pPr>
        <w:numPr>
          <w:ilvl w:val="0"/>
          <w:numId w:val="41"/>
        </w:numPr>
        <w:ind w:left="450" w:hanging="450"/>
      </w:pPr>
      <w:r w:rsidRPr="00F53FEA">
        <w:t>Expand and strengthen the implementation of a portfolio of environmental policy instruments, with emphasis on economic instruments and mechanisms to foster good environmental practice in line with EU requirements.</w:t>
      </w:r>
    </w:p>
    <w:p w14:paraId="47CF4F65" w14:textId="7BABF234" w:rsidR="00F53FEA" w:rsidRDefault="00F53FEA" w:rsidP="00B76BDA">
      <w:pPr>
        <w:numPr>
          <w:ilvl w:val="0"/>
          <w:numId w:val="41"/>
        </w:numPr>
        <w:ind w:left="450" w:hanging="450"/>
      </w:pPr>
      <w:r w:rsidRPr="00F53FEA">
        <w:t>Build demand for strengthened environmental management and governance through public access to information and public participation.</w:t>
      </w:r>
    </w:p>
    <w:p w14:paraId="424168E4" w14:textId="77777777" w:rsidR="00A05970" w:rsidRDefault="00A05970" w:rsidP="00A05970"/>
    <w:p w14:paraId="6261D2E2" w14:textId="77777777" w:rsidR="00A05970" w:rsidRDefault="00A05970" w:rsidP="00BE4A82">
      <w:pPr>
        <w:pStyle w:val="ListParagraph"/>
        <w:numPr>
          <w:ilvl w:val="0"/>
          <w:numId w:val="68"/>
        </w:numPr>
        <w:tabs>
          <w:tab w:val="left" w:pos="360"/>
        </w:tabs>
        <w:ind w:left="0" w:firstLine="0"/>
      </w:pPr>
      <w:r>
        <w:t>Strengthening Ukraine’s environmental management system will contribute towards Ukraine’s compliance with the terms of the Ukraine</w:t>
      </w:r>
      <w:r w:rsidR="00781B71">
        <w:t>–</w:t>
      </w:r>
      <w:r>
        <w:t xml:space="preserve">EU Association Agreement signed in 2014. It will also contribute towards enhancing Ukraine’s competitiveness through clearer and more consistent rules of the game where it comes to environmental regulation and bringing the system of environmental management at the local and national level closer to international good practice.  </w:t>
      </w:r>
    </w:p>
    <w:p w14:paraId="5DE4230F" w14:textId="77777777" w:rsidR="00A05970" w:rsidRDefault="00A05970" w:rsidP="00A05970"/>
    <w:p w14:paraId="1421D310" w14:textId="77777777" w:rsidR="00A05970" w:rsidRDefault="00A05970" w:rsidP="00BE4A82">
      <w:pPr>
        <w:pStyle w:val="ListParagraph"/>
        <w:numPr>
          <w:ilvl w:val="0"/>
          <w:numId w:val="68"/>
        </w:numPr>
        <w:tabs>
          <w:tab w:val="left" w:pos="360"/>
        </w:tabs>
        <w:ind w:left="0" w:firstLine="0"/>
      </w:pPr>
      <w:r>
        <w:t>The ongoing decentralization reform and the EU</w:t>
      </w:r>
      <w:r w:rsidR="00781B71">
        <w:t>–</w:t>
      </w:r>
      <w:r>
        <w:t xml:space="preserve">Ukraine Association Agreement create an opportunity and an impetus for the </w:t>
      </w:r>
      <w:r w:rsidR="006020B3">
        <w:t>much-needed</w:t>
      </w:r>
      <w:r>
        <w:t xml:space="preserve"> reform of the environmental management system in Ukraine. At the same time, given the multiplicity of priorities that face the Government of Ukraine, it is essential that the Government of Ukraine is selective and strategic in addressing the different environmental management priorities, which would be critical for this reform to be successful. </w:t>
      </w:r>
    </w:p>
    <w:p w14:paraId="70AAD3C4" w14:textId="77777777" w:rsidR="00A05970" w:rsidRDefault="00A05970" w:rsidP="00A05970"/>
    <w:p w14:paraId="648B06EE" w14:textId="77777777" w:rsidR="00A05970" w:rsidRPr="002B1DFC" w:rsidRDefault="00A05970" w:rsidP="00BE4A82">
      <w:pPr>
        <w:pStyle w:val="ListParagraph"/>
        <w:numPr>
          <w:ilvl w:val="0"/>
          <w:numId w:val="68"/>
        </w:numPr>
        <w:tabs>
          <w:tab w:val="left" w:pos="360"/>
        </w:tabs>
        <w:ind w:left="0" w:firstLine="0"/>
      </w:pPr>
      <w:r>
        <w:t xml:space="preserve">To start, it may be essential to </w:t>
      </w:r>
      <w:r w:rsidRPr="002B1DFC">
        <w:t xml:space="preserve">prepare and implement a </w:t>
      </w:r>
      <w:r w:rsidRPr="002B1DFC">
        <w:rPr>
          <w:b/>
          <w:bCs/>
          <w:i/>
          <w:iCs/>
        </w:rPr>
        <w:t>Roadmap for Reform of Environmental Management in Ukraine</w:t>
      </w:r>
      <w:r>
        <w:rPr>
          <w:b/>
          <w:bCs/>
          <w:i/>
          <w:iCs/>
        </w:rPr>
        <w:t xml:space="preserve"> </w:t>
      </w:r>
      <w:r>
        <w:t xml:space="preserve">in the short to medium term </w:t>
      </w:r>
      <w:r w:rsidRPr="002B1DFC">
        <w:t>(1</w:t>
      </w:r>
      <w:r w:rsidR="00781B71">
        <w:t>–</w:t>
      </w:r>
      <w:r w:rsidRPr="002B1DFC">
        <w:t>2 years)</w:t>
      </w:r>
      <w:r w:rsidRPr="00ED662A">
        <w:rPr>
          <w:i/>
          <w:iCs/>
        </w:rPr>
        <w:t>.</w:t>
      </w:r>
      <w:r w:rsidRPr="002B1DFC">
        <w:rPr>
          <w:b/>
          <w:bCs/>
          <w:i/>
          <w:iCs/>
        </w:rPr>
        <w:t xml:space="preserve"> </w:t>
      </w:r>
      <w:r w:rsidRPr="002B1DFC">
        <w:rPr>
          <w:bCs/>
          <w:iCs/>
        </w:rPr>
        <w:t>To achieve this, the following tasks should be completed:</w:t>
      </w:r>
      <w:r w:rsidRPr="002B1DFC">
        <w:t xml:space="preserve"> </w:t>
      </w:r>
    </w:p>
    <w:p w14:paraId="4495B4B3" w14:textId="77777777" w:rsidR="00A05970" w:rsidRPr="002B1DFC" w:rsidRDefault="00A05970" w:rsidP="00A05970"/>
    <w:p w14:paraId="70C83A93" w14:textId="77777777" w:rsidR="00F53FEA" w:rsidRDefault="00F53FEA" w:rsidP="00B76BDA">
      <w:pPr>
        <w:ind w:left="720"/>
      </w:pPr>
      <w:r>
        <w:t xml:space="preserve">Task 1: Carry out a functional review of the institutions involved in environmental management from the point of view of implementation of the EU Environmental Directives. In other words, the review should answer the question of whether the environmental institutions in Ukraine as they are can effectively implement the EU Directives. A public environmental expenditure review should accompany the functional review, to identify government resource allocations to different environment goals at central and regional levels. </w:t>
      </w:r>
    </w:p>
    <w:p w14:paraId="72263BDB" w14:textId="77777777" w:rsidR="00F53FEA" w:rsidRDefault="00F53FEA" w:rsidP="00B76BDA">
      <w:pPr>
        <w:ind w:left="720"/>
      </w:pPr>
    </w:p>
    <w:p w14:paraId="4C7C0D2B" w14:textId="77777777" w:rsidR="00F53FEA" w:rsidRDefault="00F53FEA" w:rsidP="00B76BDA">
      <w:pPr>
        <w:ind w:left="720"/>
      </w:pPr>
      <w:r>
        <w:t xml:space="preserve">Task 2. Determine Ukraine’s environmental priorities linked to its growth and development agenda. An important input into setting priorities is the cost of environmental degradation study (COED). The COED estimates in monetary terms the impacts of major environmental problems in Ukraine. The COED may be combined with statistical tools such as distributional surveys to determine the priorities that are linked to poverty.  </w:t>
      </w:r>
    </w:p>
    <w:p w14:paraId="3FD33C31" w14:textId="77777777" w:rsidR="00F53FEA" w:rsidRDefault="00F53FEA" w:rsidP="00B76BDA">
      <w:pPr>
        <w:ind w:left="720"/>
      </w:pPr>
    </w:p>
    <w:p w14:paraId="4E11F686" w14:textId="77777777" w:rsidR="00F53FEA" w:rsidRDefault="00F53FEA" w:rsidP="00B76BDA">
      <w:pPr>
        <w:ind w:left="720"/>
      </w:pPr>
      <w:r>
        <w:t xml:space="preserve">Task 3. Apply EU requirements to environmental management, delineate responsibilities, and subordination and coordination in the sphere of environmental management of central government </w:t>
      </w:r>
      <w:r>
        <w:lastRenderedPageBreak/>
        <w:t>units (including MENR, ministries, agencies, and so forth); regional government; regional branches of central government units; and local government (city, settlement, and village).</w:t>
      </w:r>
    </w:p>
    <w:p w14:paraId="2A577BD3" w14:textId="77777777" w:rsidR="006428F7" w:rsidRDefault="006428F7" w:rsidP="00A05970">
      <w:pPr>
        <w:pStyle w:val="ListParagraph"/>
      </w:pPr>
    </w:p>
    <w:p w14:paraId="1500EF4D" w14:textId="0CAB38F0" w:rsidR="00A05970" w:rsidRPr="002B1DFC" w:rsidRDefault="00F53FEA" w:rsidP="00A05970">
      <w:pPr>
        <w:pStyle w:val="ListParagraph"/>
      </w:pPr>
      <w:r>
        <w:t xml:space="preserve">Task 4. Develop a roadmap for necessary legislative and regulatory changes (prioritization, sequencing, and depth of necessary revisions/change), based on Ukraine’s identified priorities and taking into account Ukraine's commitments under the EU–Ukraine Agreement. </w:t>
      </w:r>
      <w:r w:rsidR="00A05970" w:rsidRPr="002B1DFC">
        <w:t xml:space="preserve"> </w:t>
      </w:r>
    </w:p>
    <w:p w14:paraId="5FE906B5" w14:textId="77777777" w:rsidR="00A05970" w:rsidRPr="002B1DFC" w:rsidRDefault="00A05970" w:rsidP="00A05970"/>
    <w:p w14:paraId="09B32E44" w14:textId="77777777" w:rsidR="00A05970" w:rsidRPr="002B1DFC" w:rsidRDefault="00781B71" w:rsidP="00BE4A82">
      <w:pPr>
        <w:pStyle w:val="ListParagraph"/>
        <w:numPr>
          <w:ilvl w:val="0"/>
          <w:numId w:val="68"/>
        </w:numPr>
        <w:tabs>
          <w:tab w:val="left" w:pos="360"/>
        </w:tabs>
        <w:ind w:left="0" w:firstLine="0"/>
      </w:pPr>
      <w:r>
        <w:t>T</w:t>
      </w:r>
      <w:r w:rsidR="00A05970" w:rsidRPr="002B1DFC">
        <w:t xml:space="preserve">wo great </w:t>
      </w:r>
      <w:r w:rsidR="00A05970">
        <w:t>tasks</w:t>
      </w:r>
      <w:r w:rsidR="00A05970" w:rsidRPr="002B1DFC">
        <w:t xml:space="preserve"> facing Ukraine</w:t>
      </w:r>
      <w:r>
        <w:t xml:space="preserve"> dictate the need for this Roadmap</w:t>
      </w:r>
      <w:r w:rsidR="00A05970" w:rsidRPr="002B1DFC">
        <w:t>: (i) decentralization reform shall transfer significant authority to regional and local (municipality) level, and (ii) implementation of EU</w:t>
      </w:r>
      <w:r>
        <w:t>–</w:t>
      </w:r>
      <w:r w:rsidR="00A05970" w:rsidRPr="002B1DFC">
        <w:t>Ukraine agreement will create a new legal and regulatory system. This requires a review of roles and responsibilities of government agencies involved in environmental management and environmental law enforcement. It becomes necessary to reform the existing Ukrainian post-</w:t>
      </w:r>
      <w:r>
        <w:t>S</w:t>
      </w:r>
      <w:r w:rsidR="00A05970" w:rsidRPr="002B1DFC">
        <w:t xml:space="preserve">oviet institutional structure of environmental management in such a way that it can efficiently function in significantly changed administrative, budget and legal environment. </w:t>
      </w:r>
    </w:p>
    <w:p w14:paraId="3A029862" w14:textId="77777777" w:rsidR="00A05970" w:rsidRPr="002B1DFC" w:rsidRDefault="00A05970" w:rsidP="00A05970"/>
    <w:p w14:paraId="109CAB7D" w14:textId="77777777" w:rsidR="00A05970" w:rsidRDefault="00A05970" w:rsidP="00BE4A82">
      <w:pPr>
        <w:pStyle w:val="ListParagraph"/>
        <w:numPr>
          <w:ilvl w:val="0"/>
          <w:numId w:val="68"/>
        </w:numPr>
        <w:tabs>
          <w:tab w:val="left" w:pos="360"/>
        </w:tabs>
        <w:ind w:left="0" w:firstLine="0"/>
      </w:pPr>
      <w:r w:rsidRPr="002B1DFC">
        <w:t xml:space="preserve">On December </w:t>
      </w:r>
      <w:r w:rsidR="00781B71">
        <w:t xml:space="preserve">11, </w:t>
      </w:r>
      <w:r w:rsidRPr="002B1DFC">
        <w:t xml:space="preserve">2014, Ukrainian Parliament approved an </w:t>
      </w:r>
      <w:r w:rsidRPr="002B1DFC">
        <w:rPr>
          <w:b/>
        </w:rPr>
        <w:t>Action Plan of the Cabinet of Ministers</w:t>
      </w:r>
      <w:r w:rsidRPr="002B1DFC">
        <w:t xml:space="preserve"> (</w:t>
      </w:r>
      <w:proofErr w:type="spellStart"/>
      <w:r w:rsidRPr="002B1DFC">
        <w:rPr>
          <w:i/>
        </w:rPr>
        <w:t>Програма</w:t>
      </w:r>
      <w:proofErr w:type="spellEnd"/>
      <w:r w:rsidRPr="002B1DFC">
        <w:rPr>
          <w:i/>
        </w:rPr>
        <w:t xml:space="preserve"> </w:t>
      </w:r>
      <w:proofErr w:type="spellStart"/>
      <w:r w:rsidRPr="002B1DFC">
        <w:rPr>
          <w:i/>
        </w:rPr>
        <w:t>діяльності</w:t>
      </w:r>
      <w:proofErr w:type="spellEnd"/>
      <w:r w:rsidRPr="002B1DFC">
        <w:rPr>
          <w:i/>
        </w:rPr>
        <w:t xml:space="preserve"> </w:t>
      </w:r>
      <w:proofErr w:type="spellStart"/>
      <w:r w:rsidRPr="002B1DFC">
        <w:rPr>
          <w:i/>
        </w:rPr>
        <w:t>Кабінету</w:t>
      </w:r>
      <w:proofErr w:type="spellEnd"/>
      <w:r w:rsidRPr="002B1DFC">
        <w:rPr>
          <w:i/>
        </w:rPr>
        <w:t xml:space="preserve"> </w:t>
      </w:r>
      <w:proofErr w:type="spellStart"/>
      <w:r w:rsidRPr="002B1DFC">
        <w:rPr>
          <w:i/>
        </w:rPr>
        <w:t>Міністрів</w:t>
      </w:r>
      <w:proofErr w:type="spellEnd"/>
      <w:r w:rsidRPr="002B1DFC">
        <w:rPr>
          <w:i/>
        </w:rPr>
        <w:t xml:space="preserve"> </w:t>
      </w:r>
      <w:proofErr w:type="spellStart"/>
      <w:r w:rsidRPr="002B1DFC">
        <w:rPr>
          <w:i/>
        </w:rPr>
        <w:t>України</w:t>
      </w:r>
      <w:proofErr w:type="spellEnd"/>
      <w:r w:rsidRPr="002B1DFC">
        <w:t>), which is aimed also at implementation of the EU</w:t>
      </w:r>
      <w:r w:rsidR="00781B71">
        <w:t>–</w:t>
      </w:r>
      <w:r w:rsidRPr="002B1DFC">
        <w:t>Ukraine agreement. Unfortunately, this Action Plan does not mention environmental issues (</w:t>
      </w:r>
      <w:r w:rsidR="006020B3">
        <w:t>consequently,</w:t>
      </w:r>
      <w:r w:rsidRPr="002B1DFC">
        <w:t xml:space="preserve"> it was criticized by many </w:t>
      </w:r>
      <w:r w:rsidR="00D60AF4">
        <w:t>“</w:t>
      </w:r>
      <w:r w:rsidRPr="002B1DFC">
        <w:t>green</w:t>
      </w:r>
      <w:r w:rsidR="00D60AF4">
        <w:t>”</w:t>
      </w:r>
      <w:r w:rsidRPr="002B1DFC">
        <w:t xml:space="preserve"> CSOs).</w:t>
      </w:r>
      <w:r>
        <w:t xml:space="preserve"> </w:t>
      </w:r>
    </w:p>
    <w:p w14:paraId="656BA39D" w14:textId="77777777" w:rsidR="00A05970" w:rsidRDefault="00A05970" w:rsidP="00A05970"/>
    <w:p w14:paraId="6D70A9A1" w14:textId="281E59BD" w:rsidR="00DE571B" w:rsidRDefault="006020B3" w:rsidP="00147937">
      <w:pPr>
        <w:pStyle w:val="ListParagraph"/>
        <w:numPr>
          <w:ilvl w:val="0"/>
          <w:numId w:val="68"/>
        </w:numPr>
        <w:tabs>
          <w:tab w:val="left" w:pos="360"/>
        </w:tabs>
        <w:ind w:left="0" w:firstLine="0"/>
      </w:pPr>
      <w:r>
        <w:t>A</w:t>
      </w:r>
      <w:r w:rsidR="00A05970" w:rsidRPr="002B1DFC">
        <w:t xml:space="preserve"> number of central government agencies, regional authorities</w:t>
      </w:r>
      <w:r>
        <w:t>,</w:t>
      </w:r>
      <w:r w:rsidR="00A05970" w:rsidRPr="002B1DFC">
        <w:t xml:space="preserve"> and municipalities will have to be involved in prepar</w:t>
      </w:r>
      <w:r>
        <w:t>ing</w:t>
      </w:r>
      <w:r w:rsidR="00A05970" w:rsidRPr="002B1DFC">
        <w:t xml:space="preserve"> and implement</w:t>
      </w:r>
      <w:r>
        <w:t>ing</w:t>
      </w:r>
      <w:r w:rsidR="00A05970" w:rsidRPr="002B1DFC">
        <w:t xml:space="preserve"> the Roadmap</w:t>
      </w:r>
      <w:r>
        <w:t>. T</w:t>
      </w:r>
      <w:r w:rsidR="00A05970" w:rsidRPr="002B1DFC">
        <w:t xml:space="preserve">his can be achieved by establishing a </w:t>
      </w:r>
      <w:r w:rsidR="00A05970">
        <w:t xml:space="preserve">task force </w:t>
      </w:r>
      <w:r>
        <w:t xml:space="preserve">consisting of </w:t>
      </w:r>
      <w:r w:rsidR="00A05970">
        <w:t>key relevant authorities</w:t>
      </w:r>
      <w:r w:rsidR="00A05970" w:rsidRPr="002B1DFC">
        <w:t xml:space="preserve"> under </w:t>
      </w:r>
      <w:r>
        <w:t xml:space="preserve">the </w:t>
      </w:r>
      <w:r w:rsidR="00A05970" w:rsidRPr="002B1DFC">
        <w:t xml:space="preserve">Prime Minister or </w:t>
      </w:r>
      <w:r>
        <w:t xml:space="preserve">the </w:t>
      </w:r>
      <w:r w:rsidR="00A05970" w:rsidRPr="002B1DFC">
        <w:t>Vice-Prime Minister of Ukraine</w:t>
      </w:r>
      <w:r>
        <w:t xml:space="preserve">. Such a task force could be called, for example, “The </w:t>
      </w:r>
      <w:r w:rsidR="00A05970" w:rsidRPr="0061686D">
        <w:rPr>
          <w:bCs/>
          <w:iCs/>
        </w:rPr>
        <w:t>Task Force for Preparation and Implementation of the</w:t>
      </w:r>
      <w:r w:rsidR="00A05970" w:rsidRPr="006020B3">
        <w:t xml:space="preserve"> </w:t>
      </w:r>
      <w:r w:rsidR="00A05970" w:rsidRPr="0061686D">
        <w:rPr>
          <w:bCs/>
          <w:iCs/>
        </w:rPr>
        <w:t>Roadmap for Reform of Environmental Management</w:t>
      </w:r>
      <w:r w:rsidRPr="006020B3">
        <w:t>.”</w:t>
      </w:r>
      <w:r w:rsidR="00A05970" w:rsidRPr="002B1DFC">
        <w:t xml:space="preserve"> </w:t>
      </w:r>
      <w:r w:rsidR="006E13E9">
        <w:t>T</w:t>
      </w:r>
      <w:r>
        <w:t xml:space="preserve">able </w:t>
      </w:r>
      <w:r w:rsidR="00147937">
        <w:t xml:space="preserve">18 </w:t>
      </w:r>
      <w:r w:rsidR="006E13E9">
        <w:t xml:space="preserve">below </w:t>
      </w:r>
      <w:r>
        <w:t>summarizes o</w:t>
      </w:r>
      <w:r w:rsidR="00A05970" w:rsidRPr="002B1DFC">
        <w:t xml:space="preserve">ther recommendations, which </w:t>
      </w:r>
      <w:r w:rsidR="00452C91">
        <w:t>are recommended for implementation</w:t>
      </w:r>
      <w:r w:rsidR="00A05970" w:rsidRPr="002B1DFC">
        <w:t xml:space="preserve"> </w:t>
      </w:r>
      <w:r w:rsidR="00A05970" w:rsidRPr="002B1DFC">
        <w:rPr>
          <w:b/>
        </w:rPr>
        <w:t xml:space="preserve">after key elements of the </w:t>
      </w:r>
      <w:r w:rsidR="00A05970" w:rsidRPr="002B1DFC">
        <w:rPr>
          <w:b/>
          <w:i/>
        </w:rPr>
        <w:t>Roadmap for Reform</w:t>
      </w:r>
      <w:r w:rsidR="00A05970" w:rsidRPr="002B1DFC">
        <w:rPr>
          <w:b/>
        </w:rPr>
        <w:t xml:space="preserve"> have been implemented</w:t>
      </w:r>
      <w:r>
        <w:t xml:space="preserve">. </w:t>
      </w:r>
    </w:p>
    <w:p w14:paraId="16287F66" w14:textId="77777777" w:rsidR="00FE1494" w:rsidRDefault="00FE1494" w:rsidP="005060F5"/>
    <w:p w14:paraId="2AAC33EA" w14:textId="77777777" w:rsidR="00FE1494" w:rsidRDefault="00FE1494" w:rsidP="00EC5D30">
      <w:pPr>
        <w:pStyle w:val="Caption"/>
        <w:sectPr w:rsidR="00FE1494" w:rsidSect="003F03B0">
          <w:pgSz w:w="12240" w:h="15840"/>
          <w:pgMar w:top="1440" w:right="1440" w:bottom="1440" w:left="1440" w:header="720" w:footer="720" w:gutter="0"/>
          <w:pgNumType w:start="1"/>
          <w:cols w:space="720"/>
          <w:docGrid w:linePitch="360"/>
        </w:sectPr>
      </w:pPr>
    </w:p>
    <w:p w14:paraId="2B5052E7" w14:textId="2F656840" w:rsidR="006E13E9" w:rsidRDefault="00EC5D30" w:rsidP="00EC5D30">
      <w:pPr>
        <w:pStyle w:val="Caption"/>
        <w:rPr>
          <w:rFonts w:eastAsia="Times New Roman"/>
          <w:color w:val="000000"/>
        </w:rPr>
      </w:pPr>
      <w:bookmarkStart w:id="159" w:name="_Toc440274010"/>
      <w:r>
        <w:lastRenderedPageBreak/>
        <w:t xml:space="preserve">Table </w:t>
      </w:r>
      <w:r>
        <w:fldChar w:fldCharType="begin"/>
      </w:r>
      <w:r>
        <w:instrText xml:space="preserve"> SEQ Table \* ARABIC </w:instrText>
      </w:r>
      <w:r>
        <w:fldChar w:fldCharType="separate"/>
      </w:r>
      <w:r w:rsidR="00356D5F">
        <w:t>18</w:t>
      </w:r>
      <w:r>
        <w:fldChar w:fldCharType="end"/>
      </w:r>
      <w:r w:rsidR="006E13E9" w:rsidRPr="0061686D">
        <w:rPr>
          <w:rFonts w:eastAsia="Times New Roman"/>
          <w:color w:val="000000"/>
        </w:rPr>
        <w:t xml:space="preserve">. </w:t>
      </w:r>
      <w:r>
        <w:rPr>
          <w:rFonts w:eastAsia="Times New Roman"/>
          <w:color w:val="000000"/>
        </w:rPr>
        <w:t>Summary of Key Recommendations</w:t>
      </w:r>
      <w:bookmarkEnd w:id="159"/>
      <w:r>
        <w:rPr>
          <w:rFonts w:eastAsia="Times New Roman"/>
          <w:color w:val="000000"/>
        </w:rPr>
        <w:t xml:space="preserve"> </w:t>
      </w:r>
    </w:p>
    <w:tbl>
      <w:tblPr>
        <w:tblW w:w="5000" w:type="pct"/>
        <w:tblBorders>
          <w:top w:val="single" w:sz="4" w:space="0" w:color="4F81BD"/>
          <w:left w:val="single" w:sz="4" w:space="0" w:color="4F81BD"/>
          <w:bottom w:val="single" w:sz="4" w:space="0" w:color="4F81BD"/>
          <w:right w:val="single" w:sz="4" w:space="0" w:color="4F81BD"/>
        </w:tblBorders>
        <w:tblLayout w:type="fixed"/>
        <w:tblLook w:val="00A0" w:firstRow="1" w:lastRow="0" w:firstColumn="1" w:lastColumn="0" w:noHBand="0" w:noVBand="0"/>
      </w:tblPr>
      <w:tblGrid>
        <w:gridCol w:w="1565"/>
        <w:gridCol w:w="7208"/>
        <w:gridCol w:w="1391"/>
        <w:gridCol w:w="1393"/>
        <w:gridCol w:w="1393"/>
      </w:tblGrid>
      <w:tr w:rsidR="006428F7" w:rsidRPr="002B1DFC" w14:paraId="1E22DC55" w14:textId="77777777" w:rsidTr="00AA1508">
        <w:trPr>
          <w:tblHeader/>
        </w:trPr>
        <w:tc>
          <w:tcPr>
            <w:tcW w:w="604" w:type="pct"/>
            <w:tcBorders>
              <w:top w:val="single" w:sz="4" w:space="0" w:color="4F81BD"/>
              <w:bottom w:val="single" w:sz="4" w:space="0" w:color="5B9BD5"/>
            </w:tcBorders>
            <w:shd w:val="clear" w:color="auto" w:fill="4F81BD"/>
            <w:vAlign w:val="center"/>
          </w:tcPr>
          <w:p w14:paraId="339F5FB4" w14:textId="77777777" w:rsidR="006428F7" w:rsidRPr="0059336D" w:rsidRDefault="006428F7" w:rsidP="00991FA8">
            <w:pPr>
              <w:pStyle w:val="ListParagraph"/>
              <w:ind w:left="0"/>
              <w:jc w:val="center"/>
              <w:rPr>
                <w:rFonts w:cs="Times New Roman"/>
                <w:b/>
                <w:bCs/>
                <w:color w:val="FFFFFF"/>
                <w:sz w:val="20"/>
                <w:szCs w:val="20"/>
              </w:rPr>
            </w:pPr>
            <w:r w:rsidRPr="0059336D">
              <w:rPr>
                <w:rFonts w:cs="Times New Roman"/>
                <w:b/>
                <w:bCs/>
                <w:color w:val="FFFFFF"/>
                <w:sz w:val="20"/>
                <w:szCs w:val="20"/>
              </w:rPr>
              <w:t>Challenge</w:t>
            </w:r>
          </w:p>
        </w:tc>
        <w:tc>
          <w:tcPr>
            <w:tcW w:w="2783" w:type="pct"/>
            <w:tcBorders>
              <w:top w:val="single" w:sz="4" w:space="0" w:color="4F81BD"/>
              <w:bottom w:val="single" w:sz="4" w:space="0" w:color="5B9BD5"/>
            </w:tcBorders>
            <w:shd w:val="clear" w:color="auto" w:fill="4F81BD"/>
            <w:vAlign w:val="center"/>
          </w:tcPr>
          <w:p w14:paraId="04275E7A" w14:textId="77777777" w:rsidR="006428F7" w:rsidRPr="002B1DFC" w:rsidRDefault="006428F7" w:rsidP="00991FA8">
            <w:pPr>
              <w:pStyle w:val="ListParagraph"/>
              <w:ind w:left="0"/>
              <w:jc w:val="center"/>
              <w:rPr>
                <w:rFonts w:cs="Times New Roman"/>
                <w:b/>
                <w:bCs/>
                <w:color w:val="FFFFFF"/>
                <w:sz w:val="20"/>
                <w:szCs w:val="20"/>
              </w:rPr>
            </w:pPr>
            <w:r w:rsidRPr="002B1DFC">
              <w:rPr>
                <w:rFonts w:cs="Times New Roman"/>
                <w:b/>
                <w:bCs/>
                <w:color w:val="FFFFFF"/>
                <w:sz w:val="20"/>
                <w:szCs w:val="20"/>
              </w:rPr>
              <w:t>Action</w:t>
            </w:r>
          </w:p>
        </w:tc>
        <w:tc>
          <w:tcPr>
            <w:tcW w:w="537" w:type="pct"/>
            <w:tcBorders>
              <w:top w:val="single" w:sz="4" w:space="0" w:color="4F81BD"/>
              <w:bottom w:val="single" w:sz="4" w:space="0" w:color="5B9BD5"/>
              <w:right w:val="single" w:sz="4" w:space="0" w:color="4F81BD"/>
            </w:tcBorders>
            <w:shd w:val="clear" w:color="auto" w:fill="4F81BD"/>
            <w:vAlign w:val="center"/>
          </w:tcPr>
          <w:p w14:paraId="756018E0" w14:textId="77777777" w:rsidR="006428F7" w:rsidRPr="002B1DFC" w:rsidRDefault="006428F7" w:rsidP="00991FA8">
            <w:pPr>
              <w:ind w:left="12"/>
              <w:jc w:val="center"/>
              <w:rPr>
                <w:rFonts w:cs="Times New Roman"/>
                <w:b/>
                <w:bCs/>
                <w:color w:val="FFFFFF"/>
                <w:sz w:val="20"/>
                <w:szCs w:val="20"/>
              </w:rPr>
            </w:pPr>
            <w:r w:rsidRPr="002B1DFC">
              <w:rPr>
                <w:rFonts w:cs="Times New Roman"/>
                <w:b/>
                <w:bCs/>
                <w:color w:val="FFFFFF"/>
                <w:sz w:val="20"/>
                <w:szCs w:val="20"/>
              </w:rPr>
              <w:t>Priority Med/ High</w:t>
            </w:r>
          </w:p>
        </w:tc>
        <w:tc>
          <w:tcPr>
            <w:tcW w:w="538" w:type="pct"/>
            <w:tcBorders>
              <w:top w:val="single" w:sz="4" w:space="0" w:color="4F81BD"/>
              <w:bottom w:val="single" w:sz="4" w:space="0" w:color="5B9BD5"/>
              <w:right w:val="single" w:sz="4" w:space="0" w:color="4F81BD"/>
            </w:tcBorders>
            <w:shd w:val="clear" w:color="auto" w:fill="4F81BD"/>
            <w:vAlign w:val="center"/>
          </w:tcPr>
          <w:p w14:paraId="02A7502D" w14:textId="77777777" w:rsidR="006428F7" w:rsidRPr="002B1DFC" w:rsidRDefault="006428F7" w:rsidP="00991FA8">
            <w:pPr>
              <w:ind w:left="12"/>
              <w:jc w:val="center"/>
              <w:rPr>
                <w:rFonts w:cs="Times New Roman"/>
                <w:b/>
                <w:bCs/>
                <w:color w:val="FFFFFF"/>
                <w:sz w:val="20"/>
                <w:szCs w:val="20"/>
              </w:rPr>
            </w:pPr>
            <w:r>
              <w:rPr>
                <w:rFonts w:cs="Times New Roman"/>
                <w:b/>
                <w:bCs/>
                <w:color w:val="FFFFFF"/>
                <w:sz w:val="20"/>
                <w:szCs w:val="20"/>
              </w:rPr>
              <w:t>Timeline*</w:t>
            </w:r>
          </w:p>
        </w:tc>
        <w:tc>
          <w:tcPr>
            <w:tcW w:w="538" w:type="pct"/>
            <w:tcBorders>
              <w:top w:val="single" w:sz="4" w:space="0" w:color="4F81BD"/>
              <w:bottom w:val="single" w:sz="4" w:space="0" w:color="5B9BD5"/>
              <w:right w:val="single" w:sz="4" w:space="0" w:color="4F81BD"/>
            </w:tcBorders>
            <w:shd w:val="clear" w:color="auto" w:fill="4F81BD"/>
            <w:vAlign w:val="center"/>
          </w:tcPr>
          <w:p w14:paraId="67BB7921" w14:textId="77777777" w:rsidR="006428F7" w:rsidRPr="002B1DFC" w:rsidRDefault="006428F7" w:rsidP="00991FA8">
            <w:pPr>
              <w:ind w:left="12"/>
              <w:jc w:val="center"/>
              <w:rPr>
                <w:rFonts w:cs="Times New Roman"/>
                <w:b/>
                <w:bCs/>
                <w:color w:val="FFFFFF"/>
                <w:sz w:val="20"/>
                <w:szCs w:val="20"/>
              </w:rPr>
            </w:pPr>
            <w:r>
              <w:rPr>
                <w:rFonts w:cs="Times New Roman"/>
                <w:b/>
                <w:bCs/>
                <w:color w:val="FFFFFF"/>
                <w:sz w:val="20"/>
                <w:szCs w:val="20"/>
              </w:rPr>
              <w:t>Key Responsible Entity</w:t>
            </w:r>
          </w:p>
        </w:tc>
      </w:tr>
      <w:tr w:rsidR="00A51600" w:rsidRPr="002B1DFC" w14:paraId="3D6CB1C8" w14:textId="77777777" w:rsidTr="00AA1508">
        <w:tc>
          <w:tcPr>
            <w:tcW w:w="604" w:type="pct"/>
            <w:vMerge w:val="restart"/>
            <w:tcBorders>
              <w:top w:val="single" w:sz="4" w:space="0" w:color="5B9BD5"/>
              <w:bottom w:val="single" w:sz="4" w:space="0" w:color="5B9BD5"/>
            </w:tcBorders>
          </w:tcPr>
          <w:p w14:paraId="3A6B5E3B" w14:textId="2B3E400B" w:rsidR="00A51600" w:rsidRPr="005C6E03" w:rsidRDefault="00A51600" w:rsidP="00A51600">
            <w:pPr>
              <w:pStyle w:val="ListParagraph"/>
              <w:ind w:left="0"/>
              <w:jc w:val="left"/>
              <w:rPr>
                <w:rFonts w:cs="Times New Roman"/>
                <w:sz w:val="20"/>
                <w:szCs w:val="20"/>
              </w:rPr>
            </w:pPr>
            <w:r w:rsidRPr="00B759E2">
              <w:rPr>
                <w:rFonts w:cs="Times New Roman"/>
                <w:sz w:val="20"/>
                <w:szCs w:val="20"/>
              </w:rPr>
              <w:t>Enhance the legislative framework for environmental management</w:t>
            </w:r>
          </w:p>
        </w:tc>
        <w:tc>
          <w:tcPr>
            <w:tcW w:w="2783" w:type="pct"/>
            <w:tcBorders>
              <w:top w:val="single" w:sz="4" w:space="0" w:color="5B9BD5"/>
              <w:bottom w:val="single" w:sz="4" w:space="0" w:color="5B9BD5"/>
            </w:tcBorders>
          </w:tcPr>
          <w:p w14:paraId="440ABD7F" w14:textId="77777777" w:rsidR="00A51600" w:rsidRPr="00973EE6" w:rsidRDefault="00A51600" w:rsidP="00B76BDA">
            <w:pPr>
              <w:pStyle w:val="ListParagraph"/>
              <w:numPr>
                <w:ilvl w:val="0"/>
                <w:numId w:val="78"/>
              </w:numPr>
              <w:ind w:left="360"/>
              <w:jc w:val="left"/>
              <w:rPr>
                <w:rFonts w:cs="Times New Roman"/>
                <w:sz w:val="20"/>
                <w:szCs w:val="20"/>
              </w:rPr>
            </w:pPr>
            <w:r w:rsidRPr="00973EE6">
              <w:rPr>
                <w:rFonts w:cs="Times New Roman"/>
                <w:sz w:val="20"/>
                <w:szCs w:val="20"/>
              </w:rPr>
              <w:t xml:space="preserve">Carry out legislative review to identify the key legal acts that need to be revised and the regulations that need to be adopted. </w:t>
            </w:r>
          </w:p>
        </w:tc>
        <w:tc>
          <w:tcPr>
            <w:tcW w:w="537" w:type="pct"/>
            <w:tcBorders>
              <w:top w:val="single" w:sz="4" w:space="0" w:color="5B9BD5"/>
              <w:bottom w:val="single" w:sz="4" w:space="0" w:color="5B9BD5"/>
              <w:right w:val="single" w:sz="4" w:space="0" w:color="4F81BD"/>
            </w:tcBorders>
          </w:tcPr>
          <w:p w14:paraId="6B149696" w14:textId="77777777" w:rsidR="00A51600" w:rsidRPr="002B1DFC" w:rsidRDefault="00A51600" w:rsidP="00A51600">
            <w:pPr>
              <w:ind w:left="12"/>
              <w:jc w:val="center"/>
              <w:rPr>
                <w:rFonts w:cs="Times New Roman"/>
                <w:sz w:val="20"/>
                <w:szCs w:val="20"/>
              </w:rPr>
            </w:pPr>
            <w:r>
              <w:rPr>
                <w:rFonts w:cs="Times New Roman"/>
                <w:sz w:val="20"/>
                <w:szCs w:val="20"/>
              </w:rPr>
              <w:t xml:space="preserve"> High</w:t>
            </w:r>
          </w:p>
        </w:tc>
        <w:tc>
          <w:tcPr>
            <w:tcW w:w="538" w:type="pct"/>
            <w:tcBorders>
              <w:top w:val="single" w:sz="4" w:space="0" w:color="5B9BD5"/>
              <w:bottom w:val="single" w:sz="4" w:space="0" w:color="5B9BD5"/>
              <w:right w:val="single" w:sz="4" w:space="0" w:color="4F81BD"/>
            </w:tcBorders>
          </w:tcPr>
          <w:p w14:paraId="0FE1F673" w14:textId="77777777" w:rsidR="00A51600" w:rsidRDefault="00A51600" w:rsidP="00A51600">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6AB85A4A" w14:textId="77777777" w:rsidR="00A51600" w:rsidRDefault="00A51600" w:rsidP="00A51600">
            <w:pPr>
              <w:ind w:left="12"/>
              <w:jc w:val="center"/>
              <w:rPr>
                <w:rFonts w:cs="Times New Roman"/>
                <w:sz w:val="20"/>
                <w:szCs w:val="20"/>
              </w:rPr>
            </w:pPr>
            <w:r>
              <w:rPr>
                <w:rFonts w:cs="Times New Roman"/>
                <w:sz w:val="20"/>
                <w:szCs w:val="20"/>
              </w:rPr>
              <w:t>CMU</w:t>
            </w:r>
          </w:p>
        </w:tc>
      </w:tr>
      <w:tr w:rsidR="006428F7" w:rsidRPr="002B1DFC" w14:paraId="090D1B5D" w14:textId="77777777" w:rsidTr="00AA1508">
        <w:tc>
          <w:tcPr>
            <w:tcW w:w="604" w:type="pct"/>
            <w:vMerge/>
            <w:tcBorders>
              <w:top w:val="single" w:sz="4" w:space="0" w:color="5B9BD5"/>
              <w:bottom w:val="single" w:sz="4" w:space="0" w:color="5B9BD5"/>
            </w:tcBorders>
          </w:tcPr>
          <w:p w14:paraId="0DED2AE3"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5E930926" w14:textId="77777777" w:rsidR="006428F7" w:rsidRPr="00973EE6" w:rsidRDefault="006428F7" w:rsidP="00B76BDA">
            <w:pPr>
              <w:pStyle w:val="ListParagraph"/>
              <w:numPr>
                <w:ilvl w:val="0"/>
                <w:numId w:val="78"/>
              </w:numPr>
              <w:ind w:left="360"/>
              <w:jc w:val="left"/>
              <w:rPr>
                <w:rFonts w:cs="Times New Roman"/>
                <w:sz w:val="20"/>
                <w:szCs w:val="20"/>
              </w:rPr>
            </w:pPr>
            <w:r w:rsidRPr="00973EE6">
              <w:rPr>
                <w:rFonts w:cs="Times New Roman"/>
                <w:sz w:val="20"/>
                <w:szCs w:val="20"/>
              </w:rPr>
              <w:t>Adopt necessary legislative and regulatory changes taking into account Ukraine's commitments under EU–Ukraine Agreement and in line with the agreed schedule of implementation.</w:t>
            </w:r>
          </w:p>
        </w:tc>
        <w:tc>
          <w:tcPr>
            <w:tcW w:w="537" w:type="pct"/>
            <w:tcBorders>
              <w:top w:val="single" w:sz="4" w:space="0" w:color="5B9BD5"/>
              <w:bottom w:val="single" w:sz="4" w:space="0" w:color="5B9BD5"/>
              <w:right w:val="single" w:sz="4" w:space="0" w:color="4F81BD"/>
            </w:tcBorders>
          </w:tcPr>
          <w:p w14:paraId="49D2E9F8" w14:textId="77777777" w:rsidR="006428F7" w:rsidRPr="002B1DFC"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3B66AFE7" w14:textId="77777777" w:rsidR="006428F7" w:rsidRDefault="006428F7" w:rsidP="00991FA8">
            <w:pPr>
              <w:ind w:left="12"/>
              <w:jc w:val="center"/>
              <w:rPr>
                <w:rFonts w:cs="Times New Roman"/>
                <w:sz w:val="20"/>
                <w:szCs w:val="20"/>
              </w:rPr>
            </w:pPr>
            <w:r>
              <w:rPr>
                <w:rFonts w:cs="Times New Roman"/>
                <w:sz w:val="20"/>
                <w:szCs w:val="20"/>
              </w:rPr>
              <w:t>Per Agreement implementation schedule</w:t>
            </w:r>
          </w:p>
        </w:tc>
        <w:tc>
          <w:tcPr>
            <w:tcW w:w="538" w:type="pct"/>
            <w:tcBorders>
              <w:top w:val="single" w:sz="4" w:space="0" w:color="5B9BD5"/>
              <w:bottom w:val="single" w:sz="4" w:space="0" w:color="5B9BD5"/>
              <w:right w:val="single" w:sz="4" w:space="0" w:color="4F81BD"/>
            </w:tcBorders>
          </w:tcPr>
          <w:p w14:paraId="6D76FE77" w14:textId="77777777" w:rsidR="006428F7" w:rsidRDefault="006428F7" w:rsidP="00991FA8">
            <w:pPr>
              <w:ind w:left="12"/>
              <w:jc w:val="center"/>
              <w:rPr>
                <w:rFonts w:cs="Times New Roman"/>
                <w:sz w:val="20"/>
                <w:szCs w:val="20"/>
              </w:rPr>
            </w:pPr>
            <w:r>
              <w:rPr>
                <w:rFonts w:cs="Times New Roman"/>
                <w:sz w:val="20"/>
                <w:szCs w:val="20"/>
              </w:rPr>
              <w:t>CMU</w:t>
            </w:r>
          </w:p>
        </w:tc>
      </w:tr>
      <w:tr w:rsidR="006428F7" w:rsidRPr="002B1DFC" w14:paraId="7EC7ABBE" w14:textId="77777777" w:rsidTr="00AA1508">
        <w:tc>
          <w:tcPr>
            <w:tcW w:w="604" w:type="pct"/>
            <w:vMerge/>
            <w:tcBorders>
              <w:top w:val="single" w:sz="4" w:space="0" w:color="5B9BD5"/>
              <w:bottom w:val="single" w:sz="4" w:space="0" w:color="5B9BD5"/>
            </w:tcBorders>
          </w:tcPr>
          <w:p w14:paraId="56DF6346"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52F05FE0" w14:textId="77777777" w:rsidR="006428F7" w:rsidRPr="00973EE6" w:rsidRDefault="006428F7" w:rsidP="00B76BDA">
            <w:pPr>
              <w:pStyle w:val="ListParagraph"/>
              <w:numPr>
                <w:ilvl w:val="0"/>
                <w:numId w:val="78"/>
              </w:numPr>
              <w:ind w:left="360"/>
              <w:jc w:val="left"/>
              <w:rPr>
                <w:rFonts w:cs="Times New Roman"/>
                <w:sz w:val="20"/>
                <w:szCs w:val="20"/>
              </w:rPr>
            </w:pPr>
            <w:r w:rsidRPr="00973EE6">
              <w:rPr>
                <w:rFonts w:cs="Times New Roman"/>
                <w:sz w:val="20"/>
                <w:szCs w:val="20"/>
              </w:rPr>
              <w:t>Establish a system for in-depth analysis, such as regulatory impact analysis for proposed pieces of legislation.</w:t>
            </w:r>
          </w:p>
        </w:tc>
        <w:tc>
          <w:tcPr>
            <w:tcW w:w="537" w:type="pct"/>
            <w:tcBorders>
              <w:top w:val="single" w:sz="4" w:space="0" w:color="5B9BD5"/>
              <w:bottom w:val="single" w:sz="4" w:space="0" w:color="5B9BD5"/>
              <w:right w:val="single" w:sz="4" w:space="0" w:color="4F81BD"/>
            </w:tcBorders>
          </w:tcPr>
          <w:p w14:paraId="6A9B0058" w14:textId="50234C61" w:rsidR="006428F7" w:rsidRPr="002B1DFC" w:rsidRDefault="00893B23"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5769265B" w14:textId="77777777" w:rsidR="006428F7" w:rsidRDefault="006428F7" w:rsidP="00991FA8">
            <w:pPr>
              <w:ind w:left="12"/>
              <w:jc w:val="center"/>
              <w:rPr>
                <w:rFonts w:cs="Times New Roman"/>
                <w:sz w:val="20"/>
                <w:szCs w:val="20"/>
              </w:rPr>
            </w:pPr>
            <w:r>
              <w:rPr>
                <w:rFonts w:cs="Times New Roman"/>
                <w:sz w:val="20"/>
                <w:szCs w:val="20"/>
              </w:rPr>
              <w:t>Long</w:t>
            </w:r>
          </w:p>
        </w:tc>
        <w:tc>
          <w:tcPr>
            <w:tcW w:w="538" w:type="pct"/>
            <w:tcBorders>
              <w:top w:val="single" w:sz="4" w:space="0" w:color="5B9BD5"/>
              <w:bottom w:val="single" w:sz="4" w:space="0" w:color="5B9BD5"/>
              <w:right w:val="single" w:sz="4" w:space="0" w:color="4F81BD"/>
            </w:tcBorders>
          </w:tcPr>
          <w:p w14:paraId="77F14A98" w14:textId="77777777" w:rsidR="006428F7" w:rsidRDefault="006428F7" w:rsidP="00991FA8">
            <w:pPr>
              <w:ind w:left="12"/>
              <w:jc w:val="center"/>
              <w:rPr>
                <w:rFonts w:cs="Times New Roman"/>
                <w:sz w:val="20"/>
                <w:szCs w:val="20"/>
              </w:rPr>
            </w:pPr>
            <w:r>
              <w:rPr>
                <w:rFonts w:cs="Times New Roman"/>
                <w:sz w:val="20"/>
                <w:szCs w:val="20"/>
              </w:rPr>
              <w:t>CMU / MENR</w:t>
            </w:r>
          </w:p>
        </w:tc>
      </w:tr>
      <w:tr w:rsidR="006428F7" w:rsidRPr="002B1DFC" w14:paraId="5B06F5C3" w14:textId="77777777" w:rsidTr="00AA1508">
        <w:tc>
          <w:tcPr>
            <w:tcW w:w="604" w:type="pct"/>
            <w:vMerge/>
            <w:tcBorders>
              <w:top w:val="single" w:sz="4" w:space="0" w:color="5B9BD5"/>
              <w:bottom w:val="single" w:sz="4" w:space="0" w:color="5B9BD5"/>
            </w:tcBorders>
          </w:tcPr>
          <w:p w14:paraId="4D14820C"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26CDE119" w14:textId="77777777" w:rsidR="006428F7" w:rsidRPr="00973EE6" w:rsidRDefault="006428F7" w:rsidP="00B76BDA">
            <w:pPr>
              <w:pStyle w:val="ListParagraph"/>
              <w:numPr>
                <w:ilvl w:val="0"/>
                <w:numId w:val="78"/>
              </w:numPr>
              <w:ind w:left="360"/>
              <w:jc w:val="left"/>
              <w:rPr>
                <w:rFonts w:cs="Times New Roman"/>
                <w:sz w:val="20"/>
                <w:szCs w:val="20"/>
              </w:rPr>
            </w:pPr>
            <w:r w:rsidRPr="00973EE6">
              <w:rPr>
                <w:rFonts w:cs="Times New Roman"/>
                <w:sz w:val="20"/>
                <w:szCs w:val="20"/>
              </w:rPr>
              <w:t>Since changes to legislation and regulations will significantly affect the environment and environmental governance, these changes should undergo strategic environmental assessment—not in accordance with the SEA law, which does not yet exist, but in accordance with the spirit of SEA.</w:t>
            </w:r>
          </w:p>
        </w:tc>
        <w:tc>
          <w:tcPr>
            <w:tcW w:w="537" w:type="pct"/>
            <w:tcBorders>
              <w:top w:val="single" w:sz="4" w:space="0" w:color="5B9BD5"/>
              <w:bottom w:val="single" w:sz="4" w:space="0" w:color="5B9BD5"/>
              <w:right w:val="single" w:sz="4" w:space="0" w:color="4F81BD"/>
            </w:tcBorders>
          </w:tcPr>
          <w:p w14:paraId="434154A6" w14:textId="77777777" w:rsidR="006428F7" w:rsidRPr="002B1DFC"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3C59329B" w14:textId="77777777" w:rsidR="006428F7" w:rsidRDefault="006428F7" w:rsidP="00991FA8">
            <w:pPr>
              <w:ind w:left="12"/>
              <w:jc w:val="center"/>
              <w:rPr>
                <w:rFonts w:cs="Times New Roman"/>
                <w:sz w:val="20"/>
                <w:szCs w:val="20"/>
              </w:rPr>
            </w:pPr>
            <w:r>
              <w:rPr>
                <w:rFonts w:cs="Times New Roman"/>
                <w:sz w:val="20"/>
                <w:szCs w:val="20"/>
              </w:rPr>
              <w:t>Short</w:t>
            </w:r>
          </w:p>
        </w:tc>
        <w:tc>
          <w:tcPr>
            <w:tcW w:w="538" w:type="pct"/>
            <w:tcBorders>
              <w:top w:val="single" w:sz="4" w:space="0" w:color="5B9BD5"/>
              <w:bottom w:val="single" w:sz="4" w:space="0" w:color="5B9BD5"/>
              <w:right w:val="single" w:sz="4" w:space="0" w:color="4F81BD"/>
            </w:tcBorders>
          </w:tcPr>
          <w:p w14:paraId="44F73708" w14:textId="77777777" w:rsidR="006428F7" w:rsidRDefault="006428F7" w:rsidP="00991FA8">
            <w:pPr>
              <w:ind w:left="12"/>
              <w:jc w:val="center"/>
              <w:rPr>
                <w:rFonts w:cs="Times New Roman"/>
                <w:sz w:val="20"/>
                <w:szCs w:val="20"/>
              </w:rPr>
            </w:pPr>
            <w:r>
              <w:rPr>
                <w:rFonts w:cs="Times New Roman"/>
                <w:sz w:val="20"/>
                <w:szCs w:val="20"/>
              </w:rPr>
              <w:t>Relevant sectoral authorities</w:t>
            </w:r>
          </w:p>
        </w:tc>
      </w:tr>
      <w:tr w:rsidR="006428F7" w:rsidRPr="002B1DFC" w14:paraId="1C94D4D5" w14:textId="77777777" w:rsidTr="00AA1508">
        <w:tc>
          <w:tcPr>
            <w:tcW w:w="604" w:type="pct"/>
            <w:vMerge/>
            <w:tcBorders>
              <w:top w:val="single" w:sz="4" w:space="0" w:color="5B9BD5"/>
              <w:bottom w:val="single" w:sz="4" w:space="0" w:color="5B9BD5"/>
            </w:tcBorders>
          </w:tcPr>
          <w:p w14:paraId="350F1B19"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1F8F5F15" w14:textId="77777777" w:rsidR="006428F7" w:rsidRPr="00973EE6" w:rsidRDefault="006428F7" w:rsidP="00B76BDA">
            <w:pPr>
              <w:pStyle w:val="ListParagraph"/>
              <w:numPr>
                <w:ilvl w:val="0"/>
                <w:numId w:val="78"/>
              </w:numPr>
              <w:ind w:left="360"/>
              <w:jc w:val="left"/>
              <w:rPr>
                <w:rFonts w:cs="Times New Roman"/>
                <w:sz w:val="20"/>
                <w:szCs w:val="20"/>
              </w:rPr>
            </w:pPr>
            <w:r w:rsidRPr="002B1DFC">
              <w:rPr>
                <w:rFonts w:cs="Times New Roman"/>
                <w:sz w:val="20"/>
                <w:szCs w:val="20"/>
              </w:rPr>
              <w:t xml:space="preserve">Carry out SEA of the proposed changes to legislation and policies and regulations </w:t>
            </w:r>
          </w:p>
        </w:tc>
        <w:tc>
          <w:tcPr>
            <w:tcW w:w="537" w:type="pct"/>
            <w:tcBorders>
              <w:top w:val="single" w:sz="4" w:space="0" w:color="5B9BD5"/>
              <w:bottom w:val="single" w:sz="4" w:space="0" w:color="5B9BD5"/>
              <w:right w:val="single" w:sz="4" w:space="0" w:color="4F81BD"/>
            </w:tcBorders>
          </w:tcPr>
          <w:p w14:paraId="5A3F69AA" w14:textId="77777777" w:rsidR="006428F7" w:rsidRPr="002B1DFC" w:rsidRDefault="006428F7" w:rsidP="00991FA8">
            <w:pPr>
              <w:ind w:left="12"/>
              <w:jc w:val="center"/>
              <w:rPr>
                <w:rFonts w:cs="Times New Roman"/>
                <w:sz w:val="20"/>
                <w:szCs w:val="20"/>
              </w:rPr>
            </w:pPr>
            <w:r w:rsidRPr="002B1DFC">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4DC59212" w14:textId="4243E9EF" w:rsidR="006428F7" w:rsidRDefault="00893B23" w:rsidP="00721C66">
            <w:pPr>
              <w:tabs>
                <w:tab w:val="center" w:pos="594"/>
              </w:tabs>
              <w:ind w:left="12"/>
              <w:rPr>
                <w:rFonts w:cs="Times New Roman"/>
                <w:sz w:val="20"/>
                <w:szCs w:val="20"/>
              </w:rPr>
            </w:pPr>
            <w:r>
              <w:rPr>
                <w:rFonts w:cs="Times New Roman"/>
                <w:sz w:val="20"/>
                <w:szCs w:val="20"/>
              </w:rPr>
              <w:tab/>
            </w:r>
            <w:r w:rsidR="006428F7">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2F81AB49" w14:textId="77777777" w:rsidR="006428F7" w:rsidRDefault="006428F7" w:rsidP="00991FA8">
            <w:pPr>
              <w:ind w:left="12"/>
              <w:jc w:val="center"/>
              <w:rPr>
                <w:rFonts w:cs="Times New Roman"/>
                <w:sz w:val="20"/>
                <w:szCs w:val="20"/>
              </w:rPr>
            </w:pPr>
            <w:r>
              <w:rPr>
                <w:rFonts w:cs="Times New Roman"/>
                <w:sz w:val="20"/>
                <w:szCs w:val="20"/>
              </w:rPr>
              <w:t>Relevant sectoral authorities</w:t>
            </w:r>
          </w:p>
        </w:tc>
      </w:tr>
      <w:tr w:rsidR="006428F7" w:rsidRPr="002B1DFC" w14:paraId="448EE7E9" w14:textId="77777777" w:rsidTr="00AA1508">
        <w:tc>
          <w:tcPr>
            <w:tcW w:w="604" w:type="pct"/>
            <w:vMerge w:val="restart"/>
            <w:tcBorders>
              <w:top w:val="single" w:sz="4" w:space="0" w:color="5B9BD5"/>
              <w:bottom w:val="single" w:sz="4" w:space="0" w:color="5B9BD5"/>
            </w:tcBorders>
          </w:tcPr>
          <w:p w14:paraId="14B5A388" w14:textId="00F1F476" w:rsidR="006428F7" w:rsidRPr="005C6E03" w:rsidRDefault="00A51600" w:rsidP="00991FA8">
            <w:pPr>
              <w:pStyle w:val="ListParagraph"/>
              <w:ind w:left="0"/>
              <w:jc w:val="left"/>
              <w:rPr>
                <w:sz w:val="20"/>
                <w:szCs w:val="20"/>
              </w:rPr>
            </w:pPr>
            <w:r w:rsidRPr="00A51600">
              <w:rPr>
                <w:sz w:val="20"/>
                <w:szCs w:val="20"/>
              </w:rPr>
              <w:t>Strengthen mechanisms for setting environmental priorities</w:t>
            </w:r>
          </w:p>
        </w:tc>
        <w:tc>
          <w:tcPr>
            <w:tcW w:w="2783" w:type="pct"/>
            <w:tcBorders>
              <w:top w:val="single" w:sz="4" w:space="0" w:color="5B9BD5"/>
              <w:bottom w:val="single" w:sz="4" w:space="0" w:color="5B9BD5"/>
            </w:tcBorders>
          </w:tcPr>
          <w:p w14:paraId="174F5C12" w14:textId="77777777" w:rsidR="006428F7" w:rsidRPr="008A7865" w:rsidRDefault="006428F7" w:rsidP="00B76BDA">
            <w:pPr>
              <w:pStyle w:val="ListParagraph"/>
              <w:numPr>
                <w:ilvl w:val="0"/>
                <w:numId w:val="78"/>
              </w:numPr>
              <w:ind w:left="360"/>
              <w:jc w:val="left"/>
              <w:rPr>
                <w:rFonts w:cs="Times New Roman"/>
                <w:sz w:val="20"/>
                <w:szCs w:val="20"/>
              </w:rPr>
            </w:pPr>
            <w:r w:rsidRPr="008A7865">
              <w:rPr>
                <w:rFonts w:cs="Times New Roman"/>
                <w:sz w:val="20"/>
                <w:szCs w:val="20"/>
              </w:rPr>
              <w:t xml:space="preserve">Put in place a system for setting environmental priorities at the national and regional levels that are linked to Ukraine’s economic growth and poverty reduction priorities. An important input into setting priorities is </w:t>
            </w:r>
            <w:r>
              <w:rPr>
                <w:rFonts w:cs="Times New Roman"/>
                <w:sz w:val="20"/>
                <w:szCs w:val="20"/>
              </w:rPr>
              <w:t xml:space="preserve">the cost of environmental degradation study.  </w:t>
            </w:r>
          </w:p>
        </w:tc>
        <w:tc>
          <w:tcPr>
            <w:tcW w:w="537" w:type="pct"/>
            <w:tcBorders>
              <w:top w:val="single" w:sz="4" w:space="0" w:color="5B9BD5"/>
              <w:bottom w:val="single" w:sz="4" w:space="0" w:color="5B9BD5"/>
              <w:right w:val="single" w:sz="4" w:space="0" w:color="4F81BD"/>
            </w:tcBorders>
          </w:tcPr>
          <w:p w14:paraId="5A8BD2D6" w14:textId="77777777" w:rsidR="006428F7" w:rsidRPr="002B1DFC" w:rsidRDefault="006428F7" w:rsidP="00991FA8">
            <w:pPr>
              <w:ind w:left="12"/>
              <w:jc w:val="center"/>
              <w:rPr>
                <w:rFonts w:cs="Times New Roman"/>
                <w:sz w:val="20"/>
                <w:szCs w:val="20"/>
              </w:rPr>
            </w:pPr>
            <w:r>
              <w:rPr>
                <w:rFonts w:cs="Times New Roman"/>
                <w:sz w:val="20"/>
                <w:szCs w:val="20"/>
              </w:rPr>
              <w:t xml:space="preserve">High </w:t>
            </w:r>
          </w:p>
        </w:tc>
        <w:tc>
          <w:tcPr>
            <w:tcW w:w="538" w:type="pct"/>
            <w:tcBorders>
              <w:top w:val="single" w:sz="4" w:space="0" w:color="5B9BD5"/>
              <w:bottom w:val="single" w:sz="4" w:space="0" w:color="5B9BD5"/>
              <w:right w:val="single" w:sz="4" w:space="0" w:color="4F81BD"/>
            </w:tcBorders>
          </w:tcPr>
          <w:p w14:paraId="412453B4" w14:textId="77777777" w:rsidR="006428F7" w:rsidRDefault="006428F7" w:rsidP="00991FA8">
            <w:pPr>
              <w:ind w:left="12"/>
              <w:jc w:val="center"/>
              <w:rPr>
                <w:rFonts w:cs="Times New Roman"/>
                <w:sz w:val="20"/>
                <w:szCs w:val="20"/>
              </w:rPr>
            </w:pPr>
            <w:r>
              <w:rPr>
                <w:rFonts w:cs="Times New Roman"/>
                <w:sz w:val="20"/>
                <w:szCs w:val="20"/>
              </w:rPr>
              <w:t>Short</w:t>
            </w:r>
          </w:p>
        </w:tc>
        <w:tc>
          <w:tcPr>
            <w:tcW w:w="538" w:type="pct"/>
            <w:tcBorders>
              <w:top w:val="single" w:sz="4" w:space="0" w:color="5B9BD5"/>
              <w:bottom w:val="single" w:sz="4" w:space="0" w:color="5B9BD5"/>
              <w:right w:val="single" w:sz="4" w:space="0" w:color="4F81BD"/>
            </w:tcBorders>
          </w:tcPr>
          <w:p w14:paraId="29ABF2D0" w14:textId="77777777" w:rsidR="006428F7" w:rsidRDefault="006428F7" w:rsidP="00991FA8">
            <w:pPr>
              <w:ind w:left="12"/>
              <w:jc w:val="center"/>
              <w:rPr>
                <w:rFonts w:cs="Times New Roman"/>
                <w:sz w:val="20"/>
                <w:szCs w:val="20"/>
              </w:rPr>
            </w:pPr>
            <w:r>
              <w:rPr>
                <w:rFonts w:cs="Times New Roman"/>
                <w:sz w:val="20"/>
                <w:szCs w:val="20"/>
              </w:rPr>
              <w:t>CMU / Local Governments</w:t>
            </w:r>
          </w:p>
        </w:tc>
      </w:tr>
      <w:tr w:rsidR="006428F7" w:rsidRPr="002B1DFC" w14:paraId="60B409DB" w14:textId="77777777" w:rsidTr="00AA1508">
        <w:tc>
          <w:tcPr>
            <w:tcW w:w="604" w:type="pct"/>
            <w:vMerge/>
            <w:tcBorders>
              <w:top w:val="single" w:sz="4" w:space="0" w:color="5B9BD5"/>
              <w:bottom w:val="single" w:sz="4" w:space="0" w:color="5B9BD5"/>
            </w:tcBorders>
          </w:tcPr>
          <w:p w14:paraId="3963A106"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3E2532AE" w14:textId="77777777" w:rsidR="006428F7" w:rsidRPr="002B1DFC" w:rsidRDefault="006428F7" w:rsidP="00B76BDA">
            <w:pPr>
              <w:pStyle w:val="ListParagraph"/>
              <w:numPr>
                <w:ilvl w:val="0"/>
                <w:numId w:val="78"/>
              </w:numPr>
              <w:ind w:left="360"/>
              <w:jc w:val="left"/>
              <w:rPr>
                <w:rFonts w:cs="Times New Roman"/>
                <w:sz w:val="20"/>
                <w:szCs w:val="20"/>
              </w:rPr>
            </w:pPr>
            <w:r w:rsidRPr="002B1DFC">
              <w:rPr>
                <w:rFonts w:cs="Times New Roman"/>
                <w:sz w:val="20"/>
                <w:szCs w:val="20"/>
              </w:rPr>
              <w:t>Ensure integration of National Environmental Strategy goals in sectoral and regional plans.</w:t>
            </w:r>
          </w:p>
        </w:tc>
        <w:tc>
          <w:tcPr>
            <w:tcW w:w="537" w:type="pct"/>
            <w:tcBorders>
              <w:top w:val="single" w:sz="4" w:space="0" w:color="5B9BD5"/>
              <w:bottom w:val="single" w:sz="4" w:space="0" w:color="5B9BD5"/>
              <w:right w:val="single" w:sz="4" w:space="0" w:color="4F81BD"/>
            </w:tcBorders>
          </w:tcPr>
          <w:p w14:paraId="34160C56" w14:textId="77777777" w:rsidR="006428F7" w:rsidRPr="002B1DFC" w:rsidRDefault="006428F7" w:rsidP="00991FA8">
            <w:pPr>
              <w:ind w:left="12"/>
              <w:jc w:val="center"/>
              <w:rPr>
                <w:rFonts w:cs="Times New Roman"/>
                <w:sz w:val="20"/>
                <w:szCs w:val="20"/>
              </w:rPr>
            </w:pPr>
            <w:r w:rsidRPr="002B1DFC">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4CE411E3" w14:textId="77777777" w:rsidR="006428F7" w:rsidRPr="002B1DFC" w:rsidRDefault="006428F7" w:rsidP="00991FA8">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bottom w:val="single" w:sz="4" w:space="0" w:color="5B9BD5"/>
              <w:right w:val="single" w:sz="4" w:space="0" w:color="4F81BD"/>
            </w:tcBorders>
          </w:tcPr>
          <w:p w14:paraId="648F18B7" w14:textId="77777777" w:rsidR="006428F7" w:rsidRPr="002B1DFC" w:rsidRDefault="006428F7" w:rsidP="00991FA8">
            <w:pPr>
              <w:ind w:left="12"/>
              <w:jc w:val="center"/>
              <w:rPr>
                <w:rFonts w:cs="Times New Roman"/>
                <w:sz w:val="20"/>
                <w:szCs w:val="20"/>
              </w:rPr>
            </w:pPr>
            <w:r>
              <w:rPr>
                <w:rFonts w:cs="Times New Roman"/>
                <w:sz w:val="20"/>
                <w:szCs w:val="20"/>
              </w:rPr>
              <w:t>MENR</w:t>
            </w:r>
          </w:p>
        </w:tc>
      </w:tr>
      <w:tr w:rsidR="006428F7" w:rsidRPr="002B1DFC" w14:paraId="626B663E" w14:textId="77777777" w:rsidTr="00AA1508">
        <w:tc>
          <w:tcPr>
            <w:tcW w:w="604" w:type="pct"/>
            <w:vMerge/>
            <w:tcBorders>
              <w:top w:val="single" w:sz="4" w:space="0" w:color="5B9BD5"/>
              <w:bottom w:val="single" w:sz="4" w:space="0" w:color="5B9BD5"/>
            </w:tcBorders>
          </w:tcPr>
          <w:p w14:paraId="75EB0D8B" w14:textId="77777777" w:rsidR="006428F7" w:rsidRPr="005C6E03" w:rsidRDefault="006428F7" w:rsidP="00991FA8">
            <w:pPr>
              <w:jc w:val="left"/>
              <w:rPr>
                <w:sz w:val="20"/>
                <w:szCs w:val="20"/>
              </w:rPr>
            </w:pPr>
          </w:p>
        </w:tc>
        <w:tc>
          <w:tcPr>
            <w:tcW w:w="2783" w:type="pct"/>
            <w:tcBorders>
              <w:top w:val="single" w:sz="4" w:space="0" w:color="5B9BD5"/>
              <w:bottom w:val="single" w:sz="4" w:space="0" w:color="5B9BD5"/>
            </w:tcBorders>
          </w:tcPr>
          <w:p w14:paraId="5573786B" w14:textId="77777777" w:rsidR="006428F7" w:rsidRPr="002B1DFC" w:rsidRDefault="006428F7" w:rsidP="00B76BDA">
            <w:pPr>
              <w:pStyle w:val="ListParagraph"/>
              <w:numPr>
                <w:ilvl w:val="0"/>
                <w:numId w:val="78"/>
              </w:numPr>
              <w:ind w:left="360"/>
              <w:jc w:val="left"/>
              <w:rPr>
                <w:rFonts w:cs="Times New Roman"/>
                <w:sz w:val="20"/>
                <w:szCs w:val="20"/>
              </w:rPr>
            </w:pPr>
            <w:r w:rsidRPr="002B1DFC">
              <w:rPr>
                <w:rFonts w:cs="Times New Roman"/>
                <w:sz w:val="20"/>
                <w:szCs w:val="20"/>
              </w:rPr>
              <w:t>Ensure the next National Environmental Strategy following year 2020 is prepared in full consultation with key stakeholders, and has clear targets and quantitative indicators.</w:t>
            </w:r>
          </w:p>
        </w:tc>
        <w:tc>
          <w:tcPr>
            <w:tcW w:w="537" w:type="pct"/>
            <w:tcBorders>
              <w:top w:val="single" w:sz="4" w:space="0" w:color="5B9BD5"/>
              <w:bottom w:val="single" w:sz="4" w:space="0" w:color="5B9BD5"/>
              <w:right w:val="single" w:sz="4" w:space="0" w:color="4F81BD"/>
            </w:tcBorders>
          </w:tcPr>
          <w:p w14:paraId="49DF8281" w14:textId="77777777" w:rsidR="006428F7" w:rsidRPr="002B1DFC" w:rsidRDefault="006428F7" w:rsidP="00991FA8">
            <w:pPr>
              <w:ind w:left="12"/>
              <w:jc w:val="center"/>
              <w:rPr>
                <w:rFonts w:cs="Times New Roman"/>
                <w:sz w:val="20"/>
                <w:szCs w:val="20"/>
              </w:rPr>
            </w:pPr>
            <w:r w:rsidRPr="002B1DFC">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1E9E5C57" w14:textId="77777777" w:rsidR="006428F7" w:rsidRPr="002B1DFC" w:rsidRDefault="006428F7" w:rsidP="00991FA8">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bottom w:val="single" w:sz="4" w:space="0" w:color="5B9BD5"/>
              <w:right w:val="single" w:sz="4" w:space="0" w:color="4F81BD"/>
            </w:tcBorders>
          </w:tcPr>
          <w:p w14:paraId="3C494867" w14:textId="77777777" w:rsidR="006428F7" w:rsidRPr="002B1DFC" w:rsidRDefault="006428F7" w:rsidP="00991FA8">
            <w:pPr>
              <w:ind w:left="12"/>
              <w:jc w:val="center"/>
              <w:rPr>
                <w:rFonts w:cs="Times New Roman"/>
                <w:sz w:val="20"/>
                <w:szCs w:val="20"/>
              </w:rPr>
            </w:pPr>
            <w:r>
              <w:rPr>
                <w:rFonts w:cs="Times New Roman"/>
                <w:sz w:val="20"/>
                <w:szCs w:val="20"/>
              </w:rPr>
              <w:t>MENR</w:t>
            </w:r>
          </w:p>
        </w:tc>
      </w:tr>
      <w:tr w:rsidR="006428F7" w:rsidRPr="002B1DFC" w14:paraId="56B660FC" w14:textId="77777777" w:rsidTr="00AA1508">
        <w:tc>
          <w:tcPr>
            <w:tcW w:w="604" w:type="pct"/>
            <w:vMerge/>
            <w:tcBorders>
              <w:top w:val="single" w:sz="4" w:space="0" w:color="5B9BD5"/>
              <w:bottom w:val="single" w:sz="4" w:space="0" w:color="5B9BD5"/>
            </w:tcBorders>
          </w:tcPr>
          <w:p w14:paraId="4D3E35A9"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669D65C4" w14:textId="77777777" w:rsidR="006428F7" w:rsidRPr="00A53F4F" w:rsidRDefault="006428F7" w:rsidP="00B76BDA">
            <w:pPr>
              <w:pStyle w:val="ListParagraph"/>
              <w:numPr>
                <w:ilvl w:val="0"/>
                <w:numId w:val="78"/>
              </w:numPr>
              <w:ind w:left="360"/>
              <w:jc w:val="left"/>
              <w:rPr>
                <w:rFonts w:cs="Times New Roman"/>
                <w:sz w:val="20"/>
                <w:szCs w:val="20"/>
              </w:rPr>
            </w:pPr>
            <w:r w:rsidRPr="006464D4">
              <w:rPr>
                <w:rFonts w:cs="Times New Roman"/>
                <w:sz w:val="20"/>
                <w:szCs w:val="20"/>
              </w:rPr>
              <w:t>Periodically review the impact of economic policy on the environment as well as the economic impact of environmental policies in order to mitigate the negative aspects in a timely manner.</w:t>
            </w:r>
          </w:p>
        </w:tc>
        <w:tc>
          <w:tcPr>
            <w:tcW w:w="537" w:type="pct"/>
            <w:tcBorders>
              <w:top w:val="single" w:sz="4" w:space="0" w:color="5B9BD5"/>
              <w:bottom w:val="single" w:sz="4" w:space="0" w:color="5B9BD5"/>
              <w:right w:val="single" w:sz="4" w:space="0" w:color="4F81BD"/>
            </w:tcBorders>
          </w:tcPr>
          <w:p w14:paraId="3F55F415" w14:textId="77777777" w:rsidR="006428F7" w:rsidRPr="002B1DFC"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5F81A856" w14:textId="77777777" w:rsidR="006428F7" w:rsidRPr="002B1DFC" w:rsidRDefault="006428F7" w:rsidP="00991FA8">
            <w:pPr>
              <w:ind w:left="12"/>
              <w:jc w:val="center"/>
              <w:rPr>
                <w:rFonts w:cs="Times New Roman"/>
                <w:sz w:val="20"/>
                <w:szCs w:val="20"/>
              </w:rPr>
            </w:pPr>
            <w:r>
              <w:rPr>
                <w:rFonts w:cs="Times New Roman"/>
                <w:sz w:val="20"/>
                <w:szCs w:val="20"/>
              </w:rPr>
              <w:t>Long</w:t>
            </w:r>
          </w:p>
        </w:tc>
        <w:tc>
          <w:tcPr>
            <w:tcW w:w="538" w:type="pct"/>
            <w:tcBorders>
              <w:top w:val="single" w:sz="4" w:space="0" w:color="5B9BD5"/>
              <w:bottom w:val="single" w:sz="4" w:space="0" w:color="5B9BD5"/>
              <w:right w:val="single" w:sz="4" w:space="0" w:color="4F81BD"/>
            </w:tcBorders>
          </w:tcPr>
          <w:p w14:paraId="0C23DBDD" w14:textId="77777777" w:rsidR="006428F7" w:rsidRPr="002B1DFC" w:rsidRDefault="006428F7" w:rsidP="00991FA8">
            <w:pPr>
              <w:ind w:left="12"/>
              <w:jc w:val="center"/>
              <w:rPr>
                <w:rFonts w:cs="Times New Roman"/>
                <w:sz w:val="20"/>
                <w:szCs w:val="20"/>
              </w:rPr>
            </w:pPr>
            <w:r>
              <w:rPr>
                <w:rFonts w:cs="Times New Roman"/>
                <w:sz w:val="20"/>
                <w:szCs w:val="20"/>
              </w:rPr>
              <w:t>MENR and OSA</w:t>
            </w:r>
          </w:p>
        </w:tc>
      </w:tr>
      <w:tr w:rsidR="00A51600" w:rsidRPr="002B1DFC" w14:paraId="6CD3EB7E" w14:textId="77777777" w:rsidTr="00AA1508">
        <w:tc>
          <w:tcPr>
            <w:tcW w:w="604" w:type="pct"/>
            <w:vMerge w:val="restart"/>
            <w:tcBorders>
              <w:top w:val="single" w:sz="4" w:space="0" w:color="5B9BD5"/>
              <w:bottom w:val="single" w:sz="4" w:space="0" w:color="5B9BD5"/>
            </w:tcBorders>
          </w:tcPr>
          <w:p w14:paraId="2DB38A20" w14:textId="39AB53DF" w:rsidR="00A51600" w:rsidRPr="005C6E03" w:rsidRDefault="00A51600" w:rsidP="00A51600">
            <w:pPr>
              <w:pStyle w:val="ListParagraph"/>
              <w:ind w:left="0"/>
              <w:jc w:val="left"/>
              <w:rPr>
                <w:rFonts w:cs="Times New Roman"/>
                <w:sz w:val="20"/>
                <w:szCs w:val="20"/>
              </w:rPr>
            </w:pPr>
            <w:r w:rsidRPr="00C26464">
              <w:rPr>
                <w:sz w:val="20"/>
                <w:szCs w:val="20"/>
              </w:rPr>
              <w:t xml:space="preserve">Build effectiveness of the environmental institutions by improving </w:t>
            </w:r>
            <w:r w:rsidRPr="00C26464">
              <w:rPr>
                <w:sz w:val="20"/>
                <w:szCs w:val="20"/>
              </w:rPr>
              <w:lastRenderedPageBreak/>
              <w:t>coordination and streamlining mandate</w:t>
            </w:r>
            <w:r>
              <w:rPr>
                <w:sz w:val="20"/>
                <w:szCs w:val="20"/>
              </w:rPr>
              <w:t>s across the different agencies</w:t>
            </w:r>
          </w:p>
        </w:tc>
        <w:tc>
          <w:tcPr>
            <w:tcW w:w="2783" w:type="pct"/>
            <w:tcBorders>
              <w:top w:val="single" w:sz="4" w:space="0" w:color="5B9BD5"/>
              <w:bottom w:val="single" w:sz="4" w:space="0" w:color="5B9BD5"/>
            </w:tcBorders>
          </w:tcPr>
          <w:p w14:paraId="5BC6BAA6" w14:textId="77777777" w:rsidR="00A51600" w:rsidRPr="00F53FEA" w:rsidRDefault="00A51600" w:rsidP="00B76BDA">
            <w:pPr>
              <w:pStyle w:val="ListParagraph"/>
              <w:numPr>
                <w:ilvl w:val="0"/>
                <w:numId w:val="78"/>
              </w:numPr>
              <w:ind w:left="360"/>
              <w:jc w:val="left"/>
              <w:rPr>
                <w:rFonts w:cs="Times New Roman"/>
                <w:sz w:val="20"/>
                <w:szCs w:val="20"/>
              </w:rPr>
            </w:pPr>
            <w:r w:rsidRPr="00F53FEA">
              <w:rPr>
                <w:rFonts w:cs="Times New Roman"/>
                <w:sz w:val="20"/>
                <w:szCs w:val="20"/>
              </w:rPr>
              <w:lastRenderedPageBreak/>
              <w:t>Establish a clear mechanism of coordination and monitoring activity in order to avoid double functions between different organizations, and consolidate this mechanism at the legislative level introducing appropriate changes to current legal acts.</w:t>
            </w:r>
          </w:p>
        </w:tc>
        <w:tc>
          <w:tcPr>
            <w:tcW w:w="537" w:type="pct"/>
            <w:tcBorders>
              <w:top w:val="single" w:sz="4" w:space="0" w:color="5B9BD5"/>
              <w:bottom w:val="single" w:sz="4" w:space="0" w:color="5B9BD5"/>
              <w:right w:val="single" w:sz="4" w:space="0" w:color="4F81BD"/>
            </w:tcBorders>
          </w:tcPr>
          <w:p w14:paraId="71F36804" w14:textId="77777777" w:rsidR="00A51600" w:rsidRPr="002B1DFC" w:rsidRDefault="00A51600" w:rsidP="00A51600">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21EA4902" w14:textId="77777777" w:rsidR="00A51600" w:rsidRPr="002B1DFC" w:rsidRDefault="00A51600" w:rsidP="00A51600">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bottom w:val="single" w:sz="4" w:space="0" w:color="5B9BD5"/>
              <w:right w:val="single" w:sz="4" w:space="0" w:color="4F81BD"/>
            </w:tcBorders>
          </w:tcPr>
          <w:p w14:paraId="33FF8667" w14:textId="77777777" w:rsidR="00A51600" w:rsidRPr="002B1DFC" w:rsidRDefault="00A51600" w:rsidP="00A51600">
            <w:pPr>
              <w:ind w:left="12"/>
              <w:jc w:val="center"/>
              <w:rPr>
                <w:rFonts w:cs="Times New Roman"/>
                <w:sz w:val="20"/>
                <w:szCs w:val="20"/>
              </w:rPr>
            </w:pPr>
            <w:r>
              <w:rPr>
                <w:rFonts w:cs="Times New Roman"/>
                <w:sz w:val="20"/>
                <w:szCs w:val="20"/>
              </w:rPr>
              <w:t>CMU / MENR / SEI / OSA</w:t>
            </w:r>
          </w:p>
        </w:tc>
      </w:tr>
      <w:tr w:rsidR="006428F7" w:rsidRPr="002B1DFC" w14:paraId="1D9FACAF" w14:textId="77777777" w:rsidTr="00AA1508">
        <w:tc>
          <w:tcPr>
            <w:tcW w:w="604" w:type="pct"/>
            <w:vMerge/>
            <w:tcBorders>
              <w:top w:val="single" w:sz="4" w:space="0" w:color="5B9BD5"/>
              <w:bottom w:val="single" w:sz="4" w:space="0" w:color="5B9BD5"/>
            </w:tcBorders>
          </w:tcPr>
          <w:p w14:paraId="18FE24F5" w14:textId="77777777" w:rsidR="006428F7" w:rsidRPr="005C6E03" w:rsidRDefault="006428F7" w:rsidP="00991FA8">
            <w:pPr>
              <w:pStyle w:val="ListParagraph"/>
              <w:ind w:left="0"/>
              <w:jc w:val="left"/>
              <w:rPr>
                <w:sz w:val="20"/>
                <w:szCs w:val="20"/>
              </w:rPr>
            </w:pPr>
          </w:p>
        </w:tc>
        <w:tc>
          <w:tcPr>
            <w:tcW w:w="2783" w:type="pct"/>
            <w:tcBorders>
              <w:top w:val="single" w:sz="4" w:space="0" w:color="5B9BD5"/>
              <w:bottom w:val="single" w:sz="4" w:space="0" w:color="5B9BD5"/>
            </w:tcBorders>
          </w:tcPr>
          <w:p w14:paraId="68DC78EF" w14:textId="77777777" w:rsidR="006428F7" w:rsidRPr="00A53F4F" w:rsidRDefault="006428F7" w:rsidP="00B76BDA">
            <w:pPr>
              <w:pStyle w:val="ListParagraph"/>
              <w:numPr>
                <w:ilvl w:val="0"/>
                <w:numId w:val="78"/>
              </w:numPr>
              <w:ind w:left="360"/>
              <w:jc w:val="left"/>
              <w:rPr>
                <w:rFonts w:cs="Times New Roman"/>
                <w:sz w:val="20"/>
                <w:szCs w:val="20"/>
              </w:rPr>
            </w:pPr>
            <w:r w:rsidRPr="00A53F4F">
              <w:rPr>
                <w:rFonts w:cs="Times New Roman"/>
                <w:sz w:val="20"/>
                <w:szCs w:val="20"/>
              </w:rPr>
              <w:t xml:space="preserve">Strengthen the capacity of MENR in line with the reform and requirements of the </w:t>
            </w:r>
            <w:r>
              <w:rPr>
                <w:rFonts w:cs="Times New Roman"/>
                <w:sz w:val="20"/>
                <w:szCs w:val="20"/>
              </w:rPr>
              <w:t xml:space="preserve">EU-Ukraine </w:t>
            </w:r>
            <w:r w:rsidRPr="00A53F4F">
              <w:rPr>
                <w:rFonts w:cs="Times New Roman"/>
                <w:sz w:val="20"/>
                <w:szCs w:val="20"/>
              </w:rPr>
              <w:t xml:space="preserve">Association Agreement. </w:t>
            </w:r>
          </w:p>
        </w:tc>
        <w:tc>
          <w:tcPr>
            <w:tcW w:w="537" w:type="pct"/>
            <w:tcBorders>
              <w:top w:val="single" w:sz="4" w:space="0" w:color="5B9BD5"/>
              <w:bottom w:val="single" w:sz="4" w:space="0" w:color="5B9BD5"/>
              <w:right w:val="single" w:sz="4" w:space="0" w:color="4F81BD"/>
            </w:tcBorders>
          </w:tcPr>
          <w:p w14:paraId="6D184FEC" w14:textId="77777777" w:rsidR="006428F7" w:rsidRPr="002B1DFC" w:rsidRDefault="006428F7" w:rsidP="00991FA8">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58BF0E8A" w14:textId="77777777" w:rsidR="006428F7" w:rsidRDefault="006428F7" w:rsidP="00991FA8">
            <w:pPr>
              <w:ind w:left="12"/>
              <w:jc w:val="center"/>
              <w:rPr>
                <w:rFonts w:cs="Times New Roman"/>
                <w:sz w:val="20"/>
                <w:szCs w:val="20"/>
              </w:rPr>
            </w:pPr>
            <w:r>
              <w:rPr>
                <w:rFonts w:cs="Times New Roman"/>
                <w:sz w:val="20"/>
                <w:szCs w:val="20"/>
              </w:rPr>
              <w:t xml:space="preserve">Medium – long </w:t>
            </w:r>
          </w:p>
        </w:tc>
        <w:tc>
          <w:tcPr>
            <w:tcW w:w="538" w:type="pct"/>
            <w:tcBorders>
              <w:top w:val="single" w:sz="4" w:space="0" w:color="5B9BD5"/>
              <w:bottom w:val="single" w:sz="4" w:space="0" w:color="5B9BD5"/>
              <w:right w:val="single" w:sz="4" w:space="0" w:color="4F81BD"/>
            </w:tcBorders>
          </w:tcPr>
          <w:p w14:paraId="349D9D13" w14:textId="77777777" w:rsidR="006428F7" w:rsidRDefault="006428F7" w:rsidP="00991FA8">
            <w:pPr>
              <w:ind w:left="12"/>
              <w:jc w:val="center"/>
              <w:rPr>
                <w:rFonts w:cs="Times New Roman"/>
                <w:sz w:val="20"/>
                <w:szCs w:val="20"/>
              </w:rPr>
            </w:pPr>
            <w:r>
              <w:rPr>
                <w:rFonts w:cs="Times New Roman"/>
                <w:sz w:val="20"/>
                <w:szCs w:val="20"/>
              </w:rPr>
              <w:t>CMU / MENR</w:t>
            </w:r>
          </w:p>
        </w:tc>
      </w:tr>
      <w:tr w:rsidR="006428F7" w:rsidRPr="002B1DFC" w14:paraId="2761DEC2" w14:textId="77777777" w:rsidTr="00AA1508">
        <w:tc>
          <w:tcPr>
            <w:tcW w:w="604" w:type="pct"/>
            <w:vMerge/>
            <w:tcBorders>
              <w:top w:val="single" w:sz="4" w:space="0" w:color="5B9BD5"/>
              <w:bottom w:val="single" w:sz="4" w:space="0" w:color="5B9BD5"/>
            </w:tcBorders>
          </w:tcPr>
          <w:p w14:paraId="11B073B1"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39531708"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 xml:space="preserve">Strengthen the capacity of other central government </w:t>
            </w:r>
            <w:r>
              <w:rPr>
                <w:rFonts w:cs="Times New Roman"/>
                <w:sz w:val="20"/>
                <w:szCs w:val="20"/>
              </w:rPr>
              <w:t>agencies</w:t>
            </w:r>
            <w:r w:rsidRPr="00F53FEA">
              <w:rPr>
                <w:rFonts w:cs="Times New Roman"/>
                <w:sz w:val="20"/>
                <w:szCs w:val="20"/>
              </w:rPr>
              <w:t xml:space="preserve"> responsible for environmental and natural resources management</w:t>
            </w:r>
          </w:p>
        </w:tc>
        <w:tc>
          <w:tcPr>
            <w:tcW w:w="537" w:type="pct"/>
            <w:tcBorders>
              <w:top w:val="single" w:sz="4" w:space="0" w:color="5B9BD5"/>
              <w:bottom w:val="single" w:sz="4" w:space="0" w:color="5B9BD5"/>
              <w:right w:val="single" w:sz="4" w:space="0" w:color="4F81BD"/>
            </w:tcBorders>
          </w:tcPr>
          <w:p w14:paraId="43A75D8E" w14:textId="77777777" w:rsidR="006428F7" w:rsidRPr="002B1DFC" w:rsidRDefault="006428F7" w:rsidP="00991FA8">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06BCEDA7" w14:textId="77777777" w:rsidR="006428F7" w:rsidRPr="002B1DFC"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18F5C3B6" w14:textId="77777777" w:rsidR="006428F7" w:rsidRPr="002B1DFC" w:rsidRDefault="006428F7" w:rsidP="00991FA8">
            <w:pPr>
              <w:ind w:left="12"/>
              <w:jc w:val="center"/>
              <w:rPr>
                <w:rFonts w:cs="Times New Roman"/>
                <w:sz w:val="20"/>
                <w:szCs w:val="20"/>
              </w:rPr>
            </w:pPr>
            <w:r>
              <w:rPr>
                <w:rFonts w:cs="Times New Roman"/>
                <w:sz w:val="20"/>
                <w:szCs w:val="20"/>
              </w:rPr>
              <w:t>MENR / Central authorities</w:t>
            </w:r>
          </w:p>
        </w:tc>
      </w:tr>
      <w:tr w:rsidR="006428F7" w:rsidRPr="002B1DFC" w14:paraId="5004E595" w14:textId="77777777" w:rsidTr="00AA1508">
        <w:tc>
          <w:tcPr>
            <w:tcW w:w="604" w:type="pct"/>
            <w:vMerge/>
            <w:tcBorders>
              <w:top w:val="single" w:sz="4" w:space="0" w:color="5B9BD5"/>
              <w:bottom w:val="single" w:sz="4" w:space="0" w:color="5B9BD5"/>
            </w:tcBorders>
          </w:tcPr>
          <w:p w14:paraId="70AB7072"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7C05B98D" w14:textId="77777777" w:rsidR="006428F7" w:rsidRPr="00A53F4F"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 xml:space="preserve">Review the functions, responsibilities and subordination in the sphere of environmental management between the Ministry of Ecology and Natural Resources and other ministries, agencies and local authorities. </w:t>
            </w:r>
          </w:p>
        </w:tc>
        <w:tc>
          <w:tcPr>
            <w:tcW w:w="537" w:type="pct"/>
            <w:tcBorders>
              <w:top w:val="single" w:sz="4" w:space="0" w:color="5B9BD5"/>
              <w:bottom w:val="single" w:sz="4" w:space="0" w:color="5B9BD5"/>
              <w:right w:val="single" w:sz="4" w:space="0" w:color="4F81BD"/>
            </w:tcBorders>
          </w:tcPr>
          <w:p w14:paraId="02AC450C" w14:textId="77777777" w:rsidR="006428F7" w:rsidRPr="002B1DFC"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25E1835A" w14:textId="77777777" w:rsidR="006428F7"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5778CAB2" w14:textId="77777777" w:rsidR="006428F7" w:rsidRDefault="006428F7" w:rsidP="00991FA8">
            <w:pPr>
              <w:ind w:left="12"/>
              <w:jc w:val="center"/>
              <w:rPr>
                <w:rFonts w:cs="Times New Roman"/>
                <w:sz w:val="20"/>
                <w:szCs w:val="20"/>
              </w:rPr>
            </w:pPr>
            <w:r>
              <w:rPr>
                <w:rFonts w:cs="Times New Roman"/>
                <w:sz w:val="20"/>
                <w:szCs w:val="20"/>
              </w:rPr>
              <w:t>CMU and OSA</w:t>
            </w:r>
          </w:p>
        </w:tc>
      </w:tr>
      <w:tr w:rsidR="006428F7" w:rsidRPr="002B1DFC" w14:paraId="3E58B0B6" w14:textId="77777777" w:rsidTr="00AA1508">
        <w:tc>
          <w:tcPr>
            <w:tcW w:w="604" w:type="pct"/>
            <w:vMerge/>
            <w:tcBorders>
              <w:top w:val="single" w:sz="4" w:space="0" w:color="5B9BD5"/>
              <w:bottom w:val="single" w:sz="4" w:space="0" w:color="5B9BD5"/>
            </w:tcBorders>
          </w:tcPr>
          <w:p w14:paraId="66E85394"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79DB356B" w14:textId="77777777" w:rsidR="006428F7" w:rsidRPr="00A53F4F"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 xml:space="preserve">Enhance and provide appropriate capacity building and personnel training for state bodies regarding environmental management and principle of sustainable development at the national and local levels with involvement of private sector and civil societies. This activity should take into account all requirements of the Association Agreement between the EU and Ukraine and the commitments that should be achieved according to this treaty. </w:t>
            </w:r>
          </w:p>
        </w:tc>
        <w:tc>
          <w:tcPr>
            <w:tcW w:w="537" w:type="pct"/>
            <w:tcBorders>
              <w:top w:val="single" w:sz="4" w:space="0" w:color="5B9BD5"/>
              <w:bottom w:val="single" w:sz="4" w:space="0" w:color="5B9BD5"/>
              <w:right w:val="single" w:sz="4" w:space="0" w:color="4F81BD"/>
            </w:tcBorders>
          </w:tcPr>
          <w:p w14:paraId="699D5636" w14:textId="77777777" w:rsidR="006428F7" w:rsidRPr="002B1DFC"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540137B3" w14:textId="77777777" w:rsidR="006428F7" w:rsidRDefault="006428F7" w:rsidP="00991FA8">
            <w:pPr>
              <w:ind w:left="12"/>
              <w:jc w:val="center"/>
              <w:rPr>
                <w:rFonts w:cs="Times New Roman"/>
                <w:sz w:val="20"/>
                <w:szCs w:val="20"/>
              </w:rPr>
            </w:pPr>
            <w:r>
              <w:rPr>
                <w:rFonts w:cs="Times New Roman"/>
                <w:sz w:val="20"/>
                <w:szCs w:val="20"/>
              </w:rPr>
              <w:t>Short</w:t>
            </w:r>
          </w:p>
        </w:tc>
        <w:tc>
          <w:tcPr>
            <w:tcW w:w="538" w:type="pct"/>
            <w:tcBorders>
              <w:top w:val="single" w:sz="4" w:space="0" w:color="5B9BD5"/>
              <w:bottom w:val="single" w:sz="4" w:space="0" w:color="5B9BD5"/>
              <w:right w:val="single" w:sz="4" w:space="0" w:color="4F81BD"/>
            </w:tcBorders>
          </w:tcPr>
          <w:p w14:paraId="4DC29EF3" w14:textId="77777777" w:rsidR="006428F7" w:rsidRDefault="006428F7" w:rsidP="00991FA8">
            <w:pPr>
              <w:ind w:left="12"/>
              <w:jc w:val="center"/>
              <w:rPr>
                <w:rFonts w:cs="Times New Roman"/>
                <w:sz w:val="20"/>
                <w:szCs w:val="20"/>
              </w:rPr>
            </w:pPr>
            <w:r>
              <w:rPr>
                <w:rFonts w:cs="Times New Roman"/>
                <w:sz w:val="20"/>
                <w:szCs w:val="20"/>
              </w:rPr>
              <w:t>MENR</w:t>
            </w:r>
          </w:p>
        </w:tc>
      </w:tr>
      <w:tr w:rsidR="006428F7" w:rsidRPr="002B1DFC" w14:paraId="68B862F8" w14:textId="77777777" w:rsidTr="00AA1508">
        <w:tc>
          <w:tcPr>
            <w:tcW w:w="604" w:type="pct"/>
            <w:vMerge w:val="restart"/>
            <w:tcBorders>
              <w:top w:val="single" w:sz="4" w:space="0" w:color="5B9BD5"/>
              <w:bottom w:val="single" w:sz="4" w:space="0" w:color="5B9BD5"/>
            </w:tcBorders>
          </w:tcPr>
          <w:p w14:paraId="6B800730" w14:textId="7614F0CF" w:rsidR="006428F7" w:rsidRPr="005C6E03" w:rsidRDefault="006428F7">
            <w:pPr>
              <w:pStyle w:val="ListParagraph"/>
              <w:ind w:left="0"/>
              <w:jc w:val="left"/>
              <w:rPr>
                <w:sz w:val="20"/>
                <w:szCs w:val="20"/>
              </w:rPr>
            </w:pPr>
            <w:r w:rsidRPr="005C6E03">
              <w:rPr>
                <w:sz w:val="20"/>
                <w:szCs w:val="20"/>
              </w:rPr>
              <w:t xml:space="preserve">Build the capacity for environmental management </w:t>
            </w:r>
            <w:r>
              <w:rPr>
                <w:sz w:val="20"/>
                <w:szCs w:val="20"/>
              </w:rPr>
              <w:t xml:space="preserve">at the </w:t>
            </w:r>
            <w:r w:rsidR="00A51600">
              <w:rPr>
                <w:sz w:val="20"/>
                <w:szCs w:val="20"/>
              </w:rPr>
              <w:t>regional</w:t>
            </w:r>
            <w:r>
              <w:rPr>
                <w:sz w:val="20"/>
                <w:szCs w:val="20"/>
              </w:rPr>
              <w:t xml:space="preserve"> level</w:t>
            </w:r>
          </w:p>
        </w:tc>
        <w:tc>
          <w:tcPr>
            <w:tcW w:w="2783" w:type="pct"/>
            <w:tcBorders>
              <w:top w:val="single" w:sz="4" w:space="0" w:color="5B9BD5"/>
              <w:bottom w:val="single" w:sz="4" w:space="0" w:color="5B9BD5"/>
            </w:tcBorders>
          </w:tcPr>
          <w:p w14:paraId="29A0AACF"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Clarify the responsibilities of the regional OSA departments as per current legislation</w:t>
            </w:r>
          </w:p>
        </w:tc>
        <w:tc>
          <w:tcPr>
            <w:tcW w:w="537" w:type="pct"/>
            <w:tcBorders>
              <w:top w:val="single" w:sz="4" w:space="0" w:color="5B9BD5"/>
              <w:bottom w:val="single" w:sz="4" w:space="0" w:color="5B9BD5"/>
              <w:right w:val="single" w:sz="4" w:space="0" w:color="4F81BD"/>
            </w:tcBorders>
          </w:tcPr>
          <w:p w14:paraId="13C5901C" w14:textId="77777777" w:rsidR="006428F7" w:rsidRPr="002B1DFC"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1D362B89" w14:textId="77777777" w:rsidR="006428F7" w:rsidRDefault="006428F7" w:rsidP="00991FA8">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bottom w:val="single" w:sz="4" w:space="0" w:color="5B9BD5"/>
              <w:right w:val="single" w:sz="4" w:space="0" w:color="4F81BD"/>
            </w:tcBorders>
          </w:tcPr>
          <w:p w14:paraId="4230E470" w14:textId="77777777" w:rsidR="006428F7" w:rsidRDefault="006428F7" w:rsidP="00991FA8">
            <w:pPr>
              <w:ind w:left="12"/>
              <w:jc w:val="center"/>
              <w:rPr>
                <w:rFonts w:cs="Times New Roman"/>
                <w:sz w:val="20"/>
                <w:szCs w:val="20"/>
              </w:rPr>
            </w:pPr>
            <w:r>
              <w:rPr>
                <w:rFonts w:cs="Times New Roman"/>
                <w:sz w:val="20"/>
                <w:szCs w:val="20"/>
              </w:rPr>
              <w:t>OSAs / CMU</w:t>
            </w:r>
          </w:p>
        </w:tc>
      </w:tr>
      <w:tr w:rsidR="006428F7" w:rsidRPr="002B1DFC" w14:paraId="721F631D" w14:textId="77777777" w:rsidTr="00AA1508">
        <w:tc>
          <w:tcPr>
            <w:tcW w:w="604" w:type="pct"/>
            <w:vMerge/>
            <w:tcBorders>
              <w:top w:val="single" w:sz="4" w:space="0" w:color="5B9BD5"/>
              <w:bottom w:val="single" w:sz="4" w:space="0" w:color="5B9BD5"/>
            </w:tcBorders>
          </w:tcPr>
          <w:p w14:paraId="04B9AC79" w14:textId="77777777" w:rsidR="006428F7" w:rsidRPr="005C6E03" w:rsidRDefault="006428F7" w:rsidP="00991FA8">
            <w:pPr>
              <w:pStyle w:val="ListParagraph"/>
              <w:ind w:left="0"/>
              <w:jc w:val="left"/>
              <w:rPr>
                <w:sz w:val="20"/>
                <w:szCs w:val="20"/>
              </w:rPr>
            </w:pPr>
          </w:p>
        </w:tc>
        <w:tc>
          <w:tcPr>
            <w:tcW w:w="2783" w:type="pct"/>
            <w:tcBorders>
              <w:top w:val="single" w:sz="4" w:space="0" w:color="5B9BD5"/>
              <w:bottom w:val="single" w:sz="4" w:space="0" w:color="5B9BD5"/>
            </w:tcBorders>
          </w:tcPr>
          <w:p w14:paraId="621A5268"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Establish consultation mechanism to ensure broad participation in defining environmental management functions, roles and responsibilities at regional and central levels.</w:t>
            </w:r>
          </w:p>
        </w:tc>
        <w:tc>
          <w:tcPr>
            <w:tcW w:w="537" w:type="pct"/>
            <w:tcBorders>
              <w:top w:val="single" w:sz="4" w:space="0" w:color="5B9BD5"/>
              <w:bottom w:val="single" w:sz="4" w:space="0" w:color="5B9BD5"/>
              <w:right w:val="single" w:sz="4" w:space="0" w:color="4F81BD"/>
            </w:tcBorders>
          </w:tcPr>
          <w:p w14:paraId="26D83F51" w14:textId="77777777" w:rsidR="006428F7"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5101D09B" w14:textId="77777777" w:rsidR="006428F7" w:rsidRDefault="006428F7" w:rsidP="00991FA8">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bottom w:val="single" w:sz="4" w:space="0" w:color="5B9BD5"/>
              <w:right w:val="single" w:sz="4" w:space="0" w:color="4F81BD"/>
            </w:tcBorders>
          </w:tcPr>
          <w:p w14:paraId="4DAC9D67" w14:textId="77777777" w:rsidR="006428F7" w:rsidRDefault="006428F7" w:rsidP="00991FA8">
            <w:pPr>
              <w:ind w:left="12"/>
              <w:jc w:val="center"/>
              <w:rPr>
                <w:rFonts w:cs="Times New Roman"/>
                <w:sz w:val="20"/>
                <w:szCs w:val="20"/>
              </w:rPr>
            </w:pPr>
            <w:r>
              <w:rPr>
                <w:rFonts w:cs="Times New Roman"/>
                <w:sz w:val="20"/>
                <w:szCs w:val="20"/>
              </w:rPr>
              <w:t>CMU / MENR / OSA</w:t>
            </w:r>
          </w:p>
        </w:tc>
      </w:tr>
      <w:tr w:rsidR="006428F7" w:rsidRPr="002B1DFC" w14:paraId="4BDF6AD0" w14:textId="77777777" w:rsidTr="00AA1508">
        <w:tc>
          <w:tcPr>
            <w:tcW w:w="604" w:type="pct"/>
            <w:vMerge/>
            <w:tcBorders>
              <w:top w:val="single" w:sz="4" w:space="0" w:color="5B9BD5"/>
              <w:bottom w:val="single" w:sz="4" w:space="0" w:color="5B9BD5"/>
            </w:tcBorders>
          </w:tcPr>
          <w:p w14:paraId="392A428D"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2547EE2C"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Provide technical assistance to regional organs and municipalities in  implementation of their responsibilities in the area of environmental management</w:t>
            </w:r>
          </w:p>
        </w:tc>
        <w:tc>
          <w:tcPr>
            <w:tcW w:w="537" w:type="pct"/>
            <w:tcBorders>
              <w:top w:val="single" w:sz="4" w:space="0" w:color="5B9BD5"/>
              <w:bottom w:val="single" w:sz="4" w:space="0" w:color="5B9BD5"/>
              <w:right w:val="single" w:sz="4" w:space="0" w:color="4F81BD"/>
            </w:tcBorders>
          </w:tcPr>
          <w:p w14:paraId="5388C462" w14:textId="77777777" w:rsidR="006428F7" w:rsidRPr="002B1DFC" w:rsidRDefault="006428F7" w:rsidP="00991FA8">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40E2B87F" w14:textId="77777777" w:rsidR="006428F7" w:rsidRPr="002B1DFC" w:rsidRDefault="006428F7" w:rsidP="00991FA8">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bottom w:val="single" w:sz="4" w:space="0" w:color="5B9BD5"/>
              <w:right w:val="single" w:sz="4" w:space="0" w:color="4F81BD"/>
            </w:tcBorders>
          </w:tcPr>
          <w:p w14:paraId="54CCB242" w14:textId="77777777" w:rsidR="006428F7" w:rsidRPr="002B1DFC" w:rsidRDefault="006428F7" w:rsidP="00991FA8">
            <w:pPr>
              <w:ind w:left="12"/>
              <w:jc w:val="center"/>
              <w:rPr>
                <w:rFonts w:cs="Times New Roman"/>
                <w:sz w:val="20"/>
                <w:szCs w:val="20"/>
              </w:rPr>
            </w:pPr>
            <w:r>
              <w:rPr>
                <w:rFonts w:cs="Times New Roman"/>
                <w:sz w:val="20"/>
                <w:szCs w:val="20"/>
              </w:rPr>
              <w:t>MENR / OSA</w:t>
            </w:r>
          </w:p>
        </w:tc>
      </w:tr>
      <w:tr w:rsidR="006428F7" w:rsidRPr="002B1DFC" w14:paraId="4FD101FC" w14:textId="77777777" w:rsidTr="00AA1508">
        <w:tc>
          <w:tcPr>
            <w:tcW w:w="604" w:type="pct"/>
            <w:vMerge/>
            <w:tcBorders>
              <w:top w:val="single" w:sz="4" w:space="0" w:color="5B9BD5"/>
              <w:bottom w:val="single" w:sz="4" w:space="0" w:color="5B9BD5"/>
            </w:tcBorders>
          </w:tcPr>
          <w:p w14:paraId="5511896C" w14:textId="77777777" w:rsidR="006428F7" w:rsidRPr="005C6E03" w:rsidRDefault="006428F7" w:rsidP="00991FA8">
            <w:pPr>
              <w:pStyle w:val="ListParagraph"/>
              <w:ind w:left="0"/>
              <w:jc w:val="left"/>
              <w:rPr>
                <w:sz w:val="20"/>
                <w:szCs w:val="20"/>
              </w:rPr>
            </w:pPr>
          </w:p>
        </w:tc>
        <w:tc>
          <w:tcPr>
            <w:tcW w:w="2783" w:type="pct"/>
            <w:tcBorders>
              <w:top w:val="single" w:sz="4" w:space="0" w:color="5B9BD5"/>
              <w:bottom w:val="single" w:sz="4" w:space="0" w:color="5B9BD5"/>
            </w:tcBorders>
          </w:tcPr>
          <w:p w14:paraId="1CD1E89A"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Delineate responsibilities between the central and regional levels of environmental management</w:t>
            </w:r>
            <w:r>
              <w:rPr>
                <w:rFonts w:cs="Times New Roman"/>
                <w:sz w:val="20"/>
                <w:szCs w:val="20"/>
              </w:rPr>
              <w:t xml:space="preserve"> based on functional and public environmental expenditure reviews.</w:t>
            </w:r>
          </w:p>
        </w:tc>
        <w:tc>
          <w:tcPr>
            <w:tcW w:w="537" w:type="pct"/>
            <w:tcBorders>
              <w:top w:val="single" w:sz="4" w:space="0" w:color="5B9BD5"/>
              <w:bottom w:val="single" w:sz="4" w:space="0" w:color="5B9BD5"/>
              <w:right w:val="single" w:sz="4" w:space="0" w:color="4F81BD"/>
            </w:tcBorders>
          </w:tcPr>
          <w:p w14:paraId="3BD512CB" w14:textId="77777777" w:rsidR="006428F7"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783ECE15" w14:textId="77777777" w:rsidR="006428F7"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1C7501C1" w14:textId="77777777" w:rsidR="006428F7" w:rsidRDefault="006428F7" w:rsidP="00991FA8">
            <w:pPr>
              <w:ind w:left="12"/>
              <w:jc w:val="center"/>
              <w:rPr>
                <w:rFonts w:cs="Times New Roman"/>
                <w:sz w:val="20"/>
                <w:szCs w:val="20"/>
              </w:rPr>
            </w:pPr>
            <w:r>
              <w:rPr>
                <w:rFonts w:cs="Times New Roman"/>
                <w:sz w:val="20"/>
                <w:szCs w:val="20"/>
              </w:rPr>
              <w:t>CMU / MENR / OSA</w:t>
            </w:r>
          </w:p>
        </w:tc>
      </w:tr>
      <w:tr w:rsidR="006428F7" w:rsidRPr="002B1DFC" w14:paraId="70BF6E1C" w14:textId="77777777" w:rsidTr="00AA1508">
        <w:tc>
          <w:tcPr>
            <w:tcW w:w="604" w:type="pct"/>
            <w:vMerge/>
            <w:tcBorders>
              <w:top w:val="single" w:sz="4" w:space="0" w:color="5B9BD5"/>
              <w:bottom w:val="single" w:sz="4" w:space="0" w:color="5B9BD5"/>
            </w:tcBorders>
          </w:tcPr>
          <w:p w14:paraId="2045F538" w14:textId="77777777" w:rsidR="006428F7" w:rsidRPr="005C6E03" w:rsidRDefault="006428F7" w:rsidP="00991FA8">
            <w:pPr>
              <w:pStyle w:val="ListParagraph"/>
              <w:ind w:left="0"/>
              <w:jc w:val="left"/>
              <w:rPr>
                <w:sz w:val="20"/>
                <w:szCs w:val="20"/>
              </w:rPr>
            </w:pPr>
          </w:p>
        </w:tc>
        <w:tc>
          <w:tcPr>
            <w:tcW w:w="2783" w:type="pct"/>
            <w:tcBorders>
              <w:top w:val="single" w:sz="4" w:space="0" w:color="5B9BD5"/>
              <w:bottom w:val="single" w:sz="4" w:space="0" w:color="5B9BD5"/>
            </w:tcBorders>
          </w:tcPr>
          <w:p w14:paraId="36DD2290"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Establish clear horizontal and vertical coordination mechanism</w:t>
            </w:r>
            <w:r>
              <w:rPr>
                <w:rFonts w:cs="Times New Roman"/>
                <w:sz w:val="20"/>
                <w:szCs w:val="20"/>
              </w:rPr>
              <w:t>.</w:t>
            </w:r>
          </w:p>
        </w:tc>
        <w:tc>
          <w:tcPr>
            <w:tcW w:w="537" w:type="pct"/>
            <w:tcBorders>
              <w:top w:val="single" w:sz="4" w:space="0" w:color="5B9BD5"/>
              <w:bottom w:val="single" w:sz="4" w:space="0" w:color="5B9BD5"/>
              <w:right w:val="single" w:sz="4" w:space="0" w:color="4F81BD"/>
            </w:tcBorders>
          </w:tcPr>
          <w:p w14:paraId="5C83B126" w14:textId="77777777" w:rsidR="006428F7"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432FD98B" w14:textId="77777777" w:rsidR="006428F7"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1DB98210" w14:textId="77777777" w:rsidR="006428F7" w:rsidRDefault="006428F7" w:rsidP="00991FA8">
            <w:pPr>
              <w:ind w:left="12"/>
              <w:jc w:val="center"/>
              <w:rPr>
                <w:rFonts w:cs="Times New Roman"/>
                <w:sz w:val="20"/>
                <w:szCs w:val="20"/>
              </w:rPr>
            </w:pPr>
            <w:r>
              <w:rPr>
                <w:rFonts w:cs="Times New Roman"/>
                <w:sz w:val="20"/>
                <w:szCs w:val="20"/>
              </w:rPr>
              <w:t>CMU / MENR / OSA</w:t>
            </w:r>
          </w:p>
        </w:tc>
      </w:tr>
      <w:tr w:rsidR="006428F7" w:rsidRPr="002B1DFC" w14:paraId="01F151FA" w14:textId="77777777" w:rsidTr="00AA1508">
        <w:tc>
          <w:tcPr>
            <w:tcW w:w="604" w:type="pct"/>
            <w:vMerge w:val="restart"/>
            <w:tcBorders>
              <w:top w:val="single" w:sz="4" w:space="0" w:color="5B9BD5"/>
              <w:bottom w:val="single" w:sz="4" w:space="0" w:color="5B9BD5"/>
            </w:tcBorders>
          </w:tcPr>
          <w:p w14:paraId="7AF02141" w14:textId="77777777" w:rsidR="006428F7" w:rsidRPr="005C6E03" w:rsidRDefault="006428F7" w:rsidP="00991FA8">
            <w:pPr>
              <w:pStyle w:val="ListParagraph"/>
              <w:ind w:left="0"/>
              <w:jc w:val="left"/>
              <w:rPr>
                <w:rFonts w:cs="Times New Roman"/>
                <w:sz w:val="20"/>
                <w:szCs w:val="20"/>
              </w:rPr>
            </w:pPr>
            <w:r w:rsidRPr="005C6E03">
              <w:rPr>
                <w:sz w:val="20"/>
                <w:szCs w:val="20"/>
              </w:rPr>
              <w:t>Expand and strengthen the implementation of the range of environmental policy instruments</w:t>
            </w:r>
            <w:r>
              <w:rPr>
                <w:sz w:val="20"/>
                <w:szCs w:val="20"/>
              </w:rPr>
              <w:t xml:space="preserve"> </w:t>
            </w:r>
            <w:r w:rsidRPr="00C26464">
              <w:rPr>
                <w:sz w:val="20"/>
                <w:szCs w:val="20"/>
              </w:rPr>
              <w:t>and mechanisms to foster good environmental practice in line with EU requirements</w:t>
            </w:r>
          </w:p>
        </w:tc>
        <w:tc>
          <w:tcPr>
            <w:tcW w:w="2783" w:type="pct"/>
            <w:tcBorders>
              <w:top w:val="single" w:sz="4" w:space="0" w:color="5B9BD5"/>
              <w:bottom w:val="single" w:sz="4" w:space="0" w:color="5B9BD5"/>
            </w:tcBorders>
          </w:tcPr>
          <w:p w14:paraId="6938A8D5"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Carry out the inventory of current environmental permits taking into consideration administrative changes and establish appropriate mechanism for issuing permits at the national and local levels in line with international good practice and EU directives.</w:t>
            </w:r>
          </w:p>
        </w:tc>
        <w:tc>
          <w:tcPr>
            <w:tcW w:w="537" w:type="pct"/>
            <w:tcBorders>
              <w:top w:val="single" w:sz="4" w:space="0" w:color="5B9BD5"/>
              <w:bottom w:val="single" w:sz="4" w:space="0" w:color="5B9BD5"/>
              <w:right w:val="single" w:sz="4" w:space="0" w:color="4F81BD"/>
            </w:tcBorders>
          </w:tcPr>
          <w:p w14:paraId="3DB1D4B6" w14:textId="77777777" w:rsidR="006428F7" w:rsidRPr="002B1DFC" w:rsidRDefault="006428F7" w:rsidP="00991FA8">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6A3A2215" w14:textId="77777777" w:rsidR="006428F7" w:rsidRPr="002B1DFC"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533A62E8" w14:textId="77777777" w:rsidR="006428F7" w:rsidRPr="002B1DFC" w:rsidRDefault="006428F7" w:rsidP="00991FA8">
            <w:pPr>
              <w:ind w:left="12"/>
              <w:jc w:val="center"/>
              <w:rPr>
                <w:rFonts w:cs="Times New Roman"/>
                <w:sz w:val="20"/>
                <w:szCs w:val="20"/>
              </w:rPr>
            </w:pPr>
            <w:r>
              <w:rPr>
                <w:rFonts w:cs="Times New Roman"/>
                <w:sz w:val="20"/>
                <w:szCs w:val="20"/>
              </w:rPr>
              <w:t>CMU / MENR</w:t>
            </w:r>
          </w:p>
        </w:tc>
      </w:tr>
      <w:tr w:rsidR="006428F7" w:rsidRPr="002B1DFC" w14:paraId="0993B6AF" w14:textId="77777777" w:rsidTr="00AA1508">
        <w:tc>
          <w:tcPr>
            <w:tcW w:w="604" w:type="pct"/>
            <w:vMerge/>
            <w:tcBorders>
              <w:top w:val="single" w:sz="4" w:space="0" w:color="5B9BD5"/>
              <w:bottom w:val="single" w:sz="4" w:space="0" w:color="5B9BD5"/>
            </w:tcBorders>
          </w:tcPr>
          <w:p w14:paraId="21E28251" w14:textId="77777777" w:rsidR="006428F7" w:rsidRPr="005C6E03" w:rsidRDefault="006428F7" w:rsidP="00991FA8">
            <w:pPr>
              <w:pStyle w:val="ListParagraph"/>
              <w:tabs>
                <w:tab w:val="left" w:pos="253"/>
              </w:tabs>
              <w:ind w:left="0"/>
              <w:jc w:val="left"/>
              <w:rPr>
                <w:rFonts w:cs="Times New Roman"/>
                <w:sz w:val="20"/>
                <w:szCs w:val="20"/>
              </w:rPr>
            </w:pPr>
          </w:p>
        </w:tc>
        <w:tc>
          <w:tcPr>
            <w:tcW w:w="2783" w:type="pct"/>
            <w:tcBorders>
              <w:top w:val="single" w:sz="4" w:space="0" w:color="5B9BD5"/>
              <w:bottom w:val="single" w:sz="4" w:space="0" w:color="5B9BD5"/>
            </w:tcBorders>
          </w:tcPr>
          <w:p w14:paraId="09AE3480"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 xml:space="preserve">Develop legislative framework and mechanisms to fully introduce “polluter pays” principle </w:t>
            </w:r>
          </w:p>
        </w:tc>
        <w:tc>
          <w:tcPr>
            <w:tcW w:w="537" w:type="pct"/>
            <w:tcBorders>
              <w:top w:val="single" w:sz="4" w:space="0" w:color="5B9BD5"/>
              <w:bottom w:val="single" w:sz="4" w:space="0" w:color="5B9BD5"/>
              <w:right w:val="single" w:sz="4" w:space="0" w:color="4F81BD"/>
            </w:tcBorders>
          </w:tcPr>
          <w:p w14:paraId="7B20B929" w14:textId="77777777" w:rsidR="006428F7" w:rsidRPr="002B1DFC"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316C4F9C" w14:textId="77777777" w:rsidR="006428F7" w:rsidRPr="002B1DFC"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2336D4F0" w14:textId="77777777" w:rsidR="006428F7" w:rsidRPr="002B1DFC" w:rsidRDefault="006428F7" w:rsidP="00991FA8">
            <w:pPr>
              <w:ind w:left="12"/>
              <w:jc w:val="center"/>
              <w:rPr>
                <w:rFonts w:cs="Times New Roman"/>
                <w:sz w:val="20"/>
                <w:szCs w:val="20"/>
              </w:rPr>
            </w:pPr>
            <w:r>
              <w:rPr>
                <w:rFonts w:cs="Times New Roman"/>
                <w:sz w:val="20"/>
                <w:szCs w:val="20"/>
              </w:rPr>
              <w:t>CMU / MENR</w:t>
            </w:r>
          </w:p>
        </w:tc>
      </w:tr>
      <w:tr w:rsidR="006428F7" w:rsidRPr="002B1DFC" w14:paraId="7F9883CE" w14:textId="77777777" w:rsidTr="00AA1508">
        <w:tc>
          <w:tcPr>
            <w:tcW w:w="604" w:type="pct"/>
            <w:vMerge/>
            <w:tcBorders>
              <w:top w:val="single" w:sz="4" w:space="0" w:color="5B9BD5"/>
              <w:bottom w:val="single" w:sz="4" w:space="0" w:color="5B9BD5"/>
            </w:tcBorders>
          </w:tcPr>
          <w:p w14:paraId="02D41399" w14:textId="77777777" w:rsidR="006428F7" w:rsidRPr="005C6E03" w:rsidRDefault="006428F7" w:rsidP="00991FA8">
            <w:pPr>
              <w:pStyle w:val="ListParagraph"/>
              <w:ind w:left="0"/>
              <w:jc w:val="left"/>
              <w:rPr>
                <w:sz w:val="20"/>
                <w:szCs w:val="20"/>
              </w:rPr>
            </w:pPr>
          </w:p>
        </w:tc>
        <w:tc>
          <w:tcPr>
            <w:tcW w:w="2783" w:type="pct"/>
            <w:tcBorders>
              <w:top w:val="single" w:sz="4" w:space="0" w:color="5B9BD5"/>
              <w:bottom w:val="single" w:sz="4" w:space="0" w:color="5B9BD5"/>
            </w:tcBorders>
          </w:tcPr>
          <w:p w14:paraId="1D0074A7"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Strengthen compliance enforcement capacity of relevant agencies at local and national levels.</w:t>
            </w:r>
          </w:p>
        </w:tc>
        <w:tc>
          <w:tcPr>
            <w:tcW w:w="537" w:type="pct"/>
            <w:tcBorders>
              <w:top w:val="single" w:sz="4" w:space="0" w:color="5B9BD5"/>
              <w:bottom w:val="single" w:sz="4" w:space="0" w:color="5B9BD5"/>
              <w:right w:val="single" w:sz="4" w:space="0" w:color="4F81BD"/>
            </w:tcBorders>
          </w:tcPr>
          <w:p w14:paraId="3587FA9F" w14:textId="77777777" w:rsidR="006428F7" w:rsidRPr="002B1DFC" w:rsidRDefault="006428F7" w:rsidP="00991FA8">
            <w:pPr>
              <w:ind w:left="12"/>
              <w:jc w:val="center"/>
              <w:rPr>
                <w:rFonts w:cs="Times New Roman"/>
                <w:sz w:val="20"/>
                <w:szCs w:val="20"/>
              </w:rPr>
            </w:pPr>
            <w:r>
              <w:rPr>
                <w:rFonts w:cs="Times New Roman"/>
                <w:sz w:val="20"/>
                <w:szCs w:val="20"/>
              </w:rPr>
              <w:t xml:space="preserve">High </w:t>
            </w:r>
          </w:p>
        </w:tc>
        <w:tc>
          <w:tcPr>
            <w:tcW w:w="538" w:type="pct"/>
            <w:tcBorders>
              <w:top w:val="single" w:sz="4" w:space="0" w:color="5B9BD5"/>
              <w:bottom w:val="single" w:sz="4" w:space="0" w:color="5B9BD5"/>
              <w:right w:val="single" w:sz="4" w:space="0" w:color="4F81BD"/>
            </w:tcBorders>
          </w:tcPr>
          <w:p w14:paraId="3CA668F9" w14:textId="77777777" w:rsidR="006428F7" w:rsidRDefault="006428F7" w:rsidP="00991FA8">
            <w:pPr>
              <w:ind w:left="12"/>
              <w:jc w:val="center"/>
              <w:rPr>
                <w:rFonts w:cs="Times New Roman"/>
                <w:sz w:val="20"/>
                <w:szCs w:val="20"/>
              </w:rPr>
            </w:pPr>
            <w:r>
              <w:rPr>
                <w:rFonts w:cs="Times New Roman"/>
                <w:sz w:val="20"/>
                <w:szCs w:val="20"/>
              </w:rPr>
              <w:t xml:space="preserve">Long </w:t>
            </w:r>
          </w:p>
        </w:tc>
        <w:tc>
          <w:tcPr>
            <w:tcW w:w="538" w:type="pct"/>
            <w:tcBorders>
              <w:top w:val="single" w:sz="4" w:space="0" w:color="5B9BD5"/>
              <w:bottom w:val="single" w:sz="4" w:space="0" w:color="5B9BD5"/>
              <w:right w:val="single" w:sz="4" w:space="0" w:color="4F81BD"/>
            </w:tcBorders>
          </w:tcPr>
          <w:p w14:paraId="5715EFAC" w14:textId="77777777" w:rsidR="006428F7" w:rsidRDefault="006428F7" w:rsidP="00991FA8">
            <w:pPr>
              <w:ind w:left="12"/>
              <w:jc w:val="center"/>
              <w:rPr>
                <w:rFonts w:cs="Times New Roman"/>
                <w:sz w:val="20"/>
                <w:szCs w:val="20"/>
              </w:rPr>
            </w:pPr>
            <w:r>
              <w:rPr>
                <w:rFonts w:cs="Times New Roman"/>
                <w:sz w:val="20"/>
                <w:szCs w:val="20"/>
              </w:rPr>
              <w:t>CMU / MENR</w:t>
            </w:r>
          </w:p>
        </w:tc>
      </w:tr>
      <w:tr w:rsidR="006428F7" w:rsidRPr="002B1DFC" w14:paraId="62C7733D" w14:textId="77777777" w:rsidTr="00AA1508">
        <w:tc>
          <w:tcPr>
            <w:tcW w:w="604" w:type="pct"/>
            <w:vMerge/>
            <w:tcBorders>
              <w:top w:val="single" w:sz="4" w:space="0" w:color="5B9BD5"/>
              <w:bottom w:val="single" w:sz="4" w:space="0" w:color="5B9BD5"/>
            </w:tcBorders>
          </w:tcPr>
          <w:p w14:paraId="19056C60" w14:textId="77777777" w:rsidR="006428F7" w:rsidRPr="005C6E03" w:rsidRDefault="006428F7" w:rsidP="00991FA8">
            <w:pPr>
              <w:pStyle w:val="ListParagraph"/>
              <w:tabs>
                <w:tab w:val="left" w:pos="253"/>
              </w:tabs>
              <w:ind w:left="0"/>
              <w:jc w:val="left"/>
              <w:rPr>
                <w:rFonts w:cs="Times New Roman"/>
                <w:sz w:val="20"/>
                <w:szCs w:val="20"/>
              </w:rPr>
            </w:pPr>
          </w:p>
        </w:tc>
        <w:tc>
          <w:tcPr>
            <w:tcW w:w="2783" w:type="pct"/>
            <w:tcBorders>
              <w:top w:val="single" w:sz="4" w:space="0" w:color="5B9BD5"/>
              <w:bottom w:val="single" w:sz="4" w:space="0" w:color="5B9BD5"/>
            </w:tcBorders>
          </w:tcPr>
          <w:p w14:paraId="001B6024"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Adopt EIA and SEA laws in line with the EU directives and international good practice. Supplement the laws with appropriate regulatory acts.</w:t>
            </w:r>
          </w:p>
        </w:tc>
        <w:tc>
          <w:tcPr>
            <w:tcW w:w="537" w:type="pct"/>
            <w:tcBorders>
              <w:top w:val="single" w:sz="4" w:space="0" w:color="5B9BD5"/>
              <w:bottom w:val="single" w:sz="4" w:space="0" w:color="5B9BD5"/>
              <w:right w:val="single" w:sz="4" w:space="0" w:color="4F81BD"/>
            </w:tcBorders>
          </w:tcPr>
          <w:p w14:paraId="35440092" w14:textId="77777777" w:rsidR="006428F7" w:rsidRPr="002B1DFC" w:rsidRDefault="006428F7" w:rsidP="00991FA8">
            <w:pPr>
              <w:ind w:left="12"/>
              <w:jc w:val="center"/>
              <w:rPr>
                <w:rFonts w:cs="Times New Roman"/>
                <w:sz w:val="20"/>
                <w:szCs w:val="20"/>
              </w:rPr>
            </w:pPr>
            <w:r w:rsidRPr="002B1DFC">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0CD6C36D" w14:textId="77777777" w:rsidR="006428F7" w:rsidRPr="002B1DFC" w:rsidRDefault="006428F7" w:rsidP="00991FA8">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bottom w:val="single" w:sz="4" w:space="0" w:color="5B9BD5"/>
              <w:right w:val="single" w:sz="4" w:space="0" w:color="4F81BD"/>
            </w:tcBorders>
          </w:tcPr>
          <w:p w14:paraId="2613DB0E" w14:textId="77777777" w:rsidR="006428F7" w:rsidRPr="002B1DFC" w:rsidRDefault="006428F7" w:rsidP="00991FA8">
            <w:pPr>
              <w:ind w:left="12"/>
              <w:jc w:val="center"/>
              <w:rPr>
                <w:rFonts w:cs="Times New Roman"/>
                <w:sz w:val="20"/>
                <w:szCs w:val="20"/>
              </w:rPr>
            </w:pPr>
            <w:r>
              <w:rPr>
                <w:rFonts w:cs="Times New Roman"/>
                <w:sz w:val="20"/>
                <w:szCs w:val="20"/>
              </w:rPr>
              <w:t>CMU / MENR</w:t>
            </w:r>
          </w:p>
        </w:tc>
      </w:tr>
      <w:tr w:rsidR="006428F7" w:rsidRPr="002B1DFC" w14:paraId="0B1D2A1F" w14:textId="77777777" w:rsidTr="00AA1508">
        <w:tc>
          <w:tcPr>
            <w:tcW w:w="604" w:type="pct"/>
            <w:vMerge/>
            <w:tcBorders>
              <w:top w:val="single" w:sz="4" w:space="0" w:color="5B9BD5"/>
              <w:bottom w:val="single" w:sz="4" w:space="0" w:color="5B9BD5"/>
            </w:tcBorders>
          </w:tcPr>
          <w:p w14:paraId="189CCC1F"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524F7663"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Carry out a detailed review of the EIA procedures, roles and functions of various government agencies. In line with assessment recommendations, prepare standard procedures and technical guidelines based on the new law and agreed functions of various government and regional organs.</w:t>
            </w:r>
            <w:r w:rsidRPr="00F53FEA">
              <w:rPr>
                <w:rFonts w:cs="Times New Roman"/>
                <w:sz w:val="20"/>
                <w:szCs w:val="20"/>
              </w:rPr>
              <w:tab/>
            </w:r>
          </w:p>
        </w:tc>
        <w:tc>
          <w:tcPr>
            <w:tcW w:w="537" w:type="pct"/>
            <w:tcBorders>
              <w:top w:val="single" w:sz="4" w:space="0" w:color="5B9BD5"/>
              <w:bottom w:val="single" w:sz="4" w:space="0" w:color="5B9BD5"/>
              <w:right w:val="single" w:sz="4" w:space="0" w:color="4F81BD"/>
            </w:tcBorders>
          </w:tcPr>
          <w:p w14:paraId="4D7D857D" w14:textId="77777777" w:rsidR="006428F7" w:rsidRPr="002B1DFC" w:rsidRDefault="006428F7" w:rsidP="00991FA8">
            <w:pPr>
              <w:ind w:left="12"/>
              <w:jc w:val="center"/>
              <w:rPr>
                <w:rFonts w:cs="Times New Roman"/>
                <w:sz w:val="20"/>
                <w:szCs w:val="20"/>
              </w:rPr>
            </w:pPr>
            <w:r w:rsidRPr="002B1DFC">
              <w:rPr>
                <w:rFonts w:cs="Times New Roman"/>
                <w:sz w:val="20"/>
                <w:szCs w:val="20"/>
              </w:rPr>
              <w:t xml:space="preserve">High </w:t>
            </w:r>
          </w:p>
        </w:tc>
        <w:tc>
          <w:tcPr>
            <w:tcW w:w="538" w:type="pct"/>
            <w:tcBorders>
              <w:top w:val="single" w:sz="4" w:space="0" w:color="5B9BD5"/>
              <w:bottom w:val="single" w:sz="4" w:space="0" w:color="5B9BD5"/>
              <w:right w:val="single" w:sz="4" w:space="0" w:color="4F81BD"/>
            </w:tcBorders>
          </w:tcPr>
          <w:p w14:paraId="6376D7DC" w14:textId="77777777" w:rsidR="006428F7" w:rsidRPr="002B1DFC" w:rsidRDefault="006428F7" w:rsidP="00991FA8">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bottom w:val="single" w:sz="4" w:space="0" w:color="5B9BD5"/>
              <w:right w:val="single" w:sz="4" w:space="0" w:color="4F81BD"/>
            </w:tcBorders>
          </w:tcPr>
          <w:p w14:paraId="61440FC0" w14:textId="77777777" w:rsidR="006428F7" w:rsidRPr="002B1DFC" w:rsidRDefault="006428F7" w:rsidP="00991FA8">
            <w:pPr>
              <w:ind w:left="12"/>
              <w:jc w:val="center"/>
              <w:rPr>
                <w:rFonts w:cs="Times New Roman"/>
                <w:sz w:val="20"/>
                <w:szCs w:val="20"/>
              </w:rPr>
            </w:pPr>
            <w:r>
              <w:rPr>
                <w:rFonts w:cs="Times New Roman"/>
                <w:sz w:val="20"/>
                <w:szCs w:val="20"/>
              </w:rPr>
              <w:t>MENR / OSA</w:t>
            </w:r>
          </w:p>
        </w:tc>
      </w:tr>
      <w:tr w:rsidR="006428F7" w:rsidRPr="002B1DFC" w14:paraId="57F789B1" w14:textId="77777777" w:rsidTr="00AA1508">
        <w:tc>
          <w:tcPr>
            <w:tcW w:w="604" w:type="pct"/>
            <w:vMerge/>
            <w:tcBorders>
              <w:top w:val="single" w:sz="4" w:space="0" w:color="5B9BD5"/>
              <w:bottom w:val="single" w:sz="4" w:space="0" w:color="5B9BD5"/>
            </w:tcBorders>
          </w:tcPr>
          <w:p w14:paraId="78E593EA" w14:textId="77777777" w:rsidR="006428F7" w:rsidRPr="005C6E03" w:rsidRDefault="006428F7" w:rsidP="00991FA8">
            <w:pPr>
              <w:pStyle w:val="ListParagraph"/>
              <w:tabs>
                <w:tab w:val="left" w:pos="253"/>
              </w:tabs>
              <w:ind w:left="0"/>
              <w:jc w:val="left"/>
              <w:rPr>
                <w:rFonts w:cs="Times New Roman"/>
                <w:sz w:val="20"/>
                <w:szCs w:val="20"/>
              </w:rPr>
            </w:pPr>
          </w:p>
        </w:tc>
        <w:tc>
          <w:tcPr>
            <w:tcW w:w="2783" w:type="pct"/>
            <w:tcBorders>
              <w:top w:val="single" w:sz="4" w:space="0" w:color="5B9BD5"/>
              <w:bottom w:val="single" w:sz="4" w:space="0" w:color="5B9BD5"/>
            </w:tcBorders>
          </w:tcPr>
          <w:p w14:paraId="1A68821A" w14:textId="77777777" w:rsidR="006428F7" w:rsidRPr="00F53FEA" w:rsidRDefault="006428F7" w:rsidP="00B76BDA">
            <w:pPr>
              <w:pStyle w:val="ListParagraph"/>
              <w:numPr>
                <w:ilvl w:val="0"/>
                <w:numId w:val="78"/>
              </w:numPr>
              <w:ind w:left="360"/>
              <w:jc w:val="left"/>
              <w:rPr>
                <w:rFonts w:cs="Times New Roman"/>
                <w:sz w:val="20"/>
                <w:szCs w:val="20"/>
              </w:rPr>
            </w:pPr>
            <w:r w:rsidRPr="00F53FEA">
              <w:rPr>
                <w:rFonts w:cs="Times New Roman"/>
                <w:sz w:val="20"/>
                <w:szCs w:val="20"/>
              </w:rPr>
              <w:t xml:space="preserve">Review monitoring parameters to harmonize them with the EU monitoring parameters.  </w:t>
            </w:r>
          </w:p>
        </w:tc>
        <w:tc>
          <w:tcPr>
            <w:tcW w:w="537" w:type="pct"/>
            <w:tcBorders>
              <w:top w:val="single" w:sz="4" w:space="0" w:color="5B9BD5"/>
              <w:bottom w:val="single" w:sz="4" w:space="0" w:color="5B9BD5"/>
              <w:right w:val="single" w:sz="4" w:space="0" w:color="4F81BD"/>
            </w:tcBorders>
          </w:tcPr>
          <w:p w14:paraId="3653F04B" w14:textId="77777777" w:rsidR="006428F7" w:rsidRPr="002B1DFC"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4D3646B6" w14:textId="77777777" w:rsidR="006428F7" w:rsidRPr="002B1DFC" w:rsidRDefault="006428F7" w:rsidP="00991FA8">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bottom w:val="single" w:sz="4" w:space="0" w:color="5B9BD5"/>
              <w:right w:val="single" w:sz="4" w:space="0" w:color="4F81BD"/>
            </w:tcBorders>
          </w:tcPr>
          <w:p w14:paraId="36438950" w14:textId="77777777" w:rsidR="006428F7" w:rsidRPr="002B1DFC" w:rsidRDefault="006428F7" w:rsidP="00991FA8">
            <w:pPr>
              <w:ind w:left="12"/>
              <w:jc w:val="center"/>
              <w:rPr>
                <w:rFonts w:cs="Times New Roman"/>
                <w:sz w:val="20"/>
                <w:szCs w:val="20"/>
              </w:rPr>
            </w:pPr>
            <w:r>
              <w:rPr>
                <w:rFonts w:cs="Times New Roman"/>
                <w:sz w:val="20"/>
                <w:szCs w:val="20"/>
              </w:rPr>
              <w:t>MENR</w:t>
            </w:r>
          </w:p>
        </w:tc>
      </w:tr>
      <w:tr w:rsidR="006428F7" w:rsidRPr="002B1DFC" w14:paraId="2FFD8C46" w14:textId="77777777" w:rsidTr="00AA1508">
        <w:tc>
          <w:tcPr>
            <w:tcW w:w="604" w:type="pct"/>
            <w:vMerge w:val="restart"/>
            <w:tcBorders>
              <w:top w:val="single" w:sz="4" w:space="0" w:color="5B9BD5"/>
              <w:bottom w:val="single" w:sz="4" w:space="0" w:color="5B9BD5"/>
            </w:tcBorders>
          </w:tcPr>
          <w:p w14:paraId="4E6A3E04" w14:textId="77777777" w:rsidR="006428F7" w:rsidRPr="005C6E03" w:rsidRDefault="006428F7" w:rsidP="00991FA8">
            <w:pPr>
              <w:pStyle w:val="ListParagraph"/>
              <w:tabs>
                <w:tab w:val="left" w:pos="253"/>
              </w:tabs>
              <w:ind w:left="0"/>
              <w:jc w:val="left"/>
              <w:rPr>
                <w:rFonts w:cs="Times New Roman"/>
                <w:sz w:val="20"/>
                <w:szCs w:val="20"/>
              </w:rPr>
            </w:pPr>
            <w:r w:rsidRPr="005C6E03">
              <w:rPr>
                <w:sz w:val="20"/>
                <w:szCs w:val="20"/>
              </w:rPr>
              <w:t>Build demand for strengthened environmental management and governance with public participation</w:t>
            </w:r>
          </w:p>
        </w:tc>
        <w:tc>
          <w:tcPr>
            <w:tcW w:w="2783" w:type="pct"/>
            <w:tcBorders>
              <w:top w:val="single" w:sz="4" w:space="0" w:color="5B9BD5"/>
              <w:bottom w:val="single" w:sz="4" w:space="0" w:color="5B9BD5"/>
            </w:tcBorders>
          </w:tcPr>
          <w:p w14:paraId="5CD9FCD0" w14:textId="77777777" w:rsidR="006428F7" w:rsidRPr="00E85B1D" w:rsidRDefault="006428F7" w:rsidP="00B76BDA">
            <w:pPr>
              <w:pStyle w:val="ListParagraph"/>
              <w:numPr>
                <w:ilvl w:val="0"/>
                <w:numId w:val="78"/>
              </w:numPr>
              <w:ind w:left="360"/>
              <w:jc w:val="left"/>
              <w:rPr>
                <w:rFonts w:cs="Times New Roman"/>
                <w:sz w:val="20"/>
                <w:szCs w:val="20"/>
              </w:rPr>
            </w:pPr>
            <w:r w:rsidRPr="00E85B1D">
              <w:rPr>
                <w:rFonts w:cs="Times New Roman"/>
                <w:sz w:val="20"/>
                <w:szCs w:val="20"/>
              </w:rPr>
              <w:t>Develop a national EIA/SEA database that is accessible to all stakeholders.</w:t>
            </w:r>
          </w:p>
        </w:tc>
        <w:tc>
          <w:tcPr>
            <w:tcW w:w="537" w:type="pct"/>
            <w:tcBorders>
              <w:top w:val="single" w:sz="4" w:space="0" w:color="5B9BD5"/>
              <w:bottom w:val="single" w:sz="4" w:space="0" w:color="5B9BD5"/>
              <w:right w:val="single" w:sz="4" w:space="0" w:color="4F81BD"/>
            </w:tcBorders>
          </w:tcPr>
          <w:p w14:paraId="31C49DD7" w14:textId="77777777" w:rsidR="006428F7" w:rsidRPr="002B1DFC" w:rsidRDefault="006428F7" w:rsidP="00991FA8">
            <w:pPr>
              <w:ind w:left="12"/>
              <w:jc w:val="center"/>
              <w:rPr>
                <w:rFonts w:cs="Times New Roman"/>
                <w:sz w:val="20"/>
                <w:szCs w:val="20"/>
              </w:rPr>
            </w:pPr>
            <w:r>
              <w:rPr>
                <w:rFonts w:cs="Times New Roman"/>
                <w:sz w:val="20"/>
                <w:szCs w:val="20"/>
              </w:rPr>
              <w:t>High</w:t>
            </w:r>
            <w:r w:rsidRPr="002B1DFC" w:rsidDel="00E058FB">
              <w:rPr>
                <w:rFonts w:cs="Times New Roman"/>
                <w:sz w:val="20"/>
                <w:szCs w:val="20"/>
              </w:rPr>
              <w:t xml:space="preserve"> </w:t>
            </w:r>
          </w:p>
        </w:tc>
        <w:tc>
          <w:tcPr>
            <w:tcW w:w="538" w:type="pct"/>
            <w:tcBorders>
              <w:top w:val="single" w:sz="4" w:space="0" w:color="5B9BD5"/>
              <w:bottom w:val="single" w:sz="4" w:space="0" w:color="5B9BD5"/>
              <w:right w:val="single" w:sz="4" w:space="0" w:color="4F81BD"/>
            </w:tcBorders>
          </w:tcPr>
          <w:p w14:paraId="5EE8189F" w14:textId="77777777" w:rsidR="006428F7" w:rsidRPr="002B1DFC" w:rsidRDefault="006428F7" w:rsidP="00991FA8">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bottom w:val="single" w:sz="4" w:space="0" w:color="5B9BD5"/>
              <w:right w:val="single" w:sz="4" w:space="0" w:color="4F81BD"/>
            </w:tcBorders>
          </w:tcPr>
          <w:p w14:paraId="09056B99" w14:textId="77777777" w:rsidR="006428F7" w:rsidRPr="002B1DFC" w:rsidRDefault="006428F7" w:rsidP="00991FA8">
            <w:pPr>
              <w:ind w:left="12"/>
              <w:jc w:val="center"/>
              <w:rPr>
                <w:rFonts w:cs="Times New Roman"/>
                <w:sz w:val="20"/>
                <w:szCs w:val="20"/>
              </w:rPr>
            </w:pPr>
            <w:r>
              <w:rPr>
                <w:rFonts w:cs="Times New Roman"/>
                <w:sz w:val="20"/>
                <w:szCs w:val="20"/>
              </w:rPr>
              <w:t>MENR</w:t>
            </w:r>
          </w:p>
        </w:tc>
      </w:tr>
      <w:tr w:rsidR="006428F7" w:rsidRPr="002B1DFC" w14:paraId="2DA212F7" w14:textId="77777777" w:rsidTr="00AA1508">
        <w:tc>
          <w:tcPr>
            <w:tcW w:w="604" w:type="pct"/>
            <w:vMerge/>
            <w:tcBorders>
              <w:top w:val="single" w:sz="4" w:space="0" w:color="5B9BD5"/>
              <w:bottom w:val="single" w:sz="4" w:space="0" w:color="5B9BD5"/>
            </w:tcBorders>
          </w:tcPr>
          <w:p w14:paraId="2CFB1C0B" w14:textId="77777777" w:rsidR="006428F7" w:rsidRPr="005C6E03" w:rsidRDefault="006428F7" w:rsidP="00991FA8">
            <w:pPr>
              <w:pStyle w:val="ListParagraph"/>
              <w:tabs>
                <w:tab w:val="left" w:pos="253"/>
              </w:tabs>
              <w:ind w:left="0"/>
              <w:jc w:val="left"/>
              <w:rPr>
                <w:sz w:val="20"/>
                <w:szCs w:val="20"/>
              </w:rPr>
            </w:pPr>
          </w:p>
        </w:tc>
        <w:tc>
          <w:tcPr>
            <w:tcW w:w="2783" w:type="pct"/>
            <w:tcBorders>
              <w:top w:val="single" w:sz="4" w:space="0" w:color="5B9BD5"/>
              <w:bottom w:val="single" w:sz="4" w:space="0" w:color="5B9BD5"/>
            </w:tcBorders>
          </w:tcPr>
          <w:p w14:paraId="386F97D4" w14:textId="77777777" w:rsidR="006428F7" w:rsidRPr="00A53F4F" w:rsidRDefault="006428F7" w:rsidP="00B76BDA">
            <w:pPr>
              <w:pStyle w:val="ListParagraph"/>
              <w:numPr>
                <w:ilvl w:val="0"/>
                <w:numId w:val="78"/>
              </w:numPr>
              <w:ind w:left="360"/>
              <w:jc w:val="left"/>
              <w:rPr>
                <w:rFonts w:cs="Times New Roman"/>
                <w:sz w:val="20"/>
                <w:szCs w:val="20"/>
              </w:rPr>
            </w:pPr>
            <w:r w:rsidRPr="00E656E1">
              <w:rPr>
                <w:rFonts w:cs="Times New Roman"/>
                <w:sz w:val="20"/>
                <w:szCs w:val="20"/>
              </w:rPr>
              <w:t>Introduce changes to the legislation regarding environmental monitoring with clear allocation of responsibilities between all stakeholders regarding gathering and submission of environmental data and activity of Information Analytical Center, and provide appropriate financial resource for supporting this work and making monitoring information available to the public on the MENR’s Web site.</w:t>
            </w:r>
          </w:p>
        </w:tc>
        <w:tc>
          <w:tcPr>
            <w:tcW w:w="537" w:type="pct"/>
            <w:tcBorders>
              <w:top w:val="single" w:sz="4" w:space="0" w:color="5B9BD5"/>
              <w:bottom w:val="single" w:sz="4" w:space="0" w:color="5B9BD5"/>
              <w:right w:val="single" w:sz="4" w:space="0" w:color="4F81BD"/>
            </w:tcBorders>
          </w:tcPr>
          <w:p w14:paraId="2C2084F2" w14:textId="77777777" w:rsidR="006428F7"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76990516" w14:textId="77777777" w:rsidR="006428F7"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676520A4" w14:textId="77777777" w:rsidR="006428F7" w:rsidRDefault="006428F7" w:rsidP="00991FA8">
            <w:pPr>
              <w:ind w:left="12"/>
              <w:jc w:val="center"/>
              <w:rPr>
                <w:rFonts w:cs="Times New Roman"/>
                <w:sz w:val="20"/>
                <w:szCs w:val="20"/>
              </w:rPr>
            </w:pPr>
            <w:r>
              <w:rPr>
                <w:rFonts w:cs="Times New Roman"/>
                <w:sz w:val="20"/>
                <w:szCs w:val="20"/>
              </w:rPr>
              <w:t>CMU/MENR</w:t>
            </w:r>
          </w:p>
        </w:tc>
      </w:tr>
      <w:tr w:rsidR="006428F7" w:rsidRPr="002B1DFC" w14:paraId="1C23D321" w14:textId="77777777" w:rsidTr="00AA1508">
        <w:tc>
          <w:tcPr>
            <w:tcW w:w="604" w:type="pct"/>
            <w:vMerge/>
            <w:tcBorders>
              <w:top w:val="single" w:sz="4" w:space="0" w:color="5B9BD5"/>
              <w:bottom w:val="single" w:sz="4" w:space="0" w:color="5B9BD5"/>
            </w:tcBorders>
          </w:tcPr>
          <w:p w14:paraId="3DBE49F9" w14:textId="77777777" w:rsidR="006428F7" w:rsidRPr="005C6E03" w:rsidRDefault="006428F7" w:rsidP="00991FA8">
            <w:pPr>
              <w:pStyle w:val="ListParagraph"/>
              <w:tabs>
                <w:tab w:val="left" w:pos="253"/>
              </w:tabs>
              <w:ind w:left="0"/>
              <w:jc w:val="left"/>
              <w:rPr>
                <w:rFonts w:cs="Times New Roman"/>
                <w:sz w:val="20"/>
                <w:szCs w:val="20"/>
              </w:rPr>
            </w:pPr>
          </w:p>
        </w:tc>
        <w:tc>
          <w:tcPr>
            <w:tcW w:w="2783" w:type="pct"/>
            <w:tcBorders>
              <w:top w:val="single" w:sz="4" w:space="0" w:color="5B9BD5"/>
              <w:bottom w:val="single" w:sz="4" w:space="0" w:color="5B9BD5"/>
            </w:tcBorders>
          </w:tcPr>
          <w:p w14:paraId="4828B0CB" w14:textId="77777777" w:rsidR="006428F7" w:rsidRPr="00E85B1D" w:rsidRDefault="006428F7" w:rsidP="00B76BDA">
            <w:pPr>
              <w:pStyle w:val="ListParagraph"/>
              <w:numPr>
                <w:ilvl w:val="0"/>
                <w:numId w:val="78"/>
              </w:numPr>
              <w:ind w:left="360"/>
              <w:jc w:val="left"/>
              <w:rPr>
                <w:rFonts w:cs="Times New Roman"/>
                <w:sz w:val="20"/>
                <w:szCs w:val="20"/>
              </w:rPr>
            </w:pPr>
            <w:r w:rsidRPr="00E85B1D">
              <w:rPr>
                <w:rFonts w:cs="Times New Roman"/>
                <w:sz w:val="20"/>
                <w:szCs w:val="20"/>
              </w:rPr>
              <w:t>Enhance the implementation of a Law of Ukraine “On Access to Public Information”. Permanently update and publish information on the MENR’s Web site and Web sites of other ministries and regional organs in systematic way.</w:t>
            </w:r>
          </w:p>
        </w:tc>
        <w:tc>
          <w:tcPr>
            <w:tcW w:w="537" w:type="pct"/>
            <w:tcBorders>
              <w:top w:val="single" w:sz="4" w:space="0" w:color="5B9BD5"/>
              <w:bottom w:val="single" w:sz="4" w:space="0" w:color="5B9BD5"/>
              <w:right w:val="single" w:sz="4" w:space="0" w:color="4F81BD"/>
            </w:tcBorders>
          </w:tcPr>
          <w:p w14:paraId="5C1345B1" w14:textId="77777777" w:rsidR="006428F7" w:rsidRPr="002B1DFC"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6A65915B" w14:textId="77777777" w:rsidR="006428F7" w:rsidRDefault="006428F7" w:rsidP="00991FA8">
            <w:pPr>
              <w:ind w:left="12"/>
              <w:jc w:val="center"/>
              <w:rPr>
                <w:rFonts w:cs="Times New Roman"/>
                <w:sz w:val="20"/>
                <w:szCs w:val="20"/>
              </w:rPr>
            </w:pPr>
            <w:r>
              <w:rPr>
                <w:rFonts w:cs="Times New Roman"/>
                <w:sz w:val="20"/>
                <w:szCs w:val="20"/>
              </w:rPr>
              <w:t xml:space="preserve">Short </w:t>
            </w:r>
          </w:p>
        </w:tc>
        <w:tc>
          <w:tcPr>
            <w:tcW w:w="538" w:type="pct"/>
            <w:tcBorders>
              <w:top w:val="single" w:sz="4" w:space="0" w:color="5B9BD5"/>
              <w:bottom w:val="single" w:sz="4" w:space="0" w:color="5B9BD5"/>
              <w:right w:val="single" w:sz="4" w:space="0" w:color="4F81BD"/>
            </w:tcBorders>
          </w:tcPr>
          <w:p w14:paraId="55864C24" w14:textId="77777777" w:rsidR="006428F7" w:rsidRDefault="006428F7" w:rsidP="00991FA8">
            <w:pPr>
              <w:ind w:left="12"/>
              <w:jc w:val="center"/>
              <w:rPr>
                <w:rFonts w:cs="Times New Roman"/>
                <w:sz w:val="20"/>
                <w:szCs w:val="20"/>
              </w:rPr>
            </w:pPr>
            <w:r>
              <w:rPr>
                <w:rFonts w:cs="Times New Roman"/>
                <w:sz w:val="20"/>
                <w:szCs w:val="20"/>
              </w:rPr>
              <w:t>CMU / MENR</w:t>
            </w:r>
          </w:p>
        </w:tc>
      </w:tr>
      <w:tr w:rsidR="006428F7" w:rsidRPr="002B1DFC" w14:paraId="0CDB6023" w14:textId="77777777" w:rsidTr="00AA1508">
        <w:tc>
          <w:tcPr>
            <w:tcW w:w="604" w:type="pct"/>
            <w:vMerge/>
            <w:tcBorders>
              <w:top w:val="single" w:sz="4" w:space="0" w:color="5B9BD5"/>
              <w:bottom w:val="single" w:sz="4" w:space="0" w:color="5B9BD5"/>
            </w:tcBorders>
          </w:tcPr>
          <w:p w14:paraId="2567487F" w14:textId="77777777" w:rsidR="006428F7" w:rsidRPr="005C6E03" w:rsidRDefault="006428F7" w:rsidP="00991FA8">
            <w:pPr>
              <w:pStyle w:val="ListParagraph"/>
              <w:tabs>
                <w:tab w:val="left" w:pos="253"/>
              </w:tabs>
              <w:ind w:left="0"/>
              <w:jc w:val="left"/>
              <w:rPr>
                <w:rFonts w:cs="Times New Roman"/>
                <w:sz w:val="20"/>
                <w:szCs w:val="20"/>
              </w:rPr>
            </w:pPr>
          </w:p>
        </w:tc>
        <w:tc>
          <w:tcPr>
            <w:tcW w:w="2783" w:type="pct"/>
            <w:tcBorders>
              <w:top w:val="single" w:sz="4" w:space="0" w:color="5B9BD5"/>
              <w:bottom w:val="single" w:sz="4" w:space="0" w:color="5B9BD5"/>
            </w:tcBorders>
          </w:tcPr>
          <w:p w14:paraId="0654E9C3" w14:textId="77777777" w:rsidR="006428F7" w:rsidRPr="00E85B1D" w:rsidDel="00880B03" w:rsidRDefault="006428F7" w:rsidP="00B76BDA">
            <w:pPr>
              <w:pStyle w:val="ListParagraph"/>
              <w:numPr>
                <w:ilvl w:val="0"/>
                <w:numId w:val="78"/>
              </w:numPr>
              <w:ind w:left="360"/>
              <w:jc w:val="left"/>
              <w:rPr>
                <w:rFonts w:cs="Times New Roman"/>
                <w:sz w:val="20"/>
                <w:szCs w:val="20"/>
              </w:rPr>
            </w:pPr>
            <w:r w:rsidRPr="00E85B1D">
              <w:rPr>
                <w:rFonts w:cs="Times New Roman"/>
                <w:sz w:val="20"/>
                <w:szCs w:val="20"/>
              </w:rPr>
              <w:t>Revise the Provision on State Environmental Monitoring System taking into account reforms of central government organs, administrative reforms and changes in functions between organizations at national and regional level.  Introduce changes to the legislation regarding environmental monitoring with clear allocation of responsibilities.</w:t>
            </w:r>
          </w:p>
        </w:tc>
        <w:tc>
          <w:tcPr>
            <w:tcW w:w="537" w:type="pct"/>
            <w:tcBorders>
              <w:top w:val="single" w:sz="4" w:space="0" w:color="5B9BD5"/>
              <w:bottom w:val="single" w:sz="4" w:space="0" w:color="5B9BD5"/>
              <w:right w:val="single" w:sz="4" w:space="0" w:color="4F81BD"/>
            </w:tcBorders>
          </w:tcPr>
          <w:p w14:paraId="0298851B" w14:textId="77777777" w:rsidR="006428F7" w:rsidRPr="002B1DFC"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3037172E" w14:textId="77777777" w:rsidR="006428F7" w:rsidRPr="002B1DFC" w:rsidRDefault="006428F7" w:rsidP="00991FA8">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bottom w:val="single" w:sz="4" w:space="0" w:color="5B9BD5"/>
              <w:right w:val="single" w:sz="4" w:space="0" w:color="4F81BD"/>
            </w:tcBorders>
          </w:tcPr>
          <w:p w14:paraId="4C81064C" w14:textId="77777777" w:rsidR="006428F7" w:rsidRPr="002B1DFC" w:rsidRDefault="006428F7" w:rsidP="00991FA8">
            <w:pPr>
              <w:ind w:left="12"/>
              <w:jc w:val="center"/>
              <w:rPr>
                <w:rFonts w:cs="Times New Roman"/>
                <w:sz w:val="20"/>
                <w:szCs w:val="20"/>
              </w:rPr>
            </w:pPr>
            <w:r>
              <w:rPr>
                <w:rFonts w:cs="Times New Roman"/>
                <w:sz w:val="20"/>
                <w:szCs w:val="20"/>
              </w:rPr>
              <w:t xml:space="preserve">MENR </w:t>
            </w:r>
          </w:p>
        </w:tc>
      </w:tr>
      <w:tr w:rsidR="006428F7" w:rsidRPr="002B1DFC" w14:paraId="120F9F3B" w14:textId="77777777" w:rsidTr="00AA1508">
        <w:tc>
          <w:tcPr>
            <w:tcW w:w="604" w:type="pct"/>
            <w:vMerge/>
            <w:tcBorders>
              <w:top w:val="single" w:sz="4" w:space="0" w:color="5B9BD5"/>
              <w:bottom w:val="single" w:sz="4" w:space="0" w:color="5B9BD5"/>
            </w:tcBorders>
          </w:tcPr>
          <w:p w14:paraId="5703DFFA"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4AB45BAD" w14:textId="77777777" w:rsidR="006428F7" w:rsidRPr="00A53F4F" w:rsidRDefault="006428F7" w:rsidP="00B76BDA">
            <w:pPr>
              <w:pStyle w:val="ListParagraph"/>
              <w:numPr>
                <w:ilvl w:val="0"/>
                <w:numId w:val="78"/>
              </w:numPr>
              <w:ind w:left="360"/>
              <w:jc w:val="left"/>
              <w:rPr>
                <w:rFonts w:cs="Times New Roman"/>
                <w:sz w:val="20"/>
                <w:szCs w:val="20"/>
              </w:rPr>
            </w:pPr>
            <w:r w:rsidRPr="006428F7">
              <w:rPr>
                <w:rFonts w:cs="Times New Roman"/>
                <w:sz w:val="20"/>
                <w:szCs w:val="20"/>
              </w:rPr>
              <w:t xml:space="preserve">Build capacity of government and regional agencies to gather environmental information and disclose it, and prevent the loss of available documentation and archives during the admin-reform process. </w:t>
            </w:r>
          </w:p>
        </w:tc>
        <w:tc>
          <w:tcPr>
            <w:tcW w:w="537" w:type="pct"/>
            <w:tcBorders>
              <w:top w:val="single" w:sz="4" w:space="0" w:color="5B9BD5"/>
              <w:bottom w:val="single" w:sz="4" w:space="0" w:color="5B9BD5"/>
              <w:right w:val="single" w:sz="4" w:space="0" w:color="4F81BD"/>
            </w:tcBorders>
          </w:tcPr>
          <w:p w14:paraId="042DDE3C" w14:textId="77777777" w:rsidR="006428F7" w:rsidRPr="002B1DFC"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6EB343DD" w14:textId="77777777" w:rsidR="006428F7" w:rsidRPr="002B1DFC" w:rsidRDefault="006428F7" w:rsidP="00991FA8">
            <w:pPr>
              <w:ind w:left="12"/>
              <w:jc w:val="center"/>
              <w:rPr>
                <w:rFonts w:cs="Times New Roman"/>
                <w:sz w:val="20"/>
                <w:szCs w:val="20"/>
              </w:rPr>
            </w:pPr>
            <w:r>
              <w:rPr>
                <w:rFonts w:cs="Times New Roman"/>
                <w:sz w:val="20"/>
                <w:szCs w:val="20"/>
              </w:rPr>
              <w:t xml:space="preserve">Medium </w:t>
            </w:r>
          </w:p>
        </w:tc>
        <w:tc>
          <w:tcPr>
            <w:tcW w:w="538" w:type="pct"/>
            <w:tcBorders>
              <w:top w:val="single" w:sz="4" w:space="0" w:color="5B9BD5"/>
              <w:bottom w:val="single" w:sz="4" w:space="0" w:color="5B9BD5"/>
              <w:right w:val="single" w:sz="4" w:space="0" w:color="4F81BD"/>
            </w:tcBorders>
          </w:tcPr>
          <w:p w14:paraId="6E3F6B98" w14:textId="77777777" w:rsidR="006428F7" w:rsidRPr="002B1DFC" w:rsidRDefault="006428F7" w:rsidP="00991FA8">
            <w:pPr>
              <w:ind w:left="12"/>
              <w:jc w:val="center"/>
              <w:rPr>
                <w:rFonts w:cs="Times New Roman"/>
                <w:sz w:val="20"/>
                <w:szCs w:val="20"/>
              </w:rPr>
            </w:pPr>
            <w:r>
              <w:rPr>
                <w:rFonts w:cs="Times New Roman"/>
                <w:sz w:val="20"/>
                <w:szCs w:val="20"/>
              </w:rPr>
              <w:t>MENR</w:t>
            </w:r>
          </w:p>
        </w:tc>
      </w:tr>
      <w:tr w:rsidR="006428F7" w:rsidRPr="002B1DFC" w14:paraId="422B472B" w14:textId="77777777" w:rsidTr="00AA1508">
        <w:tc>
          <w:tcPr>
            <w:tcW w:w="604" w:type="pct"/>
            <w:vMerge/>
            <w:tcBorders>
              <w:top w:val="single" w:sz="4" w:space="0" w:color="5B9BD5"/>
              <w:bottom w:val="single" w:sz="4" w:space="0" w:color="5B9BD5"/>
            </w:tcBorders>
          </w:tcPr>
          <w:p w14:paraId="7C5C5B65" w14:textId="77777777" w:rsidR="006428F7" w:rsidRPr="005C6E03" w:rsidRDefault="006428F7" w:rsidP="00991FA8">
            <w:pPr>
              <w:pStyle w:val="ListParagraph"/>
              <w:ind w:left="0"/>
              <w:jc w:val="left"/>
              <w:rPr>
                <w:rFonts w:cs="Times New Roman"/>
                <w:sz w:val="20"/>
                <w:szCs w:val="20"/>
              </w:rPr>
            </w:pPr>
          </w:p>
        </w:tc>
        <w:tc>
          <w:tcPr>
            <w:tcW w:w="2783" w:type="pct"/>
            <w:tcBorders>
              <w:top w:val="single" w:sz="4" w:space="0" w:color="5B9BD5"/>
              <w:bottom w:val="single" w:sz="4" w:space="0" w:color="5B9BD5"/>
            </w:tcBorders>
          </w:tcPr>
          <w:p w14:paraId="7E2B1E09" w14:textId="77777777" w:rsidR="006428F7" w:rsidRPr="00E85B1D" w:rsidRDefault="006428F7" w:rsidP="00B76BDA">
            <w:pPr>
              <w:pStyle w:val="ListParagraph"/>
              <w:numPr>
                <w:ilvl w:val="0"/>
                <w:numId w:val="78"/>
              </w:numPr>
              <w:ind w:left="360"/>
              <w:jc w:val="left"/>
              <w:rPr>
                <w:rFonts w:cs="Times New Roman"/>
                <w:sz w:val="20"/>
                <w:szCs w:val="20"/>
              </w:rPr>
            </w:pPr>
            <w:r w:rsidRPr="00E85B1D">
              <w:rPr>
                <w:rFonts w:cs="Times New Roman"/>
                <w:sz w:val="20"/>
                <w:szCs w:val="20"/>
              </w:rPr>
              <w:t>Develop and implement clear procedures of information disclosure and public participation in environmental decision making.</w:t>
            </w:r>
          </w:p>
        </w:tc>
        <w:tc>
          <w:tcPr>
            <w:tcW w:w="537" w:type="pct"/>
            <w:tcBorders>
              <w:top w:val="single" w:sz="4" w:space="0" w:color="5B9BD5"/>
              <w:bottom w:val="single" w:sz="4" w:space="0" w:color="5B9BD5"/>
              <w:right w:val="single" w:sz="4" w:space="0" w:color="4F81BD"/>
            </w:tcBorders>
          </w:tcPr>
          <w:p w14:paraId="572C3249" w14:textId="77777777" w:rsidR="006428F7" w:rsidRPr="002B1DFC"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5B9BD5"/>
              <w:right w:val="single" w:sz="4" w:space="0" w:color="4F81BD"/>
            </w:tcBorders>
          </w:tcPr>
          <w:p w14:paraId="5591ED77" w14:textId="77777777" w:rsidR="006428F7" w:rsidRDefault="006428F7" w:rsidP="00991FA8">
            <w:pPr>
              <w:ind w:left="12"/>
              <w:jc w:val="center"/>
              <w:rPr>
                <w:rFonts w:cs="Times New Roman"/>
                <w:sz w:val="20"/>
                <w:szCs w:val="20"/>
              </w:rPr>
            </w:pPr>
            <w:r>
              <w:rPr>
                <w:rFonts w:cs="Times New Roman"/>
                <w:sz w:val="20"/>
                <w:szCs w:val="20"/>
              </w:rPr>
              <w:t>Medium</w:t>
            </w:r>
          </w:p>
        </w:tc>
        <w:tc>
          <w:tcPr>
            <w:tcW w:w="538" w:type="pct"/>
            <w:tcBorders>
              <w:top w:val="single" w:sz="4" w:space="0" w:color="5B9BD5"/>
              <w:bottom w:val="single" w:sz="4" w:space="0" w:color="5B9BD5"/>
              <w:right w:val="single" w:sz="4" w:space="0" w:color="4F81BD"/>
            </w:tcBorders>
          </w:tcPr>
          <w:p w14:paraId="5A4FCAFE" w14:textId="77777777" w:rsidR="006428F7" w:rsidRDefault="006428F7" w:rsidP="00991FA8">
            <w:pPr>
              <w:ind w:left="12"/>
              <w:jc w:val="center"/>
              <w:rPr>
                <w:rFonts w:cs="Times New Roman"/>
                <w:sz w:val="20"/>
                <w:szCs w:val="20"/>
              </w:rPr>
            </w:pPr>
            <w:r>
              <w:rPr>
                <w:rFonts w:cs="Times New Roman"/>
                <w:sz w:val="20"/>
                <w:szCs w:val="20"/>
              </w:rPr>
              <w:t>MENR</w:t>
            </w:r>
          </w:p>
        </w:tc>
      </w:tr>
      <w:tr w:rsidR="006428F7" w:rsidRPr="002B1DFC" w14:paraId="3B9C7CE2" w14:textId="77777777" w:rsidTr="00AA1508">
        <w:tc>
          <w:tcPr>
            <w:tcW w:w="604" w:type="pct"/>
            <w:vMerge/>
            <w:tcBorders>
              <w:top w:val="single" w:sz="4" w:space="0" w:color="5B9BD5"/>
              <w:bottom w:val="single" w:sz="4" w:space="0" w:color="4F81BD"/>
            </w:tcBorders>
          </w:tcPr>
          <w:p w14:paraId="11560EBF" w14:textId="77777777" w:rsidR="006428F7" w:rsidRPr="005C6E03" w:rsidRDefault="006428F7" w:rsidP="00991FA8">
            <w:pPr>
              <w:pStyle w:val="ListParagraph"/>
              <w:tabs>
                <w:tab w:val="left" w:pos="253"/>
              </w:tabs>
              <w:ind w:left="0"/>
              <w:jc w:val="left"/>
              <w:rPr>
                <w:sz w:val="20"/>
                <w:szCs w:val="20"/>
              </w:rPr>
            </w:pPr>
          </w:p>
        </w:tc>
        <w:tc>
          <w:tcPr>
            <w:tcW w:w="2783" w:type="pct"/>
            <w:tcBorders>
              <w:top w:val="single" w:sz="4" w:space="0" w:color="5B9BD5"/>
              <w:bottom w:val="single" w:sz="4" w:space="0" w:color="4F81BD"/>
            </w:tcBorders>
          </w:tcPr>
          <w:p w14:paraId="2D806BDC" w14:textId="77777777" w:rsidR="006428F7" w:rsidRPr="00E85B1D" w:rsidRDefault="006428F7" w:rsidP="00B76BDA">
            <w:pPr>
              <w:pStyle w:val="ListParagraph"/>
              <w:numPr>
                <w:ilvl w:val="0"/>
                <w:numId w:val="78"/>
              </w:numPr>
              <w:ind w:left="360"/>
              <w:jc w:val="left"/>
              <w:rPr>
                <w:rFonts w:cs="Times New Roman"/>
                <w:sz w:val="20"/>
                <w:szCs w:val="20"/>
              </w:rPr>
            </w:pPr>
            <w:r w:rsidRPr="00E85B1D">
              <w:rPr>
                <w:rFonts w:cs="Times New Roman"/>
                <w:sz w:val="20"/>
                <w:szCs w:val="20"/>
              </w:rPr>
              <w:t xml:space="preserve">Strengthen </w:t>
            </w:r>
            <w:r>
              <w:rPr>
                <w:rFonts w:cs="Times New Roman"/>
                <w:sz w:val="20"/>
                <w:szCs w:val="20"/>
              </w:rPr>
              <w:t xml:space="preserve">the capacity </w:t>
            </w:r>
            <w:r w:rsidRPr="00E85B1D">
              <w:rPr>
                <w:rFonts w:cs="Times New Roman"/>
                <w:sz w:val="20"/>
                <w:szCs w:val="20"/>
              </w:rPr>
              <w:t xml:space="preserve">of judiciary </w:t>
            </w:r>
            <w:r>
              <w:rPr>
                <w:rFonts w:cs="Times New Roman"/>
                <w:sz w:val="20"/>
                <w:szCs w:val="20"/>
              </w:rPr>
              <w:t xml:space="preserve">to address </w:t>
            </w:r>
            <w:r w:rsidRPr="00E85B1D">
              <w:rPr>
                <w:rFonts w:cs="Times New Roman"/>
                <w:sz w:val="20"/>
                <w:szCs w:val="20"/>
              </w:rPr>
              <w:t xml:space="preserve">environmental </w:t>
            </w:r>
            <w:r>
              <w:rPr>
                <w:rFonts w:cs="Times New Roman"/>
                <w:sz w:val="20"/>
                <w:szCs w:val="20"/>
              </w:rPr>
              <w:t>issues</w:t>
            </w:r>
            <w:r w:rsidRPr="00E85B1D">
              <w:rPr>
                <w:rFonts w:cs="Times New Roman"/>
                <w:sz w:val="20"/>
                <w:szCs w:val="20"/>
              </w:rPr>
              <w:t>.</w:t>
            </w:r>
          </w:p>
        </w:tc>
        <w:tc>
          <w:tcPr>
            <w:tcW w:w="537" w:type="pct"/>
            <w:tcBorders>
              <w:top w:val="single" w:sz="4" w:space="0" w:color="5B9BD5"/>
              <w:bottom w:val="single" w:sz="4" w:space="0" w:color="4F81BD"/>
              <w:right w:val="single" w:sz="4" w:space="0" w:color="4F81BD"/>
            </w:tcBorders>
          </w:tcPr>
          <w:p w14:paraId="32B6B2C9" w14:textId="77777777" w:rsidR="006428F7" w:rsidRDefault="006428F7" w:rsidP="00991FA8">
            <w:pPr>
              <w:ind w:left="12"/>
              <w:jc w:val="center"/>
              <w:rPr>
                <w:rFonts w:cs="Times New Roman"/>
                <w:sz w:val="20"/>
                <w:szCs w:val="20"/>
              </w:rPr>
            </w:pPr>
            <w:r>
              <w:rPr>
                <w:rFonts w:cs="Times New Roman"/>
                <w:sz w:val="20"/>
                <w:szCs w:val="20"/>
              </w:rPr>
              <w:t>High</w:t>
            </w:r>
          </w:p>
        </w:tc>
        <w:tc>
          <w:tcPr>
            <w:tcW w:w="538" w:type="pct"/>
            <w:tcBorders>
              <w:top w:val="single" w:sz="4" w:space="0" w:color="5B9BD5"/>
              <w:bottom w:val="single" w:sz="4" w:space="0" w:color="4F81BD"/>
              <w:right w:val="single" w:sz="4" w:space="0" w:color="4F81BD"/>
            </w:tcBorders>
          </w:tcPr>
          <w:p w14:paraId="25F59706" w14:textId="77777777" w:rsidR="006428F7" w:rsidRDefault="006428F7" w:rsidP="00991FA8">
            <w:pPr>
              <w:ind w:left="12"/>
              <w:jc w:val="center"/>
              <w:rPr>
                <w:rFonts w:cs="Times New Roman"/>
                <w:sz w:val="20"/>
                <w:szCs w:val="20"/>
              </w:rPr>
            </w:pPr>
            <w:r>
              <w:rPr>
                <w:rFonts w:cs="Times New Roman"/>
                <w:sz w:val="20"/>
                <w:szCs w:val="20"/>
              </w:rPr>
              <w:t>Long</w:t>
            </w:r>
          </w:p>
        </w:tc>
        <w:tc>
          <w:tcPr>
            <w:tcW w:w="538" w:type="pct"/>
            <w:tcBorders>
              <w:top w:val="single" w:sz="4" w:space="0" w:color="5B9BD5"/>
              <w:bottom w:val="single" w:sz="4" w:space="0" w:color="4F81BD"/>
              <w:right w:val="single" w:sz="4" w:space="0" w:color="4F81BD"/>
            </w:tcBorders>
          </w:tcPr>
          <w:p w14:paraId="59AF7807" w14:textId="77777777" w:rsidR="006428F7" w:rsidRDefault="006428F7" w:rsidP="00991FA8">
            <w:pPr>
              <w:ind w:left="12"/>
              <w:jc w:val="center"/>
              <w:rPr>
                <w:rFonts w:cs="Times New Roman"/>
                <w:sz w:val="20"/>
                <w:szCs w:val="20"/>
              </w:rPr>
            </w:pPr>
            <w:r>
              <w:rPr>
                <w:rFonts w:cs="Times New Roman"/>
                <w:sz w:val="20"/>
                <w:szCs w:val="20"/>
              </w:rPr>
              <w:t>Ministry of Justice / MENR</w:t>
            </w:r>
          </w:p>
        </w:tc>
      </w:tr>
    </w:tbl>
    <w:p w14:paraId="589B844E" w14:textId="77777777" w:rsidR="00A05970" w:rsidRDefault="00A05970" w:rsidP="00A05970">
      <w:pPr>
        <w:rPr>
          <w:rFonts w:cs="Times New Roman"/>
          <w:iCs/>
          <w:sz w:val="20"/>
          <w:szCs w:val="20"/>
        </w:rPr>
      </w:pPr>
      <w:r w:rsidRPr="0061686D">
        <w:rPr>
          <w:rFonts w:cs="Times New Roman"/>
          <w:i/>
          <w:iCs/>
          <w:sz w:val="20"/>
          <w:szCs w:val="20"/>
        </w:rPr>
        <w:t>* N</w:t>
      </w:r>
      <w:r w:rsidR="00781B71" w:rsidRPr="0061686D">
        <w:rPr>
          <w:rFonts w:cs="Times New Roman"/>
          <w:i/>
          <w:iCs/>
          <w:sz w:val="20"/>
          <w:szCs w:val="20"/>
        </w:rPr>
        <w:t>ote</w:t>
      </w:r>
      <w:r w:rsidRPr="0061686D">
        <w:rPr>
          <w:rFonts w:cs="Times New Roman"/>
          <w:i/>
          <w:iCs/>
          <w:sz w:val="20"/>
          <w:szCs w:val="20"/>
        </w:rPr>
        <w:t>:</w:t>
      </w:r>
      <w:r w:rsidRPr="0061686D">
        <w:rPr>
          <w:rFonts w:cs="Times New Roman"/>
          <w:iCs/>
          <w:sz w:val="20"/>
          <w:szCs w:val="20"/>
        </w:rPr>
        <w:t xml:space="preserve"> Short term</w:t>
      </w:r>
      <w:r w:rsidR="00781B71" w:rsidRPr="006020B3">
        <w:rPr>
          <w:rFonts w:cs="Times New Roman"/>
          <w:iCs/>
          <w:sz w:val="20"/>
          <w:szCs w:val="20"/>
        </w:rPr>
        <w:t xml:space="preserve"> = </w:t>
      </w:r>
      <w:r w:rsidRPr="0061686D">
        <w:rPr>
          <w:rFonts w:cs="Times New Roman"/>
          <w:iCs/>
          <w:sz w:val="20"/>
          <w:szCs w:val="20"/>
        </w:rPr>
        <w:t xml:space="preserve">1 year or less; </w:t>
      </w:r>
      <w:r w:rsidR="00781B71" w:rsidRPr="006020B3">
        <w:rPr>
          <w:rFonts w:cs="Times New Roman"/>
          <w:iCs/>
          <w:sz w:val="20"/>
          <w:szCs w:val="20"/>
        </w:rPr>
        <w:t>m</w:t>
      </w:r>
      <w:r w:rsidRPr="0061686D">
        <w:rPr>
          <w:rFonts w:cs="Times New Roman"/>
          <w:iCs/>
          <w:sz w:val="20"/>
          <w:szCs w:val="20"/>
        </w:rPr>
        <w:t>edium</w:t>
      </w:r>
      <w:r w:rsidR="00781B71" w:rsidRPr="006020B3">
        <w:rPr>
          <w:rFonts w:cs="Times New Roman"/>
          <w:iCs/>
          <w:sz w:val="20"/>
          <w:szCs w:val="20"/>
        </w:rPr>
        <w:t xml:space="preserve"> term =</w:t>
      </w:r>
      <w:r w:rsidRPr="0061686D">
        <w:rPr>
          <w:rFonts w:cs="Times New Roman"/>
          <w:iCs/>
          <w:sz w:val="20"/>
          <w:szCs w:val="20"/>
        </w:rPr>
        <w:t xml:space="preserve"> within the next 2</w:t>
      </w:r>
      <w:r w:rsidR="00781B71" w:rsidRPr="0061686D">
        <w:rPr>
          <w:rFonts w:cs="Times New Roman"/>
          <w:iCs/>
          <w:sz w:val="20"/>
          <w:szCs w:val="20"/>
        </w:rPr>
        <w:t>–</w:t>
      </w:r>
      <w:r w:rsidRPr="0061686D">
        <w:rPr>
          <w:rFonts w:cs="Times New Roman"/>
          <w:iCs/>
          <w:sz w:val="20"/>
          <w:szCs w:val="20"/>
        </w:rPr>
        <w:t>3 years; and long term</w:t>
      </w:r>
      <w:r w:rsidR="00781B71" w:rsidRPr="006020B3">
        <w:rPr>
          <w:rFonts w:cs="Times New Roman"/>
          <w:iCs/>
          <w:sz w:val="20"/>
          <w:szCs w:val="20"/>
        </w:rPr>
        <w:t xml:space="preserve"> =</w:t>
      </w:r>
      <w:r w:rsidRPr="0061686D">
        <w:rPr>
          <w:rFonts w:cs="Times New Roman"/>
          <w:iCs/>
          <w:sz w:val="20"/>
          <w:szCs w:val="20"/>
        </w:rPr>
        <w:t xml:space="preserve"> over 3 years.</w:t>
      </w:r>
    </w:p>
    <w:p w14:paraId="612F9301" w14:textId="77777777" w:rsidR="000939F7" w:rsidRDefault="000939F7" w:rsidP="00A05970">
      <w:pPr>
        <w:rPr>
          <w:rFonts w:cs="Times New Roman"/>
          <w:iCs/>
          <w:sz w:val="20"/>
          <w:szCs w:val="20"/>
        </w:rPr>
      </w:pPr>
    </w:p>
    <w:p w14:paraId="79277210" w14:textId="77777777" w:rsidR="00FE1494" w:rsidRDefault="00FE1494" w:rsidP="000939F7">
      <w:pPr>
        <w:spacing w:after="200" w:line="276" w:lineRule="auto"/>
        <w:jc w:val="left"/>
        <w:rPr>
          <w:rFonts w:eastAsia="Times New Roman" w:cs="Times New Roman"/>
          <w:b/>
          <w:bCs/>
          <w:smallCaps/>
          <w:color w:val="365F91"/>
          <w:sz w:val="28"/>
          <w:szCs w:val="28"/>
        </w:rPr>
        <w:sectPr w:rsidR="00FE1494" w:rsidSect="00FE1494">
          <w:pgSz w:w="15840" w:h="12240" w:orient="landscape"/>
          <w:pgMar w:top="1440" w:right="1440" w:bottom="1440" w:left="1440" w:header="720" w:footer="720" w:gutter="0"/>
          <w:cols w:space="720"/>
          <w:docGrid w:linePitch="360"/>
        </w:sectPr>
      </w:pPr>
    </w:p>
    <w:p w14:paraId="488AC369" w14:textId="03EEBC57" w:rsidR="00AA1508" w:rsidRDefault="00AA1508">
      <w:pPr>
        <w:jc w:val="left"/>
        <w:rPr>
          <w:rFonts w:cs="Times New Roman"/>
          <w:b/>
          <w:bCs/>
          <w:smallCaps/>
          <w:color w:val="365F91"/>
          <w:sz w:val="28"/>
          <w:szCs w:val="28"/>
        </w:rPr>
      </w:pPr>
      <w:r>
        <w:rPr>
          <w:rFonts w:cs="Times New Roman"/>
          <w:b/>
          <w:bCs/>
          <w:smallCaps/>
          <w:color w:val="365F91"/>
          <w:sz w:val="28"/>
          <w:szCs w:val="28"/>
        </w:rPr>
        <w:lastRenderedPageBreak/>
        <w:br w:type="page"/>
      </w:r>
    </w:p>
    <w:p w14:paraId="78BBF5BF" w14:textId="77777777" w:rsidR="00991FA8" w:rsidRDefault="00991FA8">
      <w:pPr>
        <w:jc w:val="left"/>
        <w:rPr>
          <w:rFonts w:cs="Times New Roman"/>
          <w:b/>
          <w:bCs/>
          <w:smallCaps/>
          <w:color w:val="365F91"/>
          <w:sz w:val="28"/>
          <w:szCs w:val="28"/>
        </w:rPr>
      </w:pPr>
    </w:p>
    <w:p w14:paraId="06A3F2ED" w14:textId="6E24002B" w:rsidR="000939F7" w:rsidRPr="002B1DFC" w:rsidRDefault="000939F7" w:rsidP="000939F7">
      <w:pPr>
        <w:pStyle w:val="Heading1"/>
        <w:tabs>
          <w:tab w:val="clear" w:pos="720"/>
          <w:tab w:val="left" w:pos="450"/>
        </w:tabs>
        <w:spacing w:before="0"/>
      </w:pPr>
      <w:bookmarkStart w:id="160" w:name="_Toc440273982"/>
      <w:r>
        <w:t>References</w:t>
      </w:r>
      <w:bookmarkEnd w:id="160"/>
    </w:p>
    <w:p w14:paraId="5AAB2CF6" w14:textId="77777777" w:rsidR="000939F7" w:rsidRPr="0061686D" w:rsidRDefault="000939F7" w:rsidP="000939F7"/>
    <w:p w14:paraId="73E8C26A" w14:textId="77777777" w:rsidR="000939F7" w:rsidRDefault="000939F7" w:rsidP="000939F7">
      <w:pPr>
        <w:spacing w:before="120"/>
        <w:ind w:left="720" w:hanging="720"/>
        <w:rPr>
          <w:rFonts w:cs="Times New Roman"/>
          <w:i/>
        </w:rPr>
      </w:pPr>
      <w:proofErr w:type="spellStart"/>
      <w:r w:rsidRPr="002B1DFC">
        <w:rPr>
          <w:rFonts w:cs="Times New Roman"/>
        </w:rPr>
        <w:t>Ageeva</w:t>
      </w:r>
      <w:proofErr w:type="spellEnd"/>
      <w:r>
        <w:rPr>
          <w:rFonts w:cs="Times New Roman"/>
        </w:rPr>
        <w:t>,</w:t>
      </w:r>
      <w:r w:rsidRPr="002B1DFC">
        <w:rPr>
          <w:rFonts w:cs="Times New Roman"/>
        </w:rPr>
        <w:t xml:space="preserve"> V</w:t>
      </w:r>
      <w:r>
        <w:rPr>
          <w:rFonts w:cs="Times New Roman"/>
        </w:rPr>
        <w:t>.,</w:t>
      </w:r>
      <w:r w:rsidRPr="002B1DFC">
        <w:rPr>
          <w:rFonts w:cs="Times New Roman"/>
        </w:rPr>
        <w:t xml:space="preserve"> et al. 2013. </w:t>
      </w:r>
      <w:r w:rsidRPr="0061686D">
        <w:rPr>
          <w:rFonts w:cs="Times New Roman"/>
          <w:i/>
        </w:rPr>
        <w:t xml:space="preserve">Public Assessment Report on the Implementation of Environmental Policy in 2012. </w:t>
      </w:r>
    </w:p>
    <w:p w14:paraId="43774FAC" w14:textId="77777777" w:rsidR="000939F7" w:rsidRPr="002B1DFC" w:rsidRDefault="000939F7" w:rsidP="000939F7">
      <w:pPr>
        <w:spacing w:after="120"/>
        <w:ind w:left="720"/>
        <w:rPr>
          <w:rFonts w:cs="Times New Roman"/>
        </w:rPr>
      </w:pPr>
      <w:r w:rsidRPr="002B1DFC">
        <w:rPr>
          <w:rFonts w:cs="Times New Roman"/>
        </w:rPr>
        <w:t>http://www.menr.gov.ua/docs/public-orhus/Gromadska%20otcinka%20MENR%202012.pdf</w:t>
      </w:r>
    </w:p>
    <w:p w14:paraId="53385A5E" w14:textId="77777777" w:rsidR="000939F7" w:rsidRPr="002B1DFC" w:rsidRDefault="000939F7" w:rsidP="000939F7">
      <w:pPr>
        <w:spacing w:before="120" w:after="120"/>
        <w:ind w:left="720" w:hanging="720"/>
        <w:rPr>
          <w:rFonts w:cs="Times New Roman"/>
        </w:rPr>
      </w:pPr>
      <w:r w:rsidRPr="002B1DFC">
        <w:rPr>
          <w:rFonts w:cs="Times New Roman"/>
        </w:rPr>
        <w:t xml:space="preserve">Agreement on a </w:t>
      </w:r>
      <w:r>
        <w:rPr>
          <w:rFonts w:cs="Times New Roman"/>
        </w:rPr>
        <w:t>C</w:t>
      </w:r>
      <w:r w:rsidRPr="002B1DFC">
        <w:rPr>
          <w:rFonts w:cs="Times New Roman"/>
        </w:rPr>
        <w:t xml:space="preserve">oalition of </w:t>
      </w:r>
      <w:r>
        <w:rPr>
          <w:rFonts w:cs="Times New Roman"/>
        </w:rPr>
        <w:t>P</w:t>
      </w:r>
      <w:r w:rsidRPr="002B1DFC">
        <w:rPr>
          <w:rFonts w:cs="Times New Roman"/>
        </w:rPr>
        <w:t xml:space="preserve">arliamentary </w:t>
      </w:r>
      <w:r>
        <w:rPr>
          <w:rFonts w:cs="Times New Roman"/>
        </w:rPr>
        <w:t>F</w:t>
      </w:r>
      <w:r w:rsidRPr="002B1DFC">
        <w:rPr>
          <w:rFonts w:cs="Times New Roman"/>
        </w:rPr>
        <w:t xml:space="preserve">actions </w:t>
      </w:r>
      <w:r>
        <w:rPr>
          <w:rFonts w:cs="Times New Roman"/>
        </w:rPr>
        <w:t>“</w:t>
      </w:r>
      <w:r w:rsidRPr="002B1DFC">
        <w:rPr>
          <w:rFonts w:cs="Times New Roman"/>
        </w:rPr>
        <w:t>European Ukraine</w:t>
      </w:r>
      <w:r>
        <w:rPr>
          <w:rFonts w:cs="Times New Roman"/>
        </w:rPr>
        <w:t>”.</w:t>
      </w:r>
      <w:r w:rsidRPr="002B1DFC">
        <w:rPr>
          <w:rFonts w:cs="Times New Roman"/>
        </w:rPr>
        <w:t xml:space="preserve"> 2014</w:t>
      </w:r>
      <w:r>
        <w:rPr>
          <w:rFonts w:cs="Times New Roman"/>
        </w:rPr>
        <w:t>.</w:t>
      </w:r>
    </w:p>
    <w:p w14:paraId="33EF9CAB" w14:textId="77777777" w:rsidR="000939F7" w:rsidRPr="002B1DFC" w:rsidRDefault="000939F7" w:rsidP="000939F7">
      <w:pPr>
        <w:spacing w:before="120" w:after="120"/>
        <w:ind w:left="720" w:hanging="720"/>
        <w:rPr>
          <w:rFonts w:cs="Times New Roman"/>
        </w:rPr>
      </w:pPr>
      <w:r w:rsidRPr="002B1DFC">
        <w:rPr>
          <w:rFonts w:cs="Times New Roman"/>
        </w:rPr>
        <w:t>Annex B to DBN A.2.2-1-2003: List of Laws and Conventions</w:t>
      </w:r>
      <w:r>
        <w:rPr>
          <w:rFonts w:cs="Times New Roman"/>
        </w:rPr>
        <w:t>.</w:t>
      </w:r>
      <w:r w:rsidRPr="002B1DFC">
        <w:rPr>
          <w:rFonts w:cs="Times New Roman"/>
        </w:rPr>
        <w:t xml:space="preserve"> </w:t>
      </w:r>
    </w:p>
    <w:p w14:paraId="0A5A21C5" w14:textId="77777777" w:rsidR="000939F7" w:rsidRDefault="000939F7" w:rsidP="000939F7">
      <w:pPr>
        <w:spacing w:before="120" w:after="120"/>
        <w:ind w:left="720" w:hanging="720"/>
        <w:rPr>
          <w:rFonts w:cs="Times New Roman"/>
        </w:rPr>
      </w:pPr>
      <w:r w:rsidRPr="002B1DFC">
        <w:rPr>
          <w:rFonts w:cs="Times New Roman"/>
        </w:rPr>
        <w:t xml:space="preserve">Annex </w:t>
      </w:r>
      <w:r w:rsidRPr="002A54E7">
        <w:rPr>
          <w:rFonts w:cs="Times New Roman"/>
        </w:rPr>
        <w:t>XXX</w:t>
      </w:r>
      <w:r w:rsidRPr="002B1DFC">
        <w:rPr>
          <w:rFonts w:cs="Times New Roman"/>
        </w:rPr>
        <w:t xml:space="preserve"> to Title 5, Section 6 of Agreement EU</w:t>
      </w:r>
      <w:r>
        <w:rPr>
          <w:rFonts w:cs="Times New Roman"/>
        </w:rPr>
        <w:t>–</w:t>
      </w:r>
      <w:r w:rsidRPr="002B1DFC">
        <w:rPr>
          <w:rFonts w:cs="Times New Roman"/>
        </w:rPr>
        <w:t>Ukraine</w:t>
      </w:r>
      <w:r>
        <w:rPr>
          <w:rFonts w:cs="Times New Roman"/>
        </w:rPr>
        <w:t>.</w:t>
      </w:r>
    </w:p>
    <w:p w14:paraId="3ECE2748" w14:textId="77777777" w:rsidR="000939F7" w:rsidRDefault="000939F7" w:rsidP="000939F7">
      <w:pPr>
        <w:spacing w:before="120" w:after="120"/>
        <w:ind w:left="720" w:hanging="720"/>
      </w:pPr>
      <w:r w:rsidRPr="005C55AC">
        <w:rPr>
          <w:rFonts w:cs="Times New Roman"/>
        </w:rPr>
        <w:t>Byfuglien</w:t>
      </w:r>
      <w:r>
        <w:t xml:space="preserve"> J., Gabriel </w:t>
      </w:r>
      <w:proofErr w:type="spellStart"/>
      <w:r>
        <w:t>Gamez</w:t>
      </w:r>
      <w:proofErr w:type="spellEnd"/>
      <w:r>
        <w:t xml:space="preserve">, Peter Hackl, Claudia Junker, </w:t>
      </w:r>
      <w:proofErr w:type="spellStart"/>
      <w:r>
        <w:t>Bronislava</w:t>
      </w:r>
      <w:proofErr w:type="spellEnd"/>
      <w:r>
        <w:t xml:space="preserve"> </w:t>
      </w:r>
      <w:proofErr w:type="spellStart"/>
      <w:r>
        <w:t>Kaminskiene</w:t>
      </w:r>
      <w:proofErr w:type="spellEnd"/>
      <w:r>
        <w:t xml:space="preserve">, </w:t>
      </w:r>
      <w:proofErr w:type="spellStart"/>
      <w:r>
        <w:t>Jolanta</w:t>
      </w:r>
      <w:proofErr w:type="spellEnd"/>
      <w:r>
        <w:t xml:space="preserve"> </w:t>
      </w:r>
      <w:proofErr w:type="spellStart"/>
      <w:r>
        <w:t>Szczerbinska</w:t>
      </w:r>
      <w:proofErr w:type="spellEnd"/>
      <w:r>
        <w:t xml:space="preserve">, and Kurt </w:t>
      </w:r>
      <w:proofErr w:type="spellStart"/>
      <w:r>
        <w:t>Wass</w:t>
      </w:r>
      <w:proofErr w:type="spellEnd"/>
      <w:r>
        <w:t xml:space="preserve">. 2012. </w:t>
      </w:r>
      <w:r>
        <w:rPr>
          <w:i/>
        </w:rPr>
        <w:t xml:space="preserve">Adapted Global Assessment of the National Statistical System of Ukraine. </w:t>
      </w:r>
      <w:hyperlink r:id="rId27" w:history="1">
        <w:r>
          <w:rPr>
            <w:rStyle w:val="Hyperlink"/>
          </w:rPr>
          <w:t>http://www.ukrstat.gov.ua/m_diyaln/AGA_2012/AGA_Report_UA2.pdf</w:t>
        </w:r>
      </w:hyperlink>
    </w:p>
    <w:p w14:paraId="05C5CF26" w14:textId="77777777" w:rsidR="000939F7" w:rsidRPr="002B1DFC" w:rsidRDefault="000939F7" w:rsidP="000939F7">
      <w:pPr>
        <w:spacing w:before="120" w:after="120"/>
        <w:ind w:left="720" w:hanging="720"/>
        <w:rPr>
          <w:rFonts w:cs="Times New Roman"/>
        </w:rPr>
      </w:pPr>
      <w:r w:rsidRPr="002B1DFC">
        <w:rPr>
          <w:rFonts w:cs="Times New Roman"/>
        </w:rPr>
        <w:t>Cabinet Ministers of Ukraine</w:t>
      </w:r>
      <w:r>
        <w:rPr>
          <w:rFonts w:cs="Times New Roman"/>
        </w:rPr>
        <w:t>.</w:t>
      </w:r>
      <w:r w:rsidRPr="002B1DFC">
        <w:rPr>
          <w:rFonts w:cs="Times New Roman"/>
        </w:rPr>
        <w:t xml:space="preserve"> www.kmu.gov.ua</w:t>
      </w:r>
    </w:p>
    <w:p w14:paraId="10A89E0E" w14:textId="77777777" w:rsidR="000939F7" w:rsidRDefault="000939F7" w:rsidP="000939F7">
      <w:pPr>
        <w:spacing w:before="120" w:after="120"/>
        <w:ind w:left="720" w:hanging="720"/>
        <w:rPr>
          <w:rFonts w:cs="Times New Roman"/>
        </w:rPr>
      </w:pPr>
      <w:r w:rsidRPr="002B1DFC">
        <w:rPr>
          <w:rFonts w:cs="Times New Roman"/>
        </w:rPr>
        <w:t xml:space="preserve">Cabinet of </w:t>
      </w:r>
      <w:r>
        <w:rPr>
          <w:rFonts w:cs="Times New Roman"/>
        </w:rPr>
        <w:t>M</w:t>
      </w:r>
      <w:r w:rsidRPr="002B1DFC">
        <w:rPr>
          <w:rFonts w:cs="Times New Roman"/>
        </w:rPr>
        <w:t xml:space="preserve">inisters’ </w:t>
      </w:r>
      <w:r>
        <w:rPr>
          <w:rFonts w:cs="Times New Roman"/>
        </w:rPr>
        <w:t>R</w:t>
      </w:r>
      <w:r w:rsidRPr="002B1DFC">
        <w:rPr>
          <w:rFonts w:cs="Times New Roman"/>
        </w:rPr>
        <w:t xml:space="preserve">esolution </w:t>
      </w:r>
      <w:r>
        <w:rPr>
          <w:rFonts w:cs="Times New Roman"/>
        </w:rPr>
        <w:t>N</w:t>
      </w:r>
      <w:r w:rsidRPr="002B1DFC">
        <w:rPr>
          <w:rFonts w:cs="Times New Roman"/>
        </w:rPr>
        <w:t>o. 159</w:t>
      </w:r>
      <w:r>
        <w:rPr>
          <w:rFonts w:cs="Times New Roman"/>
        </w:rPr>
        <w:t>,</w:t>
      </w:r>
      <w:r w:rsidRPr="002B1DFC">
        <w:rPr>
          <w:rFonts w:cs="Times New Roman"/>
        </w:rPr>
        <w:t xml:space="preserve"> </w:t>
      </w:r>
      <w:r>
        <w:rPr>
          <w:rFonts w:cs="Times New Roman"/>
        </w:rPr>
        <w:t xml:space="preserve">March </w:t>
      </w:r>
      <w:r w:rsidRPr="002B1DFC">
        <w:rPr>
          <w:rFonts w:cs="Times New Roman"/>
        </w:rPr>
        <w:t>13</w:t>
      </w:r>
      <w:r>
        <w:rPr>
          <w:rFonts w:cs="Times New Roman"/>
        </w:rPr>
        <w:t xml:space="preserve">, </w:t>
      </w:r>
      <w:r w:rsidRPr="002B1DFC">
        <w:rPr>
          <w:rFonts w:cs="Times New Roman"/>
        </w:rPr>
        <w:t>2013</w:t>
      </w:r>
      <w:r>
        <w:rPr>
          <w:rFonts w:cs="Times New Roman"/>
        </w:rPr>
        <w:t>,</w:t>
      </w:r>
      <w:r w:rsidRPr="002B1DFC">
        <w:rPr>
          <w:rFonts w:cs="Times New Roman"/>
        </w:rPr>
        <w:t xml:space="preserve"> </w:t>
      </w:r>
      <w:r>
        <w:rPr>
          <w:rFonts w:cs="Times New Roman"/>
        </w:rPr>
        <w:t>“</w:t>
      </w:r>
      <w:r w:rsidRPr="002B1DFC">
        <w:rPr>
          <w:rFonts w:cs="Times New Roman"/>
        </w:rPr>
        <w:t xml:space="preserve">On </w:t>
      </w:r>
      <w:r>
        <w:rPr>
          <w:rFonts w:cs="Times New Roman"/>
        </w:rPr>
        <w:t>L</w:t>
      </w:r>
      <w:r w:rsidRPr="002B1DFC">
        <w:rPr>
          <w:rFonts w:cs="Times New Roman"/>
        </w:rPr>
        <w:t xml:space="preserve">iquidation of the </w:t>
      </w:r>
      <w:r>
        <w:rPr>
          <w:rFonts w:cs="Times New Roman"/>
        </w:rPr>
        <w:t>T</w:t>
      </w:r>
      <w:r w:rsidRPr="002B1DFC">
        <w:rPr>
          <w:rFonts w:cs="Times New Roman"/>
        </w:rPr>
        <w:t xml:space="preserve">erritorial </w:t>
      </w:r>
      <w:r>
        <w:rPr>
          <w:rFonts w:cs="Times New Roman"/>
        </w:rPr>
        <w:t>B</w:t>
      </w:r>
      <w:r w:rsidRPr="002B1DFC">
        <w:rPr>
          <w:rFonts w:cs="Times New Roman"/>
        </w:rPr>
        <w:t>ranches of the Ministry of Environment</w:t>
      </w:r>
      <w:r>
        <w:rPr>
          <w:rFonts w:cs="Times New Roman"/>
        </w:rPr>
        <w:t>.”</w:t>
      </w:r>
    </w:p>
    <w:p w14:paraId="2FC429DF" w14:textId="77777777" w:rsidR="000939F7" w:rsidRDefault="000939F7" w:rsidP="000939F7">
      <w:pPr>
        <w:spacing w:before="120" w:after="120"/>
        <w:ind w:left="720" w:hanging="720"/>
      </w:pPr>
      <w:r w:rsidRPr="00001CBE">
        <w:rPr>
          <w:rFonts w:cs="Times New Roman"/>
        </w:rPr>
        <w:t>Central</w:t>
      </w:r>
      <w:r>
        <w:t xml:space="preserve"> Geophysical Observatory. 2015. </w:t>
      </w:r>
      <w:r>
        <w:rPr>
          <w:i/>
        </w:rPr>
        <w:t>Review of the State of Environmental Pollution in Ukraine in 2014.</w:t>
      </w:r>
      <w:r>
        <w:t xml:space="preserve"> </w:t>
      </w:r>
      <w:hyperlink r:id="rId28" w:history="1">
        <w:r>
          <w:rPr>
            <w:rStyle w:val="Hyperlink"/>
          </w:rPr>
          <w:t>http://www.cgo.kiev.ua/index.php?fn=u_zabrud&amp;f=ukraine&amp;p=1</w:t>
        </w:r>
      </w:hyperlink>
    </w:p>
    <w:p w14:paraId="13871EFD" w14:textId="77777777" w:rsidR="000939F7" w:rsidRPr="002B1DFC" w:rsidRDefault="000939F7" w:rsidP="000939F7">
      <w:pPr>
        <w:spacing w:before="120" w:after="120"/>
        <w:ind w:left="720" w:hanging="720"/>
        <w:rPr>
          <w:rFonts w:cs="Times New Roman"/>
        </w:rPr>
      </w:pPr>
      <w:r w:rsidRPr="003342C7">
        <w:rPr>
          <w:rFonts w:cs="Times New Roman"/>
        </w:rPr>
        <w:t>CMU</w:t>
      </w:r>
      <w:r>
        <w:rPr>
          <w:rFonts w:cs="Times New Roman"/>
        </w:rPr>
        <w:t>. 2013.</w:t>
      </w:r>
      <w:r w:rsidRPr="003342C7">
        <w:rPr>
          <w:rFonts w:cs="Times New Roman"/>
        </w:rPr>
        <w:t xml:space="preserve"> Resolution </w:t>
      </w:r>
      <w:r>
        <w:rPr>
          <w:rFonts w:cs="Times New Roman"/>
        </w:rPr>
        <w:t xml:space="preserve">No. </w:t>
      </w:r>
      <w:r w:rsidRPr="003342C7">
        <w:rPr>
          <w:rFonts w:cs="Times New Roman"/>
        </w:rPr>
        <w:t>808 of 2013. List of activities and objects of high hazard.</w:t>
      </w:r>
    </w:p>
    <w:p w14:paraId="41BC949F" w14:textId="77777777" w:rsidR="000939F7" w:rsidRPr="002B1DFC" w:rsidRDefault="000939F7" w:rsidP="000939F7">
      <w:pPr>
        <w:spacing w:before="120" w:after="120"/>
        <w:ind w:left="720" w:hanging="720"/>
        <w:rPr>
          <w:rFonts w:cs="Times New Roman"/>
        </w:rPr>
      </w:pPr>
      <w:r w:rsidRPr="002B1DFC">
        <w:rPr>
          <w:rFonts w:cs="Times New Roman"/>
        </w:rPr>
        <w:t xml:space="preserve">Decree of the Cabinet of Ministers of Ukraine of </w:t>
      </w:r>
      <w:r>
        <w:rPr>
          <w:rFonts w:cs="Times New Roman"/>
        </w:rPr>
        <w:t xml:space="preserve">August </w:t>
      </w:r>
      <w:r w:rsidRPr="002B1DFC">
        <w:rPr>
          <w:rFonts w:cs="Times New Roman"/>
        </w:rPr>
        <w:t>13</w:t>
      </w:r>
      <w:r>
        <w:rPr>
          <w:rFonts w:cs="Times New Roman"/>
        </w:rPr>
        <w:t xml:space="preserve">, </w:t>
      </w:r>
      <w:r w:rsidRPr="002B1DFC">
        <w:rPr>
          <w:rFonts w:cs="Times New Roman"/>
        </w:rPr>
        <w:t>2014</w:t>
      </w:r>
      <w:r>
        <w:rPr>
          <w:rFonts w:cs="Times New Roman"/>
        </w:rPr>
        <w:t>,</w:t>
      </w:r>
      <w:r w:rsidRPr="002B1DFC">
        <w:rPr>
          <w:rFonts w:cs="Times New Roman"/>
        </w:rPr>
        <w:t xml:space="preserve"> </w:t>
      </w:r>
      <w:r>
        <w:rPr>
          <w:rFonts w:cs="Times New Roman"/>
        </w:rPr>
        <w:t>N</w:t>
      </w:r>
      <w:r w:rsidRPr="002B1DFC">
        <w:rPr>
          <w:rFonts w:cs="Times New Roman"/>
        </w:rPr>
        <w:t xml:space="preserve">o. 408 </w:t>
      </w:r>
      <w:r>
        <w:rPr>
          <w:rFonts w:cs="Times New Roman"/>
        </w:rPr>
        <w:t>“</w:t>
      </w:r>
      <w:r w:rsidRPr="002B1DFC">
        <w:rPr>
          <w:rFonts w:cs="Times New Roman"/>
        </w:rPr>
        <w:t xml:space="preserve">Introduction of </w:t>
      </w:r>
      <w:r>
        <w:rPr>
          <w:rFonts w:cs="Times New Roman"/>
        </w:rPr>
        <w:t>L</w:t>
      </w:r>
      <w:r w:rsidRPr="002B1DFC">
        <w:rPr>
          <w:rFonts w:cs="Times New Roman"/>
        </w:rPr>
        <w:t xml:space="preserve">imitations on Implementation of Inspections by State Inspection and </w:t>
      </w:r>
      <w:r>
        <w:rPr>
          <w:rFonts w:cs="Times New Roman"/>
        </w:rPr>
        <w:t>O</w:t>
      </w:r>
      <w:r w:rsidRPr="002B1DFC">
        <w:rPr>
          <w:rFonts w:cs="Times New Roman"/>
        </w:rPr>
        <w:t>ther Supervisory Authorities.</w:t>
      </w:r>
      <w:r>
        <w:rPr>
          <w:rFonts w:cs="Times New Roman"/>
        </w:rPr>
        <w:t>”</w:t>
      </w:r>
      <w:r w:rsidRPr="002B1DFC">
        <w:rPr>
          <w:rFonts w:cs="Times New Roman"/>
        </w:rPr>
        <w:t xml:space="preserve"> </w:t>
      </w:r>
    </w:p>
    <w:p w14:paraId="7A9E60E3" w14:textId="77777777" w:rsidR="000939F7" w:rsidRPr="002B1DFC" w:rsidRDefault="000939F7" w:rsidP="000939F7">
      <w:pPr>
        <w:spacing w:before="120" w:after="120"/>
        <w:ind w:left="720" w:hanging="720"/>
        <w:rPr>
          <w:rFonts w:cs="Times New Roman"/>
        </w:rPr>
      </w:pPr>
      <w:r w:rsidRPr="002B1DFC">
        <w:rPr>
          <w:rFonts w:cs="Times New Roman"/>
        </w:rPr>
        <w:t xml:space="preserve">Decree of the Cabinet of Ministers of Ukraine of </w:t>
      </w:r>
      <w:r>
        <w:rPr>
          <w:rFonts w:cs="Times New Roman"/>
        </w:rPr>
        <w:t xml:space="preserve">March </w:t>
      </w:r>
      <w:r w:rsidRPr="002B1DFC">
        <w:rPr>
          <w:rFonts w:cs="Times New Roman"/>
        </w:rPr>
        <w:t>30</w:t>
      </w:r>
      <w:r>
        <w:rPr>
          <w:rFonts w:cs="Times New Roman"/>
        </w:rPr>
        <w:t xml:space="preserve">, </w:t>
      </w:r>
      <w:r w:rsidRPr="002B1DFC">
        <w:rPr>
          <w:rFonts w:cs="Times New Roman"/>
        </w:rPr>
        <w:t>1998</w:t>
      </w:r>
      <w:r>
        <w:rPr>
          <w:rFonts w:cs="Times New Roman"/>
        </w:rPr>
        <w:t>,</w:t>
      </w:r>
      <w:r w:rsidRPr="002B1DFC">
        <w:rPr>
          <w:rFonts w:cs="Times New Roman"/>
        </w:rPr>
        <w:t xml:space="preserve"> </w:t>
      </w:r>
      <w:r>
        <w:rPr>
          <w:rFonts w:cs="Times New Roman"/>
        </w:rPr>
        <w:t>N</w:t>
      </w:r>
      <w:r w:rsidRPr="002B1DFC">
        <w:rPr>
          <w:rFonts w:cs="Times New Roman"/>
        </w:rPr>
        <w:t xml:space="preserve">o. 391 </w:t>
      </w:r>
      <w:r>
        <w:rPr>
          <w:rFonts w:cs="Times New Roman"/>
        </w:rPr>
        <w:t>“</w:t>
      </w:r>
      <w:r w:rsidRPr="002B1DFC">
        <w:rPr>
          <w:rFonts w:cs="Times New Roman"/>
        </w:rPr>
        <w:t xml:space="preserve">On </w:t>
      </w:r>
      <w:r>
        <w:rPr>
          <w:rFonts w:cs="Times New Roman"/>
        </w:rPr>
        <w:t>A</w:t>
      </w:r>
      <w:r w:rsidRPr="002B1DFC">
        <w:rPr>
          <w:rFonts w:cs="Times New Roman"/>
        </w:rPr>
        <w:t xml:space="preserve">pproval of the </w:t>
      </w:r>
      <w:r>
        <w:rPr>
          <w:rFonts w:cs="Times New Roman"/>
        </w:rPr>
        <w:t>S</w:t>
      </w:r>
      <w:r w:rsidRPr="002B1DFC">
        <w:rPr>
          <w:rFonts w:cs="Times New Roman"/>
        </w:rPr>
        <w:t xml:space="preserve">tate </w:t>
      </w:r>
      <w:r>
        <w:rPr>
          <w:rFonts w:cs="Times New Roman"/>
        </w:rPr>
        <w:t>S</w:t>
      </w:r>
      <w:r w:rsidRPr="002B1DFC">
        <w:rPr>
          <w:rFonts w:cs="Times New Roman"/>
        </w:rPr>
        <w:t xml:space="preserve">ystem of </w:t>
      </w:r>
      <w:r>
        <w:rPr>
          <w:rFonts w:cs="Times New Roman"/>
        </w:rPr>
        <w:t>E</w:t>
      </w:r>
      <w:r w:rsidRPr="002B1DFC">
        <w:rPr>
          <w:rFonts w:cs="Times New Roman"/>
        </w:rPr>
        <w:t xml:space="preserve">nvironmental </w:t>
      </w:r>
      <w:r>
        <w:rPr>
          <w:rFonts w:cs="Times New Roman"/>
        </w:rPr>
        <w:t>M</w:t>
      </w:r>
      <w:r w:rsidRPr="002B1DFC">
        <w:rPr>
          <w:rFonts w:cs="Times New Roman"/>
        </w:rPr>
        <w:t xml:space="preserve">onitoring." </w:t>
      </w:r>
    </w:p>
    <w:p w14:paraId="28F7EF75" w14:textId="77777777" w:rsidR="000939F7" w:rsidRPr="002B1DFC" w:rsidRDefault="000939F7" w:rsidP="000939F7">
      <w:pPr>
        <w:spacing w:before="120" w:after="120"/>
        <w:ind w:left="720" w:hanging="720"/>
        <w:rPr>
          <w:rFonts w:cs="Times New Roman"/>
        </w:rPr>
      </w:pPr>
      <w:r w:rsidRPr="002B1DFC">
        <w:rPr>
          <w:rFonts w:cs="Times New Roman"/>
        </w:rPr>
        <w:t xml:space="preserve">Decree of the President of Ukraine of </w:t>
      </w:r>
      <w:r>
        <w:rPr>
          <w:rFonts w:cs="Times New Roman"/>
        </w:rPr>
        <w:t xml:space="preserve">April </w:t>
      </w:r>
      <w:r w:rsidRPr="002B1DFC">
        <w:rPr>
          <w:rFonts w:cs="Times New Roman"/>
        </w:rPr>
        <w:t>6</w:t>
      </w:r>
      <w:r>
        <w:rPr>
          <w:rFonts w:cs="Times New Roman"/>
        </w:rPr>
        <w:t xml:space="preserve">, </w:t>
      </w:r>
      <w:r w:rsidRPr="002B1DFC">
        <w:rPr>
          <w:rFonts w:cs="Times New Roman"/>
        </w:rPr>
        <w:t>2011</w:t>
      </w:r>
      <w:r>
        <w:rPr>
          <w:rFonts w:cs="Times New Roman"/>
        </w:rPr>
        <w:t>,</w:t>
      </w:r>
      <w:r w:rsidRPr="002B1DFC">
        <w:rPr>
          <w:rFonts w:cs="Times New Roman"/>
        </w:rPr>
        <w:t xml:space="preserve"> </w:t>
      </w:r>
      <w:r>
        <w:rPr>
          <w:rFonts w:cs="Times New Roman"/>
        </w:rPr>
        <w:t>N</w:t>
      </w:r>
      <w:r w:rsidRPr="002B1DFC">
        <w:rPr>
          <w:rFonts w:cs="Times New Roman"/>
        </w:rPr>
        <w:t xml:space="preserve">o. 400/2011 </w:t>
      </w:r>
      <w:r>
        <w:rPr>
          <w:rFonts w:cs="Times New Roman"/>
        </w:rPr>
        <w:t>“</w:t>
      </w:r>
      <w:r w:rsidRPr="002B1DFC">
        <w:rPr>
          <w:rFonts w:cs="Times New Roman"/>
        </w:rPr>
        <w:t xml:space="preserve">On Regulation on the State Sanitary and Epidemiological Service of Ukraine." </w:t>
      </w:r>
    </w:p>
    <w:p w14:paraId="4AAA333F" w14:textId="77777777" w:rsidR="000939F7" w:rsidRPr="002B1DFC" w:rsidRDefault="000939F7" w:rsidP="000939F7">
      <w:pPr>
        <w:spacing w:before="120" w:after="120"/>
        <w:ind w:left="720" w:hanging="720"/>
        <w:rPr>
          <w:rFonts w:cs="Times New Roman"/>
        </w:rPr>
      </w:pPr>
      <w:r w:rsidRPr="002B1DFC">
        <w:rPr>
          <w:rFonts w:cs="Times New Roman"/>
        </w:rPr>
        <w:t xml:space="preserve">Decree of the President of Ukraine of </w:t>
      </w:r>
      <w:r>
        <w:rPr>
          <w:rFonts w:cs="Times New Roman"/>
        </w:rPr>
        <w:t xml:space="preserve">April </w:t>
      </w:r>
      <w:r w:rsidRPr="002B1DFC">
        <w:rPr>
          <w:rFonts w:cs="Times New Roman"/>
        </w:rPr>
        <w:t>13</w:t>
      </w:r>
      <w:r>
        <w:rPr>
          <w:rFonts w:cs="Times New Roman"/>
        </w:rPr>
        <w:t xml:space="preserve">, </w:t>
      </w:r>
      <w:r w:rsidRPr="002B1DFC">
        <w:rPr>
          <w:rFonts w:cs="Times New Roman"/>
        </w:rPr>
        <w:t>2011</w:t>
      </w:r>
      <w:r>
        <w:rPr>
          <w:rFonts w:cs="Times New Roman"/>
        </w:rPr>
        <w:t>,</w:t>
      </w:r>
      <w:r w:rsidRPr="002B1DFC">
        <w:rPr>
          <w:rFonts w:cs="Times New Roman"/>
        </w:rPr>
        <w:t xml:space="preserve"> </w:t>
      </w:r>
      <w:r>
        <w:rPr>
          <w:rFonts w:cs="Times New Roman"/>
        </w:rPr>
        <w:t>N</w:t>
      </w:r>
      <w:r w:rsidRPr="002B1DFC">
        <w:rPr>
          <w:rFonts w:cs="Times New Roman"/>
        </w:rPr>
        <w:t xml:space="preserve">o. 454/2011 </w:t>
      </w:r>
      <w:r>
        <w:rPr>
          <w:rFonts w:cs="Times New Roman"/>
        </w:rPr>
        <w:t>“</w:t>
      </w:r>
      <w:r w:rsidRPr="002B1DFC">
        <w:rPr>
          <w:rFonts w:cs="Times New Roman"/>
        </w:rPr>
        <w:t>On Regulations o</w:t>
      </w:r>
      <w:r>
        <w:rPr>
          <w:rFonts w:cs="Times New Roman"/>
        </w:rPr>
        <w:t>f</w:t>
      </w:r>
      <w:r w:rsidRPr="002B1DFC">
        <w:rPr>
          <w:rFonts w:cs="Times New Roman"/>
        </w:rPr>
        <w:t xml:space="preserve"> State Ecological Inspectorate of Ukraine</w:t>
      </w:r>
      <w:r>
        <w:rPr>
          <w:rFonts w:cs="Times New Roman"/>
        </w:rPr>
        <w:t>.”</w:t>
      </w:r>
      <w:r w:rsidRPr="002B1DFC">
        <w:rPr>
          <w:rFonts w:cs="Times New Roman"/>
        </w:rPr>
        <w:t xml:space="preserve"> </w:t>
      </w:r>
    </w:p>
    <w:p w14:paraId="7E7CC642" w14:textId="77777777" w:rsidR="000939F7" w:rsidRPr="002B1DFC" w:rsidRDefault="000939F7" w:rsidP="000939F7">
      <w:pPr>
        <w:spacing w:before="120" w:after="120"/>
        <w:ind w:left="720" w:hanging="720"/>
        <w:rPr>
          <w:rFonts w:cs="Times New Roman"/>
        </w:rPr>
      </w:pPr>
      <w:r w:rsidRPr="002B1DFC">
        <w:rPr>
          <w:rFonts w:cs="Times New Roman"/>
        </w:rPr>
        <w:t xml:space="preserve">Decree of the Ukraine Cabinet of Ministers of </w:t>
      </w:r>
      <w:r>
        <w:rPr>
          <w:rFonts w:cs="Times New Roman"/>
        </w:rPr>
        <w:t xml:space="preserve">January </w:t>
      </w:r>
      <w:r w:rsidRPr="002B1DFC">
        <w:rPr>
          <w:rFonts w:cs="Times New Roman"/>
        </w:rPr>
        <w:t>21</w:t>
      </w:r>
      <w:r>
        <w:rPr>
          <w:rFonts w:cs="Times New Roman"/>
        </w:rPr>
        <w:t xml:space="preserve">, </w:t>
      </w:r>
      <w:r w:rsidRPr="002B1DFC">
        <w:rPr>
          <w:rFonts w:cs="Times New Roman"/>
        </w:rPr>
        <w:t>2015</w:t>
      </w:r>
      <w:r>
        <w:rPr>
          <w:rFonts w:cs="Times New Roman"/>
        </w:rPr>
        <w:t>,</w:t>
      </w:r>
      <w:r w:rsidRPr="002B1DFC">
        <w:rPr>
          <w:rFonts w:cs="Times New Roman"/>
        </w:rPr>
        <w:t xml:space="preserve"> </w:t>
      </w:r>
      <w:r>
        <w:rPr>
          <w:rFonts w:cs="Times New Roman"/>
        </w:rPr>
        <w:t>N</w:t>
      </w:r>
      <w:r w:rsidRPr="002B1DFC">
        <w:rPr>
          <w:rFonts w:cs="Times New Roman"/>
        </w:rPr>
        <w:t xml:space="preserve">o. 32 </w:t>
      </w:r>
      <w:r>
        <w:rPr>
          <w:rFonts w:cs="Times New Roman"/>
        </w:rPr>
        <w:t>“</w:t>
      </w:r>
      <w:r w:rsidRPr="002B1DFC">
        <w:rPr>
          <w:rFonts w:cs="Times New Roman"/>
        </w:rPr>
        <w:t xml:space="preserve">On </w:t>
      </w:r>
      <w:r>
        <w:rPr>
          <w:rFonts w:cs="Times New Roman"/>
        </w:rPr>
        <w:t>A</w:t>
      </w:r>
      <w:r w:rsidRPr="002B1DFC">
        <w:rPr>
          <w:rFonts w:cs="Times New Roman"/>
        </w:rPr>
        <w:t>pproval of the Ministry of Ecology and Natural Resources of Ukraine Regulation</w:t>
      </w:r>
      <w:r>
        <w:rPr>
          <w:rFonts w:cs="Times New Roman"/>
        </w:rPr>
        <w:t>.”</w:t>
      </w:r>
    </w:p>
    <w:p w14:paraId="13CED208" w14:textId="77777777" w:rsidR="000939F7" w:rsidRPr="002B1DFC" w:rsidRDefault="000939F7" w:rsidP="000939F7">
      <w:pPr>
        <w:spacing w:before="120" w:after="120"/>
        <w:ind w:left="720" w:hanging="720"/>
        <w:rPr>
          <w:rFonts w:cs="Times New Roman"/>
        </w:rPr>
      </w:pPr>
      <w:r w:rsidRPr="002B1DFC">
        <w:rPr>
          <w:rFonts w:cs="Times New Roman"/>
        </w:rPr>
        <w:t>Draft Law on EIA (2015)</w:t>
      </w:r>
      <w:r>
        <w:rPr>
          <w:rFonts w:cs="Times New Roman"/>
        </w:rPr>
        <w:t>.</w:t>
      </w:r>
    </w:p>
    <w:p w14:paraId="005C40B8" w14:textId="77777777" w:rsidR="000939F7" w:rsidRPr="002B1DFC" w:rsidRDefault="000939F7" w:rsidP="000939F7">
      <w:pPr>
        <w:spacing w:before="120" w:after="120"/>
        <w:ind w:left="720" w:hanging="720"/>
        <w:rPr>
          <w:rFonts w:cs="Times New Roman"/>
        </w:rPr>
      </w:pPr>
      <w:r w:rsidRPr="002B1DFC">
        <w:rPr>
          <w:rFonts w:cs="Times New Roman"/>
        </w:rPr>
        <w:t>Draft Law on Strategic Environmental Assessment (2015)</w:t>
      </w:r>
      <w:r>
        <w:rPr>
          <w:rFonts w:cs="Times New Roman"/>
        </w:rPr>
        <w:t>.</w:t>
      </w:r>
    </w:p>
    <w:p w14:paraId="6E2B9514" w14:textId="77777777" w:rsidR="000939F7" w:rsidRPr="002B1DFC" w:rsidRDefault="000939F7" w:rsidP="000939F7">
      <w:pPr>
        <w:spacing w:before="120" w:after="120"/>
        <w:ind w:left="720" w:hanging="720"/>
        <w:rPr>
          <w:rFonts w:cs="Times New Roman"/>
        </w:rPr>
      </w:pPr>
      <w:r w:rsidRPr="002B1DFC">
        <w:rPr>
          <w:rFonts w:cs="Times New Roman"/>
        </w:rPr>
        <w:t xml:space="preserve">EBED </w:t>
      </w:r>
      <w:r>
        <w:rPr>
          <w:rFonts w:cs="Times New Roman"/>
        </w:rPr>
        <w:t>P</w:t>
      </w:r>
      <w:r w:rsidRPr="002B1DFC">
        <w:rPr>
          <w:rFonts w:cs="Times New Roman"/>
        </w:rPr>
        <w:t>roject “Building Capacity in Evidence-Based Economic Development in Ukrainian Oblasts and Municipalities Project</w:t>
      </w:r>
      <w:r>
        <w:rPr>
          <w:rFonts w:cs="Times New Roman"/>
        </w:rPr>
        <w:t>.</w:t>
      </w:r>
      <w:r w:rsidRPr="002B1DFC">
        <w:rPr>
          <w:rFonts w:cs="Times New Roman"/>
        </w:rPr>
        <w:t xml:space="preserve">” http://www.ebed.org </w:t>
      </w:r>
    </w:p>
    <w:p w14:paraId="19030FFD" w14:textId="77777777" w:rsidR="000939F7" w:rsidRPr="002B1DFC" w:rsidRDefault="000939F7" w:rsidP="000939F7">
      <w:pPr>
        <w:spacing w:before="120" w:after="120"/>
        <w:ind w:left="720" w:hanging="720"/>
        <w:rPr>
          <w:rFonts w:cs="Times New Roman"/>
        </w:rPr>
      </w:pPr>
      <w:r w:rsidRPr="002B1DFC">
        <w:rPr>
          <w:rFonts w:cs="Times New Roman"/>
        </w:rPr>
        <w:t xml:space="preserve">EC (European Commission). 2014. Implementation of the European </w:t>
      </w:r>
      <w:proofErr w:type="spellStart"/>
      <w:r w:rsidRPr="002B1DFC">
        <w:rPr>
          <w:rFonts w:cs="Times New Roman"/>
        </w:rPr>
        <w:t>Neighbourhood</w:t>
      </w:r>
      <w:proofErr w:type="spellEnd"/>
      <w:r w:rsidRPr="002B1DFC">
        <w:rPr>
          <w:rFonts w:cs="Times New Roman"/>
        </w:rPr>
        <w:t xml:space="preserve"> Policy in Ukraine</w:t>
      </w:r>
      <w:r>
        <w:rPr>
          <w:rFonts w:cs="Times New Roman"/>
        </w:rPr>
        <w:t xml:space="preserve">: </w:t>
      </w:r>
      <w:r w:rsidRPr="002B1DFC">
        <w:rPr>
          <w:rFonts w:cs="Times New Roman"/>
        </w:rPr>
        <w:t xml:space="preserve"> Progress in 2013 and </w:t>
      </w:r>
      <w:r>
        <w:rPr>
          <w:rFonts w:cs="Times New Roman"/>
        </w:rPr>
        <w:t>R</w:t>
      </w:r>
      <w:r w:rsidRPr="002B1DFC">
        <w:rPr>
          <w:rFonts w:cs="Times New Roman"/>
        </w:rPr>
        <w:t xml:space="preserve">ecommendations for </w:t>
      </w:r>
      <w:r>
        <w:rPr>
          <w:rFonts w:cs="Times New Roman"/>
        </w:rPr>
        <w:t>A</w:t>
      </w:r>
      <w:r w:rsidRPr="002B1DFC">
        <w:rPr>
          <w:rFonts w:cs="Times New Roman"/>
        </w:rPr>
        <w:t>ction. SWD</w:t>
      </w:r>
      <w:r>
        <w:rPr>
          <w:rFonts w:cs="Times New Roman"/>
        </w:rPr>
        <w:t xml:space="preserve"> </w:t>
      </w:r>
      <w:r w:rsidRPr="002B1DFC">
        <w:rPr>
          <w:rFonts w:cs="Times New Roman"/>
        </w:rPr>
        <w:t xml:space="preserve">(2014) 96 </w:t>
      </w:r>
      <w:r>
        <w:rPr>
          <w:rFonts w:cs="Times New Roman"/>
        </w:rPr>
        <w:t>F</w:t>
      </w:r>
      <w:r w:rsidRPr="002B1DFC">
        <w:rPr>
          <w:rFonts w:cs="Times New Roman"/>
        </w:rPr>
        <w:t xml:space="preserve">inal. </w:t>
      </w:r>
      <w:r>
        <w:rPr>
          <w:rFonts w:cs="Times New Roman"/>
        </w:rPr>
        <w:t xml:space="preserve">March </w:t>
      </w:r>
      <w:r w:rsidRPr="002B1DFC">
        <w:rPr>
          <w:rFonts w:cs="Times New Roman"/>
        </w:rPr>
        <w:t>27</w:t>
      </w:r>
      <w:r>
        <w:rPr>
          <w:rFonts w:cs="Times New Roman"/>
        </w:rPr>
        <w:t xml:space="preserve">, </w:t>
      </w:r>
      <w:r w:rsidRPr="002B1DFC">
        <w:rPr>
          <w:rFonts w:cs="Times New Roman"/>
        </w:rPr>
        <w:t xml:space="preserve">2014. </w:t>
      </w:r>
      <w:r w:rsidRPr="00C61C7A">
        <w:rPr>
          <w:rFonts w:cs="Times New Roman"/>
        </w:rPr>
        <w:t>Brussels</w:t>
      </w:r>
      <w:r>
        <w:rPr>
          <w:rFonts w:cs="Times New Roman"/>
        </w:rPr>
        <w:t>: EC.</w:t>
      </w:r>
    </w:p>
    <w:p w14:paraId="2589182E" w14:textId="77777777" w:rsidR="000939F7" w:rsidRPr="002B1DFC" w:rsidRDefault="000939F7" w:rsidP="000939F7">
      <w:pPr>
        <w:spacing w:before="120" w:after="120"/>
        <w:ind w:left="720" w:hanging="720"/>
        <w:rPr>
          <w:rFonts w:cs="Times New Roman"/>
        </w:rPr>
      </w:pPr>
      <w:r w:rsidRPr="002B1DFC">
        <w:rPr>
          <w:rFonts w:cs="Times New Roman"/>
        </w:rPr>
        <w:t xml:space="preserve">Economic Commission for Europe </w:t>
      </w:r>
      <w:r>
        <w:rPr>
          <w:rFonts w:cs="Times New Roman"/>
        </w:rPr>
        <w:t>–</w:t>
      </w:r>
      <w:r w:rsidRPr="002B1DFC">
        <w:rPr>
          <w:rFonts w:cs="Times New Roman"/>
        </w:rPr>
        <w:t xml:space="preserve"> Committee on Environmental Policy. 1999. Environmental Performance Reviews – Ukraine</w:t>
      </w:r>
      <w:r>
        <w:rPr>
          <w:rFonts w:cs="Times New Roman"/>
        </w:rPr>
        <w:t>.</w:t>
      </w:r>
      <w:r w:rsidRPr="002B1DFC">
        <w:rPr>
          <w:rFonts w:cs="Times New Roman"/>
        </w:rPr>
        <w:t xml:space="preserve"> New York and Geneva</w:t>
      </w:r>
      <w:r>
        <w:rPr>
          <w:rFonts w:cs="Times New Roman"/>
        </w:rPr>
        <w:t>: United Nations.</w:t>
      </w:r>
    </w:p>
    <w:p w14:paraId="17716A31" w14:textId="77777777" w:rsidR="000939F7" w:rsidRPr="002B1DFC" w:rsidRDefault="000939F7" w:rsidP="000939F7">
      <w:pPr>
        <w:spacing w:before="120" w:after="120"/>
        <w:ind w:left="720" w:hanging="720"/>
        <w:rPr>
          <w:rFonts w:cs="Times New Roman"/>
        </w:rPr>
      </w:pPr>
      <w:r w:rsidRPr="002B1DFC">
        <w:rPr>
          <w:rFonts w:cs="Times New Roman"/>
        </w:rPr>
        <w:t xml:space="preserve">Economic Commission for Europe. </w:t>
      </w:r>
      <w:r>
        <w:rPr>
          <w:rFonts w:cs="Times New Roman"/>
        </w:rPr>
        <w:t xml:space="preserve">2007. </w:t>
      </w:r>
      <w:r w:rsidRPr="002B1DFC">
        <w:rPr>
          <w:rFonts w:cs="Times New Roman"/>
        </w:rPr>
        <w:t>The Second Environmental Performance Review of Ukraine, 2007.</w:t>
      </w:r>
      <w:r>
        <w:rPr>
          <w:rFonts w:cs="Times New Roman"/>
        </w:rPr>
        <w:t xml:space="preserve"> </w:t>
      </w:r>
      <w:r w:rsidRPr="00C61C7A">
        <w:rPr>
          <w:rFonts w:cs="Times New Roman"/>
        </w:rPr>
        <w:t>Ukraine. New York and Geneva: United Nations.</w:t>
      </w:r>
    </w:p>
    <w:p w14:paraId="7503863B" w14:textId="77777777" w:rsidR="000939F7" w:rsidRPr="002B1DFC" w:rsidRDefault="000939F7" w:rsidP="000939F7">
      <w:pPr>
        <w:spacing w:before="120" w:after="120"/>
        <w:ind w:left="720" w:hanging="720"/>
        <w:rPr>
          <w:rFonts w:cs="Times New Roman"/>
        </w:rPr>
      </w:pPr>
      <w:r w:rsidRPr="002B1DFC">
        <w:rPr>
          <w:rFonts w:cs="Times New Roman"/>
        </w:rPr>
        <w:t xml:space="preserve">EPL (Environment People Law). 2010. </w:t>
      </w:r>
      <w:r>
        <w:rPr>
          <w:rFonts w:cs="Times New Roman"/>
        </w:rPr>
        <w:t>“</w:t>
      </w:r>
      <w:r w:rsidRPr="002B1DFC">
        <w:rPr>
          <w:rFonts w:cs="Times New Roman"/>
        </w:rPr>
        <w:t xml:space="preserve">Public </w:t>
      </w:r>
      <w:r>
        <w:rPr>
          <w:rFonts w:cs="Times New Roman"/>
        </w:rPr>
        <w:t>M</w:t>
      </w:r>
      <w:r w:rsidRPr="002B1DFC">
        <w:rPr>
          <w:rFonts w:cs="Times New Roman"/>
        </w:rPr>
        <w:t xml:space="preserve">onitoring of </w:t>
      </w:r>
      <w:r>
        <w:rPr>
          <w:rFonts w:cs="Times New Roman"/>
        </w:rPr>
        <w:t>C</w:t>
      </w:r>
      <w:r w:rsidRPr="002B1DFC">
        <w:rPr>
          <w:rFonts w:cs="Times New Roman"/>
        </w:rPr>
        <w:t xml:space="preserve">ourt </w:t>
      </w:r>
      <w:r>
        <w:rPr>
          <w:rFonts w:cs="Times New Roman"/>
        </w:rPr>
        <w:t>C</w:t>
      </w:r>
      <w:r w:rsidRPr="002B1DFC">
        <w:rPr>
          <w:rFonts w:cs="Times New Roman"/>
        </w:rPr>
        <w:t xml:space="preserve">ases </w:t>
      </w:r>
      <w:r>
        <w:rPr>
          <w:rFonts w:cs="Times New Roman"/>
        </w:rPr>
        <w:t>R</w:t>
      </w:r>
      <w:r w:rsidRPr="002B1DFC">
        <w:rPr>
          <w:rFonts w:cs="Times New Roman"/>
        </w:rPr>
        <w:t xml:space="preserve">elated to </w:t>
      </w:r>
      <w:r>
        <w:rPr>
          <w:rFonts w:cs="Times New Roman"/>
        </w:rPr>
        <w:t>E</w:t>
      </w:r>
      <w:r w:rsidRPr="002B1DFC">
        <w:rPr>
          <w:rFonts w:cs="Times New Roman"/>
        </w:rPr>
        <w:t xml:space="preserve">nvironmental </w:t>
      </w:r>
      <w:r>
        <w:rPr>
          <w:rFonts w:cs="Times New Roman"/>
        </w:rPr>
        <w:t>R</w:t>
      </w:r>
      <w:r w:rsidRPr="002B1DFC">
        <w:rPr>
          <w:rFonts w:cs="Times New Roman"/>
        </w:rPr>
        <w:t xml:space="preserve">ights of </w:t>
      </w:r>
      <w:r>
        <w:rPr>
          <w:rFonts w:cs="Times New Roman"/>
        </w:rPr>
        <w:t>P</w:t>
      </w:r>
      <w:r w:rsidRPr="002B1DFC">
        <w:rPr>
          <w:rFonts w:cs="Times New Roman"/>
        </w:rPr>
        <w:t xml:space="preserve">eople in </w:t>
      </w:r>
      <w:proofErr w:type="spellStart"/>
      <w:r w:rsidRPr="002B1DFC">
        <w:rPr>
          <w:rFonts w:cs="Times New Roman"/>
        </w:rPr>
        <w:t>Lviv</w:t>
      </w:r>
      <w:proofErr w:type="spellEnd"/>
      <w:r w:rsidRPr="002B1DFC">
        <w:rPr>
          <w:rFonts w:cs="Times New Roman"/>
        </w:rPr>
        <w:t xml:space="preserve"> and </w:t>
      </w:r>
      <w:proofErr w:type="spellStart"/>
      <w:r w:rsidRPr="002B1DFC">
        <w:rPr>
          <w:rFonts w:cs="Times New Roman"/>
        </w:rPr>
        <w:t>Ternopil</w:t>
      </w:r>
      <w:proofErr w:type="spellEnd"/>
      <w:r w:rsidRPr="002B1DFC">
        <w:rPr>
          <w:rFonts w:cs="Times New Roman"/>
        </w:rPr>
        <w:t xml:space="preserve"> Regions</w:t>
      </w:r>
      <w:r>
        <w:rPr>
          <w:rFonts w:cs="Times New Roman"/>
        </w:rPr>
        <w:t>.”</w:t>
      </w:r>
      <w:r w:rsidRPr="002B1DFC">
        <w:rPr>
          <w:rFonts w:cs="Times New Roman"/>
        </w:rPr>
        <w:t xml:space="preserve"> In</w:t>
      </w:r>
      <w:r>
        <w:rPr>
          <w:rFonts w:cs="Times New Roman"/>
        </w:rPr>
        <w:t xml:space="preserve"> </w:t>
      </w:r>
      <w:r w:rsidRPr="002B1DFC">
        <w:rPr>
          <w:rFonts w:cs="Times New Roman"/>
        </w:rPr>
        <w:t>Ukrainian. http://www.epl.org.ua/people/nashi-</w:t>
      </w:r>
      <w:r w:rsidRPr="002B1DFC">
        <w:rPr>
          <w:rFonts w:cs="Times New Roman"/>
        </w:rPr>
        <w:lastRenderedPageBreak/>
        <w:t xml:space="preserve">publikatsii/543-hromadskyi-monitorynh-sudovykh-sprav-iaki-stosuiutsia-ekolohichnykh-prav-liudei-u-lvivskii-ta-ternopolskii-oblastiakh </w:t>
      </w:r>
    </w:p>
    <w:p w14:paraId="23417AA0" w14:textId="77777777" w:rsidR="000939F7" w:rsidRPr="002B1DFC" w:rsidRDefault="000939F7" w:rsidP="000939F7">
      <w:pPr>
        <w:spacing w:before="120" w:after="120"/>
        <w:ind w:left="720" w:hanging="720"/>
        <w:rPr>
          <w:rFonts w:cs="Times New Roman"/>
        </w:rPr>
      </w:pPr>
      <w:r w:rsidRPr="002B1DFC">
        <w:rPr>
          <w:rFonts w:cs="Times New Roman"/>
        </w:rPr>
        <w:t xml:space="preserve">EU </w:t>
      </w:r>
      <w:r>
        <w:rPr>
          <w:rFonts w:cs="Times New Roman"/>
        </w:rPr>
        <w:t>P</w:t>
      </w:r>
      <w:r w:rsidRPr="002B1DFC">
        <w:rPr>
          <w:rFonts w:cs="Times New Roman"/>
        </w:rPr>
        <w:t>roject “Complementary Support to the Ministry of Ecology and Natural Resources of Ukraine for the Sector Budget Support Implementation</w:t>
      </w:r>
      <w:r>
        <w:rPr>
          <w:rFonts w:cs="Times New Roman"/>
        </w:rPr>
        <w:t>.</w:t>
      </w:r>
      <w:r w:rsidRPr="002B1DFC">
        <w:rPr>
          <w:rFonts w:cs="Times New Roman"/>
        </w:rPr>
        <w:t>” http://www.sbs-envir.org</w:t>
      </w:r>
    </w:p>
    <w:p w14:paraId="220A02E6" w14:textId="77777777" w:rsidR="000939F7" w:rsidRDefault="000939F7" w:rsidP="000939F7">
      <w:pPr>
        <w:spacing w:before="120" w:after="120"/>
        <w:ind w:left="720" w:hanging="720"/>
        <w:rPr>
          <w:rFonts w:cs="Times New Roman"/>
        </w:rPr>
      </w:pPr>
      <w:r w:rsidRPr="002B1DFC">
        <w:rPr>
          <w:rFonts w:cs="Times New Roman"/>
        </w:rPr>
        <w:t xml:space="preserve">EU </w:t>
      </w:r>
      <w:r>
        <w:rPr>
          <w:rFonts w:cs="Times New Roman"/>
        </w:rPr>
        <w:t>P</w:t>
      </w:r>
      <w:r w:rsidRPr="002B1DFC">
        <w:rPr>
          <w:rFonts w:cs="Times New Roman"/>
        </w:rPr>
        <w:t>roject “The Air Quality Governance</w:t>
      </w:r>
      <w:r>
        <w:rPr>
          <w:rFonts w:cs="Times New Roman"/>
        </w:rPr>
        <w:t>.</w:t>
      </w:r>
      <w:r w:rsidRPr="002B1DFC">
        <w:rPr>
          <w:rFonts w:cs="Times New Roman"/>
        </w:rPr>
        <w:t xml:space="preserve">” </w:t>
      </w:r>
      <w:hyperlink r:id="rId29" w:history="1">
        <w:r w:rsidRPr="001F6A87">
          <w:rPr>
            <w:rStyle w:val="Hyperlink"/>
          </w:rPr>
          <w:t>http://airgovernance.eu</w:t>
        </w:r>
      </w:hyperlink>
    </w:p>
    <w:p w14:paraId="751E02ED" w14:textId="77777777" w:rsidR="000939F7" w:rsidRPr="002B1DFC" w:rsidRDefault="000939F7" w:rsidP="000939F7">
      <w:pPr>
        <w:spacing w:before="120" w:after="120"/>
        <w:ind w:left="720" w:hanging="720"/>
        <w:rPr>
          <w:rFonts w:cs="Times New Roman"/>
        </w:rPr>
      </w:pPr>
      <w:r w:rsidRPr="00827A6D">
        <w:t>EU project/MAMA-86 “Building Environmental Democracy in Ukraine</w:t>
      </w:r>
      <w:r>
        <w:t>.</w:t>
      </w:r>
      <w:r w:rsidRPr="00827A6D">
        <w:t xml:space="preserve">” 2015. </w:t>
      </w:r>
      <w:r w:rsidRPr="00F046A2">
        <w:rPr>
          <w:i/>
        </w:rPr>
        <w:t>Annual Report of NGOs (NGO AR) Public Assessment of the Ukrainian Environmental Policy for 2013</w:t>
      </w:r>
      <w:r w:rsidRPr="00827A6D">
        <w:t>. Kyiv</w:t>
      </w:r>
      <w:r>
        <w:t>.</w:t>
      </w:r>
    </w:p>
    <w:p w14:paraId="1B6321FB" w14:textId="77777777" w:rsidR="000939F7" w:rsidRDefault="000939F7" w:rsidP="000939F7">
      <w:pPr>
        <w:spacing w:before="120" w:after="120"/>
        <w:ind w:left="720" w:hanging="720"/>
        <w:rPr>
          <w:rFonts w:cs="Times New Roman"/>
        </w:rPr>
      </w:pPr>
      <w:r w:rsidRPr="00001CBE">
        <w:rPr>
          <w:rFonts w:cs="Times New Roman"/>
        </w:rPr>
        <w:t xml:space="preserve">GHK. 2010. </w:t>
      </w:r>
      <w:r w:rsidRPr="00001CBE">
        <w:rPr>
          <w:rFonts w:cs="Times New Roman"/>
          <w:i/>
          <w:iCs/>
        </w:rPr>
        <w:t>Collection of Information and Data to Support the Impact Assessment Study of the Review of the EIA Directive. A Study for DG Environment</w:t>
      </w:r>
      <w:r w:rsidRPr="00001CBE">
        <w:rPr>
          <w:rFonts w:cs="Times New Roman"/>
        </w:rPr>
        <w:t>. Final report submitted</w:t>
      </w:r>
      <w:r>
        <w:rPr>
          <w:rFonts w:cs="Times New Roman"/>
        </w:rPr>
        <w:t xml:space="preserve"> </w:t>
      </w:r>
      <w:r w:rsidRPr="00001CBE">
        <w:rPr>
          <w:rFonts w:cs="Times New Roman"/>
        </w:rPr>
        <w:t>by GHK, London, September 30. http://ec.europa.eu/environment/eia/pdf/collection_data.pdf.</w:t>
      </w:r>
    </w:p>
    <w:p w14:paraId="451B529B" w14:textId="77777777" w:rsidR="000939F7" w:rsidRDefault="000939F7" w:rsidP="000939F7">
      <w:pPr>
        <w:spacing w:before="120" w:after="120"/>
        <w:ind w:left="720" w:hanging="720"/>
      </w:pPr>
      <w:r w:rsidRPr="00001CBE">
        <w:rPr>
          <w:rFonts w:cs="Times New Roman"/>
        </w:rPr>
        <w:t>Government</w:t>
      </w:r>
      <w:r>
        <w:t xml:space="preserve"> Agency for Ecological Investments of Ukraine. 2015. </w:t>
      </w:r>
      <w:r>
        <w:rPr>
          <w:i/>
          <w:iCs/>
        </w:rPr>
        <w:t>National Inventory Report to the United National Framework Convention on Climate Change.</w:t>
      </w:r>
      <w:r>
        <w:rPr>
          <w:i/>
          <w:iCs/>
        </w:rPr>
        <w:tab/>
      </w:r>
      <w:r>
        <w:t xml:space="preserve"> </w:t>
      </w:r>
      <w:hyperlink r:id="rId30" w:history="1">
        <w:r w:rsidRPr="00EC65AA">
          <w:rPr>
            <w:rStyle w:val="Hyperlink"/>
          </w:rPr>
          <w:t>http://unfccc.int/files/national_reports/annex_i_ghg_inventories/national_inventories_submissions/application/zip/ukr-2014-nir-15apr.zip</w:t>
        </w:r>
      </w:hyperlink>
    </w:p>
    <w:p w14:paraId="443CD588" w14:textId="77777777" w:rsidR="000939F7" w:rsidRDefault="000939F7" w:rsidP="000939F7">
      <w:pPr>
        <w:spacing w:before="120" w:after="120"/>
        <w:ind w:left="720" w:hanging="720"/>
        <w:rPr>
          <w:rFonts w:cs="Times New Roman"/>
        </w:rPr>
      </w:pPr>
      <w:r w:rsidRPr="002B1DFC">
        <w:rPr>
          <w:rFonts w:cs="Times New Roman"/>
        </w:rPr>
        <w:t>Government of Ukraine</w:t>
      </w:r>
      <w:r>
        <w:rPr>
          <w:rFonts w:cs="Times New Roman"/>
        </w:rPr>
        <w:t>. 2014.</w:t>
      </w:r>
      <w:r w:rsidRPr="002B1DFC">
        <w:rPr>
          <w:rFonts w:cs="Times New Roman"/>
        </w:rPr>
        <w:t xml:space="preserve"> </w:t>
      </w:r>
      <w:r w:rsidRPr="0061686D">
        <w:rPr>
          <w:rFonts w:cs="Times New Roman"/>
          <w:i/>
        </w:rPr>
        <w:t>Report on Diagnostic Study of Governance Issues Pertaining to Corruption, the Business Climate and the Effectiveness of the Judiciary.</w:t>
      </w:r>
      <w:r w:rsidRPr="002B1DFC">
        <w:rPr>
          <w:rFonts w:cs="Times New Roman"/>
        </w:rPr>
        <w:t xml:space="preserve"> https://www.imf.org/external/pubs/ft/scr/2014/cr14263-a.pdf </w:t>
      </w:r>
    </w:p>
    <w:p w14:paraId="6CD89859" w14:textId="77777777" w:rsidR="000939F7" w:rsidRPr="002B1DFC" w:rsidRDefault="000939F7" w:rsidP="000939F7">
      <w:pPr>
        <w:spacing w:before="120" w:after="120"/>
        <w:ind w:left="720" w:hanging="720"/>
        <w:rPr>
          <w:rFonts w:cs="Times New Roman"/>
        </w:rPr>
      </w:pPr>
      <w:r w:rsidRPr="00001CBE">
        <w:rPr>
          <w:rFonts w:cs="Times New Roman"/>
        </w:rPr>
        <w:t xml:space="preserve">Government of Ukraine. 2015. </w:t>
      </w:r>
      <w:r>
        <w:rPr>
          <w:rFonts w:cs="Times New Roman"/>
        </w:rPr>
        <w:t xml:space="preserve"> </w:t>
      </w:r>
      <w:r w:rsidRPr="00001CBE">
        <w:rPr>
          <w:rFonts w:cs="Times New Roman"/>
          <w:i/>
          <w:iCs/>
        </w:rPr>
        <w:t>Kremlin Black Book</w:t>
      </w:r>
      <w:r>
        <w:rPr>
          <w:rFonts w:cs="Times New Roman"/>
        </w:rPr>
        <w:t>.</w:t>
      </w:r>
      <w:r>
        <w:rPr>
          <w:rFonts w:cs="Times New Roman"/>
        </w:rPr>
        <w:tab/>
        <w:t xml:space="preserve"> </w:t>
      </w:r>
      <w:r w:rsidRPr="00001CBE">
        <w:rPr>
          <w:rFonts w:cs="Times New Roman"/>
        </w:rPr>
        <w:t>http://www.kmu.gov.ua/document/247961944/Kremlin%20Black%20Book%20English%20February%202015.pdf</w:t>
      </w:r>
    </w:p>
    <w:p w14:paraId="4C597548" w14:textId="77777777" w:rsidR="000939F7" w:rsidRDefault="000939F7" w:rsidP="000939F7">
      <w:pPr>
        <w:spacing w:before="120" w:after="120"/>
        <w:ind w:left="720" w:hanging="720"/>
        <w:rPr>
          <w:rFonts w:cs="Times New Roman"/>
          <w:i/>
        </w:rPr>
      </w:pPr>
      <w:r w:rsidRPr="002B1DFC">
        <w:rPr>
          <w:rFonts w:cs="Times New Roman"/>
        </w:rPr>
        <w:t xml:space="preserve">Government of Ukraine. </w:t>
      </w:r>
      <w:r w:rsidRPr="0061686D">
        <w:rPr>
          <w:rFonts w:cs="Times New Roman"/>
          <w:i/>
        </w:rPr>
        <w:t xml:space="preserve">Strategy of National Ecological Policy of Ukraine up to 2020. </w:t>
      </w:r>
    </w:p>
    <w:p w14:paraId="1EF53B2D" w14:textId="77777777" w:rsidR="000939F7" w:rsidRDefault="000939F7" w:rsidP="000939F7">
      <w:pPr>
        <w:spacing w:before="120" w:after="120"/>
        <w:ind w:left="720" w:hanging="720"/>
      </w:pPr>
      <w:r w:rsidRPr="00001CBE">
        <w:rPr>
          <w:rFonts w:cs="Times New Roman"/>
        </w:rPr>
        <w:t>Government</w:t>
      </w:r>
      <w:r>
        <w:t xml:space="preserve"> of Ukraine. Decentralization Web site. </w:t>
      </w:r>
      <w:hyperlink r:id="rId31" w:history="1">
        <w:r>
          <w:rPr>
            <w:rStyle w:val="Hyperlink"/>
          </w:rPr>
          <w:t>http://decentralization.gov.ua/en</w:t>
        </w:r>
      </w:hyperlink>
      <w:r>
        <w:t xml:space="preserve"> </w:t>
      </w:r>
    </w:p>
    <w:p w14:paraId="40EBF607" w14:textId="77777777" w:rsidR="000939F7" w:rsidRDefault="000939F7" w:rsidP="000939F7">
      <w:pPr>
        <w:spacing w:before="120" w:after="120"/>
        <w:ind w:left="720" w:hanging="720"/>
        <w:rPr>
          <w:rFonts w:cs="Times New Roman"/>
        </w:rPr>
      </w:pPr>
      <w:r w:rsidRPr="002B1DFC">
        <w:rPr>
          <w:rFonts w:cs="Times New Roman"/>
        </w:rPr>
        <w:t xml:space="preserve">ICPS (International Center for Policy Studies). 2000. Ukraine’s Environmental Policy. Policy Studies </w:t>
      </w:r>
      <w:r>
        <w:rPr>
          <w:rFonts w:cs="Times New Roman"/>
        </w:rPr>
        <w:t xml:space="preserve">No. </w:t>
      </w:r>
      <w:r w:rsidRPr="002B1DFC">
        <w:rPr>
          <w:rFonts w:cs="Times New Roman"/>
        </w:rPr>
        <w:t>10</w:t>
      </w:r>
      <w:r>
        <w:rPr>
          <w:rFonts w:cs="Times New Roman"/>
        </w:rPr>
        <w:t>.</w:t>
      </w:r>
    </w:p>
    <w:p w14:paraId="374A4BBA" w14:textId="77777777" w:rsidR="000939F7" w:rsidRDefault="000939F7" w:rsidP="000939F7">
      <w:pPr>
        <w:spacing w:before="120" w:after="120"/>
        <w:ind w:left="720" w:hanging="720"/>
      </w:pPr>
      <w:r w:rsidRPr="00001CBE">
        <w:rPr>
          <w:rFonts w:cs="Times New Roman"/>
        </w:rPr>
        <w:t>IFC</w:t>
      </w:r>
      <w:r>
        <w:t xml:space="preserve"> (International Finance Corporation). 2012. </w:t>
      </w:r>
      <w:r>
        <w:rPr>
          <w:i/>
        </w:rPr>
        <w:t>Municipal Solid Waste Management: Opportunities for Ukraine.</w:t>
      </w:r>
      <w:r>
        <w:t xml:space="preserve">  </w:t>
      </w:r>
      <w:hyperlink r:id="rId32" w:history="1">
        <w:r>
          <w:rPr>
            <w:rStyle w:val="Hyperlink"/>
          </w:rPr>
          <w:t>http://www.ifc.org/wps/wcm/connect/31b3d8004bc75c31b99dff1be6561834/PublicationUkraineMSW2012en.pdf?MOD=AJPERES</w:t>
        </w:r>
      </w:hyperlink>
    </w:p>
    <w:p w14:paraId="3847E89A" w14:textId="77777777" w:rsidR="000939F7" w:rsidRPr="002B1DFC" w:rsidRDefault="000939F7" w:rsidP="000939F7">
      <w:pPr>
        <w:spacing w:before="120" w:after="120"/>
        <w:ind w:left="720" w:hanging="720"/>
        <w:rPr>
          <w:rFonts w:cs="Times New Roman"/>
        </w:rPr>
      </w:pPr>
      <w:r w:rsidRPr="002B1DFC">
        <w:rPr>
          <w:rFonts w:cs="Times New Roman"/>
        </w:rPr>
        <w:t>Information Analytical Center (IAC)</w:t>
      </w:r>
      <w:r>
        <w:rPr>
          <w:rFonts w:cs="Times New Roman"/>
        </w:rPr>
        <w:t>.</w:t>
      </w:r>
      <w:r w:rsidRPr="002B1DFC">
        <w:rPr>
          <w:rFonts w:cs="Times New Roman"/>
        </w:rPr>
        <w:t xml:space="preserve"> www.ecobank.org.ua</w:t>
      </w:r>
    </w:p>
    <w:p w14:paraId="39B3211B" w14:textId="77777777" w:rsidR="000939F7" w:rsidRPr="002B1DFC" w:rsidRDefault="000939F7" w:rsidP="000939F7">
      <w:pPr>
        <w:spacing w:before="120" w:after="120"/>
        <w:ind w:left="720" w:hanging="720"/>
        <w:rPr>
          <w:rFonts w:cs="Times New Roman"/>
        </w:rPr>
      </w:pPr>
      <w:r w:rsidRPr="002B1DFC">
        <w:rPr>
          <w:rFonts w:cs="Times New Roman"/>
        </w:rPr>
        <w:t xml:space="preserve">Information and Technological Cards of Sumy OSA (administrative service </w:t>
      </w:r>
      <w:r>
        <w:rPr>
          <w:rFonts w:cs="Times New Roman"/>
        </w:rPr>
        <w:t>–</w:t>
      </w:r>
      <w:r w:rsidRPr="002B1DFC">
        <w:rPr>
          <w:rFonts w:cs="Times New Roman"/>
        </w:rPr>
        <w:t xml:space="preserve"> expert</w:t>
      </w:r>
      <w:r>
        <w:rPr>
          <w:rFonts w:cs="Times New Roman"/>
        </w:rPr>
        <w:t>ise).</w:t>
      </w:r>
    </w:p>
    <w:p w14:paraId="2809D563" w14:textId="77777777" w:rsidR="000939F7" w:rsidRPr="002B1DFC" w:rsidRDefault="000939F7" w:rsidP="000939F7">
      <w:pPr>
        <w:spacing w:before="120" w:after="120"/>
        <w:ind w:left="720" w:hanging="720"/>
        <w:rPr>
          <w:rFonts w:cs="Times New Roman"/>
        </w:rPr>
      </w:pPr>
      <w:r w:rsidRPr="002B1DFC">
        <w:rPr>
          <w:rFonts w:cs="Times New Roman"/>
        </w:rPr>
        <w:t xml:space="preserve">Information Card of MENR (administrative service </w:t>
      </w:r>
      <w:r>
        <w:rPr>
          <w:rFonts w:cs="Times New Roman"/>
        </w:rPr>
        <w:t>–</w:t>
      </w:r>
      <w:r w:rsidRPr="002B1DFC">
        <w:rPr>
          <w:rFonts w:cs="Times New Roman"/>
        </w:rPr>
        <w:t xml:space="preserve"> expert</w:t>
      </w:r>
      <w:r>
        <w:rPr>
          <w:rFonts w:cs="Times New Roman"/>
        </w:rPr>
        <w:t>ise</w:t>
      </w:r>
      <w:r w:rsidRPr="002B1DFC">
        <w:rPr>
          <w:rFonts w:cs="Times New Roman"/>
        </w:rPr>
        <w:t>)</w:t>
      </w:r>
      <w:r>
        <w:rPr>
          <w:rFonts w:cs="Times New Roman"/>
        </w:rPr>
        <w:t>.</w:t>
      </w:r>
    </w:p>
    <w:p w14:paraId="1C4C02DF" w14:textId="77777777" w:rsidR="000939F7" w:rsidRPr="002B1DFC" w:rsidRDefault="000939F7" w:rsidP="000939F7">
      <w:pPr>
        <w:spacing w:before="120" w:after="120"/>
        <w:ind w:left="720" w:hanging="720"/>
        <w:rPr>
          <w:rFonts w:cs="Times New Roman"/>
        </w:rPr>
      </w:pPr>
      <w:r w:rsidRPr="002B1DFC">
        <w:rPr>
          <w:rFonts w:cs="Times New Roman"/>
        </w:rPr>
        <w:t>Interview with Department of Economy and Finance, Ministry of Ecology and Natural Resources of Ukraine (March 11, 2015).</w:t>
      </w:r>
    </w:p>
    <w:p w14:paraId="2B16D890" w14:textId="77777777" w:rsidR="000939F7" w:rsidRPr="002B1DFC" w:rsidRDefault="000939F7" w:rsidP="000939F7">
      <w:pPr>
        <w:spacing w:before="120" w:after="120"/>
        <w:ind w:left="720" w:hanging="720"/>
        <w:rPr>
          <w:rFonts w:cs="Times New Roman"/>
        </w:rPr>
      </w:pPr>
      <w:r w:rsidRPr="002B1DFC">
        <w:rPr>
          <w:rFonts w:cs="Times New Roman"/>
        </w:rPr>
        <w:t>Interview with Division of Air Protection, Ministry of Ecology and Natural Resources of Ukraine (March 5, 2015)</w:t>
      </w:r>
      <w:r>
        <w:rPr>
          <w:rFonts w:cs="Times New Roman"/>
        </w:rPr>
        <w:t>.</w:t>
      </w:r>
    </w:p>
    <w:p w14:paraId="267EE4F4" w14:textId="77777777" w:rsidR="000939F7" w:rsidRPr="002B1DFC" w:rsidRDefault="000939F7" w:rsidP="000939F7">
      <w:pPr>
        <w:spacing w:before="120" w:after="120"/>
        <w:ind w:left="720" w:hanging="720"/>
        <w:rPr>
          <w:rFonts w:cs="Times New Roman"/>
        </w:rPr>
      </w:pPr>
      <w:r w:rsidRPr="002B1DFC">
        <w:rPr>
          <w:rFonts w:cs="Times New Roman"/>
        </w:rPr>
        <w:t>Interview with Division of Strategic Planning, Ministry of Ecology and Natural Resources of Ukraine (March 5, 2015)</w:t>
      </w:r>
      <w:r>
        <w:rPr>
          <w:rFonts w:cs="Times New Roman"/>
        </w:rPr>
        <w:t>.</w:t>
      </w:r>
    </w:p>
    <w:p w14:paraId="6D2239E8" w14:textId="77777777" w:rsidR="000939F7" w:rsidRDefault="000939F7" w:rsidP="000939F7">
      <w:pPr>
        <w:spacing w:before="120"/>
        <w:ind w:left="720" w:hanging="720"/>
        <w:rPr>
          <w:rFonts w:cs="Times New Roman"/>
        </w:rPr>
      </w:pPr>
      <w:r w:rsidRPr="002B1DFC">
        <w:rPr>
          <w:rFonts w:cs="Times New Roman"/>
        </w:rPr>
        <w:t xml:space="preserve">ISO. 2015. </w:t>
      </w:r>
    </w:p>
    <w:p w14:paraId="55146E3E" w14:textId="77777777" w:rsidR="000939F7" w:rsidRPr="002B1DFC" w:rsidRDefault="000939F7" w:rsidP="000939F7">
      <w:pPr>
        <w:spacing w:after="120"/>
        <w:ind w:left="720"/>
        <w:rPr>
          <w:rFonts w:cs="Times New Roman"/>
        </w:rPr>
      </w:pPr>
      <w:r w:rsidRPr="002B1DFC">
        <w:rPr>
          <w:rFonts w:cs="Times New Roman"/>
        </w:rPr>
        <w:t xml:space="preserve">http://www.iso.org/iso/home/standards/certification/iso-survey.htm?certificate=ISO%2014001&amp;countrycode=UA#countrypick </w:t>
      </w:r>
      <w:r>
        <w:rPr>
          <w:rFonts w:cs="Times New Roman"/>
        </w:rPr>
        <w:t>A</w:t>
      </w:r>
      <w:r w:rsidRPr="002B1DFC">
        <w:rPr>
          <w:rFonts w:cs="Times New Roman"/>
        </w:rPr>
        <w:t>ccessed December 5, 2014.</w:t>
      </w:r>
    </w:p>
    <w:p w14:paraId="0BD62F32" w14:textId="77777777" w:rsidR="000939F7" w:rsidRPr="002B1DFC" w:rsidRDefault="000939F7" w:rsidP="000939F7">
      <w:pPr>
        <w:spacing w:before="120" w:after="120"/>
        <w:ind w:left="720" w:hanging="720"/>
        <w:rPr>
          <w:rFonts w:cs="Times New Roman"/>
        </w:rPr>
      </w:pPr>
      <w:r w:rsidRPr="00D305FA">
        <w:rPr>
          <w:rFonts w:cs="Times New Roman"/>
        </w:rPr>
        <w:lastRenderedPageBreak/>
        <w:t xml:space="preserve">Kaufmann D., A. </w:t>
      </w:r>
      <w:proofErr w:type="spellStart"/>
      <w:r w:rsidRPr="00D305FA">
        <w:rPr>
          <w:rFonts w:cs="Times New Roman"/>
        </w:rPr>
        <w:t>Kraay</w:t>
      </w:r>
      <w:proofErr w:type="spellEnd"/>
      <w:r w:rsidRPr="00D305FA">
        <w:rPr>
          <w:rFonts w:cs="Times New Roman"/>
        </w:rPr>
        <w:t xml:space="preserve">, and M. </w:t>
      </w:r>
      <w:proofErr w:type="spellStart"/>
      <w:r w:rsidRPr="00D305FA">
        <w:rPr>
          <w:rFonts w:cs="Times New Roman"/>
        </w:rPr>
        <w:t>Mastruzzi</w:t>
      </w:r>
      <w:proofErr w:type="spellEnd"/>
      <w:r w:rsidRPr="00D305FA">
        <w:rPr>
          <w:rFonts w:cs="Times New Roman"/>
        </w:rPr>
        <w:t xml:space="preserve">. 2010. </w:t>
      </w:r>
      <w:r w:rsidRPr="0061686D">
        <w:rPr>
          <w:rFonts w:cs="Times New Roman"/>
          <w:i/>
        </w:rPr>
        <w:t xml:space="preserve">Worldwide Governance Indicators: Methodology and Analytical Issues. </w:t>
      </w:r>
      <w:r w:rsidRPr="00D305FA">
        <w:rPr>
          <w:rFonts w:cs="Times New Roman"/>
        </w:rPr>
        <w:t>www.govindicators.org</w:t>
      </w:r>
    </w:p>
    <w:p w14:paraId="32DD4F81" w14:textId="77777777" w:rsidR="000939F7" w:rsidRDefault="000939F7" w:rsidP="000939F7">
      <w:pPr>
        <w:spacing w:before="120" w:after="120"/>
        <w:ind w:left="720" w:hanging="720"/>
        <w:rPr>
          <w:rFonts w:cs="Times New Roman"/>
        </w:rPr>
      </w:pPr>
      <w:r w:rsidRPr="00F046A2">
        <w:rPr>
          <w:i/>
        </w:rPr>
        <w:t>Kyiv Post</w:t>
      </w:r>
      <w:r>
        <w:t xml:space="preserve">. 2015. </w:t>
      </w:r>
      <w:hyperlink r:id="rId33" w:history="1">
        <w:r w:rsidRPr="00A72702">
          <w:rPr>
            <w:rStyle w:val="Hyperlink"/>
            <w:color w:val="auto"/>
            <w:u w:val="none"/>
          </w:rPr>
          <w:t>http://www.kyivpost.com/content/business/ukrainian-government-takes-more-steps-towards-transparency-385925.html</w:t>
        </w:r>
      </w:hyperlink>
      <w:r w:rsidRPr="00BF5161">
        <w:rPr>
          <w:rFonts w:cs="Times New Roman"/>
        </w:rPr>
        <w:t xml:space="preserve"> Accessed April 13, 2015</w:t>
      </w:r>
      <w:r>
        <w:rPr>
          <w:rFonts w:cs="Times New Roman"/>
        </w:rPr>
        <w:t>.</w:t>
      </w:r>
    </w:p>
    <w:p w14:paraId="6F3FE67F" w14:textId="77777777" w:rsidR="000939F7" w:rsidRPr="002B1DFC" w:rsidRDefault="000939F7" w:rsidP="000939F7">
      <w:pPr>
        <w:spacing w:before="120" w:after="120"/>
        <w:ind w:left="720" w:hanging="720"/>
        <w:rPr>
          <w:rFonts w:cs="Times New Roman"/>
        </w:rPr>
      </w:pPr>
      <w:r w:rsidRPr="002B1DFC">
        <w:rPr>
          <w:rFonts w:cs="Times New Roman"/>
        </w:rPr>
        <w:t xml:space="preserve">Law of Ukraine of 02.12.2010 </w:t>
      </w:r>
      <w:r>
        <w:rPr>
          <w:rFonts w:cs="Times New Roman"/>
        </w:rPr>
        <w:t>N</w:t>
      </w:r>
      <w:r w:rsidRPr="002B1DFC">
        <w:rPr>
          <w:rFonts w:cs="Times New Roman"/>
        </w:rPr>
        <w:t xml:space="preserve">o. 2755-VI </w:t>
      </w:r>
      <w:r>
        <w:rPr>
          <w:rFonts w:cs="Times New Roman"/>
        </w:rPr>
        <w:t>“</w:t>
      </w:r>
      <w:r w:rsidRPr="002B1DFC">
        <w:rPr>
          <w:rFonts w:cs="Times New Roman"/>
        </w:rPr>
        <w:t xml:space="preserve">Tax Code of Ukraine." </w:t>
      </w:r>
    </w:p>
    <w:p w14:paraId="017A7FCA" w14:textId="77777777" w:rsidR="000939F7" w:rsidRPr="00451092" w:rsidRDefault="000939F7" w:rsidP="000939F7">
      <w:pPr>
        <w:spacing w:before="120" w:after="120"/>
        <w:ind w:left="720" w:hanging="720"/>
        <w:rPr>
          <w:rFonts w:cs="Times New Roman"/>
        </w:rPr>
      </w:pPr>
      <w:r w:rsidRPr="002B1DFC">
        <w:rPr>
          <w:rFonts w:cs="Times New Roman"/>
        </w:rPr>
        <w:t xml:space="preserve">Law of Ukraine of 08.07.2010 </w:t>
      </w:r>
      <w:r>
        <w:rPr>
          <w:rFonts w:cs="Times New Roman"/>
        </w:rPr>
        <w:t>N</w:t>
      </w:r>
      <w:r w:rsidRPr="002B1DFC">
        <w:rPr>
          <w:rFonts w:cs="Times New Roman"/>
        </w:rPr>
        <w:t xml:space="preserve">o. 2456-VI </w:t>
      </w:r>
      <w:r>
        <w:rPr>
          <w:rFonts w:cs="Times New Roman"/>
        </w:rPr>
        <w:t>“</w:t>
      </w:r>
      <w:r w:rsidRPr="002B1DFC">
        <w:rPr>
          <w:rFonts w:cs="Times New Roman"/>
        </w:rPr>
        <w:t xml:space="preserve">Budget Code of Ukraine." </w:t>
      </w:r>
    </w:p>
    <w:p w14:paraId="5385205A" w14:textId="77777777" w:rsidR="000939F7" w:rsidRPr="002B1DFC" w:rsidRDefault="000939F7" w:rsidP="000939F7">
      <w:pPr>
        <w:spacing w:before="120" w:after="120"/>
        <w:ind w:left="720" w:hanging="720"/>
        <w:rPr>
          <w:rFonts w:cs="Times New Roman"/>
        </w:rPr>
      </w:pPr>
      <w:r w:rsidRPr="00451092">
        <w:rPr>
          <w:rFonts w:cs="Times New Roman"/>
        </w:rPr>
        <w:t xml:space="preserve">Law of Ukraine of 16.10.2012 No. 5456-VI “On Introducing Changes to Certain Legislative Acts of Ukraine with the Aim of Optimization of Powers and Authorities of the Executive Authorities in </w:t>
      </w:r>
      <w:r>
        <w:rPr>
          <w:rFonts w:cs="Times New Roman"/>
        </w:rPr>
        <w:t>the Sphere of Ecology and Natural</w:t>
      </w:r>
      <w:r w:rsidRPr="00451092">
        <w:rPr>
          <w:rFonts w:cs="Times New Roman"/>
        </w:rPr>
        <w:t xml:space="preserve"> Resources, Including </w:t>
      </w:r>
      <w:r>
        <w:rPr>
          <w:rFonts w:cs="Times New Roman"/>
        </w:rPr>
        <w:t xml:space="preserve">the </w:t>
      </w:r>
      <w:r w:rsidRPr="00451092">
        <w:rPr>
          <w:rFonts w:cs="Times New Roman"/>
        </w:rPr>
        <w:t>Local Level.”</w:t>
      </w:r>
      <w:r w:rsidRPr="00451092">
        <w:t xml:space="preserve"> </w:t>
      </w:r>
    </w:p>
    <w:p w14:paraId="353710D6" w14:textId="77777777" w:rsidR="000939F7" w:rsidRPr="003342C7" w:rsidRDefault="000939F7" w:rsidP="000939F7">
      <w:pPr>
        <w:spacing w:before="120" w:after="120"/>
        <w:ind w:left="720" w:hanging="720"/>
        <w:rPr>
          <w:rFonts w:cs="Times New Roman"/>
        </w:rPr>
      </w:pPr>
      <w:r w:rsidRPr="002B1DFC">
        <w:rPr>
          <w:rFonts w:cs="Times New Roman"/>
        </w:rPr>
        <w:t xml:space="preserve">Law of Ukraine of 28.12.2014 </w:t>
      </w:r>
      <w:r>
        <w:rPr>
          <w:rFonts w:cs="Times New Roman"/>
        </w:rPr>
        <w:t>N</w:t>
      </w:r>
      <w:r w:rsidRPr="002B1DFC">
        <w:rPr>
          <w:rFonts w:cs="Times New Roman"/>
        </w:rPr>
        <w:t xml:space="preserve">o. 76-VIII </w:t>
      </w:r>
      <w:r>
        <w:rPr>
          <w:rFonts w:cs="Times New Roman"/>
        </w:rPr>
        <w:t>“</w:t>
      </w:r>
      <w:r w:rsidRPr="002B1DFC">
        <w:rPr>
          <w:rFonts w:cs="Times New Roman"/>
        </w:rPr>
        <w:t xml:space="preserve">On </w:t>
      </w:r>
      <w:r>
        <w:rPr>
          <w:rFonts w:cs="Times New Roman"/>
        </w:rPr>
        <w:t>A</w:t>
      </w:r>
      <w:r w:rsidRPr="002B1DFC">
        <w:rPr>
          <w:rFonts w:cs="Times New Roman"/>
        </w:rPr>
        <w:t xml:space="preserve">mendments to and </w:t>
      </w:r>
      <w:r>
        <w:rPr>
          <w:rFonts w:cs="Times New Roman"/>
        </w:rPr>
        <w:t>T</w:t>
      </w:r>
      <w:r w:rsidRPr="002B1DFC">
        <w:rPr>
          <w:rFonts w:cs="Times New Roman"/>
        </w:rPr>
        <w:t xml:space="preserve">ermination of </w:t>
      </w:r>
      <w:r>
        <w:rPr>
          <w:rFonts w:cs="Times New Roman"/>
        </w:rPr>
        <w:t>V</w:t>
      </w:r>
      <w:r w:rsidRPr="002B1DFC">
        <w:rPr>
          <w:rFonts w:cs="Times New Roman"/>
        </w:rPr>
        <w:t xml:space="preserve">alidity of </w:t>
      </w:r>
      <w:r>
        <w:rPr>
          <w:rFonts w:cs="Times New Roman"/>
        </w:rPr>
        <w:t>S</w:t>
      </w:r>
      <w:r w:rsidRPr="002B1DFC">
        <w:rPr>
          <w:rFonts w:cs="Times New Roman"/>
        </w:rPr>
        <w:t xml:space="preserve">ome </w:t>
      </w:r>
      <w:r>
        <w:rPr>
          <w:rFonts w:cs="Times New Roman"/>
        </w:rPr>
        <w:t>L</w:t>
      </w:r>
      <w:r w:rsidRPr="002B1DFC">
        <w:rPr>
          <w:rFonts w:cs="Times New Roman"/>
        </w:rPr>
        <w:t xml:space="preserve">egislative </w:t>
      </w:r>
      <w:r>
        <w:rPr>
          <w:rFonts w:cs="Times New Roman"/>
        </w:rPr>
        <w:t>A</w:t>
      </w:r>
      <w:r w:rsidRPr="002B1DFC">
        <w:rPr>
          <w:rFonts w:cs="Times New Roman"/>
        </w:rPr>
        <w:t>cts of Ukraine</w:t>
      </w:r>
      <w:r>
        <w:rPr>
          <w:rFonts w:cs="Times New Roman"/>
        </w:rPr>
        <w:t>.”</w:t>
      </w:r>
      <w:r w:rsidRPr="002B1DFC">
        <w:rPr>
          <w:rFonts w:cs="Times New Roman"/>
        </w:rPr>
        <w:t xml:space="preserve"> </w:t>
      </w:r>
    </w:p>
    <w:p w14:paraId="1C8DB584" w14:textId="77777777" w:rsidR="000939F7" w:rsidRPr="00451092" w:rsidRDefault="000939F7" w:rsidP="000939F7">
      <w:pPr>
        <w:spacing w:before="120" w:after="120"/>
        <w:ind w:left="720" w:hanging="720"/>
        <w:rPr>
          <w:rFonts w:cs="Times New Roman"/>
        </w:rPr>
      </w:pPr>
      <w:r w:rsidRPr="003342C7">
        <w:rPr>
          <w:rFonts w:cs="Times New Roman"/>
        </w:rPr>
        <w:t>Law of Ukraine “On Ecological Expertise.” Unofficial translation of 2002.</w:t>
      </w:r>
    </w:p>
    <w:p w14:paraId="03793F48" w14:textId="77777777" w:rsidR="000939F7" w:rsidRPr="002B1DFC" w:rsidRDefault="000939F7" w:rsidP="000939F7">
      <w:pPr>
        <w:spacing w:before="120" w:after="120"/>
        <w:ind w:left="720" w:hanging="720"/>
        <w:rPr>
          <w:rFonts w:cs="Times New Roman"/>
        </w:rPr>
      </w:pPr>
      <w:r w:rsidRPr="00451092">
        <w:rPr>
          <w:rFonts w:cs="Times New Roman"/>
        </w:rPr>
        <w:t>Main Principles (Strategy) of the National Environmental Policy of Ukraine up to 2020.</w:t>
      </w:r>
    </w:p>
    <w:p w14:paraId="5D7D54B8" w14:textId="77777777" w:rsidR="000939F7" w:rsidRDefault="000939F7" w:rsidP="000939F7">
      <w:pPr>
        <w:spacing w:before="120" w:after="120"/>
        <w:ind w:left="720" w:hanging="720"/>
        <w:rPr>
          <w:rFonts w:cs="Times New Roman"/>
          <w:i/>
        </w:rPr>
      </w:pPr>
      <w:proofErr w:type="spellStart"/>
      <w:r w:rsidRPr="002B1DFC">
        <w:rPr>
          <w:rFonts w:cs="Times New Roman"/>
        </w:rPr>
        <w:t>Melnychuk</w:t>
      </w:r>
      <w:proofErr w:type="spellEnd"/>
      <w:r w:rsidRPr="002B1DFC">
        <w:rPr>
          <w:rFonts w:cs="Times New Roman"/>
        </w:rPr>
        <w:t xml:space="preserve"> V., A. </w:t>
      </w:r>
      <w:proofErr w:type="spellStart"/>
      <w:r w:rsidRPr="002B1DFC">
        <w:rPr>
          <w:rFonts w:cs="Times New Roman"/>
        </w:rPr>
        <w:t>Kravchenko</w:t>
      </w:r>
      <w:proofErr w:type="spellEnd"/>
      <w:r w:rsidRPr="002B1DFC">
        <w:rPr>
          <w:rFonts w:cs="Times New Roman"/>
        </w:rPr>
        <w:t xml:space="preserve">, and T. </w:t>
      </w:r>
      <w:proofErr w:type="spellStart"/>
      <w:r w:rsidRPr="002B1DFC">
        <w:rPr>
          <w:rFonts w:cs="Times New Roman"/>
        </w:rPr>
        <w:t>Malkov</w:t>
      </w:r>
      <w:proofErr w:type="spellEnd"/>
      <w:r w:rsidRPr="002B1DFC">
        <w:rPr>
          <w:rFonts w:cs="Times New Roman"/>
        </w:rPr>
        <w:t xml:space="preserve"> (</w:t>
      </w:r>
      <w:proofErr w:type="spellStart"/>
      <w:proofErr w:type="gramStart"/>
      <w:r w:rsidRPr="002B1DFC">
        <w:rPr>
          <w:rFonts w:cs="Times New Roman"/>
        </w:rPr>
        <w:t>eds</w:t>
      </w:r>
      <w:proofErr w:type="spellEnd"/>
      <w:proofErr w:type="gramEnd"/>
      <w:r w:rsidRPr="002B1DFC">
        <w:rPr>
          <w:rFonts w:cs="Times New Roman"/>
        </w:rPr>
        <w:t xml:space="preserve">). 2012. </w:t>
      </w:r>
      <w:r w:rsidRPr="0061686D">
        <w:rPr>
          <w:rFonts w:cs="Times New Roman"/>
          <w:i/>
        </w:rPr>
        <w:t>Public Assessment of the Implementation of the National Environmental Policy in 2011 – Annual NGO Assessment.</w:t>
      </w:r>
    </w:p>
    <w:p w14:paraId="53A8C603" w14:textId="41521DDA" w:rsidR="00523FB5" w:rsidRPr="00B76BDA" w:rsidRDefault="00523FB5">
      <w:pPr>
        <w:spacing w:before="120" w:after="120"/>
        <w:ind w:left="720" w:hanging="720"/>
        <w:rPr>
          <w:rFonts w:cs="Times New Roman"/>
          <w:iCs/>
        </w:rPr>
      </w:pPr>
      <w:proofErr w:type="spellStart"/>
      <w:r w:rsidRPr="00B76BDA">
        <w:rPr>
          <w:rFonts w:cs="Times New Roman"/>
          <w:iCs/>
        </w:rPr>
        <w:t>Melnychuk</w:t>
      </w:r>
      <w:proofErr w:type="spellEnd"/>
      <w:r w:rsidRPr="00B76BDA">
        <w:rPr>
          <w:rFonts w:cs="Times New Roman"/>
          <w:iCs/>
        </w:rPr>
        <w:t xml:space="preserve"> V., M. </w:t>
      </w:r>
      <w:proofErr w:type="spellStart"/>
      <w:r w:rsidRPr="00B76BDA">
        <w:rPr>
          <w:rFonts w:cs="Times New Roman"/>
          <w:iCs/>
        </w:rPr>
        <w:t>Ruda</w:t>
      </w:r>
      <w:proofErr w:type="spellEnd"/>
      <w:r w:rsidRPr="00B76BDA">
        <w:rPr>
          <w:rFonts w:cs="Times New Roman"/>
          <w:iCs/>
        </w:rPr>
        <w:t xml:space="preserve">, and G. </w:t>
      </w:r>
      <w:proofErr w:type="spellStart"/>
      <w:r w:rsidRPr="00B76BDA">
        <w:rPr>
          <w:rFonts w:cs="Times New Roman"/>
          <w:iCs/>
        </w:rPr>
        <w:t>Protsiv</w:t>
      </w:r>
      <w:proofErr w:type="spellEnd"/>
      <w:r w:rsidRPr="00B76BDA">
        <w:rPr>
          <w:rFonts w:cs="Times New Roman"/>
          <w:iCs/>
        </w:rPr>
        <w:t xml:space="preserve"> G</w:t>
      </w:r>
      <w:r>
        <w:rPr>
          <w:rFonts w:cs="Times New Roman"/>
          <w:iCs/>
        </w:rPr>
        <w:t>. (</w:t>
      </w:r>
      <w:proofErr w:type="spellStart"/>
      <w:proofErr w:type="gramStart"/>
      <w:r>
        <w:rPr>
          <w:rFonts w:cs="Times New Roman"/>
          <w:iCs/>
        </w:rPr>
        <w:t>eds</w:t>
      </w:r>
      <w:proofErr w:type="spellEnd"/>
      <w:proofErr w:type="gramEnd"/>
      <w:r>
        <w:rPr>
          <w:rFonts w:cs="Times New Roman"/>
          <w:iCs/>
        </w:rPr>
        <w:t xml:space="preserve">). 2015. </w:t>
      </w:r>
      <w:r w:rsidRPr="0061686D">
        <w:rPr>
          <w:rFonts w:cs="Times New Roman"/>
          <w:i/>
        </w:rPr>
        <w:t>Public Assessment of the Implementation of the National Environmental Policy in 201</w:t>
      </w:r>
      <w:r>
        <w:rPr>
          <w:rFonts w:cs="Times New Roman"/>
          <w:i/>
        </w:rPr>
        <w:t>3</w:t>
      </w:r>
      <w:r w:rsidRPr="0061686D">
        <w:rPr>
          <w:rFonts w:cs="Times New Roman"/>
          <w:i/>
        </w:rPr>
        <w:t xml:space="preserve"> – Annual NGO Assessment.</w:t>
      </w:r>
      <w:r>
        <w:rPr>
          <w:rFonts w:cs="Times New Roman"/>
          <w:i/>
        </w:rPr>
        <w:t xml:space="preserve"> </w:t>
      </w:r>
      <w:r w:rsidRPr="00B76BDA">
        <w:rPr>
          <w:rFonts w:cs="Times New Roman"/>
          <w:iCs/>
        </w:rPr>
        <w:t>Draft Report.</w:t>
      </w:r>
    </w:p>
    <w:p w14:paraId="2C27ED16" w14:textId="77777777" w:rsidR="000939F7" w:rsidRDefault="000939F7" w:rsidP="000939F7">
      <w:pPr>
        <w:spacing w:before="120" w:after="120"/>
        <w:ind w:left="720" w:hanging="720"/>
        <w:rPr>
          <w:rFonts w:cs="Times New Roman"/>
        </w:rPr>
      </w:pPr>
      <w:r w:rsidRPr="002B1DFC">
        <w:rPr>
          <w:rFonts w:cs="Times New Roman"/>
        </w:rPr>
        <w:t xml:space="preserve">MENR (Ministry of Ecology and Natural Resources). 2009. Third, Fourth and Fifth National Communications of Ukraine to the United National Framework Convention on Climate Change. http://unfccc.int/resource/docs/natc/ukr_nc5rev.pdf </w:t>
      </w:r>
    </w:p>
    <w:p w14:paraId="12BF4175" w14:textId="77777777" w:rsidR="000939F7" w:rsidRPr="002B1DFC" w:rsidRDefault="000939F7" w:rsidP="000939F7">
      <w:pPr>
        <w:spacing w:before="120" w:after="120"/>
        <w:ind w:left="720" w:hanging="720"/>
        <w:rPr>
          <w:rFonts w:cs="Times New Roman"/>
        </w:rPr>
      </w:pPr>
      <w:r>
        <w:rPr>
          <w:rFonts w:cs="Times New Roman"/>
        </w:rPr>
        <w:t xml:space="preserve">——— </w:t>
      </w:r>
      <w:r w:rsidRPr="002B1DFC">
        <w:rPr>
          <w:rFonts w:cs="Times New Roman"/>
        </w:rPr>
        <w:t>. 2013</w:t>
      </w:r>
      <w:r>
        <w:rPr>
          <w:rFonts w:cs="Times New Roman"/>
        </w:rPr>
        <w:t>a</w:t>
      </w:r>
      <w:r w:rsidRPr="002B1DFC">
        <w:rPr>
          <w:rFonts w:cs="Times New Roman"/>
        </w:rPr>
        <w:t xml:space="preserve">. </w:t>
      </w:r>
      <w:r w:rsidRPr="0061686D">
        <w:rPr>
          <w:rFonts w:cs="Times New Roman"/>
          <w:i/>
        </w:rPr>
        <w:t>National Report on the State of Environment in Ukraine in 2012.</w:t>
      </w:r>
      <w:r w:rsidRPr="002B1DFC">
        <w:rPr>
          <w:rFonts w:cs="Times New Roman"/>
        </w:rPr>
        <w:t xml:space="preserve"> </w:t>
      </w:r>
    </w:p>
    <w:p w14:paraId="4E3EDE86" w14:textId="77777777" w:rsidR="000939F7" w:rsidRDefault="000939F7" w:rsidP="000939F7">
      <w:pPr>
        <w:spacing w:before="120"/>
        <w:ind w:left="720" w:hanging="720"/>
        <w:rPr>
          <w:rFonts w:cs="Times New Roman"/>
        </w:rPr>
      </w:pPr>
      <w:r>
        <w:rPr>
          <w:rFonts w:cs="Times New Roman"/>
        </w:rPr>
        <w:t xml:space="preserve">——— </w:t>
      </w:r>
      <w:r w:rsidRPr="002B1DFC">
        <w:rPr>
          <w:rFonts w:cs="Times New Roman"/>
        </w:rPr>
        <w:t>. 2013</w:t>
      </w:r>
      <w:r>
        <w:rPr>
          <w:rFonts w:cs="Times New Roman"/>
        </w:rPr>
        <w:t>b</w:t>
      </w:r>
      <w:r w:rsidRPr="002B1DFC">
        <w:rPr>
          <w:rFonts w:cs="Times New Roman"/>
        </w:rPr>
        <w:t xml:space="preserve">. Sixth National Communication to the UNFCCC. </w:t>
      </w:r>
    </w:p>
    <w:p w14:paraId="5CEB9D49" w14:textId="77777777" w:rsidR="000939F7" w:rsidRPr="003342C7" w:rsidRDefault="000939F7" w:rsidP="000939F7">
      <w:pPr>
        <w:spacing w:after="120"/>
        <w:ind w:left="720" w:hanging="720"/>
        <w:rPr>
          <w:rFonts w:cs="Times New Roman"/>
        </w:rPr>
      </w:pPr>
      <w:r>
        <w:rPr>
          <w:rFonts w:cs="Times New Roman"/>
        </w:rPr>
        <w:tab/>
      </w:r>
      <w:r w:rsidRPr="002B1DFC">
        <w:rPr>
          <w:rFonts w:cs="Times New Roman"/>
        </w:rPr>
        <w:t xml:space="preserve">http://unfccc.int/files/national_reports/annex_i_natcom/submitted_natcom/application/pdf/6nc_v7_final_[1].pdf </w:t>
      </w:r>
    </w:p>
    <w:p w14:paraId="55FDD4DB" w14:textId="77777777" w:rsidR="000939F7" w:rsidRPr="002B1DFC" w:rsidRDefault="000939F7" w:rsidP="000939F7">
      <w:pPr>
        <w:spacing w:before="120" w:after="120"/>
        <w:ind w:left="720" w:hanging="720"/>
        <w:rPr>
          <w:rFonts w:cs="Times New Roman"/>
        </w:rPr>
      </w:pPr>
      <w:r>
        <w:rPr>
          <w:rFonts w:cs="Times New Roman"/>
        </w:rPr>
        <w:t>——— . Order on I</w:t>
      </w:r>
      <w:r w:rsidRPr="003342C7">
        <w:rPr>
          <w:rFonts w:cs="Times New Roman"/>
        </w:rPr>
        <w:t>mplementation of Agreement EU</w:t>
      </w:r>
      <w:r>
        <w:rPr>
          <w:rFonts w:cs="Times New Roman"/>
        </w:rPr>
        <w:t>–</w:t>
      </w:r>
      <w:r w:rsidRPr="003342C7">
        <w:rPr>
          <w:rFonts w:cs="Times New Roman"/>
        </w:rPr>
        <w:t>Ukraine of 15.10.2014 (see pp.17</w:t>
      </w:r>
      <w:r>
        <w:rPr>
          <w:rFonts w:cs="Times New Roman"/>
        </w:rPr>
        <w:t>–</w:t>
      </w:r>
      <w:r w:rsidRPr="003342C7">
        <w:rPr>
          <w:rFonts w:cs="Times New Roman"/>
        </w:rPr>
        <w:t>37).</w:t>
      </w:r>
    </w:p>
    <w:p w14:paraId="05DBBF83" w14:textId="77777777" w:rsidR="000939F7" w:rsidRDefault="000939F7" w:rsidP="000939F7">
      <w:pPr>
        <w:spacing w:before="120" w:after="120"/>
        <w:ind w:left="720" w:hanging="720"/>
        <w:rPr>
          <w:rFonts w:cs="Times New Roman"/>
        </w:rPr>
      </w:pPr>
      <w:r>
        <w:rPr>
          <w:rFonts w:cs="Times New Roman"/>
        </w:rPr>
        <w:t xml:space="preserve">——— </w:t>
      </w:r>
      <w:r w:rsidRPr="002B1DFC">
        <w:rPr>
          <w:rFonts w:cs="Times New Roman"/>
        </w:rPr>
        <w:t>. 2015</w:t>
      </w:r>
      <w:r>
        <w:rPr>
          <w:rFonts w:cs="Times New Roman"/>
        </w:rPr>
        <w:t>a</w:t>
      </w:r>
      <w:r w:rsidRPr="002B1DFC">
        <w:rPr>
          <w:rFonts w:cs="Times New Roman"/>
        </w:rPr>
        <w:t>. Draft Assessment of the Ukraine National Environmental Strategy 2020 and the National Environmental Action Plan 2011</w:t>
      </w:r>
      <w:r>
        <w:rPr>
          <w:rFonts w:cs="Times New Roman"/>
        </w:rPr>
        <w:t>–</w:t>
      </w:r>
      <w:r w:rsidRPr="002B1DFC">
        <w:rPr>
          <w:rFonts w:cs="Times New Roman"/>
        </w:rPr>
        <w:t xml:space="preserve">2015. www.menr.gov.ua </w:t>
      </w:r>
    </w:p>
    <w:p w14:paraId="5A4EB1EC" w14:textId="77777777" w:rsidR="000939F7" w:rsidRDefault="000939F7" w:rsidP="000939F7">
      <w:pPr>
        <w:spacing w:before="120" w:after="120"/>
        <w:ind w:left="720" w:hanging="720"/>
      </w:pPr>
      <w:r>
        <w:rPr>
          <w:rFonts w:cs="Times New Roman"/>
        </w:rPr>
        <w:t xml:space="preserve">——— </w:t>
      </w:r>
      <w:r w:rsidRPr="002B1DFC">
        <w:rPr>
          <w:rFonts w:cs="Times New Roman"/>
        </w:rPr>
        <w:t xml:space="preserve">. </w:t>
      </w:r>
      <w:r w:rsidRPr="00494F53">
        <w:rPr>
          <w:rFonts w:cs="Times New Roman"/>
        </w:rPr>
        <w:t>2015b</w:t>
      </w:r>
      <w:r>
        <w:t>. Interview with Ministry of Ecology and Natural Resources of Ukraine (January - March, 2015).</w:t>
      </w:r>
    </w:p>
    <w:p w14:paraId="180C8075" w14:textId="77777777" w:rsidR="000939F7" w:rsidRDefault="000939F7" w:rsidP="000939F7">
      <w:pPr>
        <w:spacing w:before="120" w:after="120"/>
        <w:ind w:left="720" w:hanging="720"/>
      </w:pPr>
      <w:r>
        <w:rPr>
          <w:rFonts w:cs="Times New Roman"/>
        </w:rPr>
        <w:t xml:space="preserve">——— </w:t>
      </w:r>
      <w:r w:rsidRPr="002B1DFC">
        <w:rPr>
          <w:rFonts w:cs="Times New Roman"/>
        </w:rPr>
        <w:t>.</w:t>
      </w:r>
      <w:r>
        <w:t xml:space="preserve"> 2015c. </w:t>
      </w:r>
      <w:r>
        <w:rPr>
          <w:i/>
        </w:rPr>
        <w:t>Fifth National Report of Ukraine to the Convention on Biological Diversity.</w:t>
      </w:r>
      <w:r>
        <w:t xml:space="preserve"> </w:t>
      </w:r>
      <w:hyperlink r:id="rId34" w:history="1">
        <w:r>
          <w:rPr>
            <w:rStyle w:val="Hyperlink"/>
          </w:rPr>
          <w:t>https://www.cbd.int/doc/world/ua/ua-nr-05-en.pdf</w:t>
        </w:r>
      </w:hyperlink>
      <w:r>
        <w:t xml:space="preserve"> </w:t>
      </w:r>
    </w:p>
    <w:p w14:paraId="32A8B430" w14:textId="77777777" w:rsidR="000939F7" w:rsidRPr="002B1DFC" w:rsidRDefault="000939F7" w:rsidP="000939F7">
      <w:pPr>
        <w:spacing w:before="120" w:after="120"/>
        <w:ind w:left="720" w:hanging="720"/>
        <w:rPr>
          <w:rFonts w:cs="Times New Roman"/>
        </w:rPr>
      </w:pPr>
      <w:r w:rsidRPr="002B1DFC">
        <w:rPr>
          <w:rFonts w:cs="Times New Roman"/>
        </w:rPr>
        <w:t>Ministry of Ecology and Natural Resources of Ukraine: www.menr.gov.ua</w:t>
      </w:r>
    </w:p>
    <w:p w14:paraId="0D156B4F" w14:textId="77777777" w:rsidR="000939F7" w:rsidRPr="002B1DFC" w:rsidRDefault="000939F7" w:rsidP="000939F7">
      <w:pPr>
        <w:spacing w:before="120" w:after="120"/>
        <w:ind w:left="720" w:hanging="720"/>
        <w:rPr>
          <w:rFonts w:cs="Times New Roman"/>
        </w:rPr>
      </w:pPr>
      <w:r w:rsidRPr="002B1DFC">
        <w:rPr>
          <w:rFonts w:cs="Times New Roman"/>
        </w:rPr>
        <w:t xml:space="preserve">NISS (National Institute for Strategic Studies). 2015. Draft Ukraine Energy Strategy </w:t>
      </w:r>
      <w:r>
        <w:rPr>
          <w:rFonts w:cs="Times New Roman"/>
        </w:rPr>
        <w:t>up to</w:t>
      </w:r>
      <w:r w:rsidRPr="002B1DFC">
        <w:rPr>
          <w:rFonts w:cs="Times New Roman"/>
        </w:rPr>
        <w:t xml:space="preserve"> 2035. http://www.niss.gov.ua/articles/1717/ </w:t>
      </w:r>
    </w:p>
    <w:p w14:paraId="09C26F53" w14:textId="77777777" w:rsidR="000939F7" w:rsidRDefault="000939F7" w:rsidP="000939F7">
      <w:pPr>
        <w:ind w:left="720" w:hanging="720"/>
        <w:rPr>
          <w:rFonts w:cs="Times New Roman"/>
        </w:rPr>
      </w:pPr>
      <w:r w:rsidRPr="002B1DFC">
        <w:rPr>
          <w:rFonts w:cs="Times New Roman"/>
        </w:rPr>
        <w:t>OECD (</w:t>
      </w:r>
      <w:proofErr w:type="spellStart"/>
      <w:r w:rsidRPr="002B1DFC">
        <w:rPr>
          <w:rFonts w:cs="Times New Roman"/>
        </w:rPr>
        <w:t>Organi</w:t>
      </w:r>
      <w:r>
        <w:rPr>
          <w:rFonts w:cs="Times New Roman"/>
        </w:rPr>
        <w:t>s</w:t>
      </w:r>
      <w:r w:rsidRPr="002B1DFC">
        <w:rPr>
          <w:rFonts w:cs="Times New Roman"/>
        </w:rPr>
        <w:t>ation</w:t>
      </w:r>
      <w:proofErr w:type="spellEnd"/>
      <w:r w:rsidRPr="002B1DFC">
        <w:rPr>
          <w:rFonts w:cs="Times New Roman"/>
        </w:rPr>
        <w:t xml:space="preserve"> for Economic Co</w:t>
      </w:r>
      <w:r>
        <w:rPr>
          <w:rFonts w:cs="Times New Roman"/>
        </w:rPr>
        <w:t>-</w:t>
      </w:r>
      <w:r w:rsidRPr="002B1DFC">
        <w:rPr>
          <w:rFonts w:cs="Times New Roman"/>
        </w:rPr>
        <w:t xml:space="preserve">operation and Development). 2006. </w:t>
      </w:r>
      <w:r w:rsidRPr="0061686D">
        <w:rPr>
          <w:rFonts w:cs="Times New Roman"/>
          <w:i/>
        </w:rPr>
        <w:t>Performance Review of the State Environmental Protection Fund of Ukraine.</w:t>
      </w:r>
    </w:p>
    <w:p w14:paraId="03356A6B" w14:textId="77777777" w:rsidR="000939F7" w:rsidRPr="002B1DFC" w:rsidRDefault="000939F7" w:rsidP="000939F7">
      <w:pPr>
        <w:ind w:left="720" w:hanging="720"/>
        <w:rPr>
          <w:rFonts w:cs="Times New Roman"/>
        </w:rPr>
      </w:pPr>
      <w:r w:rsidRPr="002B1DFC">
        <w:rPr>
          <w:rFonts w:cs="Times New Roman"/>
        </w:rPr>
        <w:t xml:space="preserve"> </w:t>
      </w:r>
      <w:r>
        <w:rPr>
          <w:rFonts w:cs="Times New Roman"/>
        </w:rPr>
        <w:tab/>
      </w:r>
      <w:hyperlink r:id="rId35" w:history="1">
        <w:r w:rsidRPr="0061686D">
          <w:rPr>
            <w:rStyle w:val="Hyperlink"/>
            <w:color w:val="auto"/>
            <w:u w:val="none"/>
          </w:rPr>
          <w:t>http://www.oecd.org/env/outreach/37724027.pdf</w:t>
        </w:r>
      </w:hyperlink>
      <w:r w:rsidRPr="002B1DFC">
        <w:rPr>
          <w:rFonts w:cs="Times New Roman"/>
        </w:rPr>
        <w:t xml:space="preserve"> </w:t>
      </w:r>
    </w:p>
    <w:p w14:paraId="3340453E" w14:textId="77777777" w:rsidR="000939F7" w:rsidRPr="003F0B09" w:rsidRDefault="000939F7" w:rsidP="000939F7">
      <w:pPr>
        <w:spacing w:before="120" w:after="120"/>
        <w:ind w:left="720" w:hanging="720"/>
        <w:rPr>
          <w:rFonts w:cs="Times New Roman"/>
        </w:rPr>
      </w:pPr>
      <w:r>
        <w:rPr>
          <w:rFonts w:cs="Times New Roman"/>
        </w:rPr>
        <w:t xml:space="preserve">——— </w:t>
      </w:r>
      <w:r w:rsidRPr="002B1DFC">
        <w:rPr>
          <w:rFonts w:cs="Times New Roman"/>
        </w:rPr>
        <w:t xml:space="preserve">. 2015. </w:t>
      </w:r>
      <w:r w:rsidRPr="0061686D">
        <w:rPr>
          <w:rFonts w:cs="Times New Roman"/>
          <w:i/>
        </w:rPr>
        <w:t>OECD Environmental Performance Reviews: Poland 2015.</w:t>
      </w:r>
      <w:r w:rsidRPr="002B1DFC">
        <w:rPr>
          <w:rFonts w:cs="Times New Roman"/>
        </w:rPr>
        <w:t xml:space="preserve"> OECD Publishing. </w:t>
      </w:r>
      <w:hyperlink r:id="rId36" w:history="1">
        <w:r w:rsidRPr="0061686D">
          <w:rPr>
            <w:rStyle w:val="Hyperlink"/>
            <w:color w:val="auto"/>
            <w:u w:val="none"/>
          </w:rPr>
          <w:t>http://dx.doi.org/10.1787/9789264227385-en</w:t>
        </w:r>
      </w:hyperlink>
      <w:r w:rsidRPr="002B1DFC">
        <w:rPr>
          <w:rFonts w:cs="Times New Roman"/>
        </w:rPr>
        <w:t xml:space="preserve"> </w:t>
      </w:r>
    </w:p>
    <w:p w14:paraId="43AD221C" w14:textId="77777777" w:rsidR="000939F7" w:rsidRPr="002B1DFC" w:rsidRDefault="000939F7" w:rsidP="000939F7">
      <w:pPr>
        <w:spacing w:before="120" w:after="120"/>
        <w:ind w:left="720" w:hanging="720"/>
        <w:rPr>
          <w:rFonts w:cs="Times New Roman"/>
        </w:rPr>
      </w:pPr>
      <w:r w:rsidRPr="003F0B09">
        <w:rPr>
          <w:rFonts w:cs="Times New Roman"/>
        </w:rPr>
        <w:lastRenderedPageBreak/>
        <w:t>Order of the Ministry of Ecology and Natural Resources of</w:t>
      </w:r>
      <w:r>
        <w:rPr>
          <w:rFonts w:cs="Times New Roman"/>
        </w:rPr>
        <w:t xml:space="preserve"> Ukraine of May 15, 2014, No. 152 “On Approval of the Structure of the Central A</w:t>
      </w:r>
      <w:r w:rsidRPr="003F0B09">
        <w:rPr>
          <w:rFonts w:cs="Times New Roman"/>
        </w:rPr>
        <w:t>pparatus of the Ministry of Ecology and Natural Resources of Ukraine.</w:t>
      </w:r>
      <w:r>
        <w:rPr>
          <w:rFonts w:cs="Times New Roman"/>
        </w:rPr>
        <w:t>”</w:t>
      </w:r>
    </w:p>
    <w:p w14:paraId="64025AB2" w14:textId="77777777" w:rsidR="000939F7" w:rsidRPr="002B1DFC" w:rsidRDefault="000939F7" w:rsidP="000939F7">
      <w:pPr>
        <w:spacing w:before="120" w:after="120"/>
        <w:ind w:left="720" w:hanging="720"/>
        <w:rPr>
          <w:rFonts w:cs="Times New Roman"/>
        </w:rPr>
      </w:pPr>
      <w:r w:rsidRPr="002B1DFC">
        <w:rPr>
          <w:rFonts w:cs="Times New Roman"/>
        </w:rPr>
        <w:t xml:space="preserve">Order of the Ministry of Ecology and Mineral Resources of </w:t>
      </w:r>
      <w:r>
        <w:rPr>
          <w:rFonts w:cs="Times New Roman"/>
        </w:rPr>
        <w:t xml:space="preserve">Ukraine of January </w:t>
      </w:r>
      <w:r w:rsidRPr="002B1DFC">
        <w:rPr>
          <w:rFonts w:cs="Times New Roman"/>
        </w:rPr>
        <w:t>26</w:t>
      </w:r>
      <w:r>
        <w:rPr>
          <w:rFonts w:cs="Times New Roman"/>
        </w:rPr>
        <w:t xml:space="preserve">, </w:t>
      </w:r>
      <w:r w:rsidRPr="002B1DFC">
        <w:rPr>
          <w:rFonts w:cs="Times New Roman"/>
        </w:rPr>
        <w:t xml:space="preserve">2015 </w:t>
      </w:r>
      <w:r>
        <w:rPr>
          <w:rFonts w:cs="Times New Roman"/>
        </w:rPr>
        <w:t>N</w:t>
      </w:r>
      <w:r w:rsidRPr="002B1DFC">
        <w:rPr>
          <w:rFonts w:cs="Times New Roman"/>
        </w:rPr>
        <w:t xml:space="preserve">o. 10 "On </w:t>
      </w:r>
      <w:r>
        <w:rPr>
          <w:rFonts w:cs="Times New Roman"/>
        </w:rPr>
        <w:t>A</w:t>
      </w:r>
      <w:r w:rsidRPr="002B1DFC">
        <w:rPr>
          <w:rFonts w:cs="Times New Roman"/>
        </w:rPr>
        <w:t xml:space="preserve">pproval of the </w:t>
      </w:r>
      <w:r>
        <w:rPr>
          <w:rFonts w:cs="Times New Roman"/>
        </w:rPr>
        <w:t>S</w:t>
      </w:r>
      <w:r w:rsidRPr="002B1DFC">
        <w:rPr>
          <w:rFonts w:cs="Times New Roman"/>
        </w:rPr>
        <w:t xml:space="preserve">tructure of the </w:t>
      </w:r>
      <w:r>
        <w:rPr>
          <w:rFonts w:cs="Times New Roman"/>
        </w:rPr>
        <w:t>C</w:t>
      </w:r>
      <w:r w:rsidRPr="002B1DFC">
        <w:rPr>
          <w:rFonts w:cs="Times New Roman"/>
        </w:rPr>
        <w:t xml:space="preserve">entral </w:t>
      </w:r>
      <w:r>
        <w:rPr>
          <w:rFonts w:cs="Times New Roman"/>
        </w:rPr>
        <w:t>A</w:t>
      </w:r>
      <w:r w:rsidRPr="002B1DFC">
        <w:rPr>
          <w:rFonts w:cs="Times New Roman"/>
        </w:rPr>
        <w:t>pparatus of the Ministry of Ecology and Natural Resources of Ukraine.</w:t>
      </w:r>
      <w:r>
        <w:rPr>
          <w:rFonts w:cs="Times New Roman"/>
        </w:rPr>
        <w:t>”</w:t>
      </w:r>
      <w:r w:rsidRPr="002B1DFC">
        <w:rPr>
          <w:rFonts w:cs="Times New Roman"/>
        </w:rPr>
        <w:t xml:space="preserve"> </w:t>
      </w:r>
    </w:p>
    <w:p w14:paraId="495E464A" w14:textId="77777777" w:rsidR="000939F7" w:rsidRPr="002B1DFC" w:rsidRDefault="000939F7" w:rsidP="000939F7">
      <w:pPr>
        <w:spacing w:before="120" w:after="120"/>
        <w:ind w:left="720" w:hanging="720"/>
        <w:rPr>
          <w:rFonts w:cs="Times New Roman"/>
        </w:rPr>
      </w:pPr>
      <w:r w:rsidRPr="002B1DFC">
        <w:rPr>
          <w:rFonts w:cs="Times New Roman"/>
        </w:rPr>
        <w:t xml:space="preserve">Parliament of Ukraine: www.rada.gov.ua </w:t>
      </w:r>
      <w:r>
        <w:rPr>
          <w:rFonts w:cs="Times New Roman"/>
        </w:rPr>
        <w:t xml:space="preserve"> </w:t>
      </w:r>
    </w:p>
    <w:p w14:paraId="40BB66BD" w14:textId="77777777" w:rsidR="000939F7" w:rsidRPr="002B1DFC" w:rsidRDefault="000939F7" w:rsidP="000939F7">
      <w:pPr>
        <w:spacing w:before="120" w:after="120"/>
        <w:ind w:left="720" w:hanging="720"/>
        <w:rPr>
          <w:rFonts w:cs="Times New Roman"/>
        </w:rPr>
      </w:pPr>
      <w:r w:rsidRPr="002B1DFC">
        <w:rPr>
          <w:rFonts w:cs="Times New Roman"/>
        </w:rPr>
        <w:t>Presentation about EIA Demo Project in Ivano-Frankivsk oblast</w:t>
      </w:r>
      <w:r>
        <w:rPr>
          <w:rFonts w:cs="Times New Roman"/>
        </w:rPr>
        <w:t xml:space="preserve">. </w:t>
      </w:r>
    </w:p>
    <w:p w14:paraId="7061430A" w14:textId="77777777" w:rsidR="000939F7" w:rsidRPr="002B1DFC" w:rsidRDefault="000939F7" w:rsidP="000939F7">
      <w:pPr>
        <w:spacing w:before="120" w:after="120"/>
        <w:ind w:left="720" w:hanging="720"/>
        <w:rPr>
          <w:rFonts w:cs="Times New Roman"/>
        </w:rPr>
      </w:pPr>
      <w:r w:rsidRPr="002B1DFC">
        <w:rPr>
          <w:rFonts w:cs="Times New Roman"/>
        </w:rPr>
        <w:t xml:space="preserve">PRISM </w:t>
      </w:r>
      <w:r>
        <w:rPr>
          <w:rFonts w:cs="Times New Roman"/>
        </w:rPr>
        <w:t>P</w:t>
      </w:r>
      <w:r w:rsidRPr="002B1DFC">
        <w:rPr>
          <w:rFonts w:cs="Times New Roman"/>
        </w:rPr>
        <w:t>roject (Policy Reform and Implementation Support Mechanism Project) http://net.cbie.ca/projects/CBIE-PRISM/209.217.97.140/prism/index_2fe2d820.php.html</w:t>
      </w:r>
    </w:p>
    <w:p w14:paraId="6496D6AD" w14:textId="0828EA70" w:rsidR="00EF6971" w:rsidRDefault="00EF6971" w:rsidP="00147937">
      <w:pPr>
        <w:spacing w:before="120" w:after="120"/>
        <w:ind w:left="720" w:hanging="720"/>
        <w:rPr>
          <w:rFonts w:cs="Times New Roman"/>
        </w:rPr>
      </w:pPr>
      <w:r w:rsidRPr="00EF6971">
        <w:rPr>
          <w:rFonts w:cs="Times New Roman"/>
        </w:rPr>
        <w:t xml:space="preserve">Single </w:t>
      </w:r>
      <w:r w:rsidR="00147937">
        <w:rPr>
          <w:rFonts w:cs="Times New Roman"/>
        </w:rPr>
        <w:t xml:space="preserve">NGO </w:t>
      </w:r>
      <w:r w:rsidRPr="00EF6971">
        <w:rPr>
          <w:rFonts w:cs="Times New Roman"/>
        </w:rPr>
        <w:t xml:space="preserve">Register. </w:t>
      </w:r>
      <w:r>
        <w:rPr>
          <w:rFonts w:cs="Times New Roman"/>
        </w:rPr>
        <w:t xml:space="preserve">2015. </w:t>
      </w:r>
      <w:r w:rsidRPr="00EF6971">
        <w:rPr>
          <w:rFonts w:cs="Times New Roman"/>
        </w:rPr>
        <w:t xml:space="preserve">Accessed </w:t>
      </w:r>
      <w:r>
        <w:rPr>
          <w:rFonts w:cs="Times New Roman"/>
        </w:rPr>
        <w:t xml:space="preserve">online on </w:t>
      </w:r>
      <w:r w:rsidRPr="00EF6971">
        <w:rPr>
          <w:rFonts w:cs="Times New Roman"/>
        </w:rPr>
        <w:t>May 15, 2015</w:t>
      </w:r>
      <w:r>
        <w:rPr>
          <w:rFonts w:cs="Times New Roman"/>
        </w:rPr>
        <w:t xml:space="preserve">: </w:t>
      </w:r>
      <w:r w:rsidRPr="00EF6971">
        <w:rPr>
          <w:rFonts w:cs="Times New Roman"/>
        </w:rPr>
        <w:t xml:space="preserve">http://rgo.informjust.ua/ </w:t>
      </w:r>
      <w:r>
        <w:rPr>
          <w:rFonts w:cs="Times New Roman"/>
        </w:rPr>
        <w:t xml:space="preserve"> </w:t>
      </w:r>
    </w:p>
    <w:p w14:paraId="5E55C36D" w14:textId="77777777" w:rsidR="000939F7" w:rsidRPr="002B1DFC" w:rsidRDefault="000939F7" w:rsidP="000939F7">
      <w:pPr>
        <w:spacing w:before="120" w:after="120"/>
        <w:ind w:left="720" w:hanging="720"/>
        <w:rPr>
          <w:rFonts w:cs="Times New Roman"/>
        </w:rPr>
      </w:pPr>
      <w:r w:rsidRPr="002B1DFC">
        <w:rPr>
          <w:rFonts w:cs="Times New Roman"/>
        </w:rPr>
        <w:t xml:space="preserve">State </w:t>
      </w:r>
      <w:r>
        <w:rPr>
          <w:rFonts w:cs="Times New Roman"/>
        </w:rPr>
        <w:t>C</w:t>
      </w:r>
      <w:r w:rsidRPr="002B1DFC">
        <w:rPr>
          <w:rFonts w:cs="Times New Roman"/>
        </w:rPr>
        <w:t xml:space="preserve">onstruction </w:t>
      </w:r>
      <w:r>
        <w:rPr>
          <w:rFonts w:cs="Times New Roman"/>
        </w:rPr>
        <w:t>N</w:t>
      </w:r>
      <w:r w:rsidRPr="002B1DFC">
        <w:rPr>
          <w:rFonts w:cs="Times New Roman"/>
        </w:rPr>
        <w:t>orms on OVNS (DBN A.2.2-1-2003)</w:t>
      </w:r>
      <w:r>
        <w:rPr>
          <w:rFonts w:cs="Times New Roman"/>
        </w:rPr>
        <w:t xml:space="preserve">.  </w:t>
      </w:r>
    </w:p>
    <w:p w14:paraId="1B3722E9" w14:textId="77777777" w:rsidR="000939F7" w:rsidRPr="002B1DFC" w:rsidRDefault="000939F7" w:rsidP="000939F7">
      <w:pPr>
        <w:spacing w:before="120" w:after="120"/>
        <w:ind w:left="720" w:hanging="720"/>
        <w:rPr>
          <w:rFonts w:cs="Times New Roman"/>
        </w:rPr>
      </w:pPr>
      <w:r w:rsidRPr="002B1DFC">
        <w:rPr>
          <w:rFonts w:cs="Times New Roman"/>
        </w:rPr>
        <w:t xml:space="preserve">State Statistics Service of Ukraine. 2014. </w:t>
      </w:r>
      <w:r w:rsidRPr="0061686D">
        <w:rPr>
          <w:rFonts w:cs="Times New Roman"/>
          <w:i/>
        </w:rPr>
        <w:t>Statistical Yearbook: Ukraine in Figures – 2013.</w:t>
      </w:r>
      <w:r>
        <w:rPr>
          <w:rFonts w:cs="Times New Roman"/>
        </w:rPr>
        <w:t xml:space="preserve"> Kyiv:</w:t>
      </w:r>
      <w:r w:rsidRPr="002B1DFC">
        <w:rPr>
          <w:rFonts w:cs="Times New Roman"/>
        </w:rPr>
        <w:t xml:space="preserve"> State Statistics Service of Ukraine</w:t>
      </w:r>
      <w:r>
        <w:rPr>
          <w:rFonts w:cs="Times New Roman"/>
        </w:rPr>
        <w:t>.</w:t>
      </w:r>
      <w:r w:rsidRPr="002B1DFC">
        <w:rPr>
          <w:rFonts w:cs="Times New Roman"/>
        </w:rPr>
        <w:t xml:space="preserve"> </w:t>
      </w:r>
    </w:p>
    <w:p w14:paraId="2D431738" w14:textId="77777777" w:rsidR="000939F7" w:rsidRDefault="000939F7" w:rsidP="000939F7">
      <w:pPr>
        <w:spacing w:before="120" w:after="120"/>
        <w:ind w:left="720" w:hanging="720"/>
      </w:pPr>
      <w:proofErr w:type="spellStart"/>
      <w:r w:rsidRPr="005528AD">
        <w:rPr>
          <w:rFonts w:cs="Times New Roman"/>
        </w:rPr>
        <w:t>Streimikiene</w:t>
      </w:r>
      <w:proofErr w:type="spellEnd"/>
      <w:r>
        <w:t xml:space="preserve"> Dalia. 2015. Impact of Environmental Taxes on Sustainable Energy Development in Baltic States, Czech Republic and Slovakia. E&amp;M Economics and Management. Accessed online: </w:t>
      </w:r>
      <w:hyperlink r:id="rId37" w:history="1">
        <w:r>
          <w:rPr>
            <w:rStyle w:val="Hyperlink"/>
          </w:rPr>
          <w:t>https://dspace.tul.cz/bitstream/handle/15240/13432/Str%C3%A1nky%20z%20EM_4_2015_01.pdf?sequence=1</w:t>
        </w:r>
      </w:hyperlink>
    </w:p>
    <w:p w14:paraId="01DE7944" w14:textId="77777777" w:rsidR="000939F7" w:rsidRPr="002B1DFC" w:rsidRDefault="000939F7" w:rsidP="000939F7">
      <w:pPr>
        <w:spacing w:before="120" w:after="120"/>
        <w:ind w:left="720" w:hanging="720"/>
        <w:rPr>
          <w:rFonts w:cs="Times New Roman"/>
        </w:rPr>
      </w:pPr>
      <w:proofErr w:type="spellStart"/>
      <w:r w:rsidRPr="002B1DFC">
        <w:rPr>
          <w:rFonts w:cs="Times New Roman"/>
        </w:rPr>
        <w:t>Strukova</w:t>
      </w:r>
      <w:proofErr w:type="spellEnd"/>
      <w:r>
        <w:rPr>
          <w:rFonts w:cs="Times New Roman"/>
        </w:rPr>
        <w:t>, E.,</w:t>
      </w:r>
      <w:r w:rsidRPr="002B1DFC">
        <w:rPr>
          <w:rFonts w:cs="Times New Roman"/>
        </w:rPr>
        <w:t xml:space="preserve"> </w:t>
      </w:r>
      <w:r>
        <w:rPr>
          <w:rFonts w:cs="Times New Roman"/>
        </w:rPr>
        <w:t>A. Golub</w:t>
      </w:r>
      <w:r w:rsidRPr="00D305FA">
        <w:rPr>
          <w:rFonts w:cs="Times New Roman"/>
        </w:rPr>
        <w:t xml:space="preserve">, </w:t>
      </w:r>
      <w:r>
        <w:rPr>
          <w:rFonts w:cs="Times New Roman"/>
        </w:rPr>
        <w:t xml:space="preserve">and A. </w:t>
      </w:r>
      <w:proofErr w:type="spellStart"/>
      <w:r>
        <w:rPr>
          <w:rFonts w:cs="Times New Roman"/>
        </w:rPr>
        <w:t>Markandya</w:t>
      </w:r>
      <w:proofErr w:type="spellEnd"/>
      <w:r>
        <w:rPr>
          <w:rFonts w:cs="Times New Roman"/>
        </w:rPr>
        <w:t>.</w:t>
      </w:r>
      <w:r w:rsidRPr="00D305FA">
        <w:rPr>
          <w:rFonts w:cs="Times New Roman"/>
        </w:rPr>
        <w:t xml:space="preserve"> </w:t>
      </w:r>
      <w:r w:rsidRPr="002B1DFC">
        <w:rPr>
          <w:rFonts w:cs="Times New Roman"/>
        </w:rPr>
        <w:t xml:space="preserve">2006. </w:t>
      </w:r>
      <w:r w:rsidRPr="0061686D">
        <w:rPr>
          <w:rFonts w:cs="Times New Roman"/>
          <w:i/>
        </w:rPr>
        <w:t>Air Pollution Costs in Ukraine.</w:t>
      </w:r>
      <w:r w:rsidRPr="002B1DFC">
        <w:rPr>
          <w:rFonts w:cs="Times New Roman"/>
        </w:rPr>
        <w:t xml:space="preserve"> http://www.researchgate.net/publication/5023565_Air_Pollution_Costs_in_Ukraine/links/</w:t>
      </w:r>
      <w:proofErr w:type="gramStart"/>
      <w:r w:rsidRPr="002B1DFC">
        <w:rPr>
          <w:rFonts w:cs="Times New Roman"/>
        </w:rPr>
        <w:t>0912f508fce6255e50000000</w:t>
      </w:r>
      <w:r>
        <w:rPr>
          <w:rFonts w:cs="Times New Roman"/>
        </w:rPr>
        <w:t xml:space="preserve">  Accessed</w:t>
      </w:r>
      <w:proofErr w:type="gramEnd"/>
      <w:r>
        <w:rPr>
          <w:rFonts w:cs="Times New Roman"/>
        </w:rPr>
        <w:t xml:space="preserve"> September 18, 2014.</w:t>
      </w:r>
    </w:p>
    <w:p w14:paraId="4EDEE8D7" w14:textId="77777777" w:rsidR="000939F7" w:rsidRPr="002B1DFC" w:rsidRDefault="000939F7" w:rsidP="000939F7">
      <w:pPr>
        <w:spacing w:before="120" w:after="120"/>
        <w:ind w:left="720" w:hanging="720"/>
        <w:rPr>
          <w:rFonts w:cs="Times New Roman"/>
        </w:rPr>
      </w:pPr>
      <w:r w:rsidRPr="002B1DFC">
        <w:rPr>
          <w:rFonts w:cs="Times New Roman"/>
        </w:rPr>
        <w:t>Swiss</w:t>
      </w:r>
      <w:r>
        <w:rPr>
          <w:rFonts w:cs="Times New Roman"/>
        </w:rPr>
        <w:t>–</w:t>
      </w:r>
      <w:r w:rsidRPr="002B1DFC">
        <w:rPr>
          <w:rFonts w:cs="Times New Roman"/>
        </w:rPr>
        <w:t xml:space="preserve">Ukrainian </w:t>
      </w:r>
      <w:r>
        <w:rPr>
          <w:rFonts w:cs="Times New Roman"/>
        </w:rPr>
        <w:t>P</w:t>
      </w:r>
      <w:r w:rsidRPr="002B1DFC">
        <w:rPr>
          <w:rFonts w:cs="Times New Roman"/>
        </w:rPr>
        <w:t>roject “Decentralization Support in Ukraine” (DESPRO). http://despro.org.ua/en/</w:t>
      </w:r>
    </w:p>
    <w:p w14:paraId="5897505B" w14:textId="77777777" w:rsidR="000939F7" w:rsidRDefault="000939F7" w:rsidP="000939F7">
      <w:pPr>
        <w:spacing w:before="120" w:after="120"/>
        <w:ind w:left="720" w:hanging="720"/>
        <w:rPr>
          <w:rFonts w:cs="Times New Roman"/>
        </w:rPr>
      </w:pPr>
      <w:r w:rsidRPr="002B1DFC">
        <w:rPr>
          <w:rFonts w:cs="Times New Roman"/>
        </w:rPr>
        <w:t xml:space="preserve">Technological Card of MENR (administrative service </w:t>
      </w:r>
      <w:r>
        <w:rPr>
          <w:rFonts w:cs="Times New Roman"/>
        </w:rPr>
        <w:t>–</w:t>
      </w:r>
      <w:r w:rsidRPr="002B1DFC">
        <w:rPr>
          <w:rFonts w:cs="Times New Roman"/>
        </w:rPr>
        <w:t xml:space="preserve"> </w:t>
      </w:r>
      <w:r>
        <w:rPr>
          <w:rFonts w:cs="Times New Roman"/>
        </w:rPr>
        <w:t>expertise</w:t>
      </w:r>
      <w:r w:rsidRPr="002B1DFC">
        <w:rPr>
          <w:rFonts w:cs="Times New Roman"/>
        </w:rPr>
        <w:t>)</w:t>
      </w:r>
      <w:r>
        <w:rPr>
          <w:rFonts w:cs="Times New Roman"/>
        </w:rPr>
        <w:t xml:space="preserve">.  </w:t>
      </w:r>
    </w:p>
    <w:p w14:paraId="3FF29225" w14:textId="77777777" w:rsidR="000939F7" w:rsidRPr="002B1DFC" w:rsidRDefault="000939F7" w:rsidP="000939F7">
      <w:pPr>
        <w:spacing w:before="120" w:after="120"/>
        <w:ind w:left="720" w:hanging="720"/>
        <w:rPr>
          <w:rFonts w:cs="Times New Roman"/>
        </w:rPr>
      </w:pPr>
      <w:r w:rsidRPr="00451092">
        <w:rPr>
          <w:rFonts w:cs="Times New Roman"/>
        </w:rPr>
        <w:t xml:space="preserve">Teel, J. 2001. “International Environmental Impact Assessment: A Case Study in Implementation.” </w:t>
      </w:r>
      <w:r w:rsidRPr="0061686D">
        <w:rPr>
          <w:rFonts w:cs="Times New Roman"/>
          <w:i/>
        </w:rPr>
        <w:t>The Environmental Law Reporter.</w:t>
      </w:r>
    </w:p>
    <w:p w14:paraId="57DD5C2C" w14:textId="77777777" w:rsidR="000939F7" w:rsidRPr="002B1DFC" w:rsidRDefault="000939F7" w:rsidP="000939F7">
      <w:pPr>
        <w:spacing w:before="120" w:after="120"/>
        <w:ind w:left="720" w:hanging="720"/>
        <w:rPr>
          <w:rFonts w:cs="Times New Roman"/>
        </w:rPr>
      </w:pPr>
      <w:r w:rsidRPr="002B1DFC">
        <w:rPr>
          <w:rFonts w:cs="Times New Roman"/>
        </w:rPr>
        <w:t>Transparency International index. https://www.transparency.org/cpi2014/results</w:t>
      </w:r>
    </w:p>
    <w:p w14:paraId="6225EFCE" w14:textId="77777777" w:rsidR="000939F7" w:rsidRDefault="000939F7" w:rsidP="000939F7">
      <w:pPr>
        <w:spacing w:before="120" w:after="120"/>
        <w:ind w:left="720" w:hanging="720"/>
      </w:pPr>
      <w:r>
        <w:t xml:space="preserve">UN </w:t>
      </w:r>
      <w:r w:rsidRPr="005528AD">
        <w:rPr>
          <w:rFonts w:cs="Times New Roman"/>
        </w:rPr>
        <w:t>Data</w:t>
      </w:r>
      <w:r>
        <w:t xml:space="preserve"> Web site. 2015. </w:t>
      </w:r>
      <w:hyperlink r:id="rId38" w:history="1">
        <w:r w:rsidRPr="00A72702">
          <w:rPr>
            <w:rStyle w:val="Hyperlink"/>
            <w:rFonts w:cs="Arial"/>
            <w:color w:val="auto"/>
            <w:u w:val="none"/>
          </w:rPr>
          <w:t>http://data.un.org/DocumentData.aspx?id=352</w:t>
        </w:r>
      </w:hyperlink>
    </w:p>
    <w:p w14:paraId="646D9A49" w14:textId="77777777" w:rsidR="000939F7" w:rsidRPr="002B1DFC" w:rsidRDefault="000939F7" w:rsidP="000939F7">
      <w:pPr>
        <w:spacing w:before="120" w:after="120"/>
        <w:ind w:left="720" w:hanging="720"/>
        <w:rPr>
          <w:rFonts w:cs="Times New Roman"/>
        </w:rPr>
      </w:pPr>
      <w:r w:rsidRPr="002B1DFC">
        <w:rPr>
          <w:rFonts w:cs="Times New Roman"/>
        </w:rPr>
        <w:t xml:space="preserve">UNCTAD. 2013. </w:t>
      </w:r>
      <w:r w:rsidRPr="0061686D">
        <w:rPr>
          <w:rFonts w:cs="Times New Roman"/>
          <w:i/>
        </w:rPr>
        <w:t>Voluntary Peer Review of Competition Law and Policy: Ukraine.</w:t>
      </w:r>
      <w:r w:rsidRPr="002B1DFC">
        <w:rPr>
          <w:rFonts w:cs="Times New Roman"/>
        </w:rPr>
        <w:t xml:space="preserve"> http://unctad.org/en/PublicationsLibrary/ditcclp2013d3_overview_en.pdf</w:t>
      </w:r>
    </w:p>
    <w:p w14:paraId="5BC4C44D" w14:textId="77777777" w:rsidR="000939F7" w:rsidRPr="002B1DFC" w:rsidRDefault="000939F7" w:rsidP="000939F7">
      <w:pPr>
        <w:spacing w:before="120" w:after="120"/>
        <w:ind w:left="720" w:hanging="720"/>
        <w:rPr>
          <w:rFonts w:cs="Times New Roman"/>
        </w:rPr>
      </w:pPr>
      <w:r w:rsidRPr="002B1DFC">
        <w:rPr>
          <w:rFonts w:cs="Times New Roman"/>
        </w:rPr>
        <w:t>UNDP. 2007</w:t>
      </w:r>
      <w:r>
        <w:rPr>
          <w:rFonts w:cs="Times New Roman"/>
        </w:rPr>
        <w:t>a</w:t>
      </w:r>
      <w:r w:rsidRPr="002B1DFC">
        <w:rPr>
          <w:rFonts w:cs="Times New Roman"/>
        </w:rPr>
        <w:t xml:space="preserve">. </w:t>
      </w:r>
      <w:r w:rsidRPr="0061686D">
        <w:rPr>
          <w:rFonts w:cs="Times New Roman"/>
          <w:i/>
        </w:rPr>
        <w:t>National Environmental Policy of Ukraine: Assessment and Development Strategy.</w:t>
      </w:r>
      <w:r w:rsidRPr="002B1DFC">
        <w:rPr>
          <w:rFonts w:cs="Times New Roman"/>
        </w:rPr>
        <w:t xml:space="preserve"> http://www.undp.org.ua/files/en_26469national-main.pdf </w:t>
      </w:r>
    </w:p>
    <w:p w14:paraId="26AB9963" w14:textId="77777777" w:rsidR="000939F7" w:rsidRPr="002B1DFC" w:rsidRDefault="000939F7" w:rsidP="000939F7">
      <w:pPr>
        <w:spacing w:before="120" w:after="120"/>
        <w:ind w:left="720" w:hanging="720"/>
        <w:rPr>
          <w:rFonts w:cs="Times New Roman"/>
        </w:rPr>
      </w:pPr>
      <w:r>
        <w:rPr>
          <w:rFonts w:cs="Times New Roman"/>
        </w:rPr>
        <w:t xml:space="preserve">——— </w:t>
      </w:r>
      <w:r w:rsidRPr="002B1DFC">
        <w:rPr>
          <w:rFonts w:cs="Times New Roman"/>
        </w:rPr>
        <w:t>. 2007</w:t>
      </w:r>
      <w:r>
        <w:rPr>
          <w:rFonts w:cs="Times New Roman"/>
        </w:rPr>
        <w:t>b</w:t>
      </w:r>
      <w:r w:rsidRPr="002B1DFC">
        <w:rPr>
          <w:rFonts w:cs="Times New Roman"/>
        </w:rPr>
        <w:t xml:space="preserve">. </w:t>
      </w:r>
      <w:r w:rsidRPr="0061686D">
        <w:rPr>
          <w:rFonts w:cs="Times New Roman"/>
          <w:i/>
        </w:rPr>
        <w:t>National Environmental Policy of Ukraine: General Assessment and Key Recommendations.</w:t>
      </w:r>
      <w:r w:rsidRPr="002B1DFC">
        <w:rPr>
          <w:rFonts w:cs="Times New Roman"/>
        </w:rPr>
        <w:t xml:space="preserve"> </w:t>
      </w:r>
    </w:p>
    <w:p w14:paraId="20283585" w14:textId="77777777" w:rsidR="000939F7" w:rsidRPr="002B1DFC" w:rsidRDefault="000939F7" w:rsidP="000939F7">
      <w:pPr>
        <w:spacing w:before="120" w:after="120"/>
        <w:ind w:left="720" w:hanging="720"/>
        <w:rPr>
          <w:rFonts w:cs="Times New Roman"/>
        </w:rPr>
      </w:pPr>
      <w:r w:rsidRPr="002B1DFC">
        <w:rPr>
          <w:rFonts w:cs="Times New Roman"/>
        </w:rPr>
        <w:t xml:space="preserve">UNIDO &amp; UNEP </w:t>
      </w:r>
      <w:r>
        <w:rPr>
          <w:rFonts w:cs="Times New Roman"/>
        </w:rPr>
        <w:t>P</w:t>
      </w:r>
      <w:r w:rsidRPr="002B1DFC">
        <w:rPr>
          <w:rFonts w:cs="Times New Roman"/>
        </w:rPr>
        <w:t>roject “Support Resource Efficient and Cleaner Production Center (RECPC)</w:t>
      </w:r>
      <w:r>
        <w:rPr>
          <w:rFonts w:cs="Times New Roman"/>
        </w:rPr>
        <w:t>.</w:t>
      </w:r>
      <w:r w:rsidRPr="002B1DFC">
        <w:rPr>
          <w:rFonts w:cs="Times New Roman"/>
        </w:rPr>
        <w:t xml:space="preserve">” http://www.recpc.kpi.ua </w:t>
      </w:r>
    </w:p>
    <w:p w14:paraId="4199FEE4" w14:textId="77777777" w:rsidR="000939F7" w:rsidRPr="002B1DFC" w:rsidRDefault="000939F7" w:rsidP="000939F7">
      <w:pPr>
        <w:spacing w:before="120" w:after="120"/>
        <w:ind w:left="720" w:hanging="720"/>
        <w:rPr>
          <w:rFonts w:cs="Times New Roman"/>
        </w:rPr>
      </w:pPr>
      <w:r w:rsidRPr="002B1DFC">
        <w:rPr>
          <w:rFonts w:cs="Times New Roman"/>
        </w:rPr>
        <w:t xml:space="preserve">USAID </w:t>
      </w:r>
      <w:r>
        <w:rPr>
          <w:rFonts w:cs="Times New Roman"/>
        </w:rPr>
        <w:t>P</w:t>
      </w:r>
      <w:r w:rsidRPr="002B1DFC">
        <w:rPr>
          <w:rFonts w:cs="Times New Roman"/>
        </w:rPr>
        <w:t>roject “The Public-Private Partnership Development Program (P3DP)</w:t>
      </w:r>
      <w:r>
        <w:rPr>
          <w:rFonts w:cs="Times New Roman"/>
        </w:rPr>
        <w:t>.</w:t>
      </w:r>
      <w:r w:rsidRPr="002B1DFC">
        <w:rPr>
          <w:rFonts w:cs="Times New Roman"/>
        </w:rPr>
        <w:t>” http://ppp-ukraine.org</w:t>
      </w:r>
    </w:p>
    <w:p w14:paraId="4BD446EC" w14:textId="77777777" w:rsidR="000939F7" w:rsidRPr="003F0B09" w:rsidRDefault="000939F7" w:rsidP="000939F7">
      <w:pPr>
        <w:spacing w:before="120" w:after="120"/>
        <w:ind w:left="720" w:hanging="720"/>
        <w:rPr>
          <w:rFonts w:cs="Times New Roman"/>
        </w:rPr>
      </w:pPr>
      <w:r w:rsidRPr="002B1DFC">
        <w:rPr>
          <w:rFonts w:cs="Times New Roman"/>
        </w:rPr>
        <w:t xml:space="preserve">World Bank. 2002. </w:t>
      </w:r>
      <w:r w:rsidRPr="0061686D">
        <w:rPr>
          <w:rFonts w:cs="Times New Roman"/>
          <w:i/>
        </w:rPr>
        <w:t>Ukraine Financing the Environment: Ukraine’s Road to Effective Environmental Management.</w:t>
      </w:r>
      <w:r>
        <w:rPr>
          <w:rFonts w:cs="Times New Roman"/>
          <w:i/>
        </w:rPr>
        <w:t xml:space="preserve"> </w:t>
      </w:r>
      <w:r>
        <w:rPr>
          <w:rFonts w:cs="Times New Roman"/>
        </w:rPr>
        <w:t>Washington, DC: World Bank.</w:t>
      </w:r>
    </w:p>
    <w:p w14:paraId="29B19A43" w14:textId="77777777" w:rsidR="000939F7" w:rsidRPr="002B1DFC" w:rsidRDefault="000939F7" w:rsidP="000939F7">
      <w:pPr>
        <w:spacing w:before="120" w:after="120"/>
        <w:ind w:left="720" w:hanging="720"/>
        <w:rPr>
          <w:rFonts w:cs="Times New Roman"/>
        </w:rPr>
      </w:pPr>
      <w:r>
        <w:rPr>
          <w:rFonts w:cs="Times New Roman"/>
        </w:rPr>
        <w:t>———</w:t>
      </w:r>
      <w:r w:rsidRPr="002B1DFC">
        <w:rPr>
          <w:rFonts w:cs="Times New Roman"/>
        </w:rPr>
        <w:t xml:space="preserve">. 2003. </w:t>
      </w:r>
      <w:r w:rsidRPr="0061686D">
        <w:rPr>
          <w:rFonts w:cs="Times New Roman"/>
          <w:i/>
        </w:rPr>
        <w:t xml:space="preserve">Ukraine Financing the Environment: Ukraine’s Road to Effective Environmental Management </w:t>
      </w:r>
      <w:r>
        <w:rPr>
          <w:rFonts w:cs="Times New Roman"/>
          <w:i/>
        </w:rPr>
        <w:t>–</w:t>
      </w:r>
      <w:r w:rsidRPr="0061686D">
        <w:rPr>
          <w:rFonts w:cs="Times New Roman"/>
          <w:i/>
        </w:rPr>
        <w:t xml:space="preserve"> A Public Environmental Expenditure Review.</w:t>
      </w:r>
      <w:r w:rsidRPr="002B1DFC">
        <w:rPr>
          <w:rFonts w:cs="Times New Roman"/>
        </w:rPr>
        <w:t xml:space="preserve"> Washington</w:t>
      </w:r>
      <w:r>
        <w:rPr>
          <w:rFonts w:cs="Times New Roman"/>
        </w:rPr>
        <w:t>,</w:t>
      </w:r>
      <w:r w:rsidRPr="002B1DFC">
        <w:rPr>
          <w:rFonts w:cs="Times New Roman"/>
        </w:rPr>
        <w:t xml:space="preserve"> DC</w:t>
      </w:r>
      <w:r>
        <w:rPr>
          <w:rFonts w:cs="Times New Roman"/>
        </w:rPr>
        <w:t>: World Bank.</w:t>
      </w:r>
    </w:p>
    <w:p w14:paraId="1D77BD9B" w14:textId="77777777" w:rsidR="000939F7" w:rsidRPr="002B1DFC" w:rsidRDefault="000939F7" w:rsidP="000939F7">
      <w:pPr>
        <w:spacing w:before="120" w:after="120"/>
        <w:ind w:left="720" w:hanging="720"/>
        <w:rPr>
          <w:rFonts w:cs="Times New Roman"/>
        </w:rPr>
      </w:pPr>
      <w:r>
        <w:rPr>
          <w:rFonts w:cs="Times New Roman"/>
        </w:rPr>
        <w:lastRenderedPageBreak/>
        <w:t>———</w:t>
      </w:r>
      <w:r w:rsidRPr="002B1DFC">
        <w:rPr>
          <w:rFonts w:cs="Times New Roman"/>
        </w:rPr>
        <w:t xml:space="preserve">. 2007. </w:t>
      </w:r>
      <w:r w:rsidRPr="0061686D">
        <w:rPr>
          <w:rFonts w:cs="Times New Roman"/>
          <w:i/>
        </w:rPr>
        <w:t xml:space="preserve">Environmental Priorities and Poverty Reduction – A Country Environmental Analysis for Colombia. </w:t>
      </w:r>
      <w:r w:rsidRPr="002B1DFC">
        <w:rPr>
          <w:rFonts w:cs="Times New Roman"/>
        </w:rPr>
        <w:t>S</w:t>
      </w:r>
      <w:r w:rsidRPr="000D6B10">
        <w:rPr>
          <w:rFonts w:cs="Times New Roman"/>
        </w:rPr>
        <w:t>á</w:t>
      </w:r>
      <w:r w:rsidRPr="002B1DFC">
        <w:rPr>
          <w:rFonts w:cs="Times New Roman"/>
        </w:rPr>
        <w:t xml:space="preserve">nchez </w:t>
      </w:r>
      <w:proofErr w:type="spellStart"/>
      <w:r w:rsidRPr="002B1DFC">
        <w:rPr>
          <w:rFonts w:cs="Times New Roman"/>
        </w:rPr>
        <w:t>Triana</w:t>
      </w:r>
      <w:proofErr w:type="spellEnd"/>
      <w:r>
        <w:rPr>
          <w:rFonts w:cs="Times New Roman"/>
        </w:rPr>
        <w:t>,</w:t>
      </w:r>
      <w:r w:rsidRPr="002B1DFC">
        <w:rPr>
          <w:rFonts w:cs="Times New Roman"/>
        </w:rPr>
        <w:t xml:space="preserve"> E., </w:t>
      </w:r>
      <w:r>
        <w:rPr>
          <w:rFonts w:cs="Times New Roman"/>
        </w:rPr>
        <w:t xml:space="preserve">K. </w:t>
      </w:r>
      <w:r w:rsidRPr="002B1DFC">
        <w:rPr>
          <w:rFonts w:cs="Times New Roman"/>
        </w:rPr>
        <w:t xml:space="preserve">Ahmed, and </w:t>
      </w:r>
      <w:r>
        <w:rPr>
          <w:rFonts w:cs="Times New Roman"/>
        </w:rPr>
        <w:t xml:space="preserve">Y. </w:t>
      </w:r>
      <w:r w:rsidRPr="002B1DFC">
        <w:rPr>
          <w:rFonts w:cs="Times New Roman"/>
        </w:rPr>
        <w:t>Awe (</w:t>
      </w:r>
      <w:proofErr w:type="spellStart"/>
      <w:proofErr w:type="gramStart"/>
      <w:r>
        <w:rPr>
          <w:rFonts w:cs="Times New Roman"/>
        </w:rPr>
        <w:t>e</w:t>
      </w:r>
      <w:r w:rsidRPr="002B1DFC">
        <w:rPr>
          <w:rFonts w:cs="Times New Roman"/>
        </w:rPr>
        <w:t>d</w:t>
      </w:r>
      <w:proofErr w:type="spellEnd"/>
      <w:proofErr w:type="gramEnd"/>
      <w:r w:rsidRPr="002B1DFC">
        <w:rPr>
          <w:rFonts w:cs="Times New Roman"/>
        </w:rPr>
        <w:t>). Directions in Development Series. Washington</w:t>
      </w:r>
      <w:r>
        <w:rPr>
          <w:rFonts w:cs="Times New Roman"/>
        </w:rPr>
        <w:t>,</w:t>
      </w:r>
      <w:r w:rsidRPr="002B1DFC">
        <w:rPr>
          <w:rFonts w:cs="Times New Roman"/>
        </w:rPr>
        <w:t xml:space="preserve"> DC</w:t>
      </w:r>
      <w:r>
        <w:rPr>
          <w:rFonts w:cs="Times New Roman"/>
        </w:rPr>
        <w:t>: World Bank.</w:t>
      </w:r>
    </w:p>
    <w:p w14:paraId="15B19ECE" w14:textId="77777777" w:rsidR="000939F7" w:rsidRPr="002B1DFC" w:rsidRDefault="000939F7" w:rsidP="000939F7">
      <w:pPr>
        <w:spacing w:before="120" w:after="120"/>
        <w:ind w:left="720" w:hanging="720"/>
        <w:rPr>
          <w:rFonts w:cs="Times New Roman"/>
        </w:rPr>
      </w:pPr>
      <w:r>
        <w:rPr>
          <w:rFonts w:cs="Times New Roman"/>
        </w:rPr>
        <w:t>———</w:t>
      </w:r>
      <w:r w:rsidRPr="002B1DFC">
        <w:rPr>
          <w:rFonts w:cs="Times New Roman"/>
        </w:rPr>
        <w:t xml:space="preserve">. 2012. </w:t>
      </w:r>
      <w:r w:rsidRPr="0061686D">
        <w:rPr>
          <w:rFonts w:cs="Times New Roman"/>
          <w:i/>
        </w:rPr>
        <w:t xml:space="preserve">Getting to Green </w:t>
      </w:r>
      <w:r>
        <w:rPr>
          <w:rFonts w:cs="Times New Roman"/>
          <w:i/>
        </w:rPr>
        <w:t>–</w:t>
      </w:r>
      <w:r w:rsidRPr="0061686D">
        <w:rPr>
          <w:rFonts w:cs="Times New Roman"/>
          <w:i/>
        </w:rPr>
        <w:t xml:space="preserve"> A Sourcebook of Pollution Management Policy Tools for Growth and Competitiveness.</w:t>
      </w:r>
      <w:r w:rsidRPr="002B1DFC">
        <w:rPr>
          <w:rFonts w:cs="Times New Roman"/>
        </w:rPr>
        <w:t xml:space="preserve"> </w:t>
      </w:r>
      <w:r>
        <w:rPr>
          <w:rFonts w:cs="Times New Roman"/>
        </w:rPr>
        <w:t xml:space="preserve">Washington, DC: World Bank. </w:t>
      </w:r>
      <w:hyperlink r:id="rId39" w:history="1">
        <w:r w:rsidRPr="0061686D">
          <w:rPr>
            <w:rStyle w:val="Hyperlink"/>
            <w:color w:val="auto"/>
            <w:u w:val="none"/>
          </w:rPr>
          <w:t>http://www-wds.worldbank.org/external/default/WDSContentServer/WDSP/IB/2012/08/02/000356161_20120802015026/Rendered/PDF/716080WP0Box370Getting0to0Green0web.pdf</w:t>
        </w:r>
      </w:hyperlink>
      <w:r>
        <w:t xml:space="preserve"> </w:t>
      </w:r>
    </w:p>
    <w:p w14:paraId="5A2600DA" w14:textId="77777777" w:rsidR="000939F7" w:rsidRPr="002B1DFC" w:rsidRDefault="000939F7" w:rsidP="000939F7">
      <w:pPr>
        <w:spacing w:before="120" w:after="120"/>
        <w:ind w:left="720" w:hanging="720"/>
        <w:rPr>
          <w:rFonts w:cs="Times New Roman"/>
        </w:rPr>
      </w:pPr>
      <w:r>
        <w:rPr>
          <w:rFonts w:cs="Times New Roman"/>
        </w:rPr>
        <w:t>———</w:t>
      </w:r>
      <w:r w:rsidRPr="002B1DFC">
        <w:rPr>
          <w:rFonts w:cs="Times New Roman"/>
        </w:rPr>
        <w:t xml:space="preserve">. 2014. </w:t>
      </w:r>
      <w:r w:rsidRPr="0061686D">
        <w:rPr>
          <w:rFonts w:cs="Times New Roman"/>
          <w:i/>
        </w:rPr>
        <w:t>World Bank Group – Ukraine Partnership: Country Program Snapshot</w:t>
      </w:r>
      <w:r w:rsidRPr="002B1DFC">
        <w:rPr>
          <w:rFonts w:cs="Times New Roman"/>
        </w:rPr>
        <w:t>.</w:t>
      </w:r>
      <w:r>
        <w:rPr>
          <w:rFonts w:cs="Times New Roman"/>
        </w:rPr>
        <w:t xml:space="preserve"> Washington, DC: World Bank.</w:t>
      </w:r>
    </w:p>
    <w:p w14:paraId="7EFB97FD" w14:textId="77777777" w:rsidR="000939F7" w:rsidRPr="002B1DFC" w:rsidRDefault="000939F7" w:rsidP="000939F7">
      <w:pPr>
        <w:spacing w:before="120" w:after="120"/>
        <w:ind w:left="720" w:hanging="720"/>
        <w:rPr>
          <w:rFonts w:cs="Times New Roman"/>
        </w:rPr>
      </w:pPr>
      <w:r>
        <w:rPr>
          <w:rFonts w:cs="Times New Roman"/>
        </w:rPr>
        <w:t>———</w:t>
      </w:r>
      <w:r w:rsidRPr="002B1DFC">
        <w:rPr>
          <w:rFonts w:cs="Times New Roman"/>
        </w:rPr>
        <w:t xml:space="preserve">. 2015. </w:t>
      </w:r>
      <w:r w:rsidRPr="0061686D">
        <w:rPr>
          <w:rFonts w:cs="Times New Roman"/>
          <w:i/>
        </w:rPr>
        <w:t>Damage Assessment</w:t>
      </w:r>
      <w:r w:rsidRPr="002B1DFC">
        <w:rPr>
          <w:rFonts w:cs="Times New Roman"/>
        </w:rPr>
        <w:t xml:space="preserve"> – </w:t>
      </w:r>
      <w:r w:rsidRPr="0061686D">
        <w:rPr>
          <w:rFonts w:cs="Times New Roman"/>
          <w:i/>
        </w:rPr>
        <w:t>Environment Subsector Report.</w:t>
      </w:r>
      <w:r w:rsidRPr="002B1DFC">
        <w:rPr>
          <w:rFonts w:cs="Times New Roman"/>
        </w:rPr>
        <w:t xml:space="preserve"> Draft.</w:t>
      </w:r>
      <w:r>
        <w:rPr>
          <w:rFonts w:cs="Times New Roman"/>
        </w:rPr>
        <w:t xml:space="preserve"> Washington, DC: World Bank.</w:t>
      </w:r>
    </w:p>
    <w:p w14:paraId="1502BB3A" w14:textId="77777777" w:rsidR="000939F7" w:rsidRDefault="000939F7" w:rsidP="000939F7">
      <w:pPr>
        <w:spacing w:before="120" w:after="120"/>
        <w:ind w:left="720" w:hanging="720"/>
        <w:rPr>
          <w:rFonts w:cs="Times New Roman"/>
        </w:rPr>
      </w:pPr>
      <w:r w:rsidRPr="002B1DFC">
        <w:rPr>
          <w:rFonts w:cs="Times New Roman"/>
        </w:rPr>
        <w:t>World Meteorological Organization</w:t>
      </w:r>
      <w:r>
        <w:rPr>
          <w:rFonts w:cs="Times New Roman"/>
        </w:rPr>
        <w:t>.</w:t>
      </w:r>
      <w:r w:rsidRPr="002B1DFC">
        <w:rPr>
          <w:rFonts w:cs="Times New Roman"/>
        </w:rPr>
        <w:t xml:space="preserve"> </w:t>
      </w:r>
      <w:hyperlink r:id="rId40" w:history="1">
        <w:r w:rsidRPr="001F6A87">
          <w:rPr>
            <w:rStyle w:val="Hyperlink"/>
          </w:rPr>
          <w:t>www.wmo.int</w:t>
        </w:r>
      </w:hyperlink>
    </w:p>
    <w:p w14:paraId="24D54C5B" w14:textId="77777777" w:rsidR="000939F7" w:rsidRDefault="000939F7" w:rsidP="000939F7">
      <w:pPr>
        <w:spacing w:before="120" w:after="120"/>
        <w:ind w:left="720" w:hanging="720"/>
      </w:pPr>
      <w:r>
        <w:t xml:space="preserve">World </w:t>
      </w:r>
      <w:r w:rsidRPr="00F819EF">
        <w:rPr>
          <w:rFonts w:cs="Times New Roman"/>
        </w:rPr>
        <w:t>Meteorological</w:t>
      </w:r>
      <w:r>
        <w:t xml:space="preserve"> Organization.2011. </w:t>
      </w:r>
      <w:r w:rsidRPr="008435DC">
        <w:rPr>
          <w:i/>
          <w:iCs/>
        </w:rPr>
        <w:t>WMO Strategic Plan 2012-2015.</w:t>
      </w:r>
      <w:r>
        <w:t xml:space="preserve"> </w:t>
      </w:r>
      <w:hyperlink r:id="rId41" w:history="1">
        <w:r w:rsidRPr="00EC65AA">
          <w:rPr>
            <w:rStyle w:val="Hyperlink"/>
          </w:rPr>
          <w:t>http://library.wmo.int/pmb_ged/wmo_1069_en.pdf</w:t>
        </w:r>
      </w:hyperlink>
    </w:p>
    <w:p w14:paraId="25DEFFF3" w14:textId="77777777" w:rsidR="000939F7" w:rsidRDefault="000939F7" w:rsidP="000939F7">
      <w:pPr>
        <w:pStyle w:val="FootnoteText"/>
      </w:pPr>
      <w:r w:rsidRPr="002B1DFC">
        <w:rPr>
          <w:rFonts w:cs="Times New Roman"/>
        </w:rPr>
        <w:t>Yale Center for Environmental Law &amp; Policy</w:t>
      </w:r>
      <w:r>
        <w:rPr>
          <w:rFonts w:cs="Times New Roman"/>
        </w:rPr>
        <w:t>.</w:t>
      </w:r>
      <w:r w:rsidRPr="002B1DFC">
        <w:rPr>
          <w:rFonts w:cs="Times New Roman"/>
        </w:rPr>
        <w:t xml:space="preserve"> </w:t>
      </w:r>
      <w:hyperlink r:id="rId42" w:history="1">
        <w:r w:rsidRPr="0061686D">
          <w:rPr>
            <w:rStyle w:val="Hyperlink"/>
            <w:color w:val="auto"/>
            <w:u w:val="none"/>
          </w:rPr>
          <w:t>http://epi.yale.edu/epi/country-profile/ukraine</w:t>
        </w:r>
      </w:hyperlink>
    </w:p>
    <w:p w14:paraId="770DCC4A" w14:textId="77777777" w:rsidR="000939F7" w:rsidRDefault="000939F7" w:rsidP="000939F7">
      <w:pPr>
        <w:rPr>
          <w:rFonts w:cs="Times New Roman"/>
          <w:iCs/>
          <w:color w:val="000000"/>
          <w:sz w:val="20"/>
          <w:szCs w:val="20"/>
        </w:rPr>
      </w:pPr>
    </w:p>
    <w:p w14:paraId="676329DE" w14:textId="77777777" w:rsidR="000939F7" w:rsidRDefault="000939F7" w:rsidP="000939F7"/>
    <w:p w14:paraId="624A1492" w14:textId="77777777" w:rsidR="000939F7" w:rsidRDefault="000939F7" w:rsidP="00A05970">
      <w:pPr>
        <w:rPr>
          <w:rFonts w:cs="Times New Roman"/>
          <w:iCs/>
          <w:sz w:val="20"/>
          <w:szCs w:val="20"/>
        </w:rPr>
      </w:pPr>
    </w:p>
    <w:p w14:paraId="4F040698" w14:textId="77777777" w:rsidR="000939F7" w:rsidRPr="0061686D" w:rsidRDefault="000939F7" w:rsidP="00A05970">
      <w:pPr>
        <w:rPr>
          <w:rFonts w:cs="Times New Roman"/>
          <w:iCs/>
          <w:sz w:val="20"/>
          <w:szCs w:val="20"/>
        </w:rPr>
      </w:pPr>
    </w:p>
    <w:p w14:paraId="687DE216" w14:textId="77777777" w:rsidR="0059008C" w:rsidRDefault="0059008C" w:rsidP="00F33595">
      <w:pPr>
        <w:rPr>
          <w:rFonts w:cs="Times New Roman"/>
        </w:rPr>
        <w:sectPr w:rsidR="0059008C" w:rsidSect="00FE1494">
          <w:pgSz w:w="12240" w:h="15840"/>
          <w:pgMar w:top="1440" w:right="1440" w:bottom="1440" w:left="1440" w:header="720" w:footer="720" w:gutter="0"/>
          <w:cols w:space="720"/>
          <w:docGrid w:linePitch="360"/>
        </w:sectPr>
      </w:pPr>
    </w:p>
    <w:p w14:paraId="40576346" w14:textId="77777777" w:rsidR="000B7923" w:rsidRPr="002B1DFC" w:rsidRDefault="000B7923" w:rsidP="00F33595">
      <w:pPr>
        <w:rPr>
          <w:rFonts w:cs="Times New Roman"/>
        </w:rPr>
      </w:pPr>
    </w:p>
    <w:p w14:paraId="71991BE5" w14:textId="265CD59A" w:rsidR="001D3BC4" w:rsidRDefault="001D3BC4">
      <w:pPr>
        <w:jc w:val="left"/>
        <w:rPr>
          <w:rFonts w:cs="Times New Roman"/>
          <w:b/>
          <w:bCs/>
        </w:rPr>
      </w:pPr>
      <w:bookmarkStart w:id="161" w:name="_Toc403738273"/>
    </w:p>
    <w:p w14:paraId="540A3B95" w14:textId="77777777" w:rsidR="00991FA8" w:rsidRDefault="00991FA8">
      <w:pPr>
        <w:jc w:val="left"/>
        <w:rPr>
          <w:rFonts w:cs="Times New Roman"/>
          <w:b/>
          <w:bCs/>
        </w:rPr>
      </w:pPr>
      <w:r>
        <w:br w:type="page"/>
      </w:r>
    </w:p>
    <w:p w14:paraId="279C9960" w14:textId="77777777" w:rsidR="00991FA8" w:rsidRDefault="00991FA8" w:rsidP="00F33595">
      <w:pPr>
        <w:pStyle w:val="Heading12"/>
        <w:jc w:val="center"/>
        <w:rPr>
          <w:color w:val="auto"/>
          <w:sz w:val="22"/>
          <w:szCs w:val="22"/>
        </w:rPr>
      </w:pPr>
    </w:p>
    <w:p w14:paraId="3DB4ADF9" w14:textId="77777777" w:rsidR="00991FA8" w:rsidRDefault="00991FA8" w:rsidP="00F33595">
      <w:pPr>
        <w:pStyle w:val="Heading12"/>
        <w:jc w:val="center"/>
        <w:rPr>
          <w:color w:val="auto"/>
          <w:sz w:val="22"/>
          <w:szCs w:val="22"/>
        </w:rPr>
      </w:pPr>
    </w:p>
    <w:p w14:paraId="578308D7" w14:textId="77777777" w:rsidR="00991FA8" w:rsidRDefault="00991FA8" w:rsidP="00F33595">
      <w:pPr>
        <w:pStyle w:val="Heading12"/>
        <w:jc w:val="center"/>
        <w:rPr>
          <w:color w:val="auto"/>
          <w:sz w:val="22"/>
          <w:szCs w:val="22"/>
        </w:rPr>
      </w:pPr>
    </w:p>
    <w:p w14:paraId="58F702B6" w14:textId="77777777" w:rsidR="00991FA8" w:rsidRDefault="00991FA8" w:rsidP="00F33595">
      <w:pPr>
        <w:pStyle w:val="Heading12"/>
        <w:jc w:val="center"/>
        <w:rPr>
          <w:color w:val="auto"/>
          <w:sz w:val="22"/>
          <w:szCs w:val="22"/>
        </w:rPr>
      </w:pPr>
    </w:p>
    <w:p w14:paraId="172FDB75" w14:textId="77777777" w:rsidR="00991FA8" w:rsidRDefault="00991FA8" w:rsidP="00F33595">
      <w:pPr>
        <w:pStyle w:val="Heading12"/>
        <w:jc w:val="center"/>
        <w:rPr>
          <w:color w:val="auto"/>
          <w:sz w:val="22"/>
          <w:szCs w:val="22"/>
        </w:rPr>
      </w:pPr>
    </w:p>
    <w:p w14:paraId="2202DB17" w14:textId="77777777" w:rsidR="00991FA8" w:rsidRDefault="00991FA8" w:rsidP="00F33595">
      <w:pPr>
        <w:pStyle w:val="Heading12"/>
        <w:jc w:val="center"/>
        <w:rPr>
          <w:color w:val="auto"/>
          <w:sz w:val="22"/>
          <w:szCs w:val="22"/>
        </w:rPr>
      </w:pPr>
    </w:p>
    <w:p w14:paraId="629BD50C" w14:textId="77777777" w:rsidR="00991FA8" w:rsidRDefault="00991FA8" w:rsidP="00F33595">
      <w:pPr>
        <w:pStyle w:val="Heading12"/>
        <w:jc w:val="center"/>
        <w:rPr>
          <w:color w:val="auto"/>
          <w:sz w:val="22"/>
          <w:szCs w:val="22"/>
        </w:rPr>
      </w:pPr>
    </w:p>
    <w:p w14:paraId="0F492972" w14:textId="77777777" w:rsidR="00991FA8" w:rsidRDefault="00991FA8" w:rsidP="00F33595">
      <w:pPr>
        <w:pStyle w:val="Heading12"/>
        <w:jc w:val="center"/>
        <w:rPr>
          <w:color w:val="auto"/>
          <w:sz w:val="22"/>
          <w:szCs w:val="22"/>
        </w:rPr>
      </w:pPr>
    </w:p>
    <w:p w14:paraId="04C7A61A" w14:textId="77777777" w:rsidR="00991FA8" w:rsidRDefault="00991FA8" w:rsidP="00F33595">
      <w:pPr>
        <w:pStyle w:val="Heading12"/>
        <w:jc w:val="center"/>
        <w:rPr>
          <w:color w:val="auto"/>
          <w:sz w:val="22"/>
          <w:szCs w:val="22"/>
        </w:rPr>
      </w:pPr>
    </w:p>
    <w:p w14:paraId="7A3BE2F2" w14:textId="77777777" w:rsidR="00991FA8" w:rsidRDefault="00991FA8" w:rsidP="00F33595">
      <w:pPr>
        <w:pStyle w:val="Heading12"/>
        <w:jc w:val="center"/>
        <w:rPr>
          <w:color w:val="auto"/>
          <w:sz w:val="22"/>
          <w:szCs w:val="22"/>
        </w:rPr>
      </w:pPr>
    </w:p>
    <w:p w14:paraId="667E6442" w14:textId="77777777" w:rsidR="00991FA8" w:rsidRDefault="00991FA8" w:rsidP="00F33595">
      <w:pPr>
        <w:pStyle w:val="Heading12"/>
        <w:jc w:val="center"/>
        <w:rPr>
          <w:color w:val="auto"/>
          <w:sz w:val="22"/>
          <w:szCs w:val="22"/>
        </w:rPr>
      </w:pPr>
    </w:p>
    <w:p w14:paraId="19D92C0B" w14:textId="77777777" w:rsidR="00991FA8" w:rsidRDefault="00991FA8" w:rsidP="00F33595">
      <w:pPr>
        <w:pStyle w:val="Heading12"/>
        <w:jc w:val="center"/>
        <w:rPr>
          <w:color w:val="auto"/>
          <w:sz w:val="22"/>
          <w:szCs w:val="22"/>
        </w:rPr>
      </w:pPr>
    </w:p>
    <w:p w14:paraId="3B7B6356" w14:textId="77777777" w:rsidR="00991FA8" w:rsidRDefault="00991FA8" w:rsidP="00F33595">
      <w:pPr>
        <w:pStyle w:val="Heading12"/>
        <w:jc w:val="center"/>
        <w:rPr>
          <w:color w:val="auto"/>
          <w:sz w:val="22"/>
          <w:szCs w:val="22"/>
        </w:rPr>
      </w:pPr>
    </w:p>
    <w:p w14:paraId="079E9CB5" w14:textId="77777777" w:rsidR="00991FA8" w:rsidRDefault="00991FA8" w:rsidP="00F33595">
      <w:pPr>
        <w:pStyle w:val="Heading12"/>
        <w:jc w:val="center"/>
        <w:rPr>
          <w:color w:val="auto"/>
          <w:sz w:val="22"/>
          <w:szCs w:val="22"/>
        </w:rPr>
      </w:pPr>
    </w:p>
    <w:p w14:paraId="6AEE83A6" w14:textId="77777777" w:rsidR="00991FA8" w:rsidRDefault="00991FA8" w:rsidP="00F33595">
      <w:pPr>
        <w:pStyle w:val="Heading12"/>
        <w:jc w:val="center"/>
        <w:rPr>
          <w:color w:val="auto"/>
          <w:sz w:val="22"/>
          <w:szCs w:val="22"/>
        </w:rPr>
      </w:pPr>
    </w:p>
    <w:p w14:paraId="5B3D6479" w14:textId="77777777" w:rsidR="00991FA8" w:rsidRDefault="00991FA8" w:rsidP="00F33595">
      <w:pPr>
        <w:pStyle w:val="Heading12"/>
        <w:jc w:val="center"/>
        <w:rPr>
          <w:color w:val="auto"/>
          <w:sz w:val="22"/>
          <w:szCs w:val="22"/>
        </w:rPr>
      </w:pPr>
    </w:p>
    <w:p w14:paraId="5D4468D2" w14:textId="77777777" w:rsidR="00991FA8" w:rsidRDefault="00991FA8" w:rsidP="00F33595">
      <w:pPr>
        <w:pStyle w:val="Heading12"/>
        <w:jc w:val="center"/>
        <w:rPr>
          <w:color w:val="auto"/>
          <w:sz w:val="22"/>
          <w:szCs w:val="22"/>
        </w:rPr>
      </w:pPr>
    </w:p>
    <w:p w14:paraId="24762B97" w14:textId="77777777" w:rsidR="00991FA8" w:rsidRDefault="00991FA8" w:rsidP="00F33595">
      <w:pPr>
        <w:pStyle w:val="Heading12"/>
        <w:jc w:val="center"/>
        <w:rPr>
          <w:color w:val="auto"/>
          <w:sz w:val="22"/>
          <w:szCs w:val="22"/>
        </w:rPr>
      </w:pPr>
    </w:p>
    <w:p w14:paraId="7D76400A" w14:textId="77777777" w:rsidR="00991FA8" w:rsidRDefault="00991FA8" w:rsidP="00F33595">
      <w:pPr>
        <w:pStyle w:val="Heading12"/>
        <w:jc w:val="center"/>
        <w:rPr>
          <w:color w:val="365F91"/>
          <w:sz w:val="28"/>
          <w:szCs w:val="28"/>
        </w:rPr>
      </w:pPr>
    </w:p>
    <w:p w14:paraId="3C83C767" w14:textId="77777777" w:rsidR="00991FA8" w:rsidRDefault="00991FA8" w:rsidP="00F33595">
      <w:pPr>
        <w:pStyle w:val="Heading12"/>
        <w:jc w:val="center"/>
        <w:rPr>
          <w:color w:val="365F91"/>
          <w:sz w:val="28"/>
          <w:szCs w:val="28"/>
        </w:rPr>
      </w:pPr>
    </w:p>
    <w:p w14:paraId="738842E0" w14:textId="2ADBF9C8" w:rsidR="000B7923" w:rsidRPr="00991FA8" w:rsidRDefault="000B7923" w:rsidP="00F33595">
      <w:pPr>
        <w:pStyle w:val="Heading12"/>
        <w:jc w:val="center"/>
        <w:rPr>
          <w:color w:val="365F91"/>
          <w:sz w:val="28"/>
          <w:szCs w:val="28"/>
        </w:rPr>
      </w:pPr>
      <w:bookmarkStart w:id="162" w:name="_Toc440273983"/>
      <w:r w:rsidRPr="00991FA8">
        <w:rPr>
          <w:color w:val="365F91"/>
          <w:sz w:val="28"/>
          <w:szCs w:val="28"/>
        </w:rPr>
        <w:t>Annexes</w:t>
      </w:r>
      <w:bookmarkEnd w:id="161"/>
      <w:bookmarkEnd w:id="162"/>
    </w:p>
    <w:p w14:paraId="4D7A9265" w14:textId="77777777" w:rsidR="000B7923" w:rsidRPr="002B1DFC" w:rsidRDefault="000B7923" w:rsidP="00F33595">
      <w:pPr>
        <w:rPr>
          <w:rFonts w:cs="Times New Roman"/>
        </w:rPr>
      </w:pPr>
    </w:p>
    <w:p w14:paraId="724F12D1" w14:textId="77777777" w:rsidR="000B7923" w:rsidRPr="002B1DFC" w:rsidRDefault="000B7923" w:rsidP="00F33595">
      <w:pPr>
        <w:rPr>
          <w:rFonts w:cs="Times New Roman"/>
        </w:rPr>
      </w:pPr>
    </w:p>
    <w:p w14:paraId="5E91CBDE" w14:textId="77777777" w:rsidR="0059336D" w:rsidRDefault="0059336D" w:rsidP="00F33595">
      <w:pPr>
        <w:rPr>
          <w:rFonts w:cs="Times New Roman"/>
        </w:rPr>
      </w:pPr>
    </w:p>
    <w:p w14:paraId="1A46EBE0" w14:textId="77777777" w:rsidR="0059336D" w:rsidRPr="0059336D" w:rsidRDefault="0059336D" w:rsidP="0059336D">
      <w:pPr>
        <w:rPr>
          <w:rFonts w:cs="Times New Roman"/>
        </w:rPr>
      </w:pPr>
    </w:p>
    <w:p w14:paraId="2DD3BD41" w14:textId="77777777" w:rsidR="0059336D" w:rsidRPr="00D14101" w:rsidRDefault="0059336D" w:rsidP="00D14101">
      <w:pPr>
        <w:rPr>
          <w:rFonts w:cs="Times New Roman"/>
        </w:rPr>
      </w:pPr>
    </w:p>
    <w:p w14:paraId="2F102807" w14:textId="77777777" w:rsidR="0059336D" w:rsidRPr="008158BD" w:rsidRDefault="0059336D" w:rsidP="008158BD">
      <w:pPr>
        <w:rPr>
          <w:rFonts w:cs="Times New Roman"/>
        </w:rPr>
      </w:pPr>
    </w:p>
    <w:p w14:paraId="19DC5DFA" w14:textId="77777777" w:rsidR="0059336D" w:rsidRPr="001557B4" w:rsidRDefault="0059336D" w:rsidP="001557B4">
      <w:pPr>
        <w:rPr>
          <w:rFonts w:cs="Times New Roman"/>
        </w:rPr>
      </w:pPr>
    </w:p>
    <w:p w14:paraId="360DF399" w14:textId="77777777" w:rsidR="0059336D" w:rsidRPr="001557B4" w:rsidRDefault="0059336D" w:rsidP="001557B4">
      <w:pPr>
        <w:rPr>
          <w:rFonts w:cs="Times New Roman"/>
        </w:rPr>
      </w:pPr>
    </w:p>
    <w:p w14:paraId="5046FBC3" w14:textId="77777777" w:rsidR="0059336D" w:rsidRPr="001557B4" w:rsidRDefault="0059336D" w:rsidP="001557B4">
      <w:pPr>
        <w:rPr>
          <w:rFonts w:cs="Times New Roman"/>
        </w:rPr>
      </w:pPr>
    </w:p>
    <w:p w14:paraId="4E35571C" w14:textId="77777777" w:rsidR="0059336D" w:rsidRPr="001557B4" w:rsidRDefault="0059336D" w:rsidP="001557B4">
      <w:pPr>
        <w:rPr>
          <w:rFonts w:cs="Times New Roman"/>
        </w:rPr>
      </w:pPr>
    </w:p>
    <w:p w14:paraId="6F5B9CE5" w14:textId="77777777" w:rsidR="0059336D" w:rsidRPr="001557B4" w:rsidRDefault="0059336D" w:rsidP="001557B4">
      <w:pPr>
        <w:rPr>
          <w:rFonts w:cs="Times New Roman"/>
        </w:rPr>
      </w:pPr>
    </w:p>
    <w:p w14:paraId="289EE139" w14:textId="77777777" w:rsidR="0059336D" w:rsidRPr="001557B4" w:rsidRDefault="0059336D" w:rsidP="001557B4">
      <w:pPr>
        <w:rPr>
          <w:rFonts w:cs="Times New Roman"/>
        </w:rPr>
      </w:pPr>
    </w:p>
    <w:p w14:paraId="72330E10" w14:textId="77777777" w:rsidR="0059336D" w:rsidRPr="001557B4" w:rsidRDefault="0059336D" w:rsidP="001557B4">
      <w:pPr>
        <w:rPr>
          <w:rFonts w:cs="Times New Roman"/>
        </w:rPr>
      </w:pPr>
    </w:p>
    <w:p w14:paraId="2BAF6B28" w14:textId="77777777" w:rsidR="0059336D" w:rsidRPr="001557B4" w:rsidRDefault="0059336D" w:rsidP="001557B4">
      <w:pPr>
        <w:rPr>
          <w:rFonts w:cs="Times New Roman"/>
        </w:rPr>
      </w:pPr>
    </w:p>
    <w:p w14:paraId="03AEB461" w14:textId="77777777" w:rsidR="0059336D" w:rsidRPr="001557B4" w:rsidRDefault="0059336D" w:rsidP="001557B4">
      <w:pPr>
        <w:rPr>
          <w:rFonts w:cs="Times New Roman"/>
        </w:rPr>
      </w:pPr>
    </w:p>
    <w:p w14:paraId="604A8E5B" w14:textId="77777777" w:rsidR="0059336D" w:rsidRPr="001557B4" w:rsidRDefault="0059336D" w:rsidP="001557B4">
      <w:pPr>
        <w:rPr>
          <w:rFonts w:cs="Times New Roman"/>
        </w:rPr>
      </w:pPr>
    </w:p>
    <w:p w14:paraId="27441DD7" w14:textId="77777777" w:rsidR="0059336D" w:rsidRPr="001557B4" w:rsidRDefault="0059336D" w:rsidP="001557B4">
      <w:pPr>
        <w:rPr>
          <w:rFonts w:cs="Times New Roman"/>
        </w:rPr>
      </w:pPr>
    </w:p>
    <w:p w14:paraId="7B398057" w14:textId="77777777" w:rsidR="0059336D" w:rsidRPr="001557B4" w:rsidRDefault="0059336D" w:rsidP="001557B4">
      <w:pPr>
        <w:rPr>
          <w:rFonts w:cs="Times New Roman"/>
        </w:rPr>
      </w:pPr>
    </w:p>
    <w:p w14:paraId="67FD957F" w14:textId="77777777" w:rsidR="0059336D" w:rsidRPr="001557B4" w:rsidRDefault="0059336D" w:rsidP="001557B4">
      <w:pPr>
        <w:rPr>
          <w:rFonts w:cs="Times New Roman"/>
        </w:rPr>
      </w:pPr>
    </w:p>
    <w:p w14:paraId="065D07C6" w14:textId="77777777" w:rsidR="0059336D" w:rsidRPr="001557B4" w:rsidRDefault="0059336D" w:rsidP="001557B4">
      <w:pPr>
        <w:rPr>
          <w:rFonts w:cs="Times New Roman"/>
        </w:rPr>
      </w:pPr>
    </w:p>
    <w:p w14:paraId="39FFFA37" w14:textId="77777777" w:rsidR="0059336D" w:rsidRPr="001557B4" w:rsidRDefault="0059336D" w:rsidP="001557B4">
      <w:pPr>
        <w:rPr>
          <w:rFonts w:cs="Times New Roman"/>
        </w:rPr>
      </w:pPr>
    </w:p>
    <w:p w14:paraId="2C2EEE2B" w14:textId="77777777" w:rsidR="0059336D" w:rsidRPr="001557B4" w:rsidRDefault="0059336D" w:rsidP="001557B4">
      <w:pPr>
        <w:rPr>
          <w:rFonts w:cs="Times New Roman"/>
        </w:rPr>
      </w:pPr>
    </w:p>
    <w:p w14:paraId="1F73A776" w14:textId="77777777" w:rsidR="0059336D" w:rsidRDefault="0059336D" w:rsidP="001557B4">
      <w:pPr>
        <w:tabs>
          <w:tab w:val="left" w:pos="8237"/>
        </w:tabs>
        <w:rPr>
          <w:rFonts w:cs="Times New Roman"/>
        </w:rPr>
      </w:pPr>
      <w:r>
        <w:rPr>
          <w:rFonts w:cs="Times New Roman"/>
        </w:rPr>
        <w:tab/>
      </w:r>
    </w:p>
    <w:p w14:paraId="32EC2A6B" w14:textId="77777777" w:rsidR="000B7923" w:rsidRPr="0059336D" w:rsidRDefault="0059336D" w:rsidP="001557B4">
      <w:pPr>
        <w:tabs>
          <w:tab w:val="left" w:pos="8237"/>
        </w:tabs>
        <w:rPr>
          <w:rFonts w:cs="Times New Roman"/>
        </w:rPr>
        <w:sectPr w:rsidR="000B7923" w:rsidRPr="0059336D" w:rsidSect="001557B4">
          <w:pgSz w:w="12240" w:h="15840"/>
          <w:pgMar w:top="1440" w:right="1440" w:bottom="1440" w:left="1440" w:header="720" w:footer="720" w:gutter="0"/>
          <w:cols w:space="720"/>
          <w:docGrid w:linePitch="360"/>
        </w:sectPr>
      </w:pPr>
      <w:r>
        <w:rPr>
          <w:rFonts w:cs="Times New Roman"/>
        </w:rPr>
        <w:tab/>
      </w:r>
    </w:p>
    <w:p w14:paraId="6E58F0DA" w14:textId="25AFF0C5" w:rsidR="00991FA8" w:rsidRDefault="00991FA8">
      <w:pPr>
        <w:jc w:val="left"/>
        <w:rPr>
          <w:rFonts w:cs="Times New Roman"/>
          <w:b/>
          <w:szCs w:val="20"/>
        </w:rPr>
      </w:pPr>
    </w:p>
    <w:p w14:paraId="29240877" w14:textId="581028E6" w:rsidR="000B7923" w:rsidRPr="002B1DFC" w:rsidRDefault="000B7923" w:rsidP="00F33595">
      <w:pPr>
        <w:pStyle w:val="Caption"/>
        <w:spacing w:before="0" w:after="0"/>
        <w:rPr>
          <w:noProof w:val="0"/>
          <w:lang w:val="en-US"/>
        </w:rPr>
      </w:pPr>
      <w:bookmarkStart w:id="163" w:name="_Toc440273984"/>
      <w:r w:rsidRPr="002B1DFC">
        <w:rPr>
          <w:noProof w:val="0"/>
          <w:lang w:val="en-US"/>
        </w:rPr>
        <w:t xml:space="preserve">Annex </w:t>
      </w:r>
      <w:r w:rsidRPr="002B1DFC">
        <w:rPr>
          <w:noProof w:val="0"/>
          <w:lang w:val="en-US"/>
        </w:rPr>
        <w:fldChar w:fldCharType="begin"/>
      </w:r>
      <w:r w:rsidRPr="002B1DFC">
        <w:rPr>
          <w:noProof w:val="0"/>
          <w:lang w:val="en-US"/>
        </w:rPr>
        <w:instrText xml:space="preserve"> SEQ Annex \* ARABIC </w:instrText>
      </w:r>
      <w:r w:rsidRPr="002B1DFC">
        <w:rPr>
          <w:noProof w:val="0"/>
          <w:lang w:val="en-US"/>
        </w:rPr>
        <w:fldChar w:fldCharType="separate"/>
      </w:r>
      <w:r w:rsidR="00356D5F">
        <w:rPr>
          <w:lang w:val="en-US"/>
        </w:rPr>
        <w:t>1</w:t>
      </w:r>
      <w:r w:rsidRPr="002B1DFC">
        <w:rPr>
          <w:noProof w:val="0"/>
          <w:lang w:val="en-US"/>
        </w:rPr>
        <w:fldChar w:fldCharType="end"/>
      </w:r>
      <w:r w:rsidR="00841ACA">
        <w:rPr>
          <w:noProof w:val="0"/>
          <w:lang w:val="en-US"/>
        </w:rPr>
        <w:t>.</w:t>
      </w:r>
      <w:r w:rsidRPr="002B1DFC">
        <w:rPr>
          <w:noProof w:val="0"/>
          <w:lang w:val="en-US"/>
        </w:rPr>
        <w:t xml:space="preserve"> Comparison of National EIA System with World Bank and European Union Requirements</w:t>
      </w:r>
      <w:bookmarkEnd w:id="163"/>
    </w:p>
    <w:p w14:paraId="66657C8B" w14:textId="77777777" w:rsidR="000B7923" w:rsidRPr="002B1DFC" w:rsidRDefault="000B7923" w:rsidP="00F33595">
      <w:pPr>
        <w:rPr>
          <w:rFonts w:cs="Times New Roman"/>
        </w:rPr>
      </w:pPr>
    </w:p>
    <w:tbl>
      <w:tblPr>
        <w:tblW w:w="5000" w:type="pct"/>
        <w:tblInd w:w="108" w:type="dxa"/>
        <w:tblLook w:val="00A0" w:firstRow="1" w:lastRow="0" w:firstColumn="1" w:lastColumn="0" w:noHBand="0" w:noVBand="0"/>
      </w:tblPr>
      <w:tblGrid>
        <w:gridCol w:w="1986"/>
        <w:gridCol w:w="3180"/>
        <w:gridCol w:w="2602"/>
        <w:gridCol w:w="2597"/>
        <w:gridCol w:w="2595"/>
      </w:tblGrid>
      <w:tr w:rsidR="000B7923" w:rsidRPr="002B1DFC" w14:paraId="5825BDD3" w14:textId="77777777">
        <w:trPr>
          <w:tblHeader/>
        </w:trPr>
        <w:tc>
          <w:tcPr>
            <w:tcW w:w="766" w:type="pct"/>
            <w:tcBorders>
              <w:bottom w:val="single" w:sz="4" w:space="0" w:color="95B3D7"/>
            </w:tcBorders>
          </w:tcPr>
          <w:p w14:paraId="5E67CCFE"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b/>
                <w:bCs/>
                <w:sz w:val="20"/>
                <w:szCs w:val="20"/>
              </w:rPr>
              <w:t>Item</w:t>
            </w:r>
          </w:p>
        </w:tc>
        <w:tc>
          <w:tcPr>
            <w:tcW w:w="1227" w:type="pct"/>
            <w:tcBorders>
              <w:bottom w:val="single" w:sz="4" w:space="0" w:color="95B3D7"/>
            </w:tcBorders>
          </w:tcPr>
          <w:p w14:paraId="4F3006B6"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b/>
                <w:bCs/>
                <w:sz w:val="20"/>
                <w:szCs w:val="20"/>
              </w:rPr>
              <w:t>Current Legislation</w:t>
            </w:r>
          </w:p>
        </w:tc>
        <w:tc>
          <w:tcPr>
            <w:tcW w:w="1004" w:type="pct"/>
            <w:tcBorders>
              <w:bottom w:val="single" w:sz="4" w:space="0" w:color="95B3D7"/>
            </w:tcBorders>
          </w:tcPr>
          <w:p w14:paraId="007E572D"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b/>
                <w:bCs/>
                <w:sz w:val="20"/>
                <w:szCs w:val="20"/>
              </w:rPr>
              <w:t>Draft EIA Law</w:t>
            </w:r>
          </w:p>
        </w:tc>
        <w:tc>
          <w:tcPr>
            <w:tcW w:w="1002" w:type="pct"/>
            <w:tcBorders>
              <w:bottom w:val="single" w:sz="4" w:space="0" w:color="95B3D7"/>
            </w:tcBorders>
          </w:tcPr>
          <w:p w14:paraId="09E311C6"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b/>
                <w:bCs/>
                <w:sz w:val="20"/>
                <w:szCs w:val="20"/>
              </w:rPr>
              <w:t>World Bank</w:t>
            </w:r>
          </w:p>
        </w:tc>
        <w:tc>
          <w:tcPr>
            <w:tcW w:w="1002" w:type="pct"/>
            <w:tcBorders>
              <w:bottom w:val="single" w:sz="4" w:space="0" w:color="95B3D7"/>
            </w:tcBorders>
          </w:tcPr>
          <w:p w14:paraId="672D83CA"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b/>
                <w:bCs/>
                <w:sz w:val="20"/>
                <w:szCs w:val="20"/>
              </w:rPr>
              <w:t>EU Directive</w:t>
            </w:r>
          </w:p>
        </w:tc>
      </w:tr>
      <w:tr w:rsidR="000B7923" w:rsidRPr="002B1DFC" w14:paraId="7EB06936" w14:textId="77777777">
        <w:tc>
          <w:tcPr>
            <w:tcW w:w="766" w:type="pct"/>
            <w:shd w:val="clear" w:color="auto" w:fill="DBE5F1"/>
          </w:tcPr>
          <w:p w14:paraId="3AF03D4A"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EIA Enabling Legislation</w:t>
            </w:r>
          </w:p>
        </w:tc>
        <w:tc>
          <w:tcPr>
            <w:tcW w:w="1227" w:type="pct"/>
            <w:shd w:val="clear" w:color="auto" w:fill="DBE5F1"/>
          </w:tcPr>
          <w:p w14:paraId="2D6C2078"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Environmental Protection law (1992)</w:t>
            </w:r>
            <w:r w:rsidR="00E72314">
              <w:rPr>
                <w:rFonts w:eastAsia="Times New Roman" w:cs="Times New Roman"/>
                <w:sz w:val="20"/>
                <w:szCs w:val="20"/>
              </w:rPr>
              <w:t>.</w:t>
            </w:r>
          </w:p>
          <w:p w14:paraId="2826543E"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Law on Ecological Expertise (1995)</w:t>
            </w:r>
            <w:r w:rsidR="00E72314">
              <w:rPr>
                <w:rFonts w:eastAsia="Times New Roman" w:cs="Times New Roman"/>
                <w:sz w:val="20"/>
                <w:szCs w:val="20"/>
              </w:rPr>
              <w:t>.</w:t>
            </w:r>
          </w:p>
          <w:p w14:paraId="617A8E49"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Law on Regulation of City Planning Activity (2011)</w:t>
            </w:r>
            <w:r w:rsidR="00E72314">
              <w:rPr>
                <w:rFonts w:eastAsia="Times New Roman" w:cs="Times New Roman"/>
                <w:sz w:val="20"/>
                <w:szCs w:val="20"/>
              </w:rPr>
              <w:t>.</w:t>
            </w:r>
          </w:p>
        </w:tc>
        <w:tc>
          <w:tcPr>
            <w:tcW w:w="1004" w:type="pct"/>
            <w:shd w:val="clear" w:color="auto" w:fill="DBE5F1"/>
          </w:tcPr>
          <w:p w14:paraId="35B17677"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Draft EIA law</w:t>
            </w:r>
            <w:r w:rsidR="00BA6B8C">
              <w:rPr>
                <w:rFonts w:eastAsia="Times New Roman" w:cs="Times New Roman"/>
                <w:sz w:val="20"/>
                <w:szCs w:val="20"/>
              </w:rPr>
              <w:t>.</w:t>
            </w:r>
          </w:p>
        </w:tc>
        <w:tc>
          <w:tcPr>
            <w:tcW w:w="1002" w:type="pct"/>
            <w:shd w:val="clear" w:color="auto" w:fill="DBE5F1"/>
          </w:tcPr>
          <w:p w14:paraId="741A74F1"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Operational Policy OP 4.01</w:t>
            </w:r>
            <w:r w:rsidR="00BA6B8C">
              <w:rPr>
                <w:rFonts w:eastAsia="Times New Roman" w:cs="Times New Roman"/>
                <w:sz w:val="20"/>
                <w:szCs w:val="20"/>
              </w:rPr>
              <w:t>.</w:t>
            </w:r>
          </w:p>
        </w:tc>
        <w:tc>
          <w:tcPr>
            <w:tcW w:w="1002" w:type="pct"/>
            <w:shd w:val="clear" w:color="auto" w:fill="DBE5F1"/>
          </w:tcPr>
          <w:p w14:paraId="360526DB"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European Council </w:t>
            </w:r>
            <w:r w:rsidR="006020B3">
              <w:rPr>
                <w:rFonts w:eastAsia="Times New Roman" w:cs="Times New Roman"/>
                <w:sz w:val="20"/>
                <w:szCs w:val="20"/>
              </w:rPr>
              <w:t>D</w:t>
            </w:r>
            <w:r w:rsidRPr="002B1DFC">
              <w:rPr>
                <w:rFonts w:eastAsia="Times New Roman" w:cs="Times New Roman"/>
                <w:sz w:val="20"/>
                <w:szCs w:val="20"/>
              </w:rPr>
              <w:t>irective 2014/52/EU</w:t>
            </w:r>
            <w:r w:rsidR="00611A1C">
              <w:rPr>
                <w:rFonts w:eastAsia="Times New Roman" w:cs="Times New Roman"/>
                <w:sz w:val="20"/>
                <w:szCs w:val="20"/>
              </w:rPr>
              <w:t>.</w:t>
            </w:r>
          </w:p>
        </w:tc>
      </w:tr>
      <w:tr w:rsidR="000B7923" w:rsidRPr="002B1DFC" w14:paraId="20F0BE75" w14:textId="77777777">
        <w:tc>
          <w:tcPr>
            <w:tcW w:w="766" w:type="pct"/>
          </w:tcPr>
          <w:p w14:paraId="50C12BA9"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Detailed Legislation for EIA</w:t>
            </w:r>
          </w:p>
        </w:tc>
        <w:tc>
          <w:tcPr>
            <w:tcW w:w="1227" w:type="pct"/>
          </w:tcPr>
          <w:p w14:paraId="1DB4D3BB"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 CMU </w:t>
            </w:r>
            <w:r w:rsidR="006020B3">
              <w:rPr>
                <w:rFonts w:eastAsia="Times New Roman" w:cs="Times New Roman"/>
                <w:sz w:val="20"/>
                <w:szCs w:val="20"/>
              </w:rPr>
              <w:t>Resolution No.</w:t>
            </w:r>
            <w:r w:rsidRPr="002B1DFC">
              <w:rPr>
                <w:rFonts w:eastAsia="Times New Roman" w:cs="Times New Roman"/>
                <w:sz w:val="20"/>
                <w:szCs w:val="20"/>
              </w:rPr>
              <w:t xml:space="preserve"> 870 (1995) on the rules of submitting documents for state ecological expertise</w:t>
            </w:r>
            <w:r w:rsidR="00E72314">
              <w:rPr>
                <w:rFonts w:eastAsia="Times New Roman" w:cs="Times New Roman"/>
                <w:sz w:val="20"/>
                <w:szCs w:val="20"/>
              </w:rPr>
              <w:t>.</w:t>
            </w:r>
            <w:r w:rsidRPr="002B1DFC">
              <w:rPr>
                <w:rFonts w:eastAsia="Times New Roman" w:cs="Times New Roman"/>
                <w:sz w:val="20"/>
                <w:szCs w:val="20"/>
              </w:rPr>
              <w:t xml:space="preserve"> </w:t>
            </w:r>
          </w:p>
          <w:p w14:paraId="3D2B5E89"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CMU </w:t>
            </w:r>
            <w:r w:rsidR="006020B3">
              <w:rPr>
                <w:rFonts w:eastAsia="Times New Roman" w:cs="Times New Roman"/>
                <w:sz w:val="20"/>
                <w:szCs w:val="20"/>
              </w:rPr>
              <w:t>Resolution No.</w:t>
            </w:r>
            <w:r w:rsidRPr="002B1DFC">
              <w:rPr>
                <w:rFonts w:eastAsia="Times New Roman" w:cs="Times New Roman"/>
                <w:sz w:val="20"/>
                <w:szCs w:val="20"/>
              </w:rPr>
              <w:t xml:space="preserve"> 644 (1996) on basic standard costs of conducting state ecological expertise</w:t>
            </w:r>
            <w:r w:rsidR="00E72314">
              <w:rPr>
                <w:rFonts w:eastAsia="Times New Roman" w:cs="Times New Roman"/>
                <w:sz w:val="20"/>
                <w:szCs w:val="20"/>
              </w:rPr>
              <w:t>.</w:t>
            </w:r>
          </w:p>
          <w:p w14:paraId="43D6910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State Construction Norms DBN A.2.2-1-2003 on conducting environmental impact assessment</w:t>
            </w:r>
            <w:r w:rsidR="00E72314">
              <w:rPr>
                <w:rFonts w:eastAsia="Times New Roman" w:cs="Times New Roman"/>
                <w:sz w:val="20"/>
                <w:szCs w:val="20"/>
              </w:rPr>
              <w:t>.</w:t>
            </w:r>
            <w:r w:rsidRPr="002B1DFC">
              <w:rPr>
                <w:rFonts w:eastAsia="Times New Roman" w:cs="Times New Roman"/>
                <w:sz w:val="20"/>
                <w:szCs w:val="20"/>
              </w:rPr>
              <w:t xml:space="preserve"> </w:t>
            </w:r>
          </w:p>
          <w:p w14:paraId="19876D0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CMU </w:t>
            </w:r>
            <w:r w:rsidR="006020B3">
              <w:rPr>
                <w:rFonts w:eastAsia="Times New Roman" w:cs="Times New Roman"/>
                <w:sz w:val="20"/>
                <w:szCs w:val="20"/>
              </w:rPr>
              <w:t>Resolution No.</w:t>
            </w:r>
            <w:r w:rsidRPr="002B1DFC">
              <w:rPr>
                <w:rFonts w:eastAsia="Times New Roman" w:cs="Times New Roman"/>
                <w:sz w:val="20"/>
                <w:szCs w:val="20"/>
              </w:rPr>
              <w:t xml:space="preserve"> 808 (2013)</w:t>
            </w:r>
            <w:r w:rsidR="00E72314">
              <w:rPr>
                <w:rFonts w:eastAsia="Times New Roman" w:cs="Times New Roman"/>
                <w:sz w:val="20"/>
                <w:szCs w:val="20"/>
              </w:rPr>
              <w:t>.</w:t>
            </w:r>
          </w:p>
        </w:tc>
        <w:tc>
          <w:tcPr>
            <w:tcW w:w="1004" w:type="pct"/>
          </w:tcPr>
          <w:p w14:paraId="7B6F509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None</w:t>
            </w:r>
            <w:r w:rsidR="00BA6B8C">
              <w:rPr>
                <w:rFonts w:eastAsia="Times New Roman" w:cs="Times New Roman"/>
                <w:sz w:val="20"/>
                <w:szCs w:val="20"/>
              </w:rPr>
              <w:t>.</w:t>
            </w:r>
          </w:p>
        </w:tc>
        <w:tc>
          <w:tcPr>
            <w:tcW w:w="1002" w:type="pct"/>
          </w:tcPr>
          <w:p w14:paraId="78733B31"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Bank Procedure 4.01</w:t>
            </w:r>
            <w:r w:rsidR="00BA6B8C">
              <w:rPr>
                <w:rFonts w:eastAsia="Times New Roman" w:cs="Times New Roman"/>
                <w:sz w:val="20"/>
                <w:szCs w:val="20"/>
              </w:rPr>
              <w:t>.</w:t>
            </w:r>
          </w:p>
        </w:tc>
        <w:tc>
          <w:tcPr>
            <w:tcW w:w="1002" w:type="pct"/>
          </w:tcPr>
          <w:p w14:paraId="77B2C9B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Defined by each member state</w:t>
            </w:r>
            <w:r w:rsidR="00611A1C">
              <w:rPr>
                <w:rFonts w:eastAsia="Times New Roman" w:cs="Times New Roman"/>
                <w:sz w:val="20"/>
                <w:szCs w:val="20"/>
              </w:rPr>
              <w:t>.</w:t>
            </w:r>
          </w:p>
        </w:tc>
      </w:tr>
      <w:tr w:rsidR="000B7923" w:rsidRPr="002B1DFC" w14:paraId="3BB82BBE" w14:textId="77777777">
        <w:tc>
          <w:tcPr>
            <w:tcW w:w="766" w:type="pct"/>
            <w:shd w:val="clear" w:color="auto" w:fill="DBE5F1"/>
          </w:tcPr>
          <w:p w14:paraId="4EC74DAB"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Formal Provisions for SEA</w:t>
            </w:r>
          </w:p>
        </w:tc>
        <w:tc>
          <w:tcPr>
            <w:tcW w:w="1227" w:type="pct"/>
            <w:shd w:val="clear" w:color="auto" w:fill="DBE5F1"/>
          </w:tcPr>
          <w:p w14:paraId="4EFB77A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Law on ecological expertise provides that plans and programs are objects of ecological expertise. </w:t>
            </w:r>
          </w:p>
          <w:p w14:paraId="202B30E5" w14:textId="77777777" w:rsidR="000B7923" w:rsidRPr="002B1DFC" w:rsidRDefault="000B7923" w:rsidP="00F441C6">
            <w:pPr>
              <w:jc w:val="left"/>
              <w:rPr>
                <w:rFonts w:eastAsia="Times New Roman" w:cs="Times New Roman"/>
                <w:sz w:val="20"/>
                <w:szCs w:val="20"/>
              </w:rPr>
            </w:pPr>
          </w:p>
          <w:p w14:paraId="33FF7D2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In practice, plans and programs do not undergo EIA procedure. SEA is carried out for projects with international funding.</w:t>
            </w:r>
          </w:p>
        </w:tc>
        <w:tc>
          <w:tcPr>
            <w:tcW w:w="1004" w:type="pct"/>
            <w:shd w:val="clear" w:color="auto" w:fill="DBE5F1"/>
          </w:tcPr>
          <w:p w14:paraId="6B70672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Draft SEA law</w:t>
            </w:r>
            <w:r w:rsidR="00BA6B8C">
              <w:rPr>
                <w:rFonts w:eastAsia="Times New Roman" w:cs="Times New Roman"/>
                <w:sz w:val="20"/>
                <w:szCs w:val="20"/>
              </w:rPr>
              <w:t>.</w:t>
            </w:r>
          </w:p>
        </w:tc>
        <w:tc>
          <w:tcPr>
            <w:tcW w:w="1002" w:type="pct"/>
            <w:shd w:val="clear" w:color="auto" w:fill="DBE5F1"/>
          </w:tcPr>
          <w:p w14:paraId="523323C8" w14:textId="77777777" w:rsidR="000B7923" w:rsidRPr="002B1DFC" w:rsidRDefault="000B7923" w:rsidP="00A72702">
            <w:pPr>
              <w:pStyle w:val="ListParagraph"/>
              <w:ind w:left="0"/>
              <w:jc w:val="left"/>
              <w:rPr>
                <w:rFonts w:eastAsia="Times New Roman" w:cs="Times New Roman"/>
                <w:sz w:val="20"/>
                <w:szCs w:val="20"/>
              </w:rPr>
            </w:pPr>
            <w:r w:rsidRPr="002B1DFC">
              <w:rPr>
                <w:rFonts w:eastAsia="Times New Roman" w:cs="Times New Roman"/>
                <w:sz w:val="20"/>
                <w:szCs w:val="20"/>
              </w:rPr>
              <w:t xml:space="preserve">OP 4.01 – Sectoral and / or regional EA is </w:t>
            </w:r>
            <w:r w:rsidR="00BA6B8C" w:rsidRPr="002B1DFC">
              <w:rPr>
                <w:rFonts w:eastAsia="Times New Roman" w:cs="Times New Roman"/>
                <w:sz w:val="20"/>
                <w:szCs w:val="20"/>
              </w:rPr>
              <w:t>require</w:t>
            </w:r>
            <w:r w:rsidR="00BA6B8C">
              <w:rPr>
                <w:rFonts w:eastAsia="Times New Roman" w:cs="Times New Roman"/>
                <w:sz w:val="20"/>
                <w:szCs w:val="20"/>
              </w:rPr>
              <w:t xml:space="preserve">d </w:t>
            </w:r>
            <w:r w:rsidRPr="002B1DFC">
              <w:rPr>
                <w:rFonts w:eastAsia="Times New Roman" w:cs="Times New Roman"/>
                <w:sz w:val="20"/>
                <w:szCs w:val="20"/>
              </w:rPr>
              <w:t>when project is likely to have cumulative or regional impacts</w:t>
            </w:r>
            <w:r w:rsidR="00BA6B8C">
              <w:rPr>
                <w:rFonts w:eastAsia="Times New Roman" w:cs="Times New Roman"/>
                <w:sz w:val="20"/>
                <w:szCs w:val="20"/>
              </w:rPr>
              <w:t>.</w:t>
            </w:r>
          </w:p>
        </w:tc>
        <w:tc>
          <w:tcPr>
            <w:tcW w:w="1002" w:type="pct"/>
            <w:shd w:val="clear" w:color="auto" w:fill="DBE5F1"/>
          </w:tcPr>
          <w:p w14:paraId="0EF08201"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European Council Directive 2001/42/EC</w:t>
            </w:r>
            <w:r w:rsidR="00611A1C">
              <w:rPr>
                <w:rFonts w:eastAsia="Times New Roman" w:cs="Times New Roman"/>
                <w:sz w:val="20"/>
                <w:szCs w:val="20"/>
              </w:rPr>
              <w:t>.</w:t>
            </w:r>
          </w:p>
        </w:tc>
      </w:tr>
      <w:tr w:rsidR="000B7923" w:rsidRPr="002B1DFC" w14:paraId="127A1984" w14:textId="77777777">
        <w:tc>
          <w:tcPr>
            <w:tcW w:w="766" w:type="pct"/>
          </w:tcPr>
          <w:p w14:paraId="2372E786"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Detailed guidance</w:t>
            </w:r>
          </w:p>
        </w:tc>
        <w:tc>
          <w:tcPr>
            <w:tcW w:w="1227" w:type="pct"/>
          </w:tcPr>
          <w:p w14:paraId="0A28CECF"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Guidance on developing OVNS</w:t>
            </w:r>
            <w:r w:rsidR="00E72314">
              <w:rPr>
                <w:rFonts w:eastAsia="Times New Roman" w:cs="Times New Roman"/>
                <w:sz w:val="20"/>
                <w:szCs w:val="20"/>
              </w:rPr>
              <w:t>.</w:t>
            </w:r>
          </w:p>
        </w:tc>
        <w:tc>
          <w:tcPr>
            <w:tcW w:w="1004" w:type="pct"/>
          </w:tcPr>
          <w:p w14:paraId="5A92877B"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None</w:t>
            </w:r>
            <w:r w:rsidR="00BA6B8C">
              <w:rPr>
                <w:rFonts w:eastAsia="Times New Roman" w:cs="Times New Roman"/>
                <w:sz w:val="20"/>
                <w:szCs w:val="20"/>
              </w:rPr>
              <w:t>.</w:t>
            </w:r>
          </w:p>
        </w:tc>
        <w:tc>
          <w:tcPr>
            <w:tcW w:w="1002" w:type="pct"/>
          </w:tcPr>
          <w:p w14:paraId="426460EF"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World Bank Group Environment, Health</w:t>
            </w:r>
            <w:r w:rsidR="00BA6B8C">
              <w:rPr>
                <w:rFonts w:eastAsia="Times New Roman" w:cs="Times New Roman"/>
                <w:sz w:val="20"/>
                <w:szCs w:val="20"/>
              </w:rPr>
              <w:t>,</w:t>
            </w:r>
            <w:r w:rsidRPr="002B1DFC">
              <w:rPr>
                <w:rFonts w:eastAsia="Times New Roman" w:cs="Times New Roman"/>
                <w:sz w:val="20"/>
                <w:szCs w:val="20"/>
              </w:rPr>
              <w:t xml:space="preserve"> and Safety Guidelines</w:t>
            </w:r>
            <w:r w:rsidR="00BA6B8C">
              <w:rPr>
                <w:rFonts w:eastAsia="Times New Roman" w:cs="Times New Roman"/>
                <w:sz w:val="20"/>
                <w:szCs w:val="20"/>
              </w:rPr>
              <w:t>.</w:t>
            </w:r>
          </w:p>
        </w:tc>
        <w:tc>
          <w:tcPr>
            <w:tcW w:w="1002" w:type="pct"/>
          </w:tcPr>
          <w:p w14:paraId="1FE7963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Defined by each member state</w:t>
            </w:r>
            <w:r w:rsidR="00611A1C">
              <w:rPr>
                <w:rFonts w:eastAsia="Times New Roman" w:cs="Times New Roman"/>
                <w:sz w:val="20"/>
                <w:szCs w:val="20"/>
              </w:rPr>
              <w:t>.</w:t>
            </w:r>
          </w:p>
        </w:tc>
      </w:tr>
      <w:tr w:rsidR="000B7923" w:rsidRPr="002B1DFC" w14:paraId="34EE211E" w14:textId="77777777">
        <w:tc>
          <w:tcPr>
            <w:tcW w:w="766" w:type="pct"/>
            <w:shd w:val="clear" w:color="auto" w:fill="DBE5F1"/>
          </w:tcPr>
          <w:p w14:paraId="7131A183"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Environmental Authorities </w:t>
            </w:r>
            <w:r w:rsidR="00781B71">
              <w:rPr>
                <w:rFonts w:eastAsia="Times New Roman" w:cs="Times New Roman"/>
                <w:sz w:val="20"/>
                <w:szCs w:val="20"/>
              </w:rPr>
              <w:t>–</w:t>
            </w:r>
            <w:r w:rsidRPr="002B1DFC">
              <w:rPr>
                <w:rFonts w:eastAsia="Times New Roman" w:cs="Times New Roman"/>
                <w:sz w:val="20"/>
                <w:szCs w:val="20"/>
              </w:rPr>
              <w:t xml:space="preserve"> Entities and authorities with responsibility for environmental issues, particularly regarding EIA</w:t>
            </w:r>
          </w:p>
        </w:tc>
        <w:tc>
          <w:tcPr>
            <w:tcW w:w="1227" w:type="pct"/>
            <w:shd w:val="clear" w:color="auto" w:fill="DBE5F1"/>
          </w:tcPr>
          <w:p w14:paraId="180E0026"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MENR</w:t>
            </w:r>
          </w:p>
          <w:p w14:paraId="6C287876"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Environmental departments of some oblast state administrations (depending on their interpretation of legislation)</w:t>
            </w:r>
            <w:r w:rsidR="00E72314">
              <w:rPr>
                <w:rFonts w:eastAsia="Times New Roman" w:cs="Times New Roman"/>
                <w:sz w:val="20"/>
                <w:szCs w:val="20"/>
              </w:rPr>
              <w:t>.</w:t>
            </w:r>
          </w:p>
          <w:p w14:paraId="67A22BB8"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Min Region Bud (</w:t>
            </w:r>
            <w:r w:rsidR="00E72314">
              <w:rPr>
                <w:rFonts w:eastAsia="Times New Roman" w:cs="Times New Roman"/>
                <w:sz w:val="20"/>
                <w:szCs w:val="20"/>
              </w:rPr>
              <w:t>c</w:t>
            </w:r>
            <w:r w:rsidRPr="002B1DFC">
              <w:rPr>
                <w:rFonts w:eastAsia="Times New Roman" w:cs="Times New Roman"/>
                <w:sz w:val="20"/>
                <w:szCs w:val="20"/>
              </w:rPr>
              <w:t>onstruction projects)</w:t>
            </w:r>
            <w:r w:rsidR="00E72314">
              <w:rPr>
                <w:rFonts w:eastAsia="Times New Roman" w:cs="Times New Roman"/>
                <w:sz w:val="20"/>
                <w:szCs w:val="20"/>
              </w:rPr>
              <w:t>.</w:t>
            </w:r>
          </w:p>
        </w:tc>
        <w:tc>
          <w:tcPr>
            <w:tcW w:w="1004" w:type="pct"/>
            <w:shd w:val="clear" w:color="auto" w:fill="DBE5F1"/>
          </w:tcPr>
          <w:p w14:paraId="53741E9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Central body and territorial authorities</w:t>
            </w:r>
            <w:r w:rsidR="00BA6B8C">
              <w:rPr>
                <w:rFonts w:eastAsia="Times New Roman" w:cs="Times New Roman"/>
                <w:sz w:val="20"/>
                <w:szCs w:val="20"/>
              </w:rPr>
              <w:t>.</w:t>
            </w:r>
          </w:p>
        </w:tc>
        <w:tc>
          <w:tcPr>
            <w:tcW w:w="1002" w:type="pct"/>
            <w:shd w:val="clear" w:color="auto" w:fill="DBE5F1"/>
          </w:tcPr>
          <w:p w14:paraId="28C569A8"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Safeguards Advisor</w:t>
            </w:r>
            <w:r w:rsidR="00BA6B8C">
              <w:rPr>
                <w:rFonts w:eastAsia="Times New Roman" w:cs="Times New Roman"/>
                <w:sz w:val="20"/>
                <w:szCs w:val="20"/>
              </w:rPr>
              <w:t>.</w:t>
            </w:r>
          </w:p>
        </w:tc>
        <w:tc>
          <w:tcPr>
            <w:tcW w:w="1002" w:type="pct"/>
            <w:shd w:val="clear" w:color="auto" w:fill="DBE5F1"/>
          </w:tcPr>
          <w:p w14:paraId="387328B9"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Defined by each member state</w:t>
            </w:r>
            <w:r w:rsidR="00611A1C">
              <w:rPr>
                <w:rFonts w:eastAsia="Times New Roman" w:cs="Times New Roman"/>
                <w:sz w:val="20"/>
                <w:szCs w:val="20"/>
              </w:rPr>
              <w:t>.</w:t>
            </w:r>
          </w:p>
        </w:tc>
      </w:tr>
      <w:tr w:rsidR="000B7923" w:rsidRPr="002B1DFC" w14:paraId="6113205D" w14:textId="77777777">
        <w:tc>
          <w:tcPr>
            <w:tcW w:w="766" w:type="pct"/>
          </w:tcPr>
          <w:p w14:paraId="2E79428F"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lastRenderedPageBreak/>
              <w:t xml:space="preserve">Legal Character of the EIA </w:t>
            </w:r>
            <w:r w:rsidR="00781B71">
              <w:rPr>
                <w:rFonts w:eastAsia="Times New Roman" w:cs="Times New Roman"/>
                <w:sz w:val="20"/>
                <w:szCs w:val="20"/>
              </w:rPr>
              <w:t>–</w:t>
            </w:r>
            <w:r w:rsidRPr="002B1DFC">
              <w:rPr>
                <w:rFonts w:eastAsia="Times New Roman" w:cs="Times New Roman"/>
                <w:sz w:val="20"/>
                <w:szCs w:val="20"/>
              </w:rPr>
              <w:t xml:space="preserve"> Legal character of EIA instruments</w:t>
            </w:r>
          </w:p>
        </w:tc>
        <w:tc>
          <w:tcPr>
            <w:tcW w:w="1227" w:type="pct"/>
          </w:tcPr>
          <w:p w14:paraId="7CFB267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Required prior to beginning specific activities, works or projects.</w:t>
            </w:r>
          </w:p>
        </w:tc>
        <w:tc>
          <w:tcPr>
            <w:tcW w:w="1004" w:type="pct"/>
          </w:tcPr>
          <w:p w14:paraId="49FE834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Required prior to beginning specific activities, works or projects</w:t>
            </w:r>
            <w:r w:rsidR="00BA6B8C">
              <w:rPr>
                <w:rFonts w:eastAsia="Times New Roman" w:cs="Times New Roman"/>
                <w:sz w:val="20"/>
                <w:szCs w:val="20"/>
              </w:rPr>
              <w:t>.</w:t>
            </w:r>
          </w:p>
          <w:p w14:paraId="43FE5C75"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Instrument to prevent and mitigate adverse ecological impacts, assure ecological safety, protection of the environment, rational use of natural resources in a decision making process on activities that may have impact on environment, taking into consideration government, public and private interests</w:t>
            </w:r>
            <w:r w:rsidR="00BA6B8C">
              <w:rPr>
                <w:rFonts w:eastAsia="Times New Roman" w:cs="Times New Roman"/>
                <w:sz w:val="20"/>
                <w:szCs w:val="20"/>
              </w:rPr>
              <w:t>.</w:t>
            </w:r>
          </w:p>
        </w:tc>
        <w:tc>
          <w:tcPr>
            <w:tcW w:w="1002" w:type="pct"/>
          </w:tcPr>
          <w:p w14:paraId="102DDA69"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The Bank requires environmental assessment (EA) of projects proposed for Bank financing to help ensure that they are environmentally sound and sustainable, and to improve decision making</w:t>
            </w:r>
            <w:r w:rsidR="00BA6B8C">
              <w:rPr>
                <w:rFonts w:eastAsia="Times New Roman" w:cs="Times New Roman"/>
                <w:sz w:val="20"/>
                <w:szCs w:val="20"/>
              </w:rPr>
              <w:t>.</w:t>
            </w:r>
          </w:p>
        </w:tc>
        <w:tc>
          <w:tcPr>
            <w:tcW w:w="1002" w:type="pct"/>
          </w:tcPr>
          <w:p w14:paraId="4A20A2D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Per Article 2 of  2014/52/EU: Before development consent is given, projects likely to have significant effects on the environment by virtue, inter alia, of their nature, size or location are made subject to a requirement for development consent and an assessment with regard to their effects on the environment.</w:t>
            </w:r>
          </w:p>
        </w:tc>
      </w:tr>
      <w:tr w:rsidR="000B7923" w:rsidRPr="002B1DFC" w14:paraId="500FF205" w14:textId="77777777">
        <w:tc>
          <w:tcPr>
            <w:tcW w:w="766" w:type="pct"/>
            <w:shd w:val="clear" w:color="auto" w:fill="DBE5F1"/>
          </w:tcPr>
          <w:p w14:paraId="35CD73F7"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Goal </w:t>
            </w:r>
            <w:r w:rsidR="00781B71">
              <w:rPr>
                <w:rFonts w:eastAsia="Times New Roman" w:cs="Times New Roman"/>
                <w:sz w:val="20"/>
                <w:szCs w:val="20"/>
              </w:rPr>
              <w:t>–</w:t>
            </w:r>
            <w:r w:rsidRPr="002B1DFC">
              <w:rPr>
                <w:rFonts w:eastAsia="Times New Roman" w:cs="Times New Roman"/>
                <w:sz w:val="20"/>
                <w:szCs w:val="20"/>
              </w:rPr>
              <w:t xml:space="preserve"> Activities subject to EIA: </w:t>
            </w:r>
          </w:p>
        </w:tc>
        <w:tc>
          <w:tcPr>
            <w:tcW w:w="1227" w:type="pct"/>
            <w:shd w:val="clear" w:color="auto" w:fill="DBE5F1"/>
          </w:tcPr>
          <w:p w14:paraId="25E69EF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EIA: </w:t>
            </w:r>
            <w:r w:rsidR="006020B3">
              <w:rPr>
                <w:rFonts w:eastAsia="Times New Roman" w:cs="Times New Roman"/>
                <w:sz w:val="20"/>
                <w:szCs w:val="20"/>
              </w:rPr>
              <w:t>P</w:t>
            </w:r>
            <w:r w:rsidRPr="002B1DFC">
              <w:rPr>
                <w:rFonts w:eastAsia="Times New Roman" w:cs="Times New Roman"/>
                <w:sz w:val="20"/>
                <w:szCs w:val="20"/>
              </w:rPr>
              <w:t xml:space="preserve">rojects and activities. EIA and EE are mandatory for 33 </w:t>
            </w:r>
            <w:r w:rsidR="00572DA5">
              <w:rPr>
                <w:rFonts w:eastAsia="Times New Roman" w:cs="Times New Roman"/>
                <w:sz w:val="20"/>
                <w:szCs w:val="20"/>
              </w:rPr>
              <w:t xml:space="preserve">objects having </w:t>
            </w:r>
            <w:r w:rsidRPr="002B1DFC">
              <w:rPr>
                <w:rFonts w:eastAsia="Times New Roman" w:cs="Times New Roman"/>
                <w:sz w:val="20"/>
                <w:szCs w:val="20"/>
              </w:rPr>
              <w:t>high environmental hazard</w:t>
            </w:r>
            <w:r w:rsidR="00572DA5">
              <w:rPr>
                <w:rFonts w:eastAsia="Times New Roman" w:cs="Times New Roman"/>
                <w:sz w:val="20"/>
                <w:szCs w:val="20"/>
              </w:rPr>
              <w:t>,</w:t>
            </w:r>
            <w:r w:rsidRPr="002B1DFC">
              <w:rPr>
                <w:rFonts w:eastAsia="Times New Roman" w:cs="Times New Roman"/>
                <w:sz w:val="20"/>
                <w:szCs w:val="20"/>
              </w:rPr>
              <w:t xml:space="preserve"> as per CMU </w:t>
            </w:r>
            <w:r w:rsidR="006020B3">
              <w:rPr>
                <w:rFonts w:eastAsia="Times New Roman" w:cs="Times New Roman"/>
                <w:sz w:val="20"/>
                <w:szCs w:val="20"/>
              </w:rPr>
              <w:t>Resolution No.</w:t>
            </w:r>
            <w:r w:rsidRPr="002B1DFC">
              <w:rPr>
                <w:rFonts w:eastAsia="Times New Roman" w:cs="Times New Roman"/>
                <w:sz w:val="20"/>
                <w:szCs w:val="20"/>
              </w:rPr>
              <w:t xml:space="preserve"> 808 (2013).</w:t>
            </w:r>
          </w:p>
          <w:p w14:paraId="1B6CB06A" w14:textId="77777777" w:rsidR="000B7923" w:rsidRPr="002B1DFC" w:rsidRDefault="000B7923" w:rsidP="00F441C6">
            <w:pPr>
              <w:pStyle w:val="ListParagraph"/>
              <w:ind w:left="0"/>
              <w:jc w:val="left"/>
              <w:rPr>
                <w:rFonts w:eastAsia="Times New Roman" w:cs="Times New Roman"/>
                <w:sz w:val="20"/>
                <w:szCs w:val="20"/>
              </w:rPr>
            </w:pPr>
          </w:p>
          <w:p w14:paraId="33B887B5"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Law on ecological expertise provides that plans and programs are objects of ecological expertise.</w:t>
            </w:r>
          </w:p>
        </w:tc>
        <w:tc>
          <w:tcPr>
            <w:tcW w:w="1004" w:type="pct"/>
            <w:shd w:val="clear" w:color="auto" w:fill="DBE5F1"/>
          </w:tcPr>
          <w:p w14:paraId="493B033E"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EIA: </w:t>
            </w:r>
            <w:r w:rsidR="006020B3">
              <w:rPr>
                <w:rFonts w:eastAsia="Times New Roman" w:cs="Times New Roman"/>
                <w:sz w:val="20"/>
                <w:szCs w:val="20"/>
              </w:rPr>
              <w:t>E</w:t>
            </w:r>
            <w:r w:rsidRPr="002B1DFC">
              <w:rPr>
                <w:rFonts w:eastAsia="Times New Roman" w:cs="Times New Roman"/>
                <w:sz w:val="20"/>
                <w:szCs w:val="20"/>
              </w:rPr>
              <w:t>conomic activity, which includes construction, expansion, renovation, redevelopment, upgrading, removal / decommissioning, other interventions.</w:t>
            </w:r>
          </w:p>
          <w:p w14:paraId="77F84F37" w14:textId="4D9B29B7" w:rsidR="000B7923" w:rsidRPr="002B1DFC" w:rsidRDefault="000B7923">
            <w:pPr>
              <w:pStyle w:val="ListParagraph"/>
              <w:ind w:left="0"/>
              <w:jc w:val="left"/>
              <w:rPr>
                <w:rFonts w:eastAsia="Times New Roman" w:cs="Times New Roman"/>
                <w:sz w:val="20"/>
                <w:szCs w:val="20"/>
              </w:rPr>
            </w:pPr>
            <w:r w:rsidRPr="002B1DFC">
              <w:rPr>
                <w:rFonts w:eastAsia="Times New Roman" w:cs="Times New Roman"/>
                <w:sz w:val="20"/>
                <w:szCs w:val="20"/>
              </w:rPr>
              <w:t xml:space="preserve">SEA: </w:t>
            </w:r>
            <w:r w:rsidR="006020B3">
              <w:rPr>
                <w:rFonts w:eastAsia="Times New Roman" w:cs="Times New Roman"/>
                <w:sz w:val="20"/>
                <w:szCs w:val="20"/>
              </w:rPr>
              <w:t>S</w:t>
            </w:r>
            <w:r w:rsidRPr="002B1DFC">
              <w:rPr>
                <w:rFonts w:eastAsia="Times New Roman" w:cs="Times New Roman"/>
                <w:sz w:val="20"/>
                <w:szCs w:val="20"/>
              </w:rPr>
              <w:t xml:space="preserve">tate planning documents </w:t>
            </w:r>
            <w:r w:rsidR="00781B71">
              <w:rPr>
                <w:rFonts w:eastAsia="Times New Roman" w:cs="Times New Roman"/>
                <w:sz w:val="20"/>
                <w:szCs w:val="20"/>
              </w:rPr>
              <w:t>–</w:t>
            </w:r>
            <w:r w:rsidRPr="002B1DFC">
              <w:rPr>
                <w:rFonts w:eastAsia="Times New Roman" w:cs="Times New Roman"/>
                <w:sz w:val="20"/>
                <w:szCs w:val="20"/>
              </w:rPr>
              <w:t xml:space="preserve"> strategies, plans, schemes, urban planning documentation, national programs, national target programs and other programs and policy documents, including any amendments, subject to approval by state authorities, local government.</w:t>
            </w:r>
          </w:p>
        </w:tc>
        <w:tc>
          <w:tcPr>
            <w:tcW w:w="1002" w:type="pct"/>
            <w:shd w:val="clear" w:color="auto" w:fill="DBE5F1"/>
          </w:tcPr>
          <w:p w14:paraId="0C03EE3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All operations financed by Investment Project Financing or Bank guarantees</w:t>
            </w:r>
            <w:r w:rsidR="00BA6B8C">
              <w:rPr>
                <w:rFonts w:eastAsia="Times New Roman" w:cs="Times New Roman"/>
                <w:sz w:val="20"/>
                <w:szCs w:val="20"/>
              </w:rPr>
              <w:t>.</w:t>
            </w:r>
          </w:p>
        </w:tc>
        <w:tc>
          <w:tcPr>
            <w:tcW w:w="1002" w:type="pct"/>
            <w:shd w:val="clear" w:color="auto" w:fill="DBE5F1"/>
          </w:tcPr>
          <w:p w14:paraId="0DD56EFF"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Applies to public and private projects which are likely to have significant effects on the environment. Project means execution of construction works or of their installations or schemes, other interventions in the natural surroundings and landscape including those involving extraction of mineral resources. </w:t>
            </w:r>
          </w:p>
        </w:tc>
      </w:tr>
      <w:tr w:rsidR="000B7923" w:rsidRPr="002B1DFC" w14:paraId="063076A5" w14:textId="77777777">
        <w:tc>
          <w:tcPr>
            <w:tcW w:w="766" w:type="pct"/>
          </w:tcPr>
          <w:p w14:paraId="0EC48B4D"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Screening </w:t>
            </w:r>
            <w:r w:rsidR="00781B71">
              <w:rPr>
                <w:rFonts w:eastAsia="Times New Roman" w:cs="Times New Roman"/>
                <w:sz w:val="20"/>
                <w:szCs w:val="20"/>
              </w:rPr>
              <w:t>–</w:t>
            </w:r>
            <w:r w:rsidRPr="002B1DFC">
              <w:rPr>
                <w:rFonts w:eastAsia="Times New Roman" w:cs="Times New Roman"/>
                <w:sz w:val="20"/>
                <w:szCs w:val="20"/>
              </w:rPr>
              <w:t xml:space="preserve"> Procedure to determine whether an activity is subject to EIA and the extent of the respective study</w:t>
            </w:r>
          </w:p>
        </w:tc>
        <w:tc>
          <w:tcPr>
            <w:tcW w:w="1227" w:type="pct"/>
          </w:tcPr>
          <w:p w14:paraId="2520C88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Positive list of activities that require EIA:</w:t>
            </w:r>
          </w:p>
          <w:p w14:paraId="75B924A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Article 27 of EE law lists potential objects of ecological expertise.</w:t>
            </w:r>
          </w:p>
          <w:p w14:paraId="5ABF029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State Construction Norms (CMU </w:t>
            </w:r>
            <w:r w:rsidR="006020B3">
              <w:rPr>
                <w:rFonts w:eastAsia="Times New Roman" w:cs="Times New Roman"/>
                <w:sz w:val="20"/>
                <w:szCs w:val="20"/>
              </w:rPr>
              <w:t>Resolution No.</w:t>
            </w:r>
            <w:r w:rsidRPr="002B1DFC">
              <w:rPr>
                <w:rFonts w:eastAsia="Times New Roman" w:cs="Times New Roman"/>
                <w:sz w:val="20"/>
                <w:szCs w:val="20"/>
              </w:rPr>
              <w:t xml:space="preserve"> 808 (2013) lists 33 </w:t>
            </w:r>
            <w:r w:rsidRPr="002B1DFC">
              <w:rPr>
                <w:rFonts w:eastAsia="Times New Roman" w:cs="Times New Roman"/>
                <w:sz w:val="20"/>
                <w:szCs w:val="20"/>
              </w:rPr>
              <w:lastRenderedPageBreak/>
              <w:t>type of activities that require detailed EIA.</w:t>
            </w:r>
          </w:p>
          <w:p w14:paraId="6CD232A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Article 31 of law on Regulation of City Planning Activity (2011) requires full EA and SEE for high environmental risk objects and for hazardous objects.</w:t>
            </w:r>
          </w:p>
          <w:p w14:paraId="56ED9FBC"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Construction objects of categories I</w:t>
            </w:r>
            <w:r w:rsidR="00781B71">
              <w:rPr>
                <w:rFonts w:eastAsia="Times New Roman" w:cs="Times New Roman"/>
                <w:sz w:val="20"/>
                <w:szCs w:val="20"/>
              </w:rPr>
              <w:t>–</w:t>
            </w:r>
            <w:r w:rsidRPr="002B1DFC">
              <w:rPr>
                <w:rFonts w:eastAsia="Times New Roman" w:cs="Times New Roman"/>
                <w:sz w:val="20"/>
                <w:szCs w:val="20"/>
              </w:rPr>
              <w:t>III do not require complex state expertise and construction objects of categories IV</w:t>
            </w:r>
            <w:r w:rsidR="00781B71">
              <w:rPr>
                <w:rFonts w:eastAsia="Times New Roman" w:cs="Times New Roman"/>
                <w:sz w:val="20"/>
                <w:szCs w:val="20"/>
              </w:rPr>
              <w:t>–</w:t>
            </w:r>
            <w:r w:rsidRPr="002B1DFC">
              <w:rPr>
                <w:rFonts w:eastAsia="Times New Roman" w:cs="Times New Roman"/>
                <w:sz w:val="20"/>
                <w:szCs w:val="20"/>
              </w:rPr>
              <w:t>V should be reviewed by the complex state expertise, which includes environmental analysis.</w:t>
            </w:r>
          </w:p>
        </w:tc>
        <w:tc>
          <w:tcPr>
            <w:tcW w:w="1004" w:type="pct"/>
          </w:tcPr>
          <w:p w14:paraId="7515C756"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lastRenderedPageBreak/>
              <w:t>Article 6 (category I) and article 7 (category II) list activities that may have a significant impact on the environment and are subject to environmental impact assessments.</w:t>
            </w:r>
          </w:p>
          <w:p w14:paraId="5F8D187D" w14:textId="77777777" w:rsidR="000B7923" w:rsidRPr="002B1DFC" w:rsidRDefault="000B7923" w:rsidP="00F441C6">
            <w:pPr>
              <w:pStyle w:val="ListParagraph"/>
              <w:ind w:left="0"/>
              <w:jc w:val="left"/>
              <w:rPr>
                <w:rFonts w:eastAsia="Times New Roman" w:cs="Times New Roman"/>
                <w:sz w:val="20"/>
                <w:szCs w:val="20"/>
              </w:rPr>
            </w:pPr>
          </w:p>
          <w:p w14:paraId="42F16321" w14:textId="77777777" w:rsidR="000B7923" w:rsidRPr="002B1DFC" w:rsidRDefault="000B7923" w:rsidP="00F441C6">
            <w:pPr>
              <w:pStyle w:val="ListParagraph"/>
              <w:ind w:left="0"/>
              <w:jc w:val="left"/>
              <w:rPr>
                <w:rFonts w:eastAsia="Times New Roman" w:cs="Times New Roman"/>
                <w:sz w:val="20"/>
                <w:szCs w:val="20"/>
              </w:rPr>
            </w:pPr>
          </w:p>
          <w:p w14:paraId="4174BC29" w14:textId="77777777" w:rsidR="000B7923" w:rsidRPr="002B1DFC" w:rsidRDefault="000B7923" w:rsidP="00F441C6">
            <w:pPr>
              <w:pStyle w:val="ListParagraph"/>
              <w:ind w:left="0"/>
              <w:jc w:val="left"/>
              <w:rPr>
                <w:rFonts w:eastAsia="Times New Roman" w:cs="Times New Roman"/>
                <w:sz w:val="20"/>
                <w:szCs w:val="20"/>
              </w:rPr>
            </w:pPr>
          </w:p>
        </w:tc>
        <w:tc>
          <w:tcPr>
            <w:tcW w:w="1002" w:type="pct"/>
          </w:tcPr>
          <w:p w14:paraId="36633C3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lastRenderedPageBreak/>
              <w:t>The Bank undertakes environmental screening of each proposed project to determine the appropriate</w:t>
            </w:r>
            <w:r w:rsidR="00BA6B8C">
              <w:rPr>
                <w:rFonts w:eastAsia="Times New Roman" w:cs="Times New Roman"/>
                <w:sz w:val="20"/>
                <w:szCs w:val="20"/>
              </w:rPr>
              <w:t xml:space="preserve"> type and</w:t>
            </w:r>
            <w:r w:rsidRPr="002B1DFC">
              <w:rPr>
                <w:rFonts w:eastAsia="Times New Roman" w:cs="Times New Roman"/>
                <w:sz w:val="20"/>
                <w:szCs w:val="20"/>
              </w:rPr>
              <w:t xml:space="preserve"> extent of EA. The Bank classifies the proposed project into one of four </w:t>
            </w:r>
            <w:r w:rsidRPr="002B1DFC">
              <w:rPr>
                <w:rFonts w:eastAsia="Times New Roman" w:cs="Times New Roman"/>
                <w:sz w:val="20"/>
                <w:szCs w:val="20"/>
              </w:rPr>
              <w:lastRenderedPageBreak/>
              <w:t>categories, depending on the type, location, sensitivity, and scale of the project</w:t>
            </w:r>
            <w:r w:rsidR="00BA6B8C">
              <w:rPr>
                <w:rFonts w:eastAsia="Times New Roman" w:cs="Times New Roman"/>
                <w:sz w:val="20"/>
                <w:szCs w:val="20"/>
              </w:rPr>
              <w:t>,</w:t>
            </w:r>
            <w:r w:rsidRPr="002B1DFC">
              <w:rPr>
                <w:rFonts w:eastAsia="Times New Roman" w:cs="Times New Roman"/>
                <w:sz w:val="20"/>
                <w:szCs w:val="20"/>
              </w:rPr>
              <w:t xml:space="preserve"> and the nature and magnitude of its potential environmental impacts:</w:t>
            </w:r>
          </w:p>
          <w:p w14:paraId="18093910" w14:textId="77777777" w:rsidR="000B7923" w:rsidRPr="002B1DFC" w:rsidRDefault="000B7923" w:rsidP="0061686D">
            <w:pPr>
              <w:pStyle w:val="ListParagraph"/>
              <w:ind w:left="274" w:hanging="270"/>
              <w:jc w:val="left"/>
              <w:rPr>
                <w:rFonts w:eastAsia="Times New Roman" w:cs="Times New Roman"/>
                <w:sz w:val="20"/>
                <w:szCs w:val="20"/>
              </w:rPr>
            </w:pPr>
            <w:r w:rsidRPr="002B1DFC">
              <w:rPr>
                <w:rFonts w:eastAsia="Times New Roman" w:cs="Times New Roman"/>
                <w:sz w:val="20"/>
                <w:szCs w:val="20"/>
              </w:rPr>
              <w:t xml:space="preserve"> (a) Category A: </w:t>
            </w:r>
            <w:r w:rsidR="006020B3">
              <w:rPr>
                <w:rFonts w:eastAsia="Times New Roman" w:cs="Times New Roman"/>
                <w:sz w:val="20"/>
                <w:szCs w:val="20"/>
              </w:rPr>
              <w:t>F</w:t>
            </w:r>
            <w:r w:rsidRPr="002B1DFC">
              <w:rPr>
                <w:rFonts w:eastAsia="Times New Roman" w:cs="Times New Roman"/>
                <w:sz w:val="20"/>
                <w:szCs w:val="20"/>
              </w:rPr>
              <w:t xml:space="preserve">ull EIA is required. </w:t>
            </w:r>
          </w:p>
          <w:p w14:paraId="34DEC7B2" w14:textId="77777777" w:rsidR="000B7923" w:rsidRPr="002B1DFC" w:rsidRDefault="000B7923" w:rsidP="0061686D">
            <w:pPr>
              <w:pStyle w:val="ListParagraph"/>
              <w:ind w:left="274" w:hanging="270"/>
              <w:jc w:val="left"/>
              <w:rPr>
                <w:rFonts w:eastAsia="Times New Roman" w:cs="Times New Roman"/>
                <w:sz w:val="20"/>
                <w:szCs w:val="20"/>
              </w:rPr>
            </w:pPr>
            <w:r w:rsidRPr="002B1DFC">
              <w:rPr>
                <w:rFonts w:eastAsia="Times New Roman" w:cs="Times New Roman"/>
                <w:sz w:val="20"/>
                <w:szCs w:val="20"/>
              </w:rPr>
              <w:t>(b) Category B: EMP is required</w:t>
            </w:r>
            <w:r w:rsidR="00E72314">
              <w:rPr>
                <w:rFonts w:eastAsia="Times New Roman" w:cs="Times New Roman"/>
                <w:sz w:val="20"/>
                <w:szCs w:val="20"/>
              </w:rPr>
              <w:t>.</w:t>
            </w:r>
          </w:p>
          <w:p w14:paraId="619FC9EF" w14:textId="77777777" w:rsidR="000B7923" w:rsidRPr="002B1DFC" w:rsidRDefault="000B7923" w:rsidP="0061686D">
            <w:pPr>
              <w:pStyle w:val="ListParagraph"/>
              <w:ind w:left="274" w:hanging="270"/>
              <w:jc w:val="left"/>
              <w:rPr>
                <w:rFonts w:eastAsia="Times New Roman" w:cs="Times New Roman"/>
                <w:sz w:val="20"/>
                <w:szCs w:val="20"/>
              </w:rPr>
            </w:pPr>
            <w:r w:rsidRPr="002B1DFC">
              <w:rPr>
                <w:rFonts w:eastAsia="Times New Roman" w:cs="Times New Roman"/>
                <w:sz w:val="20"/>
                <w:szCs w:val="20"/>
              </w:rPr>
              <w:t xml:space="preserve">(c) Category C: </w:t>
            </w:r>
            <w:r w:rsidR="006020B3">
              <w:rPr>
                <w:rFonts w:eastAsia="Times New Roman" w:cs="Times New Roman"/>
                <w:sz w:val="20"/>
                <w:szCs w:val="20"/>
              </w:rPr>
              <w:t>N</w:t>
            </w:r>
            <w:r w:rsidRPr="002B1DFC">
              <w:rPr>
                <w:rFonts w:eastAsia="Times New Roman" w:cs="Times New Roman"/>
                <w:sz w:val="20"/>
                <w:szCs w:val="20"/>
              </w:rPr>
              <w:t xml:space="preserve">o EA instrument is required. </w:t>
            </w:r>
          </w:p>
          <w:p w14:paraId="4A12C099" w14:textId="77777777" w:rsidR="000B7923" w:rsidRPr="002B1DFC" w:rsidRDefault="000B7923" w:rsidP="00C36E23">
            <w:pPr>
              <w:pStyle w:val="ListParagraph"/>
              <w:ind w:left="274" w:hanging="270"/>
              <w:jc w:val="left"/>
              <w:rPr>
                <w:rFonts w:eastAsia="Times New Roman" w:cs="Times New Roman"/>
                <w:sz w:val="20"/>
                <w:szCs w:val="20"/>
              </w:rPr>
            </w:pPr>
            <w:r w:rsidRPr="002B1DFC">
              <w:rPr>
                <w:rFonts w:eastAsia="Times New Roman" w:cs="Times New Roman"/>
                <w:sz w:val="20"/>
                <w:szCs w:val="20"/>
              </w:rPr>
              <w:t>(d) Category FI: EA/ESMF is required.</w:t>
            </w:r>
          </w:p>
        </w:tc>
        <w:tc>
          <w:tcPr>
            <w:tcW w:w="1002" w:type="pct"/>
          </w:tcPr>
          <w:p w14:paraId="4C738134" w14:textId="77777777" w:rsidR="000B7923" w:rsidRPr="002B1DFC" w:rsidRDefault="006020B3" w:rsidP="00F441C6">
            <w:pPr>
              <w:pStyle w:val="ListParagraph"/>
              <w:ind w:left="0"/>
              <w:jc w:val="left"/>
              <w:rPr>
                <w:rFonts w:eastAsia="Times New Roman" w:cs="Times New Roman"/>
                <w:sz w:val="20"/>
                <w:szCs w:val="20"/>
              </w:rPr>
            </w:pPr>
            <w:r>
              <w:rPr>
                <w:rFonts w:eastAsia="Times New Roman" w:cs="Times New Roman"/>
                <w:sz w:val="20"/>
                <w:szCs w:val="20"/>
              </w:rPr>
              <w:lastRenderedPageBreak/>
              <w:t>E</w:t>
            </w:r>
            <w:r w:rsidR="000B7923" w:rsidRPr="002B1DFC">
              <w:rPr>
                <w:rFonts w:eastAsia="Times New Roman" w:cs="Times New Roman"/>
                <w:sz w:val="20"/>
                <w:szCs w:val="20"/>
              </w:rPr>
              <w:t>ach member state</w:t>
            </w:r>
            <w:r>
              <w:rPr>
                <w:rFonts w:eastAsia="Times New Roman" w:cs="Times New Roman"/>
                <w:sz w:val="20"/>
                <w:szCs w:val="20"/>
              </w:rPr>
              <w:t xml:space="preserve"> determines screening procedure</w:t>
            </w:r>
            <w:r w:rsidR="000B7923" w:rsidRPr="002B1DFC">
              <w:rPr>
                <w:rFonts w:eastAsia="Times New Roman" w:cs="Times New Roman"/>
                <w:sz w:val="20"/>
                <w:szCs w:val="20"/>
              </w:rPr>
              <w:t>.</w:t>
            </w:r>
          </w:p>
        </w:tc>
      </w:tr>
      <w:tr w:rsidR="000B7923" w:rsidRPr="002B1DFC" w14:paraId="4EA9DEC5" w14:textId="77777777">
        <w:tc>
          <w:tcPr>
            <w:tcW w:w="766" w:type="pct"/>
            <w:shd w:val="clear" w:color="auto" w:fill="DBE5F1"/>
          </w:tcPr>
          <w:p w14:paraId="0C4447C0"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lastRenderedPageBreak/>
              <w:t xml:space="preserve">Types of EIA Instruments </w:t>
            </w:r>
            <w:r w:rsidR="00781B71">
              <w:rPr>
                <w:rFonts w:eastAsia="Times New Roman" w:cs="Times New Roman"/>
                <w:sz w:val="20"/>
                <w:szCs w:val="20"/>
              </w:rPr>
              <w:t>–</w:t>
            </w:r>
            <w:r w:rsidRPr="002B1DFC">
              <w:rPr>
                <w:rFonts w:eastAsia="Times New Roman" w:cs="Times New Roman"/>
                <w:sz w:val="20"/>
                <w:szCs w:val="20"/>
              </w:rPr>
              <w:t xml:space="preserve"> Different types of EIA instruments, their level of complexity and their focus</w:t>
            </w:r>
          </w:p>
        </w:tc>
        <w:tc>
          <w:tcPr>
            <w:tcW w:w="1227" w:type="pct"/>
            <w:shd w:val="clear" w:color="auto" w:fill="DBE5F1"/>
          </w:tcPr>
          <w:p w14:paraId="32813FE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Full</w:t>
            </w:r>
            <w:r w:rsidR="00572DA5">
              <w:rPr>
                <w:rFonts w:eastAsia="Times New Roman" w:cs="Times New Roman"/>
                <w:sz w:val="20"/>
                <w:szCs w:val="20"/>
              </w:rPr>
              <w:t>-</w:t>
            </w:r>
            <w:r w:rsidRPr="002B1DFC">
              <w:rPr>
                <w:rFonts w:eastAsia="Times New Roman" w:cs="Times New Roman"/>
                <w:sz w:val="20"/>
                <w:szCs w:val="20"/>
              </w:rPr>
              <w:t>scale EA (OVNS) with the state EE for high environmental risk and hazardous objects</w:t>
            </w:r>
            <w:r w:rsidR="00572DA5">
              <w:rPr>
                <w:rFonts w:eastAsia="Times New Roman" w:cs="Times New Roman"/>
                <w:sz w:val="20"/>
                <w:szCs w:val="20"/>
              </w:rPr>
              <w:t>.</w:t>
            </w:r>
          </w:p>
          <w:p w14:paraId="237C7E3F" w14:textId="77777777" w:rsidR="000B7923" w:rsidRPr="002B1DFC" w:rsidRDefault="000B7923" w:rsidP="00F441C6">
            <w:pPr>
              <w:pStyle w:val="ListParagraph"/>
              <w:ind w:left="0"/>
              <w:jc w:val="left"/>
              <w:rPr>
                <w:rFonts w:eastAsia="Times New Roman" w:cs="Times New Roman"/>
                <w:sz w:val="20"/>
                <w:szCs w:val="20"/>
              </w:rPr>
            </w:pPr>
          </w:p>
        </w:tc>
        <w:tc>
          <w:tcPr>
            <w:tcW w:w="1004" w:type="pct"/>
            <w:shd w:val="clear" w:color="auto" w:fill="DBE5F1"/>
          </w:tcPr>
          <w:p w14:paraId="7A03F2C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One category: </w:t>
            </w:r>
            <w:r w:rsidR="00BA6B8C">
              <w:rPr>
                <w:rFonts w:eastAsia="Times New Roman" w:cs="Times New Roman"/>
                <w:sz w:val="20"/>
                <w:szCs w:val="20"/>
              </w:rPr>
              <w:t>F</w:t>
            </w:r>
            <w:r w:rsidRPr="002B1DFC">
              <w:rPr>
                <w:rFonts w:eastAsia="Times New Roman" w:cs="Times New Roman"/>
                <w:sz w:val="20"/>
                <w:szCs w:val="20"/>
              </w:rPr>
              <w:t>ull EIA.</w:t>
            </w:r>
          </w:p>
        </w:tc>
        <w:tc>
          <w:tcPr>
            <w:tcW w:w="1002" w:type="pct"/>
            <w:shd w:val="clear" w:color="auto" w:fill="DBE5F1"/>
          </w:tcPr>
          <w:p w14:paraId="0484B4FA"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Depending on the project, a range of instruments can be used to satisfy the Bank's EA requirement: environmental impact assessment (EIA), regional or sectoral EA, strategic environmental and social assessment (SESA), environmental audit, hazard or risk assessment, environmental management plan (EMP)</w:t>
            </w:r>
            <w:r w:rsidR="00BA6B8C">
              <w:rPr>
                <w:rFonts w:eastAsia="Times New Roman" w:cs="Times New Roman"/>
                <w:sz w:val="20"/>
                <w:szCs w:val="20"/>
              </w:rPr>
              <w:t>,</w:t>
            </w:r>
            <w:r w:rsidRPr="002B1DFC">
              <w:rPr>
                <w:rFonts w:eastAsia="Times New Roman" w:cs="Times New Roman"/>
                <w:sz w:val="20"/>
                <w:szCs w:val="20"/>
              </w:rPr>
              <w:t xml:space="preserve"> and environmental and social management framework (ESMF).</w:t>
            </w:r>
          </w:p>
        </w:tc>
        <w:tc>
          <w:tcPr>
            <w:tcW w:w="1002" w:type="pct"/>
            <w:shd w:val="clear" w:color="auto" w:fill="DBE5F1"/>
          </w:tcPr>
          <w:p w14:paraId="721F8CCB"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One category for full EIA:</w:t>
            </w:r>
          </w:p>
          <w:p w14:paraId="3F694DDE"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Annex </w:t>
            </w:r>
            <w:proofErr w:type="gramStart"/>
            <w:r w:rsidRPr="002B1DFC">
              <w:rPr>
                <w:rFonts w:eastAsia="Times New Roman" w:cs="Times New Roman"/>
                <w:sz w:val="20"/>
                <w:szCs w:val="20"/>
              </w:rPr>
              <w:t>I</w:t>
            </w:r>
            <w:proofErr w:type="gramEnd"/>
            <w:r w:rsidRPr="002B1DFC">
              <w:rPr>
                <w:rFonts w:eastAsia="Times New Roman" w:cs="Times New Roman"/>
                <w:sz w:val="20"/>
                <w:szCs w:val="20"/>
              </w:rPr>
              <w:t xml:space="preserve"> </w:t>
            </w:r>
            <w:r w:rsidR="00781B71">
              <w:rPr>
                <w:rFonts w:eastAsia="Times New Roman" w:cs="Times New Roman"/>
                <w:sz w:val="20"/>
                <w:szCs w:val="20"/>
              </w:rPr>
              <w:t>–</w:t>
            </w:r>
            <w:r w:rsidRPr="002B1DFC">
              <w:rPr>
                <w:rFonts w:eastAsia="Times New Roman" w:cs="Times New Roman"/>
                <w:sz w:val="20"/>
                <w:szCs w:val="20"/>
              </w:rPr>
              <w:t xml:space="preserve"> </w:t>
            </w:r>
            <w:r w:rsidR="006020B3">
              <w:rPr>
                <w:rFonts w:eastAsia="Times New Roman" w:cs="Times New Roman"/>
                <w:sz w:val="20"/>
                <w:szCs w:val="20"/>
              </w:rPr>
              <w:t>F</w:t>
            </w:r>
            <w:r w:rsidRPr="002B1DFC">
              <w:rPr>
                <w:rFonts w:eastAsia="Times New Roman" w:cs="Times New Roman"/>
                <w:sz w:val="20"/>
                <w:szCs w:val="20"/>
              </w:rPr>
              <w:t>ull EIA mandatory</w:t>
            </w:r>
            <w:r w:rsidR="00611A1C">
              <w:rPr>
                <w:rFonts w:eastAsia="Times New Roman" w:cs="Times New Roman"/>
                <w:sz w:val="20"/>
                <w:szCs w:val="20"/>
              </w:rPr>
              <w:t>.</w:t>
            </w:r>
          </w:p>
          <w:p w14:paraId="45DD1CE2" w14:textId="77777777" w:rsidR="000B7923" w:rsidRPr="002B1DFC" w:rsidRDefault="000B7923" w:rsidP="00A72702">
            <w:pPr>
              <w:pStyle w:val="ListParagraph"/>
              <w:ind w:left="0"/>
              <w:jc w:val="left"/>
              <w:rPr>
                <w:rFonts w:eastAsia="Times New Roman" w:cs="Times New Roman"/>
                <w:sz w:val="20"/>
                <w:szCs w:val="20"/>
              </w:rPr>
            </w:pPr>
            <w:r w:rsidRPr="002B1DFC">
              <w:rPr>
                <w:rFonts w:eastAsia="Times New Roman" w:cs="Times New Roman"/>
                <w:sz w:val="20"/>
                <w:szCs w:val="20"/>
              </w:rPr>
              <w:t xml:space="preserve">Annex II </w:t>
            </w:r>
            <w:r w:rsidR="00781B71">
              <w:rPr>
                <w:rFonts w:eastAsia="Times New Roman" w:cs="Times New Roman"/>
                <w:sz w:val="20"/>
                <w:szCs w:val="20"/>
              </w:rPr>
              <w:t>–</w:t>
            </w:r>
            <w:r w:rsidRPr="002B1DFC">
              <w:rPr>
                <w:rFonts w:eastAsia="Times New Roman" w:cs="Times New Roman"/>
                <w:sz w:val="20"/>
                <w:szCs w:val="20"/>
              </w:rPr>
              <w:t xml:space="preserve"> </w:t>
            </w:r>
            <w:r w:rsidR="006020B3">
              <w:rPr>
                <w:rFonts w:eastAsia="Times New Roman" w:cs="Times New Roman"/>
                <w:sz w:val="20"/>
                <w:szCs w:val="20"/>
              </w:rPr>
              <w:t>N</w:t>
            </w:r>
            <w:r w:rsidRPr="002B1DFC">
              <w:rPr>
                <w:rFonts w:eastAsia="Times New Roman" w:cs="Times New Roman"/>
                <w:sz w:val="20"/>
                <w:szCs w:val="20"/>
              </w:rPr>
              <w:t xml:space="preserve">ational authorities have to decide whether an EIA is needed, </w:t>
            </w:r>
            <w:r w:rsidR="00611A1C">
              <w:rPr>
                <w:rFonts w:eastAsia="Times New Roman" w:cs="Times New Roman"/>
                <w:sz w:val="20"/>
                <w:szCs w:val="20"/>
              </w:rPr>
              <w:t>using</w:t>
            </w:r>
            <w:r w:rsidR="00611A1C" w:rsidRPr="002B1DFC">
              <w:rPr>
                <w:rFonts w:eastAsia="Times New Roman" w:cs="Times New Roman"/>
                <w:sz w:val="20"/>
                <w:szCs w:val="20"/>
              </w:rPr>
              <w:t xml:space="preserve"> </w:t>
            </w:r>
            <w:r w:rsidRPr="002B1DFC">
              <w:rPr>
                <w:rFonts w:eastAsia="Times New Roman" w:cs="Times New Roman"/>
                <w:sz w:val="20"/>
                <w:szCs w:val="20"/>
              </w:rPr>
              <w:t xml:space="preserve">the </w:t>
            </w:r>
            <w:r w:rsidR="00611A1C">
              <w:rPr>
                <w:rFonts w:eastAsia="Times New Roman" w:cs="Times New Roman"/>
                <w:sz w:val="20"/>
                <w:szCs w:val="20"/>
              </w:rPr>
              <w:t>“</w:t>
            </w:r>
            <w:r w:rsidRPr="002B1DFC">
              <w:rPr>
                <w:rFonts w:eastAsia="Times New Roman" w:cs="Times New Roman"/>
                <w:sz w:val="20"/>
                <w:szCs w:val="20"/>
              </w:rPr>
              <w:t>screening procedure</w:t>
            </w:r>
            <w:r w:rsidR="00611A1C">
              <w:rPr>
                <w:rFonts w:eastAsia="Times New Roman" w:cs="Times New Roman"/>
                <w:sz w:val="20"/>
                <w:szCs w:val="20"/>
              </w:rPr>
              <w:t>”</w:t>
            </w:r>
            <w:r w:rsidRPr="002B1DFC">
              <w:rPr>
                <w:rFonts w:eastAsia="Times New Roman" w:cs="Times New Roman"/>
                <w:sz w:val="20"/>
                <w:szCs w:val="20"/>
              </w:rPr>
              <w:t>, which determines projects</w:t>
            </w:r>
            <w:r w:rsidR="00611A1C">
              <w:rPr>
                <w:rFonts w:eastAsia="Times New Roman" w:cs="Times New Roman"/>
                <w:sz w:val="20"/>
                <w:szCs w:val="20"/>
              </w:rPr>
              <w:t>’ effects</w:t>
            </w:r>
            <w:r w:rsidRPr="002B1DFC">
              <w:rPr>
                <w:rFonts w:eastAsia="Times New Roman" w:cs="Times New Roman"/>
                <w:sz w:val="20"/>
                <w:szCs w:val="20"/>
              </w:rPr>
              <w:t xml:space="preserve"> </w:t>
            </w:r>
            <w:r w:rsidR="006020B3" w:rsidRPr="002B1DFC">
              <w:rPr>
                <w:rFonts w:eastAsia="Times New Roman" w:cs="Times New Roman"/>
                <w:sz w:val="20"/>
                <w:szCs w:val="20"/>
              </w:rPr>
              <w:t>based on</w:t>
            </w:r>
            <w:r w:rsidRPr="002B1DFC">
              <w:rPr>
                <w:rFonts w:eastAsia="Times New Roman" w:cs="Times New Roman"/>
                <w:sz w:val="20"/>
                <w:szCs w:val="20"/>
              </w:rPr>
              <w:t xml:space="preserve"> thresholds/criteria or a case</w:t>
            </w:r>
            <w:r w:rsidR="00611A1C">
              <w:rPr>
                <w:rFonts w:eastAsia="Times New Roman" w:cs="Times New Roman"/>
                <w:sz w:val="20"/>
                <w:szCs w:val="20"/>
              </w:rPr>
              <w:t>-</w:t>
            </w:r>
            <w:r w:rsidRPr="002B1DFC">
              <w:rPr>
                <w:rFonts w:eastAsia="Times New Roman" w:cs="Times New Roman"/>
                <w:sz w:val="20"/>
                <w:szCs w:val="20"/>
              </w:rPr>
              <w:t>by</w:t>
            </w:r>
            <w:r w:rsidR="00611A1C">
              <w:rPr>
                <w:rFonts w:eastAsia="Times New Roman" w:cs="Times New Roman"/>
                <w:sz w:val="20"/>
                <w:szCs w:val="20"/>
              </w:rPr>
              <w:t>-</w:t>
            </w:r>
            <w:r w:rsidRPr="002B1DFC">
              <w:rPr>
                <w:rFonts w:eastAsia="Times New Roman" w:cs="Times New Roman"/>
                <w:sz w:val="20"/>
                <w:szCs w:val="20"/>
              </w:rPr>
              <w:t>case examination.</w:t>
            </w:r>
          </w:p>
        </w:tc>
      </w:tr>
      <w:tr w:rsidR="000B7923" w:rsidRPr="002B1DFC" w14:paraId="0A3BF0D6" w14:textId="77777777">
        <w:tc>
          <w:tcPr>
            <w:tcW w:w="766" w:type="pct"/>
          </w:tcPr>
          <w:p w14:paraId="65D40F25"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Scoping </w:t>
            </w:r>
            <w:r w:rsidR="00781B71">
              <w:rPr>
                <w:rFonts w:eastAsia="Times New Roman" w:cs="Times New Roman"/>
                <w:sz w:val="20"/>
                <w:szCs w:val="20"/>
              </w:rPr>
              <w:t>–</w:t>
            </w:r>
            <w:r w:rsidRPr="002B1DFC">
              <w:rPr>
                <w:rFonts w:eastAsia="Times New Roman" w:cs="Times New Roman"/>
                <w:sz w:val="20"/>
                <w:szCs w:val="20"/>
              </w:rPr>
              <w:t xml:space="preserve"> Procedure by which scope and focus of EIA is defined</w:t>
            </w:r>
          </w:p>
        </w:tc>
        <w:tc>
          <w:tcPr>
            <w:tcW w:w="1227" w:type="pct"/>
          </w:tcPr>
          <w:p w14:paraId="1355E7A5"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No formal scoping procedure is described. All environmental impact documentation address</w:t>
            </w:r>
            <w:r w:rsidR="006020B3">
              <w:rPr>
                <w:rFonts w:eastAsia="Times New Roman" w:cs="Times New Roman"/>
                <w:sz w:val="20"/>
                <w:szCs w:val="20"/>
              </w:rPr>
              <w:t>es</w:t>
            </w:r>
            <w:r w:rsidRPr="002B1DFC">
              <w:rPr>
                <w:rFonts w:eastAsia="Times New Roman" w:cs="Times New Roman"/>
                <w:sz w:val="20"/>
                <w:szCs w:val="20"/>
              </w:rPr>
              <w:t xml:space="preserve"> a list of topics in state construction norms.</w:t>
            </w:r>
          </w:p>
        </w:tc>
        <w:tc>
          <w:tcPr>
            <w:tcW w:w="1004" w:type="pct"/>
            <w:shd w:val="clear" w:color="auto" w:fill="FFFFFF"/>
          </w:tcPr>
          <w:p w14:paraId="61A45951"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The competent territorial / central authority, where requested by the project proponent, issue an opinion on the scope and level of detail of the environmental information to be submitted in the form of an environmental impact assessment report.</w:t>
            </w:r>
          </w:p>
        </w:tc>
        <w:tc>
          <w:tcPr>
            <w:tcW w:w="1002" w:type="pct"/>
            <w:shd w:val="clear" w:color="auto" w:fill="FFFFFF"/>
          </w:tcPr>
          <w:p w14:paraId="790350F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Proponent prepares TOR for World Bank approval</w:t>
            </w:r>
            <w:r w:rsidR="00BA6B8C">
              <w:rPr>
                <w:rFonts w:eastAsia="Times New Roman" w:cs="Times New Roman"/>
                <w:sz w:val="20"/>
                <w:szCs w:val="20"/>
              </w:rPr>
              <w:t>.</w:t>
            </w:r>
          </w:p>
          <w:p w14:paraId="0F46EE9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TOR should be shared with project</w:t>
            </w:r>
            <w:r w:rsidR="00BA6B8C">
              <w:rPr>
                <w:rFonts w:eastAsia="Times New Roman" w:cs="Times New Roman"/>
                <w:sz w:val="20"/>
                <w:szCs w:val="20"/>
              </w:rPr>
              <w:t>-</w:t>
            </w:r>
            <w:r w:rsidRPr="002B1DFC">
              <w:rPr>
                <w:rFonts w:eastAsia="Times New Roman" w:cs="Times New Roman"/>
                <w:sz w:val="20"/>
                <w:szCs w:val="20"/>
              </w:rPr>
              <w:t>affected persons and stakeholders for category A projects</w:t>
            </w:r>
            <w:r w:rsidR="00BA6B8C">
              <w:rPr>
                <w:rFonts w:eastAsia="Times New Roman" w:cs="Times New Roman"/>
                <w:sz w:val="20"/>
                <w:szCs w:val="20"/>
              </w:rPr>
              <w:t>.</w:t>
            </w:r>
          </w:p>
          <w:p w14:paraId="2F3B503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Scoping for category B projects is not required.</w:t>
            </w:r>
          </w:p>
        </w:tc>
        <w:tc>
          <w:tcPr>
            <w:tcW w:w="1002" w:type="pct"/>
            <w:shd w:val="clear" w:color="auto" w:fill="FFFFFF"/>
          </w:tcPr>
          <w:p w14:paraId="1180835B" w14:textId="77777777" w:rsidR="000B7923" w:rsidRPr="002B1DFC" w:rsidRDefault="000B7923" w:rsidP="0061686D">
            <w:pPr>
              <w:jc w:val="left"/>
              <w:rPr>
                <w:rFonts w:eastAsia="Times New Roman" w:cs="Times New Roman"/>
                <w:sz w:val="20"/>
                <w:szCs w:val="20"/>
              </w:rPr>
            </w:pPr>
            <w:r w:rsidRPr="002B1DFC">
              <w:rPr>
                <w:rFonts w:eastAsia="Times New Roman" w:cs="Times New Roman"/>
                <w:sz w:val="20"/>
                <w:szCs w:val="20"/>
              </w:rPr>
              <w:t>The competent authority should, where requested by the developer, issue an opinion on the scope and level of detail of the environmental information to be submitted in the form of an environmental impact assessment report.</w:t>
            </w:r>
          </w:p>
        </w:tc>
      </w:tr>
      <w:tr w:rsidR="000B7923" w:rsidRPr="002B1DFC" w14:paraId="26DC0F4D" w14:textId="77777777">
        <w:tc>
          <w:tcPr>
            <w:tcW w:w="766" w:type="pct"/>
            <w:shd w:val="clear" w:color="auto" w:fill="DBE5F1"/>
          </w:tcPr>
          <w:p w14:paraId="3892ECC0"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lastRenderedPageBreak/>
              <w:t xml:space="preserve">Decision Making Responsibility </w:t>
            </w:r>
            <w:r w:rsidR="00781B71">
              <w:rPr>
                <w:rFonts w:eastAsia="Times New Roman" w:cs="Times New Roman"/>
                <w:sz w:val="20"/>
                <w:szCs w:val="20"/>
              </w:rPr>
              <w:t>–</w:t>
            </w:r>
            <w:r w:rsidRPr="002B1DFC">
              <w:rPr>
                <w:rFonts w:eastAsia="Times New Roman" w:cs="Times New Roman"/>
                <w:sz w:val="20"/>
                <w:szCs w:val="20"/>
              </w:rPr>
              <w:t xml:space="preserve"> </w:t>
            </w:r>
          </w:p>
          <w:p w14:paraId="779165A0"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Authority responsible for final decision in the EIA process</w:t>
            </w:r>
          </w:p>
        </w:tc>
        <w:tc>
          <w:tcPr>
            <w:tcW w:w="1227" w:type="pct"/>
            <w:shd w:val="clear" w:color="auto" w:fill="DBE5F1"/>
          </w:tcPr>
          <w:p w14:paraId="1FF4B03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Divisions of expertise of government agency; </w:t>
            </w:r>
          </w:p>
          <w:p w14:paraId="09185EC9"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special commissions with participation of ecological expertize divisions and other experts (not from government agencies) </w:t>
            </w:r>
          </w:p>
          <w:p w14:paraId="06F8F8B9"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w:t>
            </w:r>
            <w:proofErr w:type="gramStart"/>
            <w:r w:rsidRPr="002B1DFC">
              <w:rPr>
                <w:rFonts w:eastAsia="Times New Roman" w:cs="Times New Roman"/>
                <w:sz w:val="20"/>
                <w:szCs w:val="20"/>
              </w:rPr>
              <w:t>by</w:t>
            </w:r>
            <w:proofErr w:type="gramEnd"/>
            <w:r w:rsidRPr="002B1DFC">
              <w:rPr>
                <w:rFonts w:eastAsia="Times New Roman" w:cs="Times New Roman"/>
                <w:sz w:val="20"/>
                <w:szCs w:val="20"/>
              </w:rPr>
              <w:t xml:space="preserve"> contracting specialized organizations to carry out preliminary analysis and preparing proposals for the government agency, which then reviews and approves these proposals.</w:t>
            </w:r>
          </w:p>
          <w:p w14:paraId="186A916C" w14:textId="77777777" w:rsidR="000B7923" w:rsidRPr="002B1DFC" w:rsidRDefault="000B7923" w:rsidP="00F441C6">
            <w:pPr>
              <w:pStyle w:val="ListParagraph"/>
              <w:ind w:left="0"/>
              <w:jc w:val="left"/>
              <w:rPr>
                <w:rFonts w:eastAsia="Times New Roman" w:cs="Times New Roman"/>
                <w:sz w:val="20"/>
                <w:szCs w:val="20"/>
              </w:rPr>
            </w:pPr>
          </w:p>
        </w:tc>
        <w:tc>
          <w:tcPr>
            <w:tcW w:w="1004" w:type="pct"/>
            <w:shd w:val="clear" w:color="auto" w:fill="DBE5F1"/>
          </w:tcPr>
          <w:p w14:paraId="4B59A94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Authorized territorial authority and in cases specified in paragraphs 3 and 4 of Article 5 – authorized central authority. </w:t>
            </w:r>
          </w:p>
        </w:tc>
        <w:tc>
          <w:tcPr>
            <w:tcW w:w="1002" w:type="pct"/>
            <w:shd w:val="clear" w:color="auto" w:fill="DBE5F1"/>
          </w:tcPr>
          <w:p w14:paraId="49BF3EB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Safeguards Advisor</w:t>
            </w:r>
            <w:r w:rsidR="00E72314">
              <w:rPr>
                <w:rFonts w:eastAsia="Times New Roman" w:cs="Times New Roman"/>
                <w:sz w:val="20"/>
                <w:szCs w:val="20"/>
              </w:rPr>
              <w:t>.</w:t>
            </w:r>
          </w:p>
        </w:tc>
        <w:tc>
          <w:tcPr>
            <w:tcW w:w="1002" w:type="pct"/>
            <w:shd w:val="clear" w:color="auto" w:fill="DBE5F1"/>
          </w:tcPr>
          <w:p w14:paraId="48D4CD7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Determined by each member state.</w:t>
            </w:r>
          </w:p>
        </w:tc>
      </w:tr>
      <w:tr w:rsidR="000B7923" w:rsidRPr="002B1DFC" w14:paraId="7FADB243" w14:textId="77777777">
        <w:tc>
          <w:tcPr>
            <w:tcW w:w="766" w:type="pct"/>
          </w:tcPr>
          <w:p w14:paraId="6343BD1C"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Terms of Reference </w:t>
            </w:r>
            <w:r w:rsidR="00781B71">
              <w:rPr>
                <w:rFonts w:eastAsia="Times New Roman" w:cs="Times New Roman"/>
                <w:sz w:val="20"/>
                <w:szCs w:val="20"/>
              </w:rPr>
              <w:t>–</w:t>
            </w:r>
            <w:r w:rsidRPr="002B1DFC">
              <w:rPr>
                <w:rFonts w:eastAsia="Times New Roman" w:cs="Times New Roman"/>
                <w:sz w:val="20"/>
                <w:szCs w:val="20"/>
              </w:rPr>
              <w:t xml:space="preserve"> Who defines the content of the TORs and who conducts the corresponding study</w:t>
            </w:r>
          </w:p>
        </w:tc>
        <w:tc>
          <w:tcPr>
            <w:tcW w:w="1227" w:type="pct"/>
          </w:tcPr>
          <w:p w14:paraId="38BAC798"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Content of EIA is established in EIA and sectoral legislation.</w:t>
            </w:r>
          </w:p>
        </w:tc>
        <w:tc>
          <w:tcPr>
            <w:tcW w:w="1004" w:type="pct"/>
            <w:shd w:val="clear" w:color="auto" w:fill="FFFFFF"/>
          </w:tcPr>
          <w:p w14:paraId="7087E5B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Project proponent or their </w:t>
            </w:r>
            <w:r w:rsidR="006020B3" w:rsidRPr="002B1DFC">
              <w:rPr>
                <w:rFonts w:eastAsia="Times New Roman" w:cs="Times New Roman"/>
                <w:sz w:val="20"/>
                <w:szCs w:val="20"/>
              </w:rPr>
              <w:t>consultant prepares</w:t>
            </w:r>
            <w:r w:rsidRPr="002B1DFC">
              <w:rPr>
                <w:rFonts w:eastAsia="Times New Roman" w:cs="Times New Roman"/>
                <w:sz w:val="20"/>
                <w:szCs w:val="20"/>
              </w:rPr>
              <w:t xml:space="preserve"> the EIA study. Article 6 lists the minimum requirements for information to be provided in the EIA study.</w:t>
            </w:r>
          </w:p>
        </w:tc>
        <w:tc>
          <w:tcPr>
            <w:tcW w:w="1002" w:type="pct"/>
          </w:tcPr>
          <w:p w14:paraId="2883781E"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TOR is prepared by the </w:t>
            </w:r>
            <w:r w:rsidR="00611A1C">
              <w:rPr>
                <w:rFonts w:eastAsia="Times New Roman" w:cs="Times New Roman"/>
                <w:sz w:val="20"/>
                <w:szCs w:val="20"/>
              </w:rPr>
              <w:t>b</w:t>
            </w:r>
            <w:r w:rsidRPr="002B1DFC">
              <w:rPr>
                <w:rFonts w:eastAsia="Times New Roman" w:cs="Times New Roman"/>
                <w:sz w:val="20"/>
                <w:szCs w:val="20"/>
              </w:rPr>
              <w:t>orrower and approved by the World Bank.</w:t>
            </w:r>
          </w:p>
          <w:p w14:paraId="56A3CF05"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Borrower is responsible for preparing the EA.</w:t>
            </w:r>
          </w:p>
        </w:tc>
        <w:tc>
          <w:tcPr>
            <w:tcW w:w="1002" w:type="pct"/>
          </w:tcPr>
          <w:p w14:paraId="6549CE87"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The developer is responsible for conducting the EIA study. Article 5 lists the minimum requirements for information to be provided by the developer: </w:t>
            </w:r>
          </w:p>
          <w:p w14:paraId="5B84F778"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(a) a description of the project;</w:t>
            </w:r>
          </w:p>
          <w:p w14:paraId="17169C0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(b) a description of the likely significant effects of the project on the environment;</w:t>
            </w:r>
          </w:p>
          <w:p w14:paraId="596D4FF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(c) a description of the features of the project and/or mitigation measures envisaged;</w:t>
            </w:r>
          </w:p>
          <w:p w14:paraId="51A10414"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(d) a description of the reasonable alternatives studied by the developer;</w:t>
            </w:r>
          </w:p>
          <w:p w14:paraId="2926553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(e) a nontechnical summary of the information referred to in points (a) to (d); and</w:t>
            </w:r>
          </w:p>
          <w:p w14:paraId="3E9F488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(f) </w:t>
            </w:r>
            <w:proofErr w:type="gramStart"/>
            <w:r w:rsidRPr="002B1DFC">
              <w:rPr>
                <w:rFonts w:eastAsia="Times New Roman" w:cs="Times New Roman"/>
                <w:sz w:val="20"/>
                <w:szCs w:val="20"/>
              </w:rPr>
              <w:t>any</w:t>
            </w:r>
            <w:proofErr w:type="gramEnd"/>
            <w:r w:rsidRPr="002B1DFC">
              <w:rPr>
                <w:rFonts w:eastAsia="Times New Roman" w:cs="Times New Roman"/>
                <w:sz w:val="20"/>
                <w:szCs w:val="20"/>
              </w:rPr>
              <w:t xml:space="preserve"> additional information specified in Annex IV relevant to the project.</w:t>
            </w:r>
          </w:p>
        </w:tc>
      </w:tr>
      <w:tr w:rsidR="000B7923" w:rsidRPr="002B1DFC" w14:paraId="373B18BA" w14:textId="77777777">
        <w:tc>
          <w:tcPr>
            <w:tcW w:w="766" w:type="pct"/>
            <w:shd w:val="clear" w:color="auto" w:fill="DBE5F1"/>
          </w:tcPr>
          <w:p w14:paraId="459CAB07" w14:textId="77777777" w:rsidR="000B7923" w:rsidRPr="002B1DFC" w:rsidRDefault="000B7923" w:rsidP="00A72702">
            <w:pPr>
              <w:pStyle w:val="ListParagraph"/>
              <w:ind w:left="0"/>
              <w:jc w:val="left"/>
              <w:rPr>
                <w:rFonts w:eastAsia="Times New Roman" w:cs="Times New Roman"/>
                <w:b/>
                <w:bCs/>
                <w:sz w:val="20"/>
                <w:szCs w:val="20"/>
              </w:rPr>
            </w:pPr>
            <w:r w:rsidRPr="002B1DFC">
              <w:rPr>
                <w:rFonts w:eastAsia="Times New Roman" w:cs="Times New Roman"/>
                <w:sz w:val="20"/>
                <w:szCs w:val="20"/>
              </w:rPr>
              <w:lastRenderedPageBreak/>
              <w:t xml:space="preserve">Requirements </w:t>
            </w:r>
            <w:r w:rsidR="00781B71">
              <w:rPr>
                <w:rFonts w:eastAsia="Times New Roman" w:cs="Times New Roman"/>
                <w:sz w:val="20"/>
                <w:szCs w:val="20"/>
              </w:rPr>
              <w:t>–</w:t>
            </w:r>
            <w:r w:rsidRPr="002B1DFC">
              <w:rPr>
                <w:rFonts w:eastAsia="Times New Roman" w:cs="Times New Roman"/>
                <w:sz w:val="20"/>
                <w:szCs w:val="20"/>
              </w:rPr>
              <w:t xml:space="preserve"> Requirements in the TORs related to the impacts that the EIS</w:t>
            </w:r>
            <w:r w:rsidR="00F6257E">
              <w:rPr>
                <w:rFonts w:eastAsia="Times New Roman" w:cs="Times New Roman"/>
                <w:sz w:val="20"/>
                <w:szCs w:val="20"/>
              </w:rPr>
              <w:t xml:space="preserve"> must take into account</w:t>
            </w:r>
          </w:p>
        </w:tc>
        <w:tc>
          <w:tcPr>
            <w:tcW w:w="1227" w:type="pct"/>
            <w:shd w:val="clear" w:color="auto" w:fill="DBE5F1"/>
          </w:tcPr>
          <w:p w14:paraId="2659FA98"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 The EIA report should include adverse impacts on natural, manmade and social environments. </w:t>
            </w:r>
          </w:p>
          <w:p w14:paraId="64EF64E5" w14:textId="77777777" w:rsidR="000B7923" w:rsidRPr="002B1DFC" w:rsidRDefault="000B7923" w:rsidP="003F0B09">
            <w:pPr>
              <w:pStyle w:val="ListParagraph"/>
              <w:ind w:left="0"/>
              <w:jc w:val="left"/>
              <w:rPr>
                <w:rFonts w:eastAsia="Times New Roman" w:cs="Times New Roman"/>
                <w:sz w:val="20"/>
                <w:szCs w:val="20"/>
              </w:rPr>
            </w:pPr>
            <w:r w:rsidRPr="002B1DFC">
              <w:rPr>
                <w:rFonts w:eastAsia="Times New Roman" w:cs="Times New Roman"/>
                <w:sz w:val="20"/>
                <w:szCs w:val="20"/>
              </w:rPr>
              <w:t xml:space="preserve">- Ukraine signed and ratified (in 1999) </w:t>
            </w:r>
            <w:r w:rsidR="00572DA5">
              <w:rPr>
                <w:rFonts w:eastAsia="Times New Roman" w:cs="Times New Roman"/>
                <w:sz w:val="20"/>
                <w:szCs w:val="20"/>
              </w:rPr>
              <w:t xml:space="preserve">the </w:t>
            </w:r>
            <w:r w:rsidRPr="002B1DFC">
              <w:rPr>
                <w:rFonts w:eastAsia="Times New Roman" w:cs="Times New Roman"/>
                <w:sz w:val="20"/>
                <w:szCs w:val="20"/>
              </w:rPr>
              <w:t>UNECE Convention on Environmental Impact Assessment in a Transboundary Context (Espoo Convention, 1991). Paragraph 1.11 of DBN A.2.2-1-2003 requires taking into account the provisions of the convention where appropriate.</w:t>
            </w:r>
          </w:p>
        </w:tc>
        <w:tc>
          <w:tcPr>
            <w:tcW w:w="1004" w:type="pct"/>
            <w:shd w:val="clear" w:color="auto" w:fill="DBE5F1"/>
          </w:tcPr>
          <w:p w14:paraId="4EFE909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Direct effects and any indirect, secondary, cumulative, transboundary, short</w:t>
            </w:r>
            <w:r w:rsidR="00BA6B8C">
              <w:rPr>
                <w:rFonts w:eastAsia="Times New Roman" w:cs="Times New Roman"/>
                <w:sz w:val="20"/>
                <w:szCs w:val="20"/>
              </w:rPr>
              <w:t>-</w:t>
            </w:r>
            <w:r w:rsidRPr="002B1DFC">
              <w:rPr>
                <w:rFonts w:eastAsia="Times New Roman" w:cs="Times New Roman"/>
                <w:sz w:val="20"/>
                <w:szCs w:val="20"/>
              </w:rPr>
              <w:t>, medium</w:t>
            </w:r>
            <w:r w:rsidR="00BA6B8C">
              <w:rPr>
                <w:rFonts w:eastAsia="Times New Roman" w:cs="Times New Roman"/>
                <w:sz w:val="20"/>
                <w:szCs w:val="20"/>
              </w:rPr>
              <w:t>-,</w:t>
            </w:r>
            <w:r w:rsidRPr="002B1DFC">
              <w:rPr>
                <w:rFonts w:eastAsia="Times New Roman" w:cs="Times New Roman"/>
                <w:sz w:val="20"/>
                <w:szCs w:val="20"/>
              </w:rPr>
              <w:t xml:space="preserve"> and long-term, permanent and temporary, positive and negative impacts.</w:t>
            </w:r>
          </w:p>
          <w:p w14:paraId="16FCC952" w14:textId="77777777" w:rsidR="000B7923" w:rsidRPr="002B1DFC" w:rsidRDefault="000B7923" w:rsidP="00F441C6">
            <w:pPr>
              <w:pStyle w:val="ListParagraph"/>
              <w:ind w:left="0"/>
              <w:jc w:val="left"/>
              <w:rPr>
                <w:rFonts w:eastAsia="Times New Roman" w:cs="Times New Roman"/>
                <w:sz w:val="20"/>
                <w:szCs w:val="20"/>
              </w:rPr>
            </w:pPr>
          </w:p>
        </w:tc>
        <w:tc>
          <w:tcPr>
            <w:tcW w:w="1002" w:type="pct"/>
            <w:shd w:val="clear" w:color="auto" w:fill="DBE5F1"/>
          </w:tcPr>
          <w:p w14:paraId="7AC3FC91"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Positive and negative impacts.</w:t>
            </w:r>
          </w:p>
        </w:tc>
        <w:tc>
          <w:tcPr>
            <w:tcW w:w="1002" w:type="pct"/>
            <w:shd w:val="clear" w:color="auto" w:fill="DBE5F1"/>
          </w:tcPr>
          <w:p w14:paraId="4BBD4634"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Direct effects and any indirect, secondary, cumulative, transboundary, short-term, medium- term and long-term, permanent and temporary, positive and negative effects of the project.</w:t>
            </w:r>
          </w:p>
        </w:tc>
      </w:tr>
      <w:tr w:rsidR="000B7923" w:rsidRPr="002B1DFC" w14:paraId="68974CF6" w14:textId="77777777">
        <w:tc>
          <w:tcPr>
            <w:tcW w:w="766" w:type="pct"/>
          </w:tcPr>
          <w:p w14:paraId="71305742"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Institutional</w:t>
            </w:r>
            <w:r w:rsidR="00F6257E">
              <w:rPr>
                <w:rFonts w:eastAsia="Times New Roman" w:cs="Times New Roman"/>
                <w:sz w:val="20"/>
                <w:szCs w:val="20"/>
              </w:rPr>
              <w:t xml:space="preserve"> </w:t>
            </w:r>
            <w:r w:rsidRPr="002B1DFC">
              <w:rPr>
                <w:rFonts w:eastAsia="Times New Roman" w:cs="Times New Roman"/>
                <w:sz w:val="20"/>
                <w:szCs w:val="20"/>
              </w:rPr>
              <w:t>Coordination</w:t>
            </w:r>
            <w:r w:rsidR="00F6257E">
              <w:rPr>
                <w:rFonts w:eastAsia="Times New Roman" w:cs="Times New Roman"/>
                <w:sz w:val="20"/>
                <w:szCs w:val="20"/>
              </w:rPr>
              <w:t xml:space="preserve"> </w:t>
            </w:r>
            <w:r w:rsidR="00F6257E" w:rsidRPr="00F6257E">
              <w:rPr>
                <w:rFonts w:eastAsia="Times New Roman" w:cs="Times New Roman"/>
                <w:sz w:val="20"/>
                <w:szCs w:val="20"/>
              </w:rPr>
              <w:t xml:space="preserve"> –</w:t>
            </w:r>
          </w:p>
          <w:p w14:paraId="669067F3"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Consultation with public entities and organization</w:t>
            </w:r>
            <w:r w:rsidR="00F6257E">
              <w:rPr>
                <w:rFonts w:eastAsia="Times New Roman" w:cs="Times New Roman"/>
                <w:sz w:val="20"/>
                <w:szCs w:val="20"/>
              </w:rPr>
              <w:t>s</w:t>
            </w:r>
            <w:r w:rsidRPr="002B1DFC">
              <w:rPr>
                <w:rFonts w:eastAsia="Times New Roman" w:cs="Times New Roman"/>
                <w:sz w:val="20"/>
                <w:szCs w:val="20"/>
              </w:rPr>
              <w:t xml:space="preserve"> in the EIA process</w:t>
            </w:r>
          </w:p>
        </w:tc>
        <w:tc>
          <w:tcPr>
            <w:tcW w:w="1227" w:type="pct"/>
            <w:shd w:val="clear" w:color="auto" w:fill="FFFFFF"/>
          </w:tcPr>
          <w:p w14:paraId="4CF0C18C"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Law on ecological expertise states that the specialists of other institutions, organizations</w:t>
            </w:r>
            <w:r w:rsidR="00572DA5">
              <w:rPr>
                <w:rFonts w:eastAsia="Times New Roman" w:cs="Times New Roman"/>
                <w:sz w:val="20"/>
                <w:szCs w:val="20"/>
              </w:rPr>
              <w:t>,</w:t>
            </w:r>
            <w:r w:rsidRPr="002B1DFC">
              <w:rPr>
                <w:rFonts w:eastAsia="Times New Roman" w:cs="Times New Roman"/>
                <w:sz w:val="20"/>
                <w:szCs w:val="20"/>
              </w:rPr>
              <w:t xml:space="preserve"> and enterprises</w:t>
            </w:r>
            <w:r w:rsidR="00572DA5">
              <w:rPr>
                <w:rFonts w:eastAsia="Times New Roman" w:cs="Times New Roman"/>
                <w:sz w:val="20"/>
                <w:szCs w:val="20"/>
              </w:rPr>
              <w:t>,</w:t>
            </w:r>
            <w:r w:rsidRPr="002B1DFC">
              <w:rPr>
                <w:rFonts w:eastAsia="Times New Roman" w:cs="Times New Roman"/>
                <w:sz w:val="20"/>
                <w:szCs w:val="20"/>
              </w:rPr>
              <w:t xml:space="preserve"> a</w:t>
            </w:r>
            <w:r w:rsidR="00572DA5">
              <w:rPr>
                <w:rFonts w:eastAsia="Times New Roman" w:cs="Times New Roman"/>
                <w:sz w:val="20"/>
                <w:szCs w:val="20"/>
              </w:rPr>
              <w:t>s well as</w:t>
            </w:r>
            <w:r w:rsidRPr="002B1DFC">
              <w:rPr>
                <w:rFonts w:eastAsia="Times New Roman" w:cs="Times New Roman"/>
                <w:sz w:val="20"/>
                <w:szCs w:val="20"/>
              </w:rPr>
              <w:t xml:space="preserve"> experts of international organizations may be involved in the state ecological expertise by the established procedure.</w:t>
            </w:r>
          </w:p>
        </w:tc>
        <w:tc>
          <w:tcPr>
            <w:tcW w:w="1004" w:type="pct"/>
            <w:shd w:val="clear" w:color="auto" w:fill="FFFFFF"/>
          </w:tcPr>
          <w:p w14:paraId="4B3E03C1"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None</w:t>
            </w:r>
            <w:r w:rsidR="00BA6B8C">
              <w:rPr>
                <w:rFonts w:eastAsia="Times New Roman" w:cs="Times New Roman"/>
                <w:sz w:val="20"/>
                <w:szCs w:val="20"/>
              </w:rPr>
              <w:t>.</w:t>
            </w:r>
          </w:p>
        </w:tc>
        <w:tc>
          <w:tcPr>
            <w:tcW w:w="1002" w:type="pct"/>
          </w:tcPr>
          <w:p w14:paraId="2522F289"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Formal decision meetings and review processes involving relevant practices and country units.</w:t>
            </w:r>
          </w:p>
        </w:tc>
        <w:tc>
          <w:tcPr>
            <w:tcW w:w="1002" w:type="pct"/>
          </w:tcPr>
          <w:p w14:paraId="48BF2911"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Article 6 states that information gathered pursuant to EIA shall be forwarded to those authorities. Detailed arrangements for consultation shall be laid down by member states.</w:t>
            </w:r>
          </w:p>
        </w:tc>
      </w:tr>
      <w:tr w:rsidR="000B7923" w:rsidRPr="002B1DFC" w14:paraId="1FAAD13B" w14:textId="77777777">
        <w:tc>
          <w:tcPr>
            <w:tcW w:w="766" w:type="pct"/>
            <w:shd w:val="clear" w:color="auto" w:fill="DBE5F1"/>
          </w:tcPr>
          <w:p w14:paraId="0F7066C4"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Citizen Participation </w:t>
            </w:r>
            <w:r w:rsidR="00781B71">
              <w:rPr>
                <w:rFonts w:eastAsia="Times New Roman" w:cs="Times New Roman"/>
                <w:sz w:val="20"/>
                <w:szCs w:val="20"/>
              </w:rPr>
              <w:t>–</w:t>
            </w:r>
            <w:r w:rsidRPr="002B1DFC">
              <w:rPr>
                <w:rFonts w:eastAsia="Times New Roman" w:cs="Times New Roman"/>
                <w:sz w:val="20"/>
                <w:szCs w:val="20"/>
              </w:rPr>
              <w:t xml:space="preserve"> Provisions for the involvement of the general community or specific parts of the community as well as those directory interested in the EIA process</w:t>
            </w:r>
          </w:p>
        </w:tc>
        <w:tc>
          <w:tcPr>
            <w:tcW w:w="1227" w:type="pct"/>
            <w:shd w:val="clear" w:color="auto" w:fill="DBE5F1"/>
          </w:tcPr>
          <w:p w14:paraId="6623282B"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Detailed requirements to organization of public consultations are available for objects </w:t>
            </w:r>
            <w:r w:rsidR="00572DA5">
              <w:rPr>
                <w:rFonts w:eastAsia="Times New Roman" w:cs="Times New Roman"/>
                <w:sz w:val="20"/>
                <w:szCs w:val="20"/>
              </w:rPr>
              <w:t>involving</w:t>
            </w:r>
            <w:r w:rsidR="00572DA5" w:rsidRPr="002B1DFC">
              <w:rPr>
                <w:rFonts w:eastAsia="Times New Roman" w:cs="Times New Roman"/>
                <w:sz w:val="20"/>
                <w:szCs w:val="20"/>
              </w:rPr>
              <w:t xml:space="preserve"> </w:t>
            </w:r>
            <w:r w:rsidRPr="002B1DFC">
              <w:rPr>
                <w:rFonts w:eastAsia="Times New Roman" w:cs="Times New Roman"/>
                <w:sz w:val="20"/>
                <w:szCs w:val="20"/>
              </w:rPr>
              <w:t xml:space="preserve">radiation hazard (Resolution of CMU of 1998 with amendments of 2006) and development of master plans of cities and territories (Resolution of CMU of 2011). </w:t>
            </w:r>
          </w:p>
          <w:p w14:paraId="6DC8F7F3" w14:textId="77777777" w:rsidR="000B7923" w:rsidRPr="002B1DFC" w:rsidRDefault="000B7923" w:rsidP="00F441C6">
            <w:pPr>
              <w:pStyle w:val="ListParagraph"/>
              <w:ind w:left="0"/>
              <w:jc w:val="left"/>
              <w:rPr>
                <w:rFonts w:eastAsia="Times New Roman" w:cs="Times New Roman"/>
                <w:sz w:val="20"/>
                <w:szCs w:val="20"/>
              </w:rPr>
            </w:pPr>
          </w:p>
          <w:p w14:paraId="51DD088E" w14:textId="77777777" w:rsidR="000B7923" w:rsidRPr="002B1DFC" w:rsidRDefault="000B7923" w:rsidP="00A72702">
            <w:pPr>
              <w:pStyle w:val="ListParagraph"/>
              <w:ind w:left="0"/>
              <w:jc w:val="left"/>
              <w:rPr>
                <w:rFonts w:eastAsia="Times New Roman" w:cs="Times New Roman"/>
                <w:sz w:val="20"/>
                <w:szCs w:val="20"/>
              </w:rPr>
            </w:pPr>
            <w:r w:rsidRPr="002B1DFC">
              <w:rPr>
                <w:rFonts w:eastAsia="Times New Roman" w:cs="Times New Roman"/>
                <w:sz w:val="20"/>
                <w:szCs w:val="20"/>
              </w:rPr>
              <w:t xml:space="preserve">In all other cases of full-scale OVNS, DBN A.2.2-1-2003 contains requirements </w:t>
            </w:r>
            <w:r w:rsidR="00572DA5">
              <w:rPr>
                <w:rFonts w:eastAsia="Times New Roman" w:cs="Times New Roman"/>
                <w:sz w:val="20"/>
                <w:szCs w:val="20"/>
              </w:rPr>
              <w:t>on</w:t>
            </w:r>
            <w:r w:rsidR="00572DA5" w:rsidRPr="002B1DFC">
              <w:rPr>
                <w:rFonts w:eastAsia="Times New Roman" w:cs="Times New Roman"/>
                <w:sz w:val="20"/>
                <w:szCs w:val="20"/>
              </w:rPr>
              <w:t xml:space="preserve"> </w:t>
            </w:r>
            <w:r w:rsidRPr="002B1DFC">
              <w:rPr>
                <w:rFonts w:eastAsia="Times New Roman" w:cs="Times New Roman"/>
                <w:sz w:val="20"/>
                <w:szCs w:val="20"/>
              </w:rPr>
              <w:t>document</w:t>
            </w:r>
            <w:r w:rsidR="00572DA5">
              <w:rPr>
                <w:rFonts w:eastAsia="Times New Roman" w:cs="Times New Roman"/>
                <w:sz w:val="20"/>
                <w:szCs w:val="20"/>
              </w:rPr>
              <w:t>ing</w:t>
            </w:r>
            <w:r w:rsidRPr="002B1DFC">
              <w:rPr>
                <w:rFonts w:eastAsia="Times New Roman" w:cs="Times New Roman"/>
                <w:sz w:val="20"/>
                <w:szCs w:val="20"/>
              </w:rPr>
              <w:t xml:space="preserve"> on consultations that must be included in the final OVNS report: information about publication of the Statement of Intent (</w:t>
            </w:r>
            <w:proofErr w:type="spellStart"/>
            <w:r w:rsidRPr="002B1DFC">
              <w:rPr>
                <w:rFonts w:eastAsia="Times New Roman" w:cs="Times New Roman"/>
                <w:sz w:val="20"/>
                <w:szCs w:val="20"/>
              </w:rPr>
              <w:t>zayava</w:t>
            </w:r>
            <w:proofErr w:type="spellEnd"/>
            <w:r w:rsidRPr="002B1DFC">
              <w:rPr>
                <w:rFonts w:eastAsia="Times New Roman" w:cs="Times New Roman"/>
                <w:sz w:val="20"/>
                <w:szCs w:val="20"/>
              </w:rPr>
              <w:t xml:space="preserve"> pro </w:t>
            </w:r>
            <w:proofErr w:type="spellStart"/>
            <w:r w:rsidRPr="002B1DFC">
              <w:rPr>
                <w:rFonts w:eastAsia="Times New Roman" w:cs="Times New Roman"/>
                <w:sz w:val="20"/>
                <w:szCs w:val="20"/>
              </w:rPr>
              <w:t>namiry</w:t>
            </w:r>
            <w:proofErr w:type="spellEnd"/>
            <w:r w:rsidRPr="002B1DFC">
              <w:rPr>
                <w:rFonts w:eastAsia="Times New Roman" w:cs="Times New Roman"/>
                <w:sz w:val="20"/>
                <w:szCs w:val="20"/>
              </w:rPr>
              <w:t xml:space="preserve">), information about public consultations, written and other comments from the public, justified decisions by the project developer </w:t>
            </w:r>
            <w:r w:rsidR="00572DA5">
              <w:rPr>
                <w:rFonts w:eastAsia="Times New Roman" w:cs="Times New Roman"/>
                <w:sz w:val="20"/>
                <w:szCs w:val="20"/>
              </w:rPr>
              <w:t xml:space="preserve">in </w:t>
            </w:r>
            <w:r w:rsidR="00572DA5">
              <w:rPr>
                <w:rFonts w:eastAsia="Times New Roman" w:cs="Times New Roman"/>
                <w:sz w:val="20"/>
                <w:szCs w:val="20"/>
              </w:rPr>
              <w:lastRenderedPageBreak/>
              <w:t>response to</w:t>
            </w:r>
            <w:r w:rsidR="00572DA5" w:rsidRPr="002B1DFC">
              <w:rPr>
                <w:rFonts w:eastAsia="Times New Roman" w:cs="Times New Roman"/>
                <w:sz w:val="20"/>
                <w:szCs w:val="20"/>
              </w:rPr>
              <w:t xml:space="preserve"> </w:t>
            </w:r>
            <w:r w:rsidRPr="002B1DFC">
              <w:rPr>
                <w:rFonts w:eastAsia="Times New Roman" w:cs="Times New Roman"/>
                <w:sz w:val="20"/>
                <w:szCs w:val="20"/>
              </w:rPr>
              <w:t xml:space="preserve">public comments, </w:t>
            </w:r>
            <w:r w:rsidR="00572DA5">
              <w:rPr>
                <w:rFonts w:eastAsia="Times New Roman" w:cs="Times New Roman"/>
                <w:sz w:val="20"/>
                <w:szCs w:val="20"/>
              </w:rPr>
              <w:t xml:space="preserve">and </w:t>
            </w:r>
            <w:r w:rsidRPr="002B1DFC">
              <w:rPr>
                <w:rFonts w:eastAsia="Times New Roman" w:cs="Times New Roman"/>
                <w:sz w:val="20"/>
                <w:szCs w:val="20"/>
              </w:rPr>
              <w:t>information about public ecological expertise (if there was one).</w:t>
            </w:r>
          </w:p>
        </w:tc>
        <w:tc>
          <w:tcPr>
            <w:tcW w:w="1004" w:type="pct"/>
            <w:shd w:val="clear" w:color="auto" w:fill="DBE5F1"/>
          </w:tcPr>
          <w:p w14:paraId="279E235A"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lastRenderedPageBreak/>
              <w:t xml:space="preserve">Article 7 provides for public consultation and review of the EIA. The territorial authority / central authority ensures public consultation in the process of environmental impact assessment. Process for public hearings is to </w:t>
            </w:r>
            <w:r w:rsidR="006020B3">
              <w:rPr>
                <w:rFonts w:eastAsia="Times New Roman" w:cs="Times New Roman"/>
                <w:sz w:val="20"/>
                <w:szCs w:val="20"/>
              </w:rPr>
              <w:t xml:space="preserve">be </w:t>
            </w:r>
            <w:r w:rsidRPr="002B1DFC">
              <w:rPr>
                <w:rFonts w:eastAsia="Times New Roman" w:cs="Times New Roman"/>
                <w:sz w:val="20"/>
                <w:szCs w:val="20"/>
              </w:rPr>
              <w:t>detailed in CMU decree.</w:t>
            </w:r>
          </w:p>
        </w:tc>
        <w:tc>
          <w:tcPr>
            <w:tcW w:w="1002" w:type="pct"/>
            <w:shd w:val="clear" w:color="auto" w:fill="DBE5F1"/>
          </w:tcPr>
          <w:p w14:paraId="78BEFF85"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For all category A and B projects, the </w:t>
            </w:r>
            <w:r w:rsidR="00611A1C">
              <w:rPr>
                <w:rFonts w:eastAsia="Times New Roman" w:cs="Times New Roman"/>
                <w:sz w:val="20"/>
                <w:szCs w:val="20"/>
              </w:rPr>
              <w:t>b</w:t>
            </w:r>
            <w:r w:rsidRPr="002B1DFC">
              <w:rPr>
                <w:rFonts w:eastAsia="Times New Roman" w:cs="Times New Roman"/>
                <w:sz w:val="20"/>
                <w:szCs w:val="20"/>
              </w:rPr>
              <w:t>orrower consults project</w:t>
            </w:r>
            <w:r w:rsidR="00BA6B8C">
              <w:rPr>
                <w:rFonts w:eastAsia="Times New Roman" w:cs="Times New Roman"/>
                <w:sz w:val="20"/>
                <w:szCs w:val="20"/>
              </w:rPr>
              <w:t>-</w:t>
            </w:r>
            <w:r w:rsidRPr="002B1DFC">
              <w:rPr>
                <w:rFonts w:eastAsia="Times New Roman" w:cs="Times New Roman"/>
                <w:sz w:val="20"/>
                <w:szCs w:val="20"/>
              </w:rPr>
              <w:t xml:space="preserve">affected groups. </w:t>
            </w:r>
          </w:p>
          <w:p w14:paraId="525D8AA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Category A: </w:t>
            </w:r>
            <w:r w:rsidR="00BA6B8C">
              <w:rPr>
                <w:rFonts w:eastAsia="Times New Roman" w:cs="Times New Roman"/>
                <w:sz w:val="20"/>
                <w:szCs w:val="20"/>
              </w:rPr>
              <w:t>C</w:t>
            </w:r>
            <w:r w:rsidRPr="002B1DFC">
              <w:rPr>
                <w:rFonts w:eastAsia="Times New Roman" w:cs="Times New Roman"/>
                <w:sz w:val="20"/>
                <w:szCs w:val="20"/>
              </w:rPr>
              <w:t>onsultation occurs twice</w:t>
            </w:r>
            <w:r w:rsidR="00BA6B8C">
              <w:rPr>
                <w:rFonts w:eastAsia="Times New Roman" w:cs="Times New Roman"/>
                <w:sz w:val="20"/>
                <w:szCs w:val="20"/>
              </w:rPr>
              <w:t>—</w:t>
            </w:r>
            <w:r w:rsidRPr="002B1DFC">
              <w:rPr>
                <w:rFonts w:eastAsia="Times New Roman" w:cs="Times New Roman"/>
                <w:sz w:val="20"/>
                <w:szCs w:val="20"/>
              </w:rPr>
              <w:t>during scoping (before TOR is finalized) and once draft EA report is prepared.</w:t>
            </w:r>
          </w:p>
        </w:tc>
        <w:tc>
          <w:tcPr>
            <w:tcW w:w="1002" w:type="pct"/>
            <w:shd w:val="clear" w:color="auto" w:fill="DBE5F1"/>
          </w:tcPr>
          <w:p w14:paraId="699BF8F5"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Article 6 of the EC directive requires public access to </w:t>
            </w:r>
            <w:r w:rsidR="00611A1C">
              <w:rPr>
                <w:rFonts w:eastAsia="Times New Roman" w:cs="Times New Roman"/>
                <w:sz w:val="20"/>
                <w:szCs w:val="20"/>
              </w:rPr>
              <w:t xml:space="preserve">the </w:t>
            </w:r>
            <w:r w:rsidRPr="002B1DFC">
              <w:rPr>
                <w:rFonts w:eastAsia="Times New Roman" w:cs="Times New Roman"/>
                <w:sz w:val="20"/>
                <w:szCs w:val="20"/>
              </w:rPr>
              <w:t>EIA report and</w:t>
            </w:r>
            <w:r w:rsidR="00611A1C">
              <w:rPr>
                <w:rFonts w:eastAsia="Times New Roman" w:cs="Times New Roman"/>
                <w:sz w:val="20"/>
                <w:szCs w:val="20"/>
              </w:rPr>
              <w:t xml:space="preserve"> the</w:t>
            </w:r>
            <w:r w:rsidRPr="002B1DFC">
              <w:rPr>
                <w:rFonts w:eastAsia="Times New Roman" w:cs="Times New Roman"/>
                <w:sz w:val="20"/>
                <w:szCs w:val="20"/>
              </w:rPr>
              <w:t xml:space="preserve"> opportunity to comment.</w:t>
            </w:r>
          </w:p>
        </w:tc>
      </w:tr>
      <w:tr w:rsidR="000B7923" w:rsidRPr="002B1DFC" w14:paraId="69959897" w14:textId="77777777">
        <w:tc>
          <w:tcPr>
            <w:tcW w:w="766" w:type="pct"/>
          </w:tcPr>
          <w:p w14:paraId="7729926E"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lastRenderedPageBreak/>
              <w:t xml:space="preserve">Dissemination </w:t>
            </w:r>
            <w:r w:rsidR="00781B71">
              <w:rPr>
                <w:rFonts w:eastAsia="Times New Roman" w:cs="Times New Roman"/>
                <w:sz w:val="20"/>
                <w:szCs w:val="20"/>
              </w:rPr>
              <w:t>–</w:t>
            </w:r>
            <w:r w:rsidRPr="002B1DFC">
              <w:rPr>
                <w:rFonts w:eastAsia="Times New Roman" w:cs="Times New Roman"/>
                <w:sz w:val="20"/>
                <w:szCs w:val="20"/>
              </w:rPr>
              <w:t xml:space="preserve"> Public notification and dissemination of information generated in the EIA process</w:t>
            </w:r>
          </w:p>
        </w:tc>
        <w:tc>
          <w:tcPr>
            <w:tcW w:w="1227" w:type="pct"/>
            <w:shd w:val="clear" w:color="auto" w:fill="FFFFFF"/>
          </w:tcPr>
          <w:p w14:paraId="10E3898A"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Information Card on Administrative Service </w:t>
            </w:r>
            <w:r w:rsidR="00572DA5">
              <w:rPr>
                <w:rFonts w:eastAsia="Times New Roman" w:cs="Times New Roman"/>
                <w:sz w:val="20"/>
                <w:szCs w:val="20"/>
              </w:rPr>
              <w:t>“</w:t>
            </w:r>
            <w:r w:rsidRPr="002B1DFC">
              <w:rPr>
                <w:rFonts w:eastAsia="Times New Roman" w:cs="Times New Roman"/>
                <w:sz w:val="20"/>
                <w:szCs w:val="20"/>
              </w:rPr>
              <w:t>Issuing a Decision of the State Ecological expertise” provides for disclosure of the environmental expertise decision.</w:t>
            </w:r>
          </w:p>
        </w:tc>
        <w:tc>
          <w:tcPr>
            <w:tcW w:w="1004" w:type="pct"/>
            <w:shd w:val="clear" w:color="auto" w:fill="FFFFFF"/>
          </w:tcPr>
          <w:p w14:paraId="0420251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Article 4 describes procedure for public notification and disclosure of environmental impact assessment</w:t>
            </w:r>
            <w:r w:rsidR="00BA6B8C">
              <w:rPr>
                <w:rFonts w:eastAsia="Times New Roman" w:cs="Times New Roman"/>
                <w:sz w:val="20"/>
                <w:szCs w:val="20"/>
              </w:rPr>
              <w:t>.</w:t>
            </w:r>
          </w:p>
        </w:tc>
        <w:tc>
          <w:tcPr>
            <w:tcW w:w="1002" w:type="pct"/>
          </w:tcPr>
          <w:p w14:paraId="603C82EE"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Mandatory for category A and B projects.</w:t>
            </w:r>
          </w:p>
        </w:tc>
        <w:tc>
          <w:tcPr>
            <w:tcW w:w="1002" w:type="pct"/>
          </w:tcPr>
          <w:p w14:paraId="0C77C38C"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Detailed arrangements must be specified by member states.</w:t>
            </w:r>
          </w:p>
        </w:tc>
      </w:tr>
      <w:tr w:rsidR="000B7923" w:rsidRPr="002B1DFC" w14:paraId="438F1F1A" w14:textId="77777777">
        <w:tc>
          <w:tcPr>
            <w:tcW w:w="766" w:type="pct"/>
            <w:shd w:val="clear" w:color="auto" w:fill="DBE5F1"/>
          </w:tcPr>
          <w:p w14:paraId="2B0BC4AE"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Reports </w:t>
            </w:r>
            <w:r w:rsidR="00781B71">
              <w:rPr>
                <w:rFonts w:eastAsia="Times New Roman" w:cs="Times New Roman"/>
                <w:sz w:val="20"/>
                <w:szCs w:val="20"/>
              </w:rPr>
              <w:t>–</w:t>
            </w:r>
            <w:r w:rsidRPr="002B1DFC">
              <w:rPr>
                <w:rFonts w:eastAsia="Times New Roman" w:cs="Times New Roman"/>
                <w:sz w:val="20"/>
                <w:szCs w:val="20"/>
              </w:rPr>
              <w:t xml:space="preserve"> Provisions regarding the information that those undertaking an activity have to submit to the authority or to the public throughout the activity’s development</w:t>
            </w:r>
          </w:p>
        </w:tc>
        <w:tc>
          <w:tcPr>
            <w:tcW w:w="1227" w:type="pct"/>
            <w:shd w:val="clear" w:color="auto" w:fill="DBE5F1"/>
          </w:tcPr>
          <w:p w14:paraId="7D85094B"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 provisions.</w:t>
            </w:r>
          </w:p>
        </w:tc>
        <w:tc>
          <w:tcPr>
            <w:tcW w:w="1004" w:type="pct"/>
            <w:shd w:val="clear" w:color="auto" w:fill="DBE5F1"/>
          </w:tcPr>
          <w:p w14:paraId="73C28A6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EIA decision may require post-project analysis of compliance with</w:t>
            </w:r>
            <w:r w:rsidR="00BA6B8C">
              <w:rPr>
                <w:rFonts w:eastAsia="Times New Roman" w:cs="Times New Roman"/>
                <w:sz w:val="20"/>
                <w:szCs w:val="20"/>
              </w:rPr>
              <w:t>,</w:t>
            </w:r>
            <w:r w:rsidRPr="002B1DFC">
              <w:rPr>
                <w:rFonts w:eastAsia="Times New Roman" w:cs="Times New Roman"/>
                <w:sz w:val="20"/>
                <w:szCs w:val="20"/>
              </w:rPr>
              <w:t xml:space="preserve"> and effectiveness of</w:t>
            </w:r>
            <w:r w:rsidR="00BA6B8C">
              <w:rPr>
                <w:rFonts w:eastAsia="Times New Roman" w:cs="Times New Roman"/>
                <w:sz w:val="20"/>
                <w:szCs w:val="20"/>
              </w:rPr>
              <w:t>,</w:t>
            </w:r>
            <w:r w:rsidRPr="002B1DFC">
              <w:rPr>
                <w:rFonts w:eastAsia="Times New Roman" w:cs="Times New Roman"/>
                <w:sz w:val="20"/>
                <w:szCs w:val="20"/>
              </w:rPr>
              <w:t xml:space="preserve"> mitigation measures (</w:t>
            </w:r>
            <w:r w:rsidR="00346254">
              <w:rPr>
                <w:rFonts w:eastAsia="Times New Roman" w:cs="Times New Roman"/>
                <w:sz w:val="20"/>
                <w:szCs w:val="20"/>
              </w:rPr>
              <w:t>Art.</w:t>
            </w:r>
            <w:r w:rsidRPr="002B1DFC">
              <w:rPr>
                <w:rFonts w:eastAsia="Times New Roman" w:cs="Times New Roman"/>
                <w:sz w:val="20"/>
                <w:szCs w:val="20"/>
              </w:rPr>
              <w:t xml:space="preserve"> 13)</w:t>
            </w:r>
            <w:r w:rsidR="00BA6B8C">
              <w:rPr>
                <w:rFonts w:eastAsia="Times New Roman" w:cs="Times New Roman"/>
                <w:sz w:val="20"/>
                <w:szCs w:val="20"/>
              </w:rPr>
              <w:t>.</w:t>
            </w:r>
          </w:p>
        </w:tc>
        <w:tc>
          <w:tcPr>
            <w:tcW w:w="1002" w:type="pct"/>
            <w:shd w:val="clear" w:color="auto" w:fill="DBE5F1"/>
          </w:tcPr>
          <w:p w14:paraId="0943F9D2"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The borrower reports on (a) compliance with measures agreed with the Bank </w:t>
            </w:r>
            <w:r w:rsidR="006020B3" w:rsidRPr="002B1DFC">
              <w:rPr>
                <w:rFonts w:eastAsia="Times New Roman" w:cs="Times New Roman"/>
                <w:sz w:val="20"/>
                <w:szCs w:val="20"/>
              </w:rPr>
              <w:t>based on</w:t>
            </w:r>
            <w:r w:rsidRPr="002B1DFC">
              <w:rPr>
                <w:rFonts w:eastAsia="Times New Roman" w:cs="Times New Roman"/>
                <w:sz w:val="20"/>
                <w:szCs w:val="20"/>
              </w:rPr>
              <w:t xml:space="preserve"> the </w:t>
            </w:r>
            <w:r w:rsidR="00BA6B8C">
              <w:rPr>
                <w:rFonts w:eastAsia="Times New Roman" w:cs="Times New Roman"/>
                <w:sz w:val="20"/>
                <w:szCs w:val="20"/>
              </w:rPr>
              <w:t xml:space="preserve">EA’s </w:t>
            </w:r>
            <w:r w:rsidRPr="002B1DFC">
              <w:rPr>
                <w:rFonts w:eastAsia="Times New Roman" w:cs="Times New Roman"/>
                <w:sz w:val="20"/>
                <w:szCs w:val="20"/>
              </w:rPr>
              <w:t>findings and results, including implementation of any EMP, as set out in the project documents; (b) status of mitigat</w:t>
            </w:r>
            <w:r w:rsidR="006020B3">
              <w:rPr>
                <w:rFonts w:eastAsia="Times New Roman" w:cs="Times New Roman"/>
                <w:sz w:val="20"/>
                <w:szCs w:val="20"/>
              </w:rPr>
              <w:t>ing</w:t>
            </w:r>
            <w:r w:rsidRPr="002B1DFC">
              <w:rPr>
                <w:rFonts w:eastAsia="Times New Roman" w:cs="Times New Roman"/>
                <w:sz w:val="20"/>
                <w:szCs w:val="20"/>
              </w:rPr>
              <w:t xml:space="preserve"> measures; and (c) the findings of monitoring programs. </w:t>
            </w:r>
          </w:p>
        </w:tc>
        <w:tc>
          <w:tcPr>
            <w:tcW w:w="1002" w:type="pct"/>
            <w:shd w:val="clear" w:color="auto" w:fill="DBE5F1"/>
          </w:tcPr>
          <w:p w14:paraId="0FD39887"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None.</w:t>
            </w:r>
          </w:p>
        </w:tc>
      </w:tr>
      <w:tr w:rsidR="000B7923" w:rsidRPr="002B1DFC" w14:paraId="7A2C8BF0" w14:textId="77777777">
        <w:trPr>
          <w:trHeight w:val="143"/>
        </w:trPr>
        <w:tc>
          <w:tcPr>
            <w:tcW w:w="766" w:type="pct"/>
          </w:tcPr>
          <w:p w14:paraId="64A8FACA"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Monitoring </w:t>
            </w:r>
            <w:r w:rsidR="00781B71">
              <w:rPr>
                <w:rFonts w:eastAsia="Times New Roman" w:cs="Times New Roman"/>
                <w:sz w:val="20"/>
                <w:szCs w:val="20"/>
              </w:rPr>
              <w:t>–</w:t>
            </w:r>
            <w:r w:rsidRPr="002B1DFC">
              <w:rPr>
                <w:rFonts w:eastAsia="Times New Roman" w:cs="Times New Roman"/>
                <w:sz w:val="20"/>
                <w:szCs w:val="20"/>
              </w:rPr>
              <w:t xml:space="preserve"> Monitoring and supervision that public authorities conduct regarding fulfillment of the requirements placed on those undertaking an activity subject to EIA</w:t>
            </w:r>
          </w:p>
        </w:tc>
        <w:tc>
          <w:tcPr>
            <w:tcW w:w="1227" w:type="pct"/>
          </w:tcPr>
          <w:p w14:paraId="41AA092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 provisions</w:t>
            </w:r>
            <w:r w:rsidR="00572DA5">
              <w:rPr>
                <w:rFonts w:eastAsia="Times New Roman" w:cs="Times New Roman"/>
                <w:sz w:val="20"/>
                <w:szCs w:val="20"/>
              </w:rPr>
              <w:t>.</w:t>
            </w:r>
          </w:p>
        </w:tc>
        <w:tc>
          <w:tcPr>
            <w:tcW w:w="1004" w:type="pct"/>
            <w:shd w:val="clear" w:color="auto" w:fill="FFFFFF"/>
          </w:tcPr>
          <w:p w14:paraId="332CE020"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None</w:t>
            </w:r>
            <w:r w:rsidR="00BA6B8C">
              <w:rPr>
                <w:rFonts w:eastAsia="Times New Roman" w:cs="Times New Roman"/>
                <w:sz w:val="20"/>
                <w:szCs w:val="20"/>
              </w:rPr>
              <w:t>.</w:t>
            </w:r>
          </w:p>
        </w:tc>
        <w:tc>
          <w:tcPr>
            <w:tcW w:w="1002" w:type="pct"/>
          </w:tcPr>
          <w:p w14:paraId="5B9EFABF"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Supervision visits by World Bank staff. </w:t>
            </w:r>
          </w:p>
        </w:tc>
        <w:tc>
          <w:tcPr>
            <w:tcW w:w="1002" w:type="pct"/>
          </w:tcPr>
          <w:p w14:paraId="7D066A6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None</w:t>
            </w:r>
            <w:r w:rsidR="00611A1C">
              <w:rPr>
                <w:rFonts w:eastAsia="Times New Roman" w:cs="Times New Roman"/>
                <w:sz w:val="20"/>
                <w:szCs w:val="20"/>
              </w:rPr>
              <w:t>.</w:t>
            </w:r>
          </w:p>
        </w:tc>
      </w:tr>
      <w:tr w:rsidR="000B7923" w:rsidRPr="002B1DFC" w14:paraId="04919C5C" w14:textId="77777777">
        <w:tc>
          <w:tcPr>
            <w:tcW w:w="766" w:type="pct"/>
            <w:shd w:val="clear" w:color="auto" w:fill="DBE5F1"/>
          </w:tcPr>
          <w:p w14:paraId="1A018215"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t xml:space="preserve">Alternatives </w:t>
            </w:r>
            <w:r w:rsidR="00781B71">
              <w:rPr>
                <w:rFonts w:eastAsia="Times New Roman" w:cs="Times New Roman"/>
                <w:sz w:val="20"/>
                <w:szCs w:val="20"/>
              </w:rPr>
              <w:t>–</w:t>
            </w:r>
            <w:r w:rsidRPr="002B1DFC">
              <w:rPr>
                <w:rFonts w:eastAsia="Times New Roman" w:cs="Times New Roman"/>
                <w:sz w:val="20"/>
                <w:szCs w:val="20"/>
              </w:rPr>
              <w:t xml:space="preserve"> Analysis of various alternatives to the planned activity, including not carrying it out</w:t>
            </w:r>
          </w:p>
        </w:tc>
        <w:tc>
          <w:tcPr>
            <w:tcW w:w="1227" w:type="pct"/>
            <w:shd w:val="clear" w:color="auto" w:fill="DBE5F1"/>
          </w:tcPr>
          <w:p w14:paraId="46E817E6" w14:textId="77777777" w:rsidR="000B7923" w:rsidRPr="002B1DFC" w:rsidRDefault="000B7923" w:rsidP="00D568BA">
            <w:pPr>
              <w:rPr>
                <w:rFonts w:eastAsia="Times New Roman" w:cs="Times New Roman"/>
                <w:sz w:val="20"/>
                <w:szCs w:val="20"/>
              </w:rPr>
            </w:pPr>
            <w:r w:rsidRPr="002B1DFC">
              <w:rPr>
                <w:rFonts w:eastAsia="Times New Roman" w:cs="Times New Roman"/>
                <w:sz w:val="20"/>
                <w:szCs w:val="20"/>
              </w:rPr>
              <w:t>EIA documentation must include a consideration of feasible alternatives, including those of technology and location (State Construction Norms).</w:t>
            </w:r>
          </w:p>
        </w:tc>
        <w:tc>
          <w:tcPr>
            <w:tcW w:w="1004" w:type="pct"/>
            <w:shd w:val="clear" w:color="auto" w:fill="DBE5F1"/>
          </w:tcPr>
          <w:p w14:paraId="50E9BC3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Article 6 requires a description of reasonable alternatives (for example, geographic and (or) technological) to the proposed activity, the main reasons for choosing the options, taking into account environmental effects.</w:t>
            </w:r>
          </w:p>
        </w:tc>
        <w:tc>
          <w:tcPr>
            <w:tcW w:w="1002" w:type="pct"/>
            <w:shd w:val="clear" w:color="auto" w:fill="DBE5F1"/>
          </w:tcPr>
          <w:p w14:paraId="31E5F51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Required for category A projects. EA evaluates a project</w:t>
            </w:r>
            <w:r w:rsidR="00BA6B8C">
              <w:rPr>
                <w:rFonts w:eastAsia="Times New Roman" w:cs="Times New Roman"/>
                <w:sz w:val="20"/>
                <w:szCs w:val="20"/>
              </w:rPr>
              <w:t>’s</w:t>
            </w:r>
            <w:r w:rsidRPr="002B1DFC">
              <w:rPr>
                <w:rFonts w:eastAsia="Times New Roman" w:cs="Times New Roman"/>
                <w:sz w:val="20"/>
                <w:szCs w:val="20"/>
              </w:rPr>
              <w:t xml:space="preserve"> potential environmental risks and impacts in its area of influence</w:t>
            </w:r>
            <w:r w:rsidR="00BA6B8C">
              <w:rPr>
                <w:rFonts w:eastAsia="Times New Roman" w:cs="Times New Roman"/>
                <w:sz w:val="20"/>
                <w:szCs w:val="20"/>
              </w:rPr>
              <w:t xml:space="preserve"> and</w:t>
            </w:r>
            <w:r w:rsidRPr="002B1DFC">
              <w:rPr>
                <w:rFonts w:eastAsia="Times New Roman" w:cs="Times New Roman"/>
                <w:sz w:val="20"/>
                <w:szCs w:val="20"/>
              </w:rPr>
              <w:t xml:space="preserve"> examines project alternatives. </w:t>
            </w:r>
          </w:p>
        </w:tc>
        <w:tc>
          <w:tcPr>
            <w:tcW w:w="1002" w:type="pct"/>
            <w:shd w:val="clear" w:color="auto" w:fill="DBE5F1"/>
          </w:tcPr>
          <w:p w14:paraId="5DF7C01A"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Required in accordance with </w:t>
            </w:r>
            <w:r w:rsidR="006020B3">
              <w:rPr>
                <w:rFonts w:eastAsia="Times New Roman" w:cs="Times New Roman"/>
                <w:sz w:val="20"/>
                <w:szCs w:val="20"/>
              </w:rPr>
              <w:t>A</w:t>
            </w:r>
            <w:r w:rsidRPr="002B1DFC">
              <w:rPr>
                <w:rFonts w:eastAsia="Times New Roman" w:cs="Times New Roman"/>
                <w:sz w:val="20"/>
                <w:szCs w:val="20"/>
              </w:rPr>
              <w:t xml:space="preserve">rticle 5. </w:t>
            </w:r>
          </w:p>
        </w:tc>
      </w:tr>
      <w:tr w:rsidR="000B7923" w:rsidRPr="002B1DFC" w14:paraId="186B0319" w14:textId="77777777">
        <w:tc>
          <w:tcPr>
            <w:tcW w:w="766" w:type="pct"/>
          </w:tcPr>
          <w:p w14:paraId="61283303" w14:textId="77777777" w:rsidR="000B7923" w:rsidRPr="002B1DFC" w:rsidRDefault="000B7923" w:rsidP="00F441C6">
            <w:pPr>
              <w:pStyle w:val="ListParagraph"/>
              <w:ind w:left="0"/>
              <w:jc w:val="left"/>
              <w:rPr>
                <w:rFonts w:eastAsia="Times New Roman" w:cs="Times New Roman"/>
                <w:b/>
                <w:bCs/>
                <w:sz w:val="20"/>
                <w:szCs w:val="20"/>
              </w:rPr>
            </w:pPr>
            <w:r w:rsidRPr="002B1DFC">
              <w:rPr>
                <w:rFonts w:eastAsia="Times New Roman" w:cs="Times New Roman"/>
                <w:sz w:val="20"/>
                <w:szCs w:val="20"/>
              </w:rPr>
              <w:lastRenderedPageBreak/>
              <w:t xml:space="preserve">Environmental Management Plan </w:t>
            </w:r>
            <w:r w:rsidR="00781B71">
              <w:rPr>
                <w:rFonts w:eastAsia="Times New Roman" w:cs="Times New Roman"/>
                <w:sz w:val="20"/>
                <w:szCs w:val="20"/>
              </w:rPr>
              <w:t>–</w:t>
            </w:r>
            <w:r w:rsidRPr="002B1DFC">
              <w:rPr>
                <w:rFonts w:eastAsia="Times New Roman" w:cs="Times New Roman"/>
                <w:sz w:val="20"/>
                <w:szCs w:val="20"/>
              </w:rPr>
              <w:t xml:space="preserve"> Planned measures to apply during project implementation to address issues and meet requirements identified in the environmental analysis process</w:t>
            </w:r>
          </w:p>
        </w:tc>
        <w:tc>
          <w:tcPr>
            <w:tcW w:w="1227" w:type="pct"/>
          </w:tcPr>
          <w:p w14:paraId="5E39DFC4"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No provisions.</w:t>
            </w:r>
          </w:p>
          <w:p w14:paraId="6D4A4EB2" w14:textId="77777777" w:rsidR="000B7923" w:rsidRPr="002B1DFC" w:rsidRDefault="000B7923" w:rsidP="00F441C6">
            <w:pPr>
              <w:pStyle w:val="ListParagraph"/>
              <w:ind w:left="0"/>
              <w:jc w:val="left"/>
              <w:rPr>
                <w:rFonts w:eastAsia="Times New Roman" w:cs="Times New Roman"/>
                <w:sz w:val="20"/>
                <w:szCs w:val="20"/>
              </w:rPr>
            </w:pPr>
          </w:p>
          <w:p w14:paraId="56BA0377"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 xml:space="preserve">The State Construction Norms note that upon need, an evaluation of effectiveness of mitigation measures may be carried out. </w:t>
            </w:r>
          </w:p>
        </w:tc>
        <w:tc>
          <w:tcPr>
            <w:tcW w:w="1004" w:type="pct"/>
            <w:shd w:val="clear" w:color="auto" w:fill="FFFFFF"/>
          </w:tcPr>
          <w:p w14:paraId="3923CF5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Mitigation and monitoring plan for post-project analysis is required.</w:t>
            </w:r>
          </w:p>
        </w:tc>
        <w:tc>
          <w:tcPr>
            <w:tcW w:w="1002" w:type="pct"/>
          </w:tcPr>
          <w:p w14:paraId="2DD6E22D"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Mandatory for category A and B projects. EMP consists of mitigation plan, monitoring and post audit plan</w:t>
            </w:r>
            <w:r w:rsidR="00BA6B8C">
              <w:rPr>
                <w:rFonts w:eastAsia="Times New Roman" w:cs="Times New Roman"/>
                <w:sz w:val="20"/>
                <w:szCs w:val="20"/>
              </w:rPr>
              <w:t>,</w:t>
            </w:r>
            <w:r w:rsidRPr="002B1DFC">
              <w:rPr>
                <w:rFonts w:eastAsia="Times New Roman" w:cs="Times New Roman"/>
                <w:sz w:val="20"/>
                <w:szCs w:val="20"/>
              </w:rPr>
              <w:t xml:space="preserve"> and institutional strengthening plan.</w:t>
            </w:r>
          </w:p>
        </w:tc>
        <w:tc>
          <w:tcPr>
            <w:tcW w:w="1002" w:type="pct"/>
          </w:tcPr>
          <w:p w14:paraId="27AFA573" w14:textId="77777777" w:rsidR="000B7923" w:rsidRPr="002B1DFC" w:rsidRDefault="000B7923" w:rsidP="00F441C6">
            <w:pPr>
              <w:pStyle w:val="ListParagraph"/>
              <w:ind w:left="0"/>
              <w:jc w:val="left"/>
              <w:rPr>
                <w:rFonts w:eastAsia="Times New Roman" w:cs="Times New Roman"/>
                <w:sz w:val="20"/>
                <w:szCs w:val="20"/>
              </w:rPr>
            </w:pPr>
            <w:r w:rsidRPr="002B1DFC">
              <w:rPr>
                <w:rFonts w:eastAsia="Times New Roman" w:cs="Times New Roman"/>
                <w:sz w:val="20"/>
                <w:szCs w:val="20"/>
              </w:rPr>
              <w:t>Mitigation plan is required.</w:t>
            </w:r>
          </w:p>
        </w:tc>
      </w:tr>
    </w:tbl>
    <w:p w14:paraId="5C629326" w14:textId="77777777" w:rsidR="000B7923" w:rsidRPr="002B1DFC" w:rsidRDefault="000B7923" w:rsidP="00C10116">
      <w:pPr>
        <w:pStyle w:val="ListParagraph"/>
        <w:ind w:left="-120"/>
        <w:rPr>
          <w:rFonts w:cs="Times New Roman"/>
        </w:rPr>
      </w:pPr>
    </w:p>
    <w:p w14:paraId="4CB3F411" w14:textId="77777777" w:rsidR="000B7923" w:rsidRPr="0061686D" w:rsidRDefault="000B7923" w:rsidP="00C10116">
      <w:pPr>
        <w:pStyle w:val="ListParagraph"/>
        <w:ind w:left="-120"/>
        <w:rPr>
          <w:rFonts w:cs="Times New Roman"/>
          <w:sz w:val="20"/>
          <w:szCs w:val="20"/>
        </w:rPr>
      </w:pPr>
      <w:r w:rsidRPr="0061686D">
        <w:rPr>
          <w:rFonts w:cs="Times New Roman"/>
          <w:i/>
          <w:sz w:val="20"/>
          <w:szCs w:val="20"/>
        </w:rPr>
        <w:t>Source:</w:t>
      </w:r>
      <w:r w:rsidRPr="0061686D">
        <w:rPr>
          <w:rFonts w:cs="Times New Roman"/>
          <w:sz w:val="20"/>
          <w:szCs w:val="20"/>
        </w:rPr>
        <w:t xml:space="preserve"> Adapted from S</w:t>
      </w:r>
      <w:r w:rsidR="00781B71" w:rsidRPr="00781B71">
        <w:rPr>
          <w:rFonts w:cs="Times New Roman"/>
          <w:sz w:val="20"/>
          <w:szCs w:val="20"/>
        </w:rPr>
        <w:t>á</w:t>
      </w:r>
      <w:r w:rsidRPr="0061686D">
        <w:rPr>
          <w:rFonts w:cs="Times New Roman"/>
          <w:sz w:val="20"/>
          <w:szCs w:val="20"/>
        </w:rPr>
        <w:t>nchez-</w:t>
      </w:r>
      <w:proofErr w:type="spellStart"/>
      <w:r w:rsidRPr="0061686D">
        <w:rPr>
          <w:rFonts w:cs="Times New Roman"/>
          <w:sz w:val="20"/>
          <w:szCs w:val="20"/>
        </w:rPr>
        <w:t>Triana</w:t>
      </w:r>
      <w:proofErr w:type="spellEnd"/>
      <w:r w:rsidRPr="0061686D">
        <w:rPr>
          <w:rFonts w:cs="Times New Roman"/>
          <w:sz w:val="20"/>
          <w:szCs w:val="20"/>
        </w:rPr>
        <w:t xml:space="preserve"> and Enriquez (2007) and </w:t>
      </w:r>
      <w:proofErr w:type="spellStart"/>
      <w:r w:rsidRPr="0061686D">
        <w:rPr>
          <w:rFonts w:cs="Times New Roman"/>
          <w:sz w:val="20"/>
          <w:szCs w:val="20"/>
        </w:rPr>
        <w:t>Arif</w:t>
      </w:r>
      <w:proofErr w:type="spellEnd"/>
      <w:r w:rsidRPr="0061686D">
        <w:rPr>
          <w:rFonts w:cs="Times New Roman"/>
          <w:sz w:val="20"/>
          <w:szCs w:val="20"/>
        </w:rPr>
        <w:t xml:space="preserve"> (2012).</w:t>
      </w:r>
    </w:p>
    <w:p w14:paraId="7CF19D18" w14:textId="5BA1F3B2" w:rsidR="005C7E41" w:rsidRDefault="000B7923">
      <w:pPr>
        <w:jc w:val="left"/>
        <w:rPr>
          <w:rFonts w:cs="Times New Roman"/>
        </w:rPr>
      </w:pPr>
      <w:r w:rsidRPr="002B1DFC">
        <w:rPr>
          <w:rFonts w:cs="Times New Roman"/>
        </w:rPr>
        <w:br w:type="page"/>
      </w:r>
    </w:p>
    <w:p w14:paraId="2EA71328" w14:textId="651CCF42" w:rsidR="000B7923" w:rsidRPr="0061686D" w:rsidRDefault="000B7923" w:rsidP="0061686D">
      <w:pPr>
        <w:spacing w:after="200" w:line="276" w:lineRule="auto"/>
        <w:jc w:val="left"/>
        <w:rPr>
          <w:b/>
        </w:rPr>
      </w:pPr>
      <w:bookmarkStart w:id="164" w:name="_Toc440273985"/>
      <w:r w:rsidRPr="0061686D">
        <w:rPr>
          <w:b/>
        </w:rPr>
        <w:lastRenderedPageBreak/>
        <w:t xml:space="preserve">Annex </w:t>
      </w:r>
      <w:r w:rsidRPr="0061686D">
        <w:rPr>
          <w:b/>
        </w:rPr>
        <w:fldChar w:fldCharType="begin"/>
      </w:r>
      <w:r w:rsidRPr="0061686D">
        <w:rPr>
          <w:b/>
        </w:rPr>
        <w:instrText xml:space="preserve"> SEQ Annex \* ARABIC </w:instrText>
      </w:r>
      <w:r w:rsidRPr="0061686D">
        <w:rPr>
          <w:b/>
        </w:rPr>
        <w:fldChar w:fldCharType="separate"/>
      </w:r>
      <w:r w:rsidR="00356D5F">
        <w:rPr>
          <w:b/>
          <w:noProof/>
        </w:rPr>
        <w:t>2</w:t>
      </w:r>
      <w:r w:rsidRPr="0061686D">
        <w:rPr>
          <w:b/>
        </w:rPr>
        <w:fldChar w:fldCharType="end"/>
      </w:r>
      <w:r w:rsidRPr="0061686D">
        <w:rPr>
          <w:b/>
        </w:rPr>
        <w:t>. Overview of the Pilot Regions</w:t>
      </w:r>
      <w:bookmarkEnd w:id="164"/>
    </w:p>
    <w:tbl>
      <w:tblPr>
        <w:tblW w:w="5000" w:type="pct"/>
        <w:tblInd w:w="108" w:type="dxa"/>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3012"/>
        <w:gridCol w:w="2484"/>
        <w:gridCol w:w="2484"/>
        <w:gridCol w:w="2484"/>
        <w:gridCol w:w="2486"/>
      </w:tblGrid>
      <w:tr w:rsidR="000B7923" w:rsidRPr="002B1DFC" w14:paraId="7E3DD57A" w14:textId="77777777">
        <w:trPr>
          <w:tblHeader/>
        </w:trPr>
        <w:tc>
          <w:tcPr>
            <w:tcW w:w="1163" w:type="pct"/>
            <w:tcBorders>
              <w:top w:val="single" w:sz="4" w:space="0" w:color="4F81BD"/>
              <w:left w:val="single" w:sz="4" w:space="0" w:color="4F81BD"/>
              <w:bottom w:val="nil"/>
              <w:right w:val="nil"/>
            </w:tcBorders>
            <w:shd w:val="clear" w:color="auto" w:fill="4F81BD"/>
          </w:tcPr>
          <w:p w14:paraId="5A96BD59" w14:textId="77777777" w:rsidR="000B7923" w:rsidRPr="002B1DFC" w:rsidRDefault="000B7923" w:rsidP="00F441C6">
            <w:pPr>
              <w:jc w:val="left"/>
              <w:rPr>
                <w:rFonts w:cs="Times New Roman"/>
                <w:b/>
                <w:bCs/>
                <w:color w:val="FFFFFF"/>
                <w:sz w:val="20"/>
                <w:szCs w:val="20"/>
              </w:rPr>
            </w:pPr>
            <w:r w:rsidRPr="002B1DFC">
              <w:rPr>
                <w:rFonts w:cs="Times New Roman"/>
                <w:b/>
                <w:bCs/>
                <w:color w:val="FFFFFF"/>
                <w:sz w:val="20"/>
                <w:szCs w:val="20"/>
              </w:rPr>
              <w:t>Item</w:t>
            </w:r>
          </w:p>
        </w:tc>
        <w:tc>
          <w:tcPr>
            <w:tcW w:w="959" w:type="pct"/>
            <w:tcBorders>
              <w:top w:val="single" w:sz="4" w:space="0" w:color="4F81BD"/>
              <w:left w:val="nil"/>
              <w:bottom w:val="nil"/>
              <w:right w:val="nil"/>
            </w:tcBorders>
            <w:shd w:val="clear" w:color="auto" w:fill="4F81BD"/>
          </w:tcPr>
          <w:p w14:paraId="63EAD4AC" w14:textId="77777777" w:rsidR="000B7923" w:rsidRPr="002B1DFC" w:rsidRDefault="000B7923" w:rsidP="00F441C6">
            <w:pPr>
              <w:jc w:val="left"/>
              <w:rPr>
                <w:rFonts w:eastAsia="Times New Roman" w:cs="Times New Roman"/>
                <w:b/>
                <w:bCs/>
                <w:color w:val="FFFFFF"/>
                <w:sz w:val="20"/>
                <w:szCs w:val="20"/>
              </w:rPr>
            </w:pPr>
            <w:r w:rsidRPr="002B1DFC">
              <w:rPr>
                <w:rFonts w:eastAsia="Times New Roman" w:cs="Times New Roman"/>
                <w:b/>
                <w:bCs/>
                <w:color w:val="FFFFFF"/>
                <w:sz w:val="20"/>
                <w:szCs w:val="20"/>
              </w:rPr>
              <w:t>Ukraine</w:t>
            </w:r>
          </w:p>
        </w:tc>
        <w:tc>
          <w:tcPr>
            <w:tcW w:w="959" w:type="pct"/>
            <w:tcBorders>
              <w:top w:val="single" w:sz="4" w:space="0" w:color="4F81BD"/>
              <w:left w:val="nil"/>
              <w:bottom w:val="nil"/>
              <w:right w:val="nil"/>
            </w:tcBorders>
            <w:shd w:val="clear" w:color="auto" w:fill="4F81BD"/>
          </w:tcPr>
          <w:p w14:paraId="42EDC66A" w14:textId="77777777" w:rsidR="000B7923" w:rsidRPr="002B1DFC" w:rsidRDefault="000B7923" w:rsidP="00F441C6">
            <w:pPr>
              <w:jc w:val="left"/>
              <w:rPr>
                <w:rFonts w:eastAsia="Times New Roman" w:cs="Times New Roman"/>
                <w:b/>
                <w:bCs/>
                <w:color w:val="FFFFFF"/>
                <w:sz w:val="20"/>
                <w:szCs w:val="20"/>
              </w:rPr>
            </w:pPr>
            <w:r w:rsidRPr="002B1DFC">
              <w:rPr>
                <w:rFonts w:eastAsia="Times New Roman" w:cs="Times New Roman"/>
                <w:b/>
                <w:bCs/>
                <w:color w:val="FFFFFF"/>
                <w:sz w:val="20"/>
                <w:szCs w:val="20"/>
              </w:rPr>
              <w:t>Ivano-Frankivsk</w:t>
            </w:r>
          </w:p>
        </w:tc>
        <w:tc>
          <w:tcPr>
            <w:tcW w:w="959" w:type="pct"/>
            <w:tcBorders>
              <w:top w:val="single" w:sz="4" w:space="0" w:color="4F81BD"/>
              <w:left w:val="nil"/>
              <w:bottom w:val="nil"/>
              <w:right w:val="nil"/>
            </w:tcBorders>
            <w:shd w:val="clear" w:color="auto" w:fill="4F81BD"/>
          </w:tcPr>
          <w:p w14:paraId="36E1BAFB" w14:textId="77777777" w:rsidR="000B7923" w:rsidRPr="002B1DFC" w:rsidRDefault="000B7923" w:rsidP="00F441C6">
            <w:pPr>
              <w:jc w:val="left"/>
              <w:rPr>
                <w:rFonts w:eastAsia="Times New Roman" w:cs="Times New Roman"/>
                <w:b/>
                <w:bCs/>
                <w:color w:val="FFFFFF"/>
                <w:sz w:val="20"/>
                <w:szCs w:val="20"/>
              </w:rPr>
            </w:pPr>
            <w:r w:rsidRPr="002B1DFC">
              <w:rPr>
                <w:rFonts w:eastAsia="Times New Roman" w:cs="Times New Roman"/>
                <w:b/>
                <w:bCs/>
                <w:color w:val="FFFFFF"/>
                <w:sz w:val="20"/>
                <w:szCs w:val="20"/>
              </w:rPr>
              <w:t>Poltava</w:t>
            </w:r>
          </w:p>
        </w:tc>
        <w:tc>
          <w:tcPr>
            <w:tcW w:w="960" w:type="pct"/>
            <w:tcBorders>
              <w:top w:val="single" w:sz="4" w:space="0" w:color="4F81BD"/>
              <w:left w:val="nil"/>
              <w:bottom w:val="nil"/>
              <w:right w:val="single" w:sz="4" w:space="0" w:color="4F81BD"/>
            </w:tcBorders>
            <w:shd w:val="clear" w:color="auto" w:fill="4F81BD"/>
          </w:tcPr>
          <w:p w14:paraId="0CCF0D4C" w14:textId="77777777" w:rsidR="000B7923" w:rsidRPr="002B1DFC" w:rsidRDefault="000B7923" w:rsidP="00F441C6">
            <w:pPr>
              <w:jc w:val="left"/>
              <w:rPr>
                <w:rFonts w:eastAsia="Times New Roman" w:cs="Times New Roman"/>
                <w:b/>
                <w:bCs/>
                <w:color w:val="FFFFFF"/>
                <w:sz w:val="20"/>
                <w:szCs w:val="20"/>
              </w:rPr>
            </w:pPr>
            <w:proofErr w:type="spellStart"/>
            <w:r w:rsidRPr="002B1DFC">
              <w:rPr>
                <w:rFonts w:eastAsia="Times New Roman" w:cs="Times New Roman"/>
                <w:b/>
                <w:bCs/>
                <w:color w:val="FFFFFF"/>
                <w:sz w:val="20"/>
                <w:szCs w:val="20"/>
              </w:rPr>
              <w:t>Vinnytsya</w:t>
            </w:r>
            <w:proofErr w:type="spellEnd"/>
          </w:p>
        </w:tc>
      </w:tr>
      <w:tr w:rsidR="000B7923" w:rsidRPr="002B1DFC" w14:paraId="0773F442" w14:textId="77777777">
        <w:tc>
          <w:tcPr>
            <w:tcW w:w="1163" w:type="pct"/>
            <w:tcBorders>
              <w:top w:val="single" w:sz="4" w:space="0" w:color="4F81BD"/>
              <w:left w:val="single" w:sz="4" w:space="0" w:color="4F81BD"/>
              <w:bottom w:val="single" w:sz="4" w:space="0" w:color="4F81BD"/>
              <w:right w:val="nil"/>
            </w:tcBorders>
            <w:shd w:val="clear" w:color="auto" w:fill="FFFFFF"/>
          </w:tcPr>
          <w:p w14:paraId="2533A45B"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Area (% of total)</w:t>
            </w:r>
          </w:p>
        </w:tc>
        <w:tc>
          <w:tcPr>
            <w:tcW w:w="959" w:type="pct"/>
            <w:tcBorders>
              <w:top w:val="single" w:sz="4" w:space="0" w:color="4F81BD"/>
              <w:left w:val="nil"/>
              <w:bottom w:val="single" w:sz="4" w:space="0" w:color="4F81BD"/>
              <w:right w:val="nil"/>
            </w:tcBorders>
          </w:tcPr>
          <w:p w14:paraId="4934F46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603,628 km²</w:t>
            </w:r>
          </w:p>
        </w:tc>
        <w:tc>
          <w:tcPr>
            <w:tcW w:w="959" w:type="pct"/>
            <w:tcBorders>
              <w:top w:val="single" w:sz="4" w:space="0" w:color="4F81BD"/>
              <w:left w:val="nil"/>
              <w:bottom w:val="single" w:sz="4" w:space="0" w:color="4F81BD"/>
              <w:right w:val="nil"/>
            </w:tcBorders>
          </w:tcPr>
          <w:p w14:paraId="0F91CA60"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13,900 km</w:t>
            </w:r>
            <w:r w:rsidRPr="002B1DFC">
              <w:rPr>
                <w:rFonts w:eastAsia="Times New Roman" w:cs="Times New Roman"/>
                <w:sz w:val="20"/>
                <w:szCs w:val="20"/>
                <w:vertAlign w:val="superscript"/>
              </w:rPr>
              <w:t>2</w:t>
            </w:r>
            <w:r w:rsidRPr="002B1DFC">
              <w:rPr>
                <w:rFonts w:eastAsia="Times New Roman" w:cs="Times New Roman"/>
                <w:sz w:val="20"/>
                <w:szCs w:val="20"/>
              </w:rPr>
              <w:t xml:space="preserve"> (2.3%)</w:t>
            </w:r>
          </w:p>
        </w:tc>
        <w:tc>
          <w:tcPr>
            <w:tcW w:w="959" w:type="pct"/>
            <w:tcBorders>
              <w:top w:val="single" w:sz="4" w:space="0" w:color="4F81BD"/>
              <w:left w:val="nil"/>
              <w:bottom w:val="single" w:sz="4" w:space="0" w:color="4F81BD"/>
              <w:right w:val="nil"/>
            </w:tcBorders>
          </w:tcPr>
          <w:p w14:paraId="670D7101"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28,750 </w:t>
            </w:r>
            <w:r w:rsidR="00781B71">
              <w:rPr>
                <w:rFonts w:eastAsia="Times New Roman" w:cs="Times New Roman"/>
                <w:sz w:val="20"/>
                <w:szCs w:val="20"/>
              </w:rPr>
              <w:t>k</w:t>
            </w:r>
            <w:r w:rsidRPr="002B1DFC">
              <w:rPr>
                <w:rFonts w:eastAsia="Times New Roman" w:cs="Times New Roman"/>
                <w:sz w:val="20"/>
                <w:szCs w:val="20"/>
              </w:rPr>
              <w:t>m</w:t>
            </w:r>
            <w:r w:rsidRPr="002B1DFC">
              <w:rPr>
                <w:rFonts w:eastAsia="Times New Roman" w:cs="Times New Roman"/>
                <w:sz w:val="20"/>
                <w:szCs w:val="20"/>
                <w:vertAlign w:val="superscript"/>
              </w:rPr>
              <w:t xml:space="preserve">2 </w:t>
            </w:r>
            <w:r w:rsidRPr="002B1DFC">
              <w:rPr>
                <w:rFonts w:eastAsia="Times New Roman" w:cs="Times New Roman"/>
                <w:sz w:val="20"/>
                <w:szCs w:val="20"/>
              </w:rPr>
              <w:t>(4.8%)</w:t>
            </w:r>
          </w:p>
        </w:tc>
        <w:tc>
          <w:tcPr>
            <w:tcW w:w="960" w:type="pct"/>
            <w:tcBorders>
              <w:top w:val="single" w:sz="4" w:space="0" w:color="4F81BD"/>
              <w:left w:val="nil"/>
              <w:bottom w:val="single" w:sz="4" w:space="0" w:color="4F81BD"/>
              <w:right w:val="single" w:sz="4" w:space="0" w:color="4F81BD"/>
            </w:tcBorders>
          </w:tcPr>
          <w:p w14:paraId="09B5330B" w14:textId="77777777" w:rsidR="000B7923" w:rsidRPr="002B1DFC" w:rsidRDefault="000B7923" w:rsidP="00F441C6">
            <w:pPr>
              <w:jc w:val="left"/>
              <w:rPr>
                <w:rFonts w:eastAsia="Times New Roman" w:cs="Times New Roman"/>
                <w:sz w:val="20"/>
                <w:szCs w:val="20"/>
              </w:rPr>
            </w:pPr>
            <w:r w:rsidRPr="002B1DFC">
              <w:rPr>
                <w:rFonts w:eastAsia="Times New Roman" w:cs="Times New Roman"/>
                <w:color w:val="545454"/>
                <w:sz w:val="20"/>
                <w:szCs w:val="20"/>
                <w:shd w:val="clear" w:color="auto" w:fill="FFFFFF"/>
              </w:rPr>
              <w:t xml:space="preserve">26,517 </w:t>
            </w:r>
            <w:r w:rsidRPr="002B1DFC">
              <w:rPr>
                <w:rFonts w:eastAsia="Times New Roman" w:cs="Times New Roman"/>
                <w:sz w:val="20"/>
                <w:szCs w:val="20"/>
              </w:rPr>
              <w:t>km</w:t>
            </w:r>
            <w:r w:rsidRPr="002B1DFC">
              <w:rPr>
                <w:rFonts w:eastAsia="Times New Roman" w:cs="Times New Roman"/>
                <w:sz w:val="20"/>
                <w:szCs w:val="20"/>
                <w:vertAlign w:val="superscript"/>
              </w:rPr>
              <w:t xml:space="preserve">2 </w:t>
            </w:r>
            <w:r w:rsidRPr="002B1DFC">
              <w:rPr>
                <w:rFonts w:eastAsia="Times New Roman" w:cs="Times New Roman"/>
                <w:sz w:val="20"/>
                <w:szCs w:val="20"/>
              </w:rPr>
              <w:t>(4.4%)</w:t>
            </w:r>
          </w:p>
        </w:tc>
      </w:tr>
      <w:tr w:rsidR="000B7923" w:rsidRPr="002B1DFC" w14:paraId="04C96CD8" w14:textId="77777777">
        <w:tc>
          <w:tcPr>
            <w:tcW w:w="1163" w:type="pct"/>
            <w:tcBorders>
              <w:top w:val="nil"/>
              <w:left w:val="single" w:sz="4" w:space="0" w:color="4F81BD"/>
              <w:bottom w:val="nil"/>
              <w:right w:val="nil"/>
            </w:tcBorders>
            <w:shd w:val="clear" w:color="auto" w:fill="FFFFFF"/>
          </w:tcPr>
          <w:p w14:paraId="066E317E"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Population (% of total)</w:t>
            </w:r>
          </w:p>
        </w:tc>
        <w:tc>
          <w:tcPr>
            <w:tcW w:w="959" w:type="pct"/>
            <w:tcBorders>
              <w:top w:val="nil"/>
              <w:left w:val="nil"/>
              <w:bottom w:val="nil"/>
              <w:right w:val="nil"/>
            </w:tcBorders>
          </w:tcPr>
          <w:p w14:paraId="4C6D540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45,426,200 </w:t>
            </w:r>
          </w:p>
        </w:tc>
        <w:tc>
          <w:tcPr>
            <w:tcW w:w="959" w:type="pct"/>
            <w:tcBorders>
              <w:top w:val="nil"/>
              <w:left w:val="nil"/>
              <w:bottom w:val="nil"/>
              <w:right w:val="nil"/>
            </w:tcBorders>
          </w:tcPr>
          <w:p w14:paraId="193CDB7F"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1,382,730 (3.0%)</w:t>
            </w:r>
          </w:p>
        </w:tc>
        <w:tc>
          <w:tcPr>
            <w:tcW w:w="959" w:type="pct"/>
            <w:tcBorders>
              <w:top w:val="nil"/>
              <w:left w:val="nil"/>
              <w:bottom w:val="nil"/>
              <w:right w:val="nil"/>
            </w:tcBorders>
          </w:tcPr>
          <w:p w14:paraId="4EBD59E6"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1,443,239 (3.2%)</w:t>
            </w:r>
          </w:p>
        </w:tc>
        <w:tc>
          <w:tcPr>
            <w:tcW w:w="960" w:type="pct"/>
            <w:tcBorders>
              <w:top w:val="nil"/>
              <w:left w:val="nil"/>
              <w:bottom w:val="nil"/>
              <w:right w:val="single" w:sz="4" w:space="0" w:color="4F81BD"/>
            </w:tcBorders>
          </w:tcPr>
          <w:p w14:paraId="512EA05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1,605,544 (3.5%)</w:t>
            </w:r>
          </w:p>
        </w:tc>
      </w:tr>
      <w:tr w:rsidR="000B7923" w:rsidRPr="002B1DFC" w14:paraId="07A747EC" w14:textId="77777777">
        <w:tc>
          <w:tcPr>
            <w:tcW w:w="1163" w:type="pct"/>
            <w:tcBorders>
              <w:top w:val="single" w:sz="4" w:space="0" w:color="4F81BD"/>
              <w:left w:val="single" w:sz="4" w:space="0" w:color="4F81BD"/>
              <w:bottom w:val="single" w:sz="4" w:space="0" w:color="4F81BD"/>
              <w:right w:val="nil"/>
            </w:tcBorders>
            <w:shd w:val="clear" w:color="auto" w:fill="FFFFFF"/>
          </w:tcPr>
          <w:p w14:paraId="3E614208"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Urban population, %</w:t>
            </w:r>
          </w:p>
        </w:tc>
        <w:tc>
          <w:tcPr>
            <w:tcW w:w="959" w:type="pct"/>
            <w:tcBorders>
              <w:top w:val="single" w:sz="4" w:space="0" w:color="4F81BD"/>
              <w:left w:val="nil"/>
              <w:bottom w:val="single" w:sz="4" w:space="0" w:color="4F81BD"/>
              <w:right w:val="nil"/>
            </w:tcBorders>
          </w:tcPr>
          <w:p w14:paraId="342F0326"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69%</w:t>
            </w:r>
          </w:p>
        </w:tc>
        <w:tc>
          <w:tcPr>
            <w:tcW w:w="959" w:type="pct"/>
            <w:tcBorders>
              <w:top w:val="single" w:sz="4" w:space="0" w:color="4F81BD"/>
              <w:left w:val="nil"/>
              <w:bottom w:val="single" w:sz="4" w:space="0" w:color="4F81BD"/>
              <w:right w:val="nil"/>
            </w:tcBorders>
          </w:tcPr>
          <w:p w14:paraId="0A98A545"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44%</w:t>
            </w:r>
          </w:p>
        </w:tc>
        <w:tc>
          <w:tcPr>
            <w:tcW w:w="959" w:type="pct"/>
            <w:tcBorders>
              <w:top w:val="single" w:sz="4" w:space="0" w:color="4F81BD"/>
              <w:left w:val="nil"/>
              <w:bottom w:val="single" w:sz="4" w:space="0" w:color="4F81BD"/>
              <w:right w:val="nil"/>
            </w:tcBorders>
          </w:tcPr>
          <w:p w14:paraId="1D090117"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62%</w:t>
            </w:r>
          </w:p>
        </w:tc>
        <w:tc>
          <w:tcPr>
            <w:tcW w:w="960" w:type="pct"/>
            <w:tcBorders>
              <w:top w:val="single" w:sz="4" w:space="0" w:color="4F81BD"/>
              <w:left w:val="nil"/>
              <w:bottom w:val="single" w:sz="4" w:space="0" w:color="4F81BD"/>
              <w:right w:val="single" w:sz="4" w:space="0" w:color="4F81BD"/>
            </w:tcBorders>
          </w:tcPr>
          <w:p w14:paraId="7D7B8B98"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50%</w:t>
            </w:r>
          </w:p>
        </w:tc>
      </w:tr>
      <w:tr w:rsidR="000B7923" w:rsidRPr="002B1DFC" w14:paraId="6081EEC9" w14:textId="77777777">
        <w:tc>
          <w:tcPr>
            <w:tcW w:w="1163" w:type="pct"/>
            <w:tcBorders>
              <w:top w:val="nil"/>
              <w:left w:val="single" w:sz="4" w:space="0" w:color="4F81BD"/>
              <w:bottom w:val="nil"/>
              <w:right w:val="nil"/>
            </w:tcBorders>
            <w:shd w:val="clear" w:color="auto" w:fill="FFFFFF"/>
          </w:tcPr>
          <w:p w14:paraId="377EEC65"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Land cover:</w:t>
            </w:r>
          </w:p>
        </w:tc>
        <w:tc>
          <w:tcPr>
            <w:tcW w:w="959" w:type="pct"/>
            <w:tcBorders>
              <w:top w:val="nil"/>
              <w:left w:val="nil"/>
              <w:bottom w:val="nil"/>
              <w:right w:val="nil"/>
            </w:tcBorders>
          </w:tcPr>
          <w:p w14:paraId="1B3FB95B" w14:textId="77777777" w:rsidR="000B7923" w:rsidRPr="002B1DFC" w:rsidRDefault="000B7923" w:rsidP="00F441C6">
            <w:pPr>
              <w:jc w:val="left"/>
              <w:rPr>
                <w:rFonts w:eastAsia="Times New Roman" w:cs="Times New Roman"/>
                <w:sz w:val="20"/>
                <w:szCs w:val="20"/>
              </w:rPr>
            </w:pPr>
          </w:p>
        </w:tc>
        <w:tc>
          <w:tcPr>
            <w:tcW w:w="959" w:type="pct"/>
            <w:tcBorders>
              <w:top w:val="nil"/>
              <w:left w:val="nil"/>
              <w:bottom w:val="nil"/>
              <w:right w:val="nil"/>
            </w:tcBorders>
          </w:tcPr>
          <w:p w14:paraId="76B6A9A7" w14:textId="77777777" w:rsidR="000B7923" w:rsidRPr="002B1DFC" w:rsidRDefault="000B7923" w:rsidP="00F441C6">
            <w:pPr>
              <w:jc w:val="left"/>
              <w:rPr>
                <w:rFonts w:eastAsia="Times New Roman" w:cs="Times New Roman"/>
                <w:sz w:val="20"/>
                <w:szCs w:val="20"/>
              </w:rPr>
            </w:pPr>
          </w:p>
        </w:tc>
        <w:tc>
          <w:tcPr>
            <w:tcW w:w="959" w:type="pct"/>
            <w:tcBorders>
              <w:top w:val="nil"/>
              <w:left w:val="nil"/>
              <w:bottom w:val="nil"/>
              <w:right w:val="nil"/>
            </w:tcBorders>
          </w:tcPr>
          <w:p w14:paraId="58976474" w14:textId="77777777" w:rsidR="000B7923" w:rsidRPr="002B1DFC" w:rsidRDefault="000B7923" w:rsidP="00F441C6">
            <w:pPr>
              <w:jc w:val="left"/>
              <w:rPr>
                <w:rFonts w:eastAsia="Times New Roman" w:cs="Times New Roman"/>
                <w:sz w:val="20"/>
                <w:szCs w:val="20"/>
              </w:rPr>
            </w:pPr>
          </w:p>
        </w:tc>
        <w:tc>
          <w:tcPr>
            <w:tcW w:w="960" w:type="pct"/>
            <w:tcBorders>
              <w:top w:val="nil"/>
              <w:left w:val="nil"/>
              <w:bottom w:val="nil"/>
              <w:right w:val="single" w:sz="4" w:space="0" w:color="4F81BD"/>
            </w:tcBorders>
          </w:tcPr>
          <w:p w14:paraId="42F5887D" w14:textId="77777777" w:rsidR="000B7923" w:rsidRPr="002B1DFC" w:rsidRDefault="000B7923" w:rsidP="00F441C6">
            <w:pPr>
              <w:jc w:val="left"/>
              <w:rPr>
                <w:rFonts w:eastAsia="Times New Roman" w:cs="Times New Roman"/>
                <w:sz w:val="20"/>
                <w:szCs w:val="20"/>
              </w:rPr>
            </w:pPr>
          </w:p>
        </w:tc>
      </w:tr>
      <w:tr w:rsidR="000B7923" w:rsidRPr="002B1DFC" w14:paraId="7DE3E5AF" w14:textId="77777777">
        <w:tc>
          <w:tcPr>
            <w:tcW w:w="1163" w:type="pct"/>
            <w:tcBorders>
              <w:top w:val="single" w:sz="4" w:space="0" w:color="4F81BD"/>
              <w:left w:val="single" w:sz="4" w:space="0" w:color="4F81BD"/>
              <w:bottom w:val="single" w:sz="4" w:space="0" w:color="4F81BD"/>
              <w:right w:val="nil"/>
            </w:tcBorders>
            <w:shd w:val="clear" w:color="auto" w:fill="FFFFFF"/>
          </w:tcPr>
          <w:p w14:paraId="73B28AE1" w14:textId="77777777" w:rsidR="000B7923" w:rsidRPr="002B1DFC" w:rsidRDefault="00781B71" w:rsidP="00F441C6">
            <w:pPr>
              <w:ind w:left="360"/>
              <w:jc w:val="left"/>
              <w:rPr>
                <w:rFonts w:eastAsia="Times New Roman" w:cs="Times New Roman"/>
                <w:b/>
                <w:bCs/>
                <w:sz w:val="20"/>
                <w:szCs w:val="20"/>
              </w:rPr>
            </w:pPr>
            <w:r>
              <w:rPr>
                <w:rFonts w:eastAsia="Times New Roman" w:cs="Times New Roman"/>
                <w:sz w:val="20"/>
                <w:szCs w:val="20"/>
              </w:rPr>
              <w:t>A</w:t>
            </w:r>
            <w:r w:rsidR="000B7923" w:rsidRPr="002B1DFC">
              <w:rPr>
                <w:rFonts w:eastAsia="Times New Roman" w:cs="Times New Roman"/>
                <w:sz w:val="20"/>
                <w:szCs w:val="20"/>
              </w:rPr>
              <w:t xml:space="preserve">gricultural production </w:t>
            </w:r>
          </w:p>
        </w:tc>
        <w:tc>
          <w:tcPr>
            <w:tcW w:w="959" w:type="pct"/>
            <w:tcBorders>
              <w:top w:val="single" w:sz="4" w:space="0" w:color="4F81BD"/>
              <w:left w:val="nil"/>
              <w:bottom w:val="single" w:sz="4" w:space="0" w:color="4F81BD"/>
              <w:right w:val="nil"/>
            </w:tcBorders>
          </w:tcPr>
          <w:p w14:paraId="2386CF3A"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42,744 (71%)</w:t>
            </w:r>
          </w:p>
        </w:tc>
        <w:tc>
          <w:tcPr>
            <w:tcW w:w="959" w:type="pct"/>
            <w:tcBorders>
              <w:top w:val="single" w:sz="4" w:space="0" w:color="4F81BD"/>
              <w:left w:val="nil"/>
              <w:bottom w:val="single" w:sz="4" w:space="0" w:color="4F81BD"/>
              <w:right w:val="nil"/>
            </w:tcBorders>
          </w:tcPr>
          <w:p w14:paraId="05C8B6B8"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47%</w:t>
            </w:r>
          </w:p>
        </w:tc>
        <w:tc>
          <w:tcPr>
            <w:tcW w:w="959" w:type="pct"/>
            <w:tcBorders>
              <w:top w:val="single" w:sz="4" w:space="0" w:color="4F81BD"/>
              <w:left w:val="nil"/>
              <w:bottom w:val="single" w:sz="4" w:space="0" w:color="4F81BD"/>
              <w:right w:val="nil"/>
            </w:tcBorders>
          </w:tcPr>
          <w:p w14:paraId="001671BC"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75%</w:t>
            </w:r>
          </w:p>
        </w:tc>
        <w:tc>
          <w:tcPr>
            <w:tcW w:w="960" w:type="pct"/>
            <w:tcBorders>
              <w:top w:val="single" w:sz="4" w:space="0" w:color="4F81BD"/>
              <w:left w:val="nil"/>
              <w:bottom w:val="single" w:sz="4" w:space="0" w:color="4F81BD"/>
              <w:right w:val="single" w:sz="4" w:space="0" w:color="4F81BD"/>
            </w:tcBorders>
          </w:tcPr>
          <w:p w14:paraId="7815F84F"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66%</w:t>
            </w:r>
          </w:p>
        </w:tc>
      </w:tr>
      <w:tr w:rsidR="000B7923" w:rsidRPr="002B1DFC" w14:paraId="6FA9BCB7" w14:textId="77777777">
        <w:tc>
          <w:tcPr>
            <w:tcW w:w="1163" w:type="pct"/>
            <w:tcBorders>
              <w:top w:val="nil"/>
              <w:left w:val="single" w:sz="4" w:space="0" w:color="4F81BD"/>
              <w:bottom w:val="nil"/>
              <w:right w:val="nil"/>
            </w:tcBorders>
            <w:shd w:val="clear" w:color="auto" w:fill="FFFFFF"/>
          </w:tcPr>
          <w:p w14:paraId="2AEF6349" w14:textId="77777777" w:rsidR="000B7923" w:rsidRPr="002B1DFC" w:rsidRDefault="00781B71" w:rsidP="00F441C6">
            <w:pPr>
              <w:ind w:left="360"/>
              <w:jc w:val="left"/>
              <w:rPr>
                <w:rFonts w:eastAsia="Times New Roman" w:cs="Times New Roman"/>
                <w:b/>
                <w:bCs/>
                <w:sz w:val="20"/>
                <w:szCs w:val="20"/>
              </w:rPr>
            </w:pPr>
            <w:r>
              <w:rPr>
                <w:rFonts w:eastAsia="Times New Roman" w:cs="Times New Roman"/>
                <w:sz w:val="20"/>
                <w:szCs w:val="20"/>
              </w:rPr>
              <w:t>F</w:t>
            </w:r>
            <w:r w:rsidR="000B7923" w:rsidRPr="002B1DFC">
              <w:rPr>
                <w:rFonts w:eastAsia="Times New Roman" w:cs="Times New Roman"/>
                <w:sz w:val="20"/>
                <w:szCs w:val="20"/>
              </w:rPr>
              <w:t xml:space="preserve">orest and forested land </w:t>
            </w:r>
          </w:p>
        </w:tc>
        <w:tc>
          <w:tcPr>
            <w:tcW w:w="959" w:type="pct"/>
            <w:tcBorders>
              <w:top w:val="nil"/>
              <w:left w:val="nil"/>
              <w:bottom w:val="nil"/>
              <w:right w:val="nil"/>
            </w:tcBorders>
          </w:tcPr>
          <w:p w14:paraId="3CC0B2F9"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10,624 (18%)</w:t>
            </w:r>
          </w:p>
          <w:p w14:paraId="479ED0ED" w14:textId="77777777" w:rsidR="000B7923" w:rsidRPr="002B1DFC" w:rsidRDefault="000B7923" w:rsidP="00F441C6">
            <w:pPr>
              <w:jc w:val="left"/>
              <w:rPr>
                <w:rFonts w:eastAsia="Times New Roman" w:cs="Times New Roman"/>
                <w:sz w:val="20"/>
                <w:szCs w:val="20"/>
              </w:rPr>
            </w:pPr>
          </w:p>
        </w:tc>
        <w:tc>
          <w:tcPr>
            <w:tcW w:w="959" w:type="pct"/>
            <w:tcBorders>
              <w:top w:val="nil"/>
              <w:left w:val="nil"/>
              <w:bottom w:val="nil"/>
              <w:right w:val="nil"/>
            </w:tcBorders>
          </w:tcPr>
          <w:p w14:paraId="32C1DF1A"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45%</w:t>
            </w:r>
          </w:p>
          <w:p w14:paraId="5298BB77" w14:textId="77777777" w:rsidR="000B7923" w:rsidRPr="002B1DFC" w:rsidRDefault="000B7923" w:rsidP="00F441C6">
            <w:pPr>
              <w:jc w:val="left"/>
              <w:rPr>
                <w:rFonts w:eastAsia="Times New Roman" w:cs="Times New Roman"/>
                <w:sz w:val="20"/>
                <w:szCs w:val="20"/>
              </w:rPr>
            </w:pPr>
          </w:p>
        </w:tc>
        <w:tc>
          <w:tcPr>
            <w:tcW w:w="959" w:type="pct"/>
            <w:tcBorders>
              <w:top w:val="nil"/>
              <w:left w:val="nil"/>
              <w:bottom w:val="nil"/>
              <w:right w:val="nil"/>
            </w:tcBorders>
          </w:tcPr>
          <w:p w14:paraId="485CA7F6"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10%</w:t>
            </w:r>
          </w:p>
          <w:p w14:paraId="25A45924" w14:textId="77777777" w:rsidR="000B7923" w:rsidRPr="002B1DFC" w:rsidRDefault="000B7923" w:rsidP="00F441C6">
            <w:pPr>
              <w:jc w:val="left"/>
              <w:rPr>
                <w:rFonts w:eastAsia="Times New Roman" w:cs="Times New Roman"/>
                <w:sz w:val="20"/>
                <w:szCs w:val="20"/>
              </w:rPr>
            </w:pPr>
          </w:p>
        </w:tc>
        <w:tc>
          <w:tcPr>
            <w:tcW w:w="960" w:type="pct"/>
            <w:tcBorders>
              <w:top w:val="nil"/>
              <w:left w:val="nil"/>
              <w:bottom w:val="nil"/>
              <w:right w:val="single" w:sz="4" w:space="0" w:color="4F81BD"/>
            </w:tcBorders>
          </w:tcPr>
          <w:p w14:paraId="2CFC8C9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14%</w:t>
            </w:r>
          </w:p>
        </w:tc>
      </w:tr>
      <w:tr w:rsidR="000B7923" w:rsidRPr="002B1DFC" w14:paraId="5F715988" w14:textId="77777777">
        <w:tc>
          <w:tcPr>
            <w:tcW w:w="1163" w:type="pct"/>
            <w:tcBorders>
              <w:top w:val="single" w:sz="4" w:space="0" w:color="4F81BD"/>
              <w:left w:val="single" w:sz="4" w:space="0" w:color="4F81BD"/>
              <w:bottom w:val="single" w:sz="4" w:space="0" w:color="4F81BD"/>
              <w:right w:val="nil"/>
            </w:tcBorders>
            <w:shd w:val="clear" w:color="auto" w:fill="FFFFFF"/>
          </w:tcPr>
          <w:p w14:paraId="5DB9A619" w14:textId="77777777" w:rsidR="000B7923" w:rsidRPr="002B1DFC" w:rsidRDefault="00781B71" w:rsidP="00F441C6">
            <w:pPr>
              <w:ind w:left="360"/>
              <w:jc w:val="left"/>
              <w:rPr>
                <w:rFonts w:eastAsia="Times New Roman" w:cs="Times New Roman"/>
                <w:b/>
                <w:bCs/>
                <w:sz w:val="20"/>
                <w:szCs w:val="20"/>
              </w:rPr>
            </w:pPr>
            <w:r>
              <w:rPr>
                <w:rFonts w:eastAsia="Times New Roman" w:cs="Times New Roman"/>
                <w:sz w:val="20"/>
                <w:szCs w:val="20"/>
              </w:rPr>
              <w:t>B</w:t>
            </w:r>
            <w:r w:rsidR="000B7923" w:rsidRPr="002B1DFC">
              <w:rPr>
                <w:rFonts w:eastAsia="Times New Roman" w:cs="Times New Roman"/>
                <w:sz w:val="20"/>
                <w:szCs w:val="20"/>
              </w:rPr>
              <w:t xml:space="preserve">uilt areas </w:t>
            </w:r>
          </w:p>
        </w:tc>
        <w:tc>
          <w:tcPr>
            <w:tcW w:w="959" w:type="pct"/>
            <w:tcBorders>
              <w:top w:val="single" w:sz="4" w:space="0" w:color="4F81BD"/>
              <w:left w:val="nil"/>
              <w:bottom w:val="single" w:sz="4" w:space="0" w:color="4F81BD"/>
              <w:right w:val="nil"/>
            </w:tcBorders>
          </w:tcPr>
          <w:p w14:paraId="36260365"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2,543 (4%)</w:t>
            </w:r>
          </w:p>
        </w:tc>
        <w:tc>
          <w:tcPr>
            <w:tcW w:w="959" w:type="pct"/>
            <w:tcBorders>
              <w:top w:val="single" w:sz="4" w:space="0" w:color="4F81BD"/>
              <w:left w:val="nil"/>
              <w:bottom w:val="single" w:sz="4" w:space="0" w:color="4F81BD"/>
              <w:right w:val="nil"/>
            </w:tcBorders>
          </w:tcPr>
          <w:p w14:paraId="6B5D0C4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w:t>
            </w:r>
          </w:p>
        </w:tc>
        <w:tc>
          <w:tcPr>
            <w:tcW w:w="959" w:type="pct"/>
            <w:tcBorders>
              <w:top w:val="single" w:sz="4" w:space="0" w:color="4F81BD"/>
              <w:left w:val="nil"/>
              <w:bottom w:val="single" w:sz="4" w:space="0" w:color="4F81BD"/>
              <w:right w:val="nil"/>
            </w:tcBorders>
          </w:tcPr>
          <w:p w14:paraId="6BAC469F"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w:t>
            </w:r>
          </w:p>
        </w:tc>
        <w:tc>
          <w:tcPr>
            <w:tcW w:w="960" w:type="pct"/>
            <w:tcBorders>
              <w:top w:val="single" w:sz="4" w:space="0" w:color="4F81BD"/>
              <w:left w:val="nil"/>
              <w:bottom w:val="single" w:sz="4" w:space="0" w:color="4F81BD"/>
              <w:right w:val="single" w:sz="4" w:space="0" w:color="4F81BD"/>
            </w:tcBorders>
          </w:tcPr>
          <w:p w14:paraId="4B1E2B56"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4%</w:t>
            </w:r>
          </w:p>
        </w:tc>
      </w:tr>
      <w:tr w:rsidR="000B7923" w:rsidRPr="002B1DFC" w14:paraId="2F6A64D4" w14:textId="77777777">
        <w:tc>
          <w:tcPr>
            <w:tcW w:w="1163" w:type="pct"/>
            <w:tcBorders>
              <w:top w:val="nil"/>
              <w:left w:val="single" w:sz="4" w:space="0" w:color="4F81BD"/>
              <w:bottom w:val="nil"/>
              <w:right w:val="nil"/>
            </w:tcBorders>
            <w:shd w:val="clear" w:color="auto" w:fill="FFFFFF"/>
          </w:tcPr>
          <w:p w14:paraId="1A84A7B3" w14:textId="77777777" w:rsidR="000B7923" w:rsidRPr="002B1DFC" w:rsidRDefault="00781B71" w:rsidP="00F441C6">
            <w:pPr>
              <w:ind w:left="360"/>
              <w:jc w:val="left"/>
              <w:rPr>
                <w:rFonts w:eastAsia="Times New Roman" w:cs="Times New Roman"/>
                <w:b/>
                <w:bCs/>
                <w:sz w:val="20"/>
                <w:szCs w:val="20"/>
              </w:rPr>
            </w:pPr>
            <w:r>
              <w:rPr>
                <w:rFonts w:eastAsia="Times New Roman" w:cs="Times New Roman"/>
                <w:sz w:val="20"/>
                <w:szCs w:val="20"/>
              </w:rPr>
              <w:t>L</w:t>
            </w:r>
            <w:r w:rsidR="000B7923" w:rsidRPr="002B1DFC">
              <w:rPr>
                <w:rFonts w:eastAsia="Times New Roman" w:cs="Times New Roman"/>
                <w:sz w:val="20"/>
                <w:szCs w:val="20"/>
              </w:rPr>
              <w:t xml:space="preserve">and under water </w:t>
            </w:r>
          </w:p>
        </w:tc>
        <w:tc>
          <w:tcPr>
            <w:tcW w:w="959" w:type="pct"/>
            <w:tcBorders>
              <w:top w:val="nil"/>
              <w:left w:val="nil"/>
              <w:bottom w:val="nil"/>
              <w:right w:val="nil"/>
            </w:tcBorders>
          </w:tcPr>
          <w:p w14:paraId="6E224A14"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2,423 (4%)</w:t>
            </w:r>
          </w:p>
        </w:tc>
        <w:tc>
          <w:tcPr>
            <w:tcW w:w="959" w:type="pct"/>
            <w:tcBorders>
              <w:top w:val="nil"/>
              <w:left w:val="nil"/>
              <w:bottom w:val="nil"/>
              <w:right w:val="nil"/>
            </w:tcBorders>
          </w:tcPr>
          <w:p w14:paraId="3480C91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w:t>
            </w:r>
          </w:p>
        </w:tc>
        <w:tc>
          <w:tcPr>
            <w:tcW w:w="959" w:type="pct"/>
            <w:tcBorders>
              <w:top w:val="nil"/>
              <w:left w:val="nil"/>
              <w:bottom w:val="nil"/>
              <w:right w:val="nil"/>
            </w:tcBorders>
          </w:tcPr>
          <w:p w14:paraId="4BB0547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5%</w:t>
            </w:r>
          </w:p>
        </w:tc>
        <w:tc>
          <w:tcPr>
            <w:tcW w:w="960" w:type="pct"/>
            <w:tcBorders>
              <w:top w:val="nil"/>
              <w:left w:val="nil"/>
              <w:bottom w:val="nil"/>
              <w:right w:val="single" w:sz="4" w:space="0" w:color="4F81BD"/>
            </w:tcBorders>
          </w:tcPr>
          <w:p w14:paraId="46A47D5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1.6%</w:t>
            </w:r>
          </w:p>
        </w:tc>
      </w:tr>
      <w:tr w:rsidR="000B7923" w:rsidRPr="002B1DFC" w14:paraId="604FB523" w14:textId="77777777">
        <w:tc>
          <w:tcPr>
            <w:tcW w:w="1163" w:type="pct"/>
            <w:tcBorders>
              <w:top w:val="single" w:sz="4" w:space="0" w:color="4F81BD"/>
              <w:left w:val="single" w:sz="4" w:space="0" w:color="4F81BD"/>
              <w:bottom w:val="single" w:sz="4" w:space="0" w:color="4F81BD"/>
              <w:right w:val="nil"/>
            </w:tcBorders>
            <w:shd w:val="clear" w:color="auto" w:fill="FFFFFF"/>
          </w:tcPr>
          <w:p w14:paraId="1FAADF27" w14:textId="77777777" w:rsidR="000B7923" w:rsidRPr="002B1DFC" w:rsidRDefault="00781B71" w:rsidP="00F441C6">
            <w:pPr>
              <w:ind w:left="360"/>
              <w:jc w:val="left"/>
              <w:rPr>
                <w:rFonts w:eastAsia="Times New Roman" w:cs="Times New Roman"/>
                <w:b/>
                <w:bCs/>
                <w:sz w:val="20"/>
                <w:szCs w:val="20"/>
              </w:rPr>
            </w:pPr>
            <w:r>
              <w:rPr>
                <w:rFonts w:eastAsia="Times New Roman" w:cs="Times New Roman"/>
                <w:sz w:val="20"/>
                <w:szCs w:val="20"/>
              </w:rPr>
              <w:t>O</w:t>
            </w:r>
            <w:r w:rsidR="000B7923" w:rsidRPr="002B1DFC">
              <w:rPr>
                <w:rFonts w:eastAsia="Times New Roman" w:cs="Times New Roman"/>
                <w:sz w:val="20"/>
                <w:szCs w:val="20"/>
              </w:rPr>
              <w:t xml:space="preserve">pen swamp areas </w:t>
            </w:r>
          </w:p>
        </w:tc>
        <w:tc>
          <w:tcPr>
            <w:tcW w:w="959" w:type="pct"/>
            <w:tcBorders>
              <w:top w:val="single" w:sz="4" w:space="0" w:color="4F81BD"/>
              <w:left w:val="nil"/>
              <w:bottom w:val="single" w:sz="4" w:space="0" w:color="4F81BD"/>
              <w:right w:val="nil"/>
            </w:tcBorders>
          </w:tcPr>
          <w:p w14:paraId="793F8F3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982 (2%)</w:t>
            </w:r>
          </w:p>
        </w:tc>
        <w:tc>
          <w:tcPr>
            <w:tcW w:w="959" w:type="pct"/>
            <w:tcBorders>
              <w:top w:val="single" w:sz="4" w:space="0" w:color="4F81BD"/>
              <w:left w:val="nil"/>
              <w:bottom w:val="single" w:sz="4" w:space="0" w:color="4F81BD"/>
              <w:right w:val="nil"/>
            </w:tcBorders>
          </w:tcPr>
          <w:p w14:paraId="16672095"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w:t>
            </w:r>
          </w:p>
        </w:tc>
        <w:tc>
          <w:tcPr>
            <w:tcW w:w="959" w:type="pct"/>
            <w:tcBorders>
              <w:top w:val="single" w:sz="4" w:space="0" w:color="4F81BD"/>
              <w:left w:val="nil"/>
              <w:bottom w:val="single" w:sz="4" w:space="0" w:color="4F81BD"/>
              <w:right w:val="nil"/>
            </w:tcBorders>
          </w:tcPr>
          <w:p w14:paraId="0D59ACB4"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w:t>
            </w:r>
          </w:p>
        </w:tc>
        <w:tc>
          <w:tcPr>
            <w:tcW w:w="960" w:type="pct"/>
            <w:tcBorders>
              <w:top w:val="single" w:sz="4" w:space="0" w:color="4F81BD"/>
              <w:left w:val="nil"/>
              <w:bottom w:val="single" w:sz="4" w:space="0" w:color="4F81BD"/>
              <w:right w:val="single" w:sz="4" w:space="0" w:color="4F81BD"/>
            </w:tcBorders>
          </w:tcPr>
          <w:p w14:paraId="44432E30"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w:t>
            </w:r>
          </w:p>
        </w:tc>
      </w:tr>
      <w:tr w:rsidR="000B7923" w:rsidRPr="002B1DFC" w14:paraId="7EB44F5B" w14:textId="77777777">
        <w:tc>
          <w:tcPr>
            <w:tcW w:w="1163" w:type="pct"/>
            <w:tcBorders>
              <w:top w:val="nil"/>
              <w:left w:val="single" w:sz="4" w:space="0" w:color="4F81BD"/>
              <w:bottom w:val="nil"/>
              <w:right w:val="nil"/>
            </w:tcBorders>
            <w:shd w:val="clear" w:color="auto" w:fill="FFFFFF"/>
          </w:tcPr>
          <w:p w14:paraId="6CE4E76A" w14:textId="77777777" w:rsidR="000B7923" w:rsidRPr="002B1DFC" w:rsidRDefault="00781B71" w:rsidP="00F441C6">
            <w:pPr>
              <w:ind w:left="360"/>
              <w:jc w:val="left"/>
              <w:rPr>
                <w:rFonts w:eastAsia="Times New Roman" w:cs="Times New Roman"/>
                <w:b/>
                <w:bCs/>
                <w:sz w:val="20"/>
                <w:szCs w:val="20"/>
              </w:rPr>
            </w:pPr>
            <w:r>
              <w:rPr>
                <w:rFonts w:eastAsia="Times New Roman" w:cs="Times New Roman"/>
                <w:sz w:val="20"/>
                <w:szCs w:val="20"/>
              </w:rPr>
              <w:t>O</w:t>
            </w:r>
            <w:r w:rsidR="000B7923" w:rsidRPr="002B1DFC">
              <w:rPr>
                <w:rFonts w:eastAsia="Times New Roman" w:cs="Times New Roman"/>
                <w:sz w:val="20"/>
                <w:szCs w:val="20"/>
              </w:rPr>
              <w:t>ther land</w:t>
            </w:r>
          </w:p>
        </w:tc>
        <w:tc>
          <w:tcPr>
            <w:tcW w:w="959" w:type="pct"/>
            <w:tcBorders>
              <w:top w:val="nil"/>
              <w:left w:val="nil"/>
              <w:bottom w:val="nil"/>
              <w:right w:val="nil"/>
            </w:tcBorders>
          </w:tcPr>
          <w:p w14:paraId="248EB656"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1,039 (2%)</w:t>
            </w:r>
          </w:p>
        </w:tc>
        <w:tc>
          <w:tcPr>
            <w:tcW w:w="959" w:type="pct"/>
            <w:tcBorders>
              <w:top w:val="nil"/>
              <w:left w:val="nil"/>
              <w:bottom w:val="nil"/>
              <w:right w:val="nil"/>
            </w:tcBorders>
          </w:tcPr>
          <w:p w14:paraId="11F5B937"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w:t>
            </w:r>
          </w:p>
        </w:tc>
        <w:tc>
          <w:tcPr>
            <w:tcW w:w="959" w:type="pct"/>
            <w:tcBorders>
              <w:top w:val="nil"/>
              <w:left w:val="nil"/>
              <w:bottom w:val="nil"/>
              <w:right w:val="nil"/>
            </w:tcBorders>
          </w:tcPr>
          <w:p w14:paraId="1ACF40C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w:t>
            </w:r>
          </w:p>
        </w:tc>
        <w:tc>
          <w:tcPr>
            <w:tcW w:w="960" w:type="pct"/>
            <w:tcBorders>
              <w:top w:val="nil"/>
              <w:left w:val="nil"/>
              <w:bottom w:val="nil"/>
              <w:right w:val="single" w:sz="4" w:space="0" w:color="4F81BD"/>
            </w:tcBorders>
          </w:tcPr>
          <w:p w14:paraId="1BF41AC9"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w:t>
            </w:r>
          </w:p>
        </w:tc>
      </w:tr>
      <w:tr w:rsidR="000B7923" w:rsidRPr="002B1DFC" w14:paraId="67014A23" w14:textId="77777777">
        <w:tc>
          <w:tcPr>
            <w:tcW w:w="1163" w:type="pct"/>
            <w:tcBorders>
              <w:top w:val="single" w:sz="4" w:space="0" w:color="4F81BD"/>
              <w:left w:val="single" w:sz="4" w:space="0" w:color="4F81BD"/>
              <w:bottom w:val="single" w:sz="4" w:space="0" w:color="4F81BD"/>
              <w:right w:val="nil"/>
            </w:tcBorders>
            <w:shd w:val="clear" w:color="auto" w:fill="FFFFFF"/>
          </w:tcPr>
          <w:p w14:paraId="66555B0E"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GDP (million UAH) (% of Ukraine’s)</w:t>
            </w:r>
          </w:p>
        </w:tc>
        <w:tc>
          <w:tcPr>
            <w:tcW w:w="959" w:type="pct"/>
            <w:tcBorders>
              <w:top w:val="single" w:sz="4" w:space="0" w:color="4F81BD"/>
              <w:left w:val="nil"/>
              <w:bottom w:val="single" w:sz="4" w:space="0" w:color="4F81BD"/>
              <w:right w:val="nil"/>
            </w:tcBorders>
          </w:tcPr>
          <w:p w14:paraId="739311CF"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1,522,657</w:t>
            </w:r>
          </w:p>
        </w:tc>
        <w:tc>
          <w:tcPr>
            <w:tcW w:w="959" w:type="pct"/>
            <w:tcBorders>
              <w:top w:val="single" w:sz="4" w:space="0" w:color="4F81BD"/>
              <w:left w:val="nil"/>
              <w:bottom w:val="single" w:sz="4" w:space="0" w:color="4F81BD"/>
              <w:right w:val="nil"/>
            </w:tcBorders>
          </w:tcPr>
          <w:p w14:paraId="6C1F175A"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33,196</w:t>
            </w:r>
            <w:r w:rsidRPr="002B1DFC">
              <w:rPr>
                <w:rFonts w:eastAsia="Times New Roman" w:cs="Times New Roman"/>
                <w:sz w:val="20"/>
                <w:szCs w:val="20"/>
              </w:rPr>
              <w:tab/>
              <w:t>(2%)</w:t>
            </w:r>
          </w:p>
        </w:tc>
        <w:tc>
          <w:tcPr>
            <w:tcW w:w="959" w:type="pct"/>
            <w:tcBorders>
              <w:top w:val="single" w:sz="4" w:space="0" w:color="4F81BD"/>
              <w:left w:val="nil"/>
              <w:bottom w:val="single" w:sz="4" w:space="0" w:color="4F81BD"/>
              <w:right w:val="nil"/>
            </w:tcBorders>
          </w:tcPr>
          <w:p w14:paraId="7FCFB9EC"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58,464</w:t>
            </w:r>
            <w:r w:rsidRPr="002B1DFC">
              <w:rPr>
                <w:rFonts w:eastAsia="Times New Roman" w:cs="Times New Roman"/>
                <w:sz w:val="20"/>
                <w:szCs w:val="20"/>
              </w:rPr>
              <w:tab/>
              <w:t>(4%)</w:t>
            </w:r>
          </w:p>
        </w:tc>
        <w:tc>
          <w:tcPr>
            <w:tcW w:w="960" w:type="pct"/>
            <w:tcBorders>
              <w:top w:val="single" w:sz="4" w:space="0" w:color="4F81BD"/>
              <w:left w:val="nil"/>
              <w:bottom w:val="single" w:sz="4" w:space="0" w:color="4F81BD"/>
              <w:right w:val="single" w:sz="4" w:space="0" w:color="4F81BD"/>
            </w:tcBorders>
          </w:tcPr>
          <w:p w14:paraId="5F1C9808"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36,191 (2%)</w:t>
            </w:r>
          </w:p>
        </w:tc>
      </w:tr>
      <w:tr w:rsidR="000B7923" w:rsidRPr="002B1DFC" w14:paraId="44302447" w14:textId="77777777">
        <w:tc>
          <w:tcPr>
            <w:tcW w:w="1163" w:type="pct"/>
            <w:tcBorders>
              <w:left w:val="single" w:sz="4" w:space="0" w:color="4F81BD"/>
              <w:right w:val="nil"/>
            </w:tcBorders>
            <w:shd w:val="clear" w:color="auto" w:fill="FFFFFF"/>
          </w:tcPr>
          <w:p w14:paraId="37861BBF"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Number of subjects Unified State Register of Enterprises</w:t>
            </w:r>
          </w:p>
          <w:p w14:paraId="2EE351F8"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 xml:space="preserve">and Organizations of Ukraine (EDRPOU) </w:t>
            </w:r>
          </w:p>
        </w:tc>
        <w:tc>
          <w:tcPr>
            <w:tcW w:w="959" w:type="pct"/>
            <w:tcBorders>
              <w:left w:val="nil"/>
              <w:right w:val="nil"/>
            </w:tcBorders>
          </w:tcPr>
          <w:p w14:paraId="61CC59E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1,331,230</w:t>
            </w:r>
          </w:p>
        </w:tc>
        <w:tc>
          <w:tcPr>
            <w:tcW w:w="959" w:type="pct"/>
            <w:tcBorders>
              <w:left w:val="nil"/>
              <w:right w:val="nil"/>
            </w:tcBorders>
          </w:tcPr>
          <w:p w14:paraId="77A2DA3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26,181 (2.0%)</w:t>
            </w:r>
          </w:p>
        </w:tc>
        <w:tc>
          <w:tcPr>
            <w:tcW w:w="959" w:type="pct"/>
            <w:tcBorders>
              <w:left w:val="nil"/>
              <w:right w:val="nil"/>
            </w:tcBorders>
          </w:tcPr>
          <w:p w14:paraId="3D99AF18"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37925 (2.8%)</w:t>
            </w:r>
          </w:p>
        </w:tc>
        <w:tc>
          <w:tcPr>
            <w:tcW w:w="960" w:type="pct"/>
            <w:tcBorders>
              <w:left w:val="nil"/>
              <w:right w:val="single" w:sz="4" w:space="0" w:color="4F81BD"/>
            </w:tcBorders>
          </w:tcPr>
          <w:p w14:paraId="4BDEFA2B"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34,221 (2.6%)</w:t>
            </w:r>
          </w:p>
        </w:tc>
      </w:tr>
      <w:tr w:rsidR="000B7923" w:rsidRPr="002B1DFC" w14:paraId="032416E7" w14:textId="77777777">
        <w:tc>
          <w:tcPr>
            <w:tcW w:w="1163" w:type="pct"/>
            <w:tcBorders>
              <w:top w:val="single" w:sz="4" w:space="0" w:color="4F81BD"/>
              <w:left w:val="single" w:sz="4" w:space="0" w:color="4F81BD"/>
              <w:bottom w:val="single" w:sz="4" w:space="0" w:color="4F81BD"/>
              <w:right w:val="nil"/>
            </w:tcBorders>
            <w:shd w:val="clear" w:color="auto" w:fill="FFFFFF"/>
          </w:tcPr>
          <w:p w14:paraId="05EC9DC6"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Consumption of certain types of energy products by region in 2014</w:t>
            </w:r>
          </w:p>
        </w:tc>
        <w:tc>
          <w:tcPr>
            <w:tcW w:w="959" w:type="pct"/>
            <w:tcBorders>
              <w:top w:val="single" w:sz="4" w:space="0" w:color="4F81BD"/>
              <w:left w:val="nil"/>
              <w:bottom w:val="single" w:sz="4" w:space="0" w:color="4F81BD"/>
              <w:right w:val="nil"/>
            </w:tcBorders>
          </w:tcPr>
          <w:p w14:paraId="616D7092" w14:textId="77777777" w:rsidR="000B7923" w:rsidRPr="002B1DFC" w:rsidRDefault="000B7923" w:rsidP="00F441C6">
            <w:pPr>
              <w:jc w:val="left"/>
              <w:rPr>
                <w:rFonts w:eastAsia="Times New Roman" w:cs="Times New Roman"/>
                <w:sz w:val="20"/>
                <w:szCs w:val="20"/>
              </w:rPr>
            </w:pPr>
          </w:p>
        </w:tc>
        <w:tc>
          <w:tcPr>
            <w:tcW w:w="959" w:type="pct"/>
            <w:tcBorders>
              <w:top w:val="single" w:sz="4" w:space="0" w:color="4F81BD"/>
              <w:left w:val="nil"/>
              <w:bottom w:val="single" w:sz="4" w:space="0" w:color="4F81BD"/>
              <w:right w:val="nil"/>
            </w:tcBorders>
          </w:tcPr>
          <w:p w14:paraId="3E84815B" w14:textId="77777777" w:rsidR="000B7923" w:rsidRPr="002B1DFC" w:rsidRDefault="000B7923" w:rsidP="00F441C6">
            <w:pPr>
              <w:jc w:val="left"/>
              <w:rPr>
                <w:rFonts w:eastAsia="Times New Roman" w:cs="Times New Roman"/>
                <w:sz w:val="20"/>
                <w:szCs w:val="20"/>
              </w:rPr>
            </w:pPr>
          </w:p>
        </w:tc>
        <w:tc>
          <w:tcPr>
            <w:tcW w:w="959" w:type="pct"/>
            <w:tcBorders>
              <w:top w:val="single" w:sz="4" w:space="0" w:color="4F81BD"/>
              <w:left w:val="nil"/>
              <w:bottom w:val="single" w:sz="4" w:space="0" w:color="4F81BD"/>
              <w:right w:val="nil"/>
            </w:tcBorders>
          </w:tcPr>
          <w:p w14:paraId="7C63649C" w14:textId="77777777" w:rsidR="000B7923" w:rsidRPr="002B1DFC" w:rsidRDefault="000B7923" w:rsidP="00F441C6">
            <w:pPr>
              <w:jc w:val="left"/>
              <w:rPr>
                <w:rFonts w:eastAsia="Times New Roman" w:cs="Times New Roman"/>
                <w:sz w:val="20"/>
                <w:szCs w:val="20"/>
              </w:rPr>
            </w:pPr>
          </w:p>
        </w:tc>
        <w:tc>
          <w:tcPr>
            <w:tcW w:w="960" w:type="pct"/>
            <w:tcBorders>
              <w:top w:val="single" w:sz="4" w:space="0" w:color="4F81BD"/>
              <w:left w:val="nil"/>
              <w:bottom w:val="single" w:sz="4" w:space="0" w:color="4F81BD"/>
              <w:right w:val="single" w:sz="4" w:space="0" w:color="4F81BD"/>
            </w:tcBorders>
          </w:tcPr>
          <w:p w14:paraId="0C17ABBD" w14:textId="77777777" w:rsidR="000B7923" w:rsidRPr="002B1DFC" w:rsidRDefault="000B7923" w:rsidP="00F441C6">
            <w:pPr>
              <w:jc w:val="left"/>
              <w:rPr>
                <w:rFonts w:eastAsia="Times New Roman" w:cs="Times New Roman"/>
                <w:sz w:val="20"/>
                <w:szCs w:val="20"/>
              </w:rPr>
            </w:pPr>
          </w:p>
        </w:tc>
      </w:tr>
      <w:tr w:rsidR="000B7923" w:rsidRPr="002B1DFC" w14:paraId="22D3A991" w14:textId="77777777">
        <w:tc>
          <w:tcPr>
            <w:tcW w:w="1163" w:type="pct"/>
            <w:tcBorders>
              <w:left w:val="single" w:sz="4" w:space="0" w:color="4F81BD"/>
              <w:right w:val="nil"/>
            </w:tcBorders>
            <w:shd w:val="clear" w:color="auto" w:fill="FFFFFF"/>
          </w:tcPr>
          <w:p w14:paraId="1A8F59F6"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Coal (thousand tons)</w:t>
            </w:r>
          </w:p>
        </w:tc>
        <w:tc>
          <w:tcPr>
            <w:tcW w:w="959" w:type="pct"/>
            <w:tcBorders>
              <w:left w:val="nil"/>
              <w:right w:val="nil"/>
            </w:tcBorders>
          </w:tcPr>
          <w:p w14:paraId="087AF52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56,047</w:t>
            </w:r>
          </w:p>
        </w:tc>
        <w:tc>
          <w:tcPr>
            <w:tcW w:w="959" w:type="pct"/>
            <w:tcBorders>
              <w:left w:val="nil"/>
              <w:right w:val="nil"/>
            </w:tcBorders>
          </w:tcPr>
          <w:p w14:paraId="701ADDC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5,137</w:t>
            </w:r>
          </w:p>
        </w:tc>
        <w:tc>
          <w:tcPr>
            <w:tcW w:w="959" w:type="pct"/>
            <w:tcBorders>
              <w:left w:val="nil"/>
              <w:right w:val="nil"/>
            </w:tcBorders>
          </w:tcPr>
          <w:p w14:paraId="51BA5576"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23</w:t>
            </w:r>
          </w:p>
        </w:tc>
        <w:tc>
          <w:tcPr>
            <w:tcW w:w="960" w:type="pct"/>
            <w:tcBorders>
              <w:left w:val="nil"/>
              <w:right w:val="single" w:sz="4" w:space="0" w:color="4F81BD"/>
            </w:tcBorders>
          </w:tcPr>
          <w:p w14:paraId="746D5E9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2,749</w:t>
            </w:r>
          </w:p>
        </w:tc>
      </w:tr>
      <w:tr w:rsidR="000B7923" w:rsidRPr="002B1DFC" w14:paraId="2DC54186" w14:textId="77777777">
        <w:tc>
          <w:tcPr>
            <w:tcW w:w="1163" w:type="pct"/>
            <w:tcBorders>
              <w:top w:val="single" w:sz="4" w:space="0" w:color="4F81BD"/>
              <w:left w:val="single" w:sz="4" w:space="0" w:color="4F81BD"/>
              <w:bottom w:val="single" w:sz="4" w:space="0" w:color="4F81BD"/>
              <w:right w:val="nil"/>
            </w:tcBorders>
            <w:shd w:val="clear" w:color="auto" w:fill="FFFFFF"/>
          </w:tcPr>
          <w:p w14:paraId="2D1CF552"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Natural gas (mcm)</w:t>
            </w:r>
          </w:p>
        </w:tc>
        <w:tc>
          <w:tcPr>
            <w:tcW w:w="959" w:type="pct"/>
            <w:tcBorders>
              <w:top w:val="single" w:sz="4" w:space="0" w:color="4F81BD"/>
              <w:left w:val="nil"/>
              <w:bottom w:val="single" w:sz="4" w:space="0" w:color="4F81BD"/>
              <w:right w:val="nil"/>
            </w:tcBorders>
          </w:tcPr>
          <w:p w14:paraId="4AFC15D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39,968</w:t>
            </w:r>
          </w:p>
        </w:tc>
        <w:tc>
          <w:tcPr>
            <w:tcW w:w="959" w:type="pct"/>
            <w:tcBorders>
              <w:top w:val="single" w:sz="4" w:space="0" w:color="4F81BD"/>
              <w:left w:val="nil"/>
              <w:bottom w:val="single" w:sz="4" w:space="0" w:color="4F81BD"/>
              <w:right w:val="nil"/>
            </w:tcBorders>
          </w:tcPr>
          <w:p w14:paraId="43DFBFA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1,049</w:t>
            </w:r>
          </w:p>
        </w:tc>
        <w:tc>
          <w:tcPr>
            <w:tcW w:w="959" w:type="pct"/>
            <w:tcBorders>
              <w:top w:val="single" w:sz="4" w:space="0" w:color="4F81BD"/>
              <w:left w:val="nil"/>
              <w:bottom w:val="single" w:sz="4" w:space="0" w:color="4F81BD"/>
              <w:right w:val="nil"/>
            </w:tcBorders>
          </w:tcPr>
          <w:p w14:paraId="79C7AFD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2,748</w:t>
            </w:r>
          </w:p>
        </w:tc>
        <w:tc>
          <w:tcPr>
            <w:tcW w:w="960" w:type="pct"/>
            <w:tcBorders>
              <w:top w:val="single" w:sz="4" w:space="0" w:color="4F81BD"/>
              <w:left w:val="nil"/>
              <w:bottom w:val="single" w:sz="4" w:space="0" w:color="4F81BD"/>
              <w:right w:val="single" w:sz="4" w:space="0" w:color="4F81BD"/>
            </w:tcBorders>
          </w:tcPr>
          <w:p w14:paraId="7CB102CC"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944</w:t>
            </w:r>
          </w:p>
        </w:tc>
      </w:tr>
      <w:tr w:rsidR="000B7923" w:rsidRPr="002B1DFC" w14:paraId="6462A8B9" w14:textId="77777777">
        <w:tc>
          <w:tcPr>
            <w:tcW w:w="1163" w:type="pct"/>
            <w:tcBorders>
              <w:left w:val="single" w:sz="4" w:space="0" w:color="4F81BD"/>
              <w:right w:val="nil"/>
            </w:tcBorders>
            <w:shd w:val="clear" w:color="auto" w:fill="FFFFFF"/>
          </w:tcPr>
          <w:p w14:paraId="036F7D70"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Gasoline (thousand tons)</w:t>
            </w:r>
          </w:p>
        </w:tc>
        <w:tc>
          <w:tcPr>
            <w:tcW w:w="959" w:type="pct"/>
            <w:tcBorders>
              <w:left w:val="nil"/>
              <w:right w:val="nil"/>
            </w:tcBorders>
          </w:tcPr>
          <w:p w14:paraId="672BD74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3,103</w:t>
            </w:r>
          </w:p>
        </w:tc>
        <w:tc>
          <w:tcPr>
            <w:tcW w:w="959" w:type="pct"/>
            <w:tcBorders>
              <w:left w:val="nil"/>
              <w:right w:val="nil"/>
            </w:tcBorders>
          </w:tcPr>
          <w:p w14:paraId="17EF85DC"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75</w:t>
            </w:r>
          </w:p>
        </w:tc>
        <w:tc>
          <w:tcPr>
            <w:tcW w:w="959" w:type="pct"/>
            <w:tcBorders>
              <w:left w:val="nil"/>
              <w:right w:val="nil"/>
            </w:tcBorders>
          </w:tcPr>
          <w:p w14:paraId="5AEEF714"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119</w:t>
            </w:r>
          </w:p>
        </w:tc>
        <w:tc>
          <w:tcPr>
            <w:tcW w:w="960" w:type="pct"/>
            <w:tcBorders>
              <w:left w:val="nil"/>
              <w:right w:val="single" w:sz="4" w:space="0" w:color="4F81BD"/>
            </w:tcBorders>
          </w:tcPr>
          <w:p w14:paraId="1C898FE9"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107</w:t>
            </w:r>
          </w:p>
        </w:tc>
      </w:tr>
      <w:tr w:rsidR="000B7923" w:rsidRPr="002B1DFC" w14:paraId="09491EB1" w14:textId="77777777">
        <w:tc>
          <w:tcPr>
            <w:tcW w:w="1163" w:type="pct"/>
            <w:tcBorders>
              <w:top w:val="single" w:sz="4" w:space="0" w:color="4F81BD"/>
              <w:left w:val="single" w:sz="4" w:space="0" w:color="4F81BD"/>
              <w:bottom w:val="single" w:sz="4" w:space="0" w:color="4F81BD"/>
              <w:right w:val="nil"/>
            </w:tcBorders>
            <w:shd w:val="clear" w:color="auto" w:fill="FFFFFF"/>
          </w:tcPr>
          <w:p w14:paraId="37EF9B32"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Diesel fuel (thousand tons)</w:t>
            </w:r>
          </w:p>
        </w:tc>
        <w:tc>
          <w:tcPr>
            <w:tcW w:w="959" w:type="pct"/>
            <w:tcBorders>
              <w:top w:val="single" w:sz="4" w:space="0" w:color="4F81BD"/>
              <w:left w:val="nil"/>
              <w:bottom w:val="single" w:sz="4" w:space="0" w:color="4F81BD"/>
              <w:right w:val="nil"/>
            </w:tcBorders>
          </w:tcPr>
          <w:p w14:paraId="7E21ACC5"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5,259</w:t>
            </w:r>
          </w:p>
        </w:tc>
        <w:tc>
          <w:tcPr>
            <w:tcW w:w="959" w:type="pct"/>
            <w:tcBorders>
              <w:top w:val="single" w:sz="4" w:space="0" w:color="4F81BD"/>
              <w:left w:val="nil"/>
              <w:bottom w:val="single" w:sz="4" w:space="0" w:color="4F81BD"/>
              <w:right w:val="nil"/>
            </w:tcBorders>
          </w:tcPr>
          <w:p w14:paraId="6CEDF91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137</w:t>
            </w:r>
          </w:p>
        </w:tc>
        <w:tc>
          <w:tcPr>
            <w:tcW w:w="959" w:type="pct"/>
            <w:tcBorders>
              <w:top w:val="single" w:sz="4" w:space="0" w:color="4F81BD"/>
              <w:left w:val="nil"/>
              <w:bottom w:val="single" w:sz="4" w:space="0" w:color="4F81BD"/>
              <w:right w:val="nil"/>
            </w:tcBorders>
          </w:tcPr>
          <w:p w14:paraId="0079435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348</w:t>
            </w:r>
          </w:p>
        </w:tc>
        <w:tc>
          <w:tcPr>
            <w:tcW w:w="960" w:type="pct"/>
            <w:tcBorders>
              <w:top w:val="single" w:sz="4" w:space="0" w:color="4F81BD"/>
              <w:left w:val="nil"/>
              <w:bottom w:val="single" w:sz="4" w:space="0" w:color="4F81BD"/>
              <w:right w:val="single" w:sz="4" w:space="0" w:color="4F81BD"/>
            </w:tcBorders>
          </w:tcPr>
          <w:p w14:paraId="4718462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229</w:t>
            </w:r>
          </w:p>
        </w:tc>
      </w:tr>
      <w:tr w:rsidR="000B7923" w:rsidRPr="002B1DFC" w14:paraId="5C8B1220" w14:textId="77777777">
        <w:tc>
          <w:tcPr>
            <w:tcW w:w="1163" w:type="pct"/>
            <w:tcBorders>
              <w:left w:val="single" w:sz="4" w:space="0" w:color="4F81BD"/>
              <w:right w:val="nil"/>
            </w:tcBorders>
            <w:shd w:val="clear" w:color="auto" w:fill="FFFFFF"/>
          </w:tcPr>
          <w:p w14:paraId="552B3248"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Heavy fuel oil (thousand tons)</w:t>
            </w:r>
          </w:p>
        </w:tc>
        <w:tc>
          <w:tcPr>
            <w:tcW w:w="959" w:type="pct"/>
            <w:tcBorders>
              <w:left w:val="nil"/>
              <w:right w:val="nil"/>
            </w:tcBorders>
          </w:tcPr>
          <w:p w14:paraId="7534E705"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136</w:t>
            </w:r>
          </w:p>
        </w:tc>
        <w:tc>
          <w:tcPr>
            <w:tcW w:w="959" w:type="pct"/>
            <w:tcBorders>
              <w:left w:val="nil"/>
              <w:right w:val="nil"/>
            </w:tcBorders>
          </w:tcPr>
          <w:p w14:paraId="098F961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w:t>
            </w:r>
          </w:p>
        </w:tc>
        <w:tc>
          <w:tcPr>
            <w:tcW w:w="959" w:type="pct"/>
            <w:tcBorders>
              <w:left w:val="nil"/>
              <w:right w:val="nil"/>
            </w:tcBorders>
          </w:tcPr>
          <w:p w14:paraId="647EB491"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14</w:t>
            </w:r>
          </w:p>
        </w:tc>
        <w:tc>
          <w:tcPr>
            <w:tcW w:w="960" w:type="pct"/>
            <w:tcBorders>
              <w:left w:val="nil"/>
              <w:right w:val="single" w:sz="4" w:space="0" w:color="4F81BD"/>
            </w:tcBorders>
          </w:tcPr>
          <w:p w14:paraId="6BE21D4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w:t>
            </w:r>
          </w:p>
        </w:tc>
      </w:tr>
      <w:tr w:rsidR="000B7923" w:rsidRPr="002B1DFC" w14:paraId="14A6F834" w14:textId="77777777">
        <w:tc>
          <w:tcPr>
            <w:tcW w:w="1163" w:type="pct"/>
            <w:tcBorders>
              <w:top w:val="nil"/>
              <w:left w:val="single" w:sz="4" w:space="0" w:color="4F81BD"/>
              <w:bottom w:val="nil"/>
              <w:right w:val="nil"/>
            </w:tcBorders>
            <w:shd w:val="clear" w:color="auto" w:fill="FFFFFF"/>
          </w:tcPr>
          <w:p w14:paraId="5E4338E7"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Per capita gross regional product (UAH) (2013)</w:t>
            </w:r>
            <w:r w:rsidRPr="002B1DFC">
              <w:rPr>
                <w:rFonts w:eastAsia="Times New Roman" w:cs="Times New Roman"/>
                <w:b/>
                <w:bCs/>
                <w:sz w:val="20"/>
                <w:szCs w:val="20"/>
              </w:rPr>
              <w:tab/>
            </w:r>
          </w:p>
        </w:tc>
        <w:tc>
          <w:tcPr>
            <w:tcW w:w="959" w:type="pct"/>
            <w:tcBorders>
              <w:top w:val="nil"/>
              <w:left w:val="nil"/>
              <w:bottom w:val="nil"/>
              <w:right w:val="nil"/>
            </w:tcBorders>
          </w:tcPr>
          <w:p w14:paraId="53EAE99B"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33,473</w:t>
            </w:r>
          </w:p>
        </w:tc>
        <w:tc>
          <w:tcPr>
            <w:tcW w:w="959" w:type="pct"/>
            <w:tcBorders>
              <w:top w:val="nil"/>
              <w:left w:val="nil"/>
              <w:bottom w:val="nil"/>
              <w:right w:val="nil"/>
            </w:tcBorders>
          </w:tcPr>
          <w:p w14:paraId="7610CA87"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24,022</w:t>
            </w:r>
          </w:p>
        </w:tc>
        <w:tc>
          <w:tcPr>
            <w:tcW w:w="959" w:type="pct"/>
            <w:tcBorders>
              <w:top w:val="nil"/>
              <w:left w:val="nil"/>
              <w:bottom w:val="nil"/>
              <w:right w:val="nil"/>
            </w:tcBorders>
          </w:tcPr>
          <w:p w14:paraId="7D369A78"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39,962</w:t>
            </w:r>
          </w:p>
        </w:tc>
        <w:tc>
          <w:tcPr>
            <w:tcW w:w="960" w:type="pct"/>
            <w:tcBorders>
              <w:top w:val="nil"/>
              <w:left w:val="nil"/>
              <w:bottom w:val="nil"/>
              <w:right w:val="single" w:sz="4" w:space="0" w:color="4F81BD"/>
            </w:tcBorders>
          </w:tcPr>
          <w:p w14:paraId="32D0F07F"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22,303</w:t>
            </w:r>
          </w:p>
        </w:tc>
      </w:tr>
      <w:tr w:rsidR="000B7923" w:rsidRPr="002B1DFC" w14:paraId="1D312CE7" w14:textId="77777777">
        <w:tc>
          <w:tcPr>
            <w:tcW w:w="1163" w:type="pct"/>
            <w:tcBorders>
              <w:left w:val="single" w:sz="4" w:space="0" w:color="4F81BD"/>
              <w:right w:val="nil"/>
            </w:tcBorders>
            <w:shd w:val="clear" w:color="auto" w:fill="FFFFFF"/>
          </w:tcPr>
          <w:p w14:paraId="648CA1FA"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Key Economic Activities</w:t>
            </w:r>
          </w:p>
        </w:tc>
        <w:tc>
          <w:tcPr>
            <w:tcW w:w="959" w:type="pct"/>
            <w:tcBorders>
              <w:left w:val="nil"/>
              <w:right w:val="nil"/>
            </w:tcBorders>
          </w:tcPr>
          <w:p w14:paraId="022EF1C7" w14:textId="77777777" w:rsidR="000B7923" w:rsidRPr="002B1DFC" w:rsidRDefault="000B7923" w:rsidP="00F441C6">
            <w:pPr>
              <w:jc w:val="left"/>
              <w:rPr>
                <w:rFonts w:eastAsia="Times New Roman" w:cs="Times New Roman"/>
                <w:sz w:val="20"/>
                <w:szCs w:val="20"/>
              </w:rPr>
            </w:pPr>
          </w:p>
        </w:tc>
        <w:tc>
          <w:tcPr>
            <w:tcW w:w="959" w:type="pct"/>
            <w:tcBorders>
              <w:left w:val="nil"/>
              <w:right w:val="nil"/>
            </w:tcBorders>
          </w:tcPr>
          <w:p w14:paraId="5DFE1FBB" w14:textId="77777777" w:rsidR="000B7923" w:rsidRPr="002B1DFC" w:rsidRDefault="000B7923" w:rsidP="00F441C6">
            <w:pPr>
              <w:jc w:val="left"/>
              <w:rPr>
                <w:rFonts w:eastAsia="Times New Roman" w:cs="Times New Roman"/>
                <w:sz w:val="20"/>
                <w:szCs w:val="20"/>
              </w:rPr>
            </w:pPr>
          </w:p>
        </w:tc>
        <w:tc>
          <w:tcPr>
            <w:tcW w:w="959" w:type="pct"/>
            <w:tcBorders>
              <w:left w:val="nil"/>
              <w:right w:val="nil"/>
            </w:tcBorders>
          </w:tcPr>
          <w:p w14:paraId="79142ADD" w14:textId="77777777" w:rsidR="000B7923" w:rsidRPr="002B1DFC" w:rsidRDefault="000B7923" w:rsidP="00F441C6">
            <w:pPr>
              <w:jc w:val="left"/>
              <w:rPr>
                <w:rFonts w:eastAsia="Times New Roman" w:cs="Times New Roman"/>
                <w:sz w:val="20"/>
                <w:szCs w:val="20"/>
              </w:rPr>
            </w:pPr>
          </w:p>
        </w:tc>
        <w:tc>
          <w:tcPr>
            <w:tcW w:w="960" w:type="pct"/>
            <w:tcBorders>
              <w:left w:val="nil"/>
              <w:right w:val="single" w:sz="4" w:space="0" w:color="4F81BD"/>
            </w:tcBorders>
          </w:tcPr>
          <w:p w14:paraId="15BD60A4" w14:textId="77777777" w:rsidR="000B7923" w:rsidRPr="002B1DFC" w:rsidRDefault="000B7923" w:rsidP="00F441C6">
            <w:pPr>
              <w:jc w:val="left"/>
              <w:rPr>
                <w:rFonts w:eastAsia="Times New Roman" w:cs="Times New Roman"/>
                <w:sz w:val="20"/>
                <w:szCs w:val="20"/>
              </w:rPr>
            </w:pPr>
          </w:p>
        </w:tc>
      </w:tr>
      <w:tr w:rsidR="000B7923" w:rsidRPr="002B1DFC" w14:paraId="425715D9" w14:textId="77777777">
        <w:tc>
          <w:tcPr>
            <w:tcW w:w="1163" w:type="pct"/>
            <w:tcBorders>
              <w:top w:val="nil"/>
              <w:left w:val="single" w:sz="4" w:space="0" w:color="4F81BD"/>
              <w:bottom w:val="nil"/>
              <w:right w:val="nil"/>
            </w:tcBorders>
            <w:shd w:val="clear" w:color="auto" w:fill="FFFFFF"/>
          </w:tcPr>
          <w:p w14:paraId="02944BAD"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Emission of pollutants into the atmosphere, by region</w:t>
            </w:r>
          </w:p>
        </w:tc>
        <w:tc>
          <w:tcPr>
            <w:tcW w:w="959" w:type="pct"/>
            <w:tcBorders>
              <w:top w:val="nil"/>
              <w:left w:val="nil"/>
              <w:bottom w:val="nil"/>
              <w:right w:val="nil"/>
            </w:tcBorders>
          </w:tcPr>
          <w:p w14:paraId="0E27D057"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6</w:t>
            </w:r>
            <w:r w:rsidR="006020B3">
              <w:rPr>
                <w:rFonts w:eastAsia="Times New Roman" w:cs="Times New Roman"/>
                <w:sz w:val="20"/>
                <w:szCs w:val="20"/>
              </w:rPr>
              <w:t>,</w:t>
            </w:r>
            <w:r w:rsidRPr="002B1DFC">
              <w:rPr>
                <w:rFonts w:eastAsia="Times New Roman" w:cs="Times New Roman"/>
                <w:sz w:val="20"/>
                <w:szCs w:val="20"/>
              </w:rPr>
              <w:t>719</w:t>
            </w:r>
            <w:r w:rsidR="006020B3">
              <w:rPr>
                <w:rFonts w:eastAsia="Times New Roman" w:cs="Times New Roman"/>
                <w:sz w:val="20"/>
                <w:szCs w:val="20"/>
              </w:rPr>
              <w:t>.</w:t>
            </w:r>
            <w:r w:rsidRPr="002B1DFC">
              <w:rPr>
                <w:rFonts w:eastAsia="Times New Roman" w:cs="Times New Roman"/>
                <w:sz w:val="20"/>
                <w:szCs w:val="20"/>
              </w:rPr>
              <w:t xml:space="preserve">8 </w:t>
            </w:r>
            <w:r w:rsidR="006020B3">
              <w:rPr>
                <w:rFonts w:eastAsia="Times New Roman" w:cs="Times New Roman"/>
                <w:sz w:val="20"/>
                <w:szCs w:val="20"/>
              </w:rPr>
              <w:t>t</w:t>
            </w:r>
            <w:r w:rsidRPr="002B1DFC">
              <w:rPr>
                <w:rFonts w:eastAsia="Times New Roman" w:cs="Times New Roman"/>
                <w:sz w:val="20"/>
                <w:szCs w:val="20"/>
              </w:rPr>
              <w:t>otal, thsd.t</w:t>
            </w:r>
          </w:p>
          <w:p w14:paraId="28705EB2" w14:textId="77777777" w:rsidR="000B7923" w:rsidRPr="002B1DFC" w:rsidRDefault="000B7923" w:rsidP="003F0B09">
            <w:pPr>
              <w:jc w:val="left"/>
              <w:rPr>
                <w:rFonts w:eastAsia="Times New Roman" w:cs="Times New Roman"/>
                <w:sz w:val="20"/>
                <w:szCs w:val="20"/>
              </w:rPr>
            </w:pPr>
            <w:r w:rsidRPr="002B1DFC">
              <w:rPr>
                <w:rFonts w:eastAsia="Times New Roman" w:cs="Times New Roman"/>
                <w:sz w:val="20"/>
                <w:szCs w:val="20"/>
              </w:rPr>
              <w:t>11.1</w:t>
            </w:r>
            <w:r w:rsidRPr="002B1DFC">
              <w:rPr>
                <w:rFonts w:eastAsia="Times New Roman" w:cs="Times New Roman"/>
                <w:b/>
                <w:bCs/>
                <w:sz w:val="20"/>
                <w:szCs w:val="20"/>
              </w:rPr>
              <w:t xml:space="preserve"> </w:t>
            </w:r>
            <w:r w:rsidR="00781B71" w:rsidRPr="0061686D">
              <w:rPr>
                <w:rFonts w:eastAsia="Times New Roman" w:cs="Times New Roman"/>
                <w:bCs/>
                <w:sz w:val="20"/>
                <w:szCs w:val="20"/>
              </w:rPr>
              <w:t xml:space="preserve">per </w:t>
            </w:r>
            <w:r w:rsidRPr="002B1DFC">
              <w:rPr>
                <w:rFonts w:eastAsia="Times New Roman" w:cs="Times New Roman"/>
                <w:sz w:val="20"/>
                <w:szCs w:val="20"/>
              </w:rPr>
              <w:t>km</w:t>
            </w:r>
            <w:r w:rsidR="00781B71">
              <w:rPr>
                <w:rFonts w:eastAsia="Times New Roman" w:cs="Times New Roman"/>
                <w:sz w:val="20"/>
                <w:szCs w:val="20"/>
                <w:vertAlign w:val="superscript"/>
              </w:rPr>
              <w:t>2</w:t>
            </w:r>
            <w:r w:rsidRPr="002B1DFC">
              <w:rPr>
                <w:rFonts w:eastAsia="Times New Roman" w:cs="Times New Roman"/>
                <w:sz w:val="20"/>
                <w:szCs w:val="20"/>
              </w:rPr>
              <w:t>, t</w:t>
            </w:r>
          </w:p>
        </w:tc>
        <w:tc>
          <w:tcPr>
            <w:tcW w:w="959" w:type="pct"/>
            <w:tcBorders>
              <w:top w:val="nil"/>
              <w:left w:val="nil"/>
              <w:bottom w:val="nil"/>
              <w:right w:val="nil"/>
            </w:tcBorders>
          </w:tcPr>
          <w:p w14:paraId="79ED88E9"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253</w:t>
            </w:r>
            <w:r w:rsidR="006020B3">
              <w:rPr>
                <w:rFonts w:eastAsia="Times New Roman" w:cs="Times New Roman"/>
                <w:sz w:val="20"/>
                <w:szCs w:val="20"/>
              </w:rPr>
              <w:t>.</w:t>
            </w:r>
            <w:r w:rsidRPr="002B1DFC">
              <w:rPr>
                <w:rFonts w:eastAsia="Times New Roman" w:cs="Times New Roman"/>
                <w:sz w:val="20"/>
                <w:szCs w:val="20"/>
              </w:rPr>
              <w:t xml:space="preserve">5 </w:t>
            </w:r>
            <w:r w:rsidR="006020B3">
              <w:rPr>
                <w:rFonts w:eastAsia="Times New Roman" w:cs="Times New Roman"/>
                <w:sz w:val="20"/>
                <w:szCs w:val="20"/>
              </w:rPr>
              <w:t>t</w:t>
            </w:r>
            <w:r w:rsidRPr="002B1DFC">
              <w:rPr>
                <w:rFonts w:eastAsia="Times New Roman" w:cs="Times New Roman"/>
                <w:sz w:val="20"/>
                <w:szCs w:val="20"/>
              </w:rPr>
              <w:t>otal, thsd.t</w:t>
            </w:r>
          </w:p>
          <w:p w14:paraId="28AA3FF7" w14:textId="77777777" w:rsidR="000B7923" w:rsidRPr="002B1DFC" w:rsidRDefault="000B7923" w:rsidP="003F0B09">
            <w:pPr>
              <w:jc w:val="left"/>
              <w:rPr>
                <w:rFonts w:eastAsia="Times New Roman" w:cs="Times New Roman"/>
                <w:sz w:val="20"/>
                <w:szCs w:val="20"/>
              </w:rPr>
            </w:pPr>
            <w:r w:rsidRPr="002B1DFC">
              <w:rPr>
                <w:rFonts w:eastAsia="Times New Roman" w:cs="Times New Roman"/>
                <w:sz w:val="20"/>
                <w:szCs w:val="20"/>
              </w:rPr>
              <w:t xml:space="preserve">18.2 </w:t>
            </w:r>
            <w:r w:rsidR="00781B71">
              <w:rPr>
                <w:rFonts w:eastAsia="Times New Roman" w:cs="Times New Roman"/>
                <w:sz w:val="20"/>
                <w:szCs w:val="20"/>
              </w:rPr>
              <w:t xml:space="preserve">per </w:t>
            </w:r>
            <w:r w:rsidRPr="002B1DFC">
              <w:rPr>
                <w:rFonts w:eastAsia="Times New Roman" w:cs="Times New Roman"/>
                <w:sz w:val="20"/>
                <w:szCs w:val="20"/>
              </w:rPr>
              <w:t>km</w:t>
            </w:r>
            <w:r w:rsidR="00781B71">
              <w:rPr>
                <w:rFonts w:eastAsia="Times New Roman" w:cs="Times New Roman"/>
                <w:sz w:val="20"/>
                <w:szCs w:val="20"/>
                <w:vertAlign w:val="superscript"/>
              </w:rPr>
              <w:t>2</w:t>
            </w:r>
            <w:r w:rsidRPr="002B1DFC">
              <w:rPr>
                <w:rFonts w:eastAsia="Times New Roman" w:cs="Times New Roman"/>
                <w:sz w:val="20"/>
                <w:szCs w:val="20"/>
              </w:rPr>
              <w:t>, t</w:t>
            </w:r>
          </w:p>
        </w:tc>
        <w:tc>
          <w:tcPr>
            <w:tcW w:w="959" w:type="pct"/>
            <w:tcBorders>
              <w:top w:val="nil"/>
              <w:left w:val="nil"/>
              <w:bottom w:val="nil"/>
              <w:right w:val="nil"/>
            </w:tcBorders>
          </w:tcPr>
          <w:p w14:paraId="2664C12C"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176</w:t>
            </w:r>
            <w:r w:rsidR="006020B3">
              <w:rPr>
                <w:rFonts w:eastAsia="Times New Roman" w:cs="Times New Roman"/>
                <w:sz w:val="20"/>
                <w:szCs w:val="20"/>
              </w:rPr>
              <w:t>.</w:t>
            </w:r>
            <w:r w:rsidRPr="002B1DFC">
              <w:rPr>
                <w:rFonts w:eastAsia="Times New Roman" w:cs="Times New Roman"/>
                <w:sz w:val="20"/>
                <w:szCs w:val="20"/>
              </w:rPr>
              <w:t xml:space="preserve">6 </w:t>
            </w:r>
            <w:r w:rsidR="006020B3">
              <w:rPr>
                <w:rFonts w:eastAsia="Times New Roman" w:cs="Times New Roman"/>
                <w:sz w:val="20"/>
                <w:szCs w:val="20"/>
              </w:rPr>
              <w:t>t</w:t>
            </w:r>
            <w:r w:rsidRPr="002B1DFC">
              <w:rPr>
                <w:rFonts w:eastAsia="Times New Roman" w:cs="Times New Roman"/>
                <w:sz w:val="20"/>
                <w:szCs w:val="20"/>
              </w:rPr>
              <w:t>otal, thsd.t</w:t>
            </w:r>
          </w:p>
          <w:p w14:paraId="025371A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6.1</w:t>
            </w:r>
            <w:r w:rsidR="00781B71">
              <w:rPr>
                <w:rFonts w:eastAsia="Times New Roman" w:cs="Times New Roman"/>
                <w:sz w:val="20"/>
                <w:szCs w:val="20"/>
              </w:rPr>
              <w:t xml:space="preserve"> per </w:t>
            </w:r>
            <w:r w:rsidRPr="002B1DFC">
              <w:rPr>
                <w:rFonts w:eastAsia="Times New Roman" w:cs="Times New Roman"/>
                <w:sz w:val="20"/>
                <w:szCs w:val="20"/>
              </w:rPr>
              <w:t>km</w:t>
            </w:r>
            <w:r w:rsidR="00781B71">
              <w:rPr>
                <w:rFonts w:eastAsia="Times New Roman" w:cs="Times New Roman"/>
                <w:sz w:val="20"/>
                <w:szCs w:val="20"/>
                <w:vertAlign w:val="superscript"/>
              </w:rPr>
              <w:t>2</w:t>
            </w:r>
            <w:r w:rsidRPr="002B1DFC">
              <w:rPr>
                <w:rFonts w:eastAsia="Times New Roman" w:cs="Times New Roman"/>
                <w:sz w:val="20"/>
                <w:szCs w:val="20"/>
              </w:rPr>
              <w:t>, t</w:t>
            </w:r>
          </w:p>
        </w:tc>
        <w:tc>
          <w:tcPr>
            <w:tcW w:w="960" w:type="pct"/>
            <w:tcBorders>
              <w:top w:val="nil"/>
              <w:left w:val="nil"/>
              <w:bottom w:val="nil"/>
              <w:right w:val="single" w:sz="4" w:space="0" w:color="4F81BD"/>
            </w:tcBorders>
          </w:tcPr>
          <w:p w14:paraId="563CD8A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229</w:t>
            </w:r>
            <w:r w:rsidR="006020B3">
              <w:rPr>
                <w:rFonts w:eastAsia="Times New Roman" w:cs="Times New Roman"/>
                <w:sz w:val="20"/>
                <w:szCs w:val="20"/>
              </w:rPr>
              <w:t>.</w:t>
            </w:r>
            <w:r w:rsidRPr="002B1DFC">
              <w:rPr>
                <w:rFonts w:eastAsia="Times New Roman" w:cs="Times New Roman"/>
                <w:sz w:val="20"/>
                <w:szCs w:val="20"/>
              </w:rPr>
              <w:t xml:space="preserve">0 </w:t>
            </w:r>
            <w:r w:rsidR="006020B3">
              <w:rPr>
                <w:rFonts w:eastAsia="Times New Roman" w:cs="Times New Roman"/>
                <w:sz w:val="20"/>
                <w:szCs w:val="20"/>
              </w:rPr>
              <w:t>t</w:t>
            </w:r>
            <w:r w:rsidRPr="002B1DFC">
              <w:rPr>
                <w:rFonts w:eastAsia="Times New Roman" w:cs="Times New Roman"/>
                <w:sz w:val="20"/>
                <w:szCs w:val="20"/>
              </w:rPr>
              <w:t>otal, thsd.t</w:t>
            </w:r>
          </w:p>
          <w:p w14:paraId="774F901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8.6 </w:t>
            </w:r>
            <w:r w:rsidR="00781B71">
              <w:rPr>
                <w:rFonts w:eastAsia="Times New Roman" w:cs="Times New Roman"/>
                <w:sz w:val="20"/>
                <w:szCs w:val="20"/>
              </w:rPr>
              <w:t xml:space="preserve">per </w:t>
            </w:r>
            <w:r w:rsidRPr="002B1DFC">
              <w:rPr>
                <w:rFonts w:eastAsia="Times New Roman" w:cs="Times New Roman"/>
                <w:sz w:val="20"/>
                <w:szCs w:val="20"/>
              </w:rPr>
              <w:t>km</w:t>
            </w:r>
            <w:r w:rsidR="00781B71">
              <w:rPr>
                <w:rFonts w:eastAsia="Times New Roman" w:cs="Times New Roman"/>
                <w:sz w:val="20"/>
                <w:szCs w:val="20"/>
                <w:vertAlign w:val="superscript"/>
              </w:rPr>
              <w:t>2</w:t>
            </w:r>
            <w:r w:rsidRPr="002B1DFC">
              <w:rPr>
                <w:rFonts w:eastAsia="Times New Roman" w:cs="Times New Roman"/>
                <w:sz w:val="20"/>
                <w:szCs w:val="20"/>
              </w:rPr>
              <w:t>, t</w:t>
            </w:r>
          </w:p>
        </w:tc>
      </w:tr>
      <w:tr w:rsidR="000B7923" w:rsidRPr="002B1DFC" w14:paraId="57BA9A13" w14:textId="77777777">
        <w:tc>
          <w:tcPr>
            <w:tcW w:w="1163" w:type="pct"/>
            <w:tcBorders>
              <w:left w:val="single" w:sz="4" w:space="0" w:color="4F81BD"/>
              <w:right w:val="nil"/>
            </w:tcBorders>
            <w:shd w:val="clear" w:color="auto" w:fill="FFFFFF"/>
          </w:tcPr>
          <w:p w14:paraId="21EE03DF"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Generation of wastes (thsd.t)</w:t>
            </w:r>
          </w:p>
        </w:tc>
        <w:tc>
          <w:tcPr>
            <w:tcW w:w="959" w:type="pct"/>
            <w:tcBorders>
              <w:left w:val="nil"/>
              <w:right w:val="nil"/>
            </w:tcBorders>
          </w:tcPr>
          <w:p w14:paraId="431733EA" w14:textId="77777777" w:rsidR="000B7923" w:rsidRPr="002B1DFC" w:rsidRDefault="000B7923" w:rsidP="00F441C6">
            <w:pPr>
              <w:jc w:val="left"/>
              <w:rPr>
                <w:rFonts w:eastAsia="Times New Roman" w:cs="Times New Roman"/>
                <w:sz w:val="20"/>
                <w:szCs w:val="20"/>
              </w:rPr>
            </w:pPr>
          </w:p>
        </w:tc>
        <w:tc>
          <w:tcPr>
            <w:tcW w:w="959" w:type="pct"/>
            <w:tcBorders>
              <w:left w:val="nil"/>
              <w:right w:val="nil"/>
            </w:tcBorders>
          </w:tcPr>
          <w:p w14:paraId="6C2F70CC" w14:textId="77777777" w:rsidR="000B7923" w:rsidRPr="002B1DFC" w:rsidRDefault="000B7923" w:rsidP="00F441C6">
            <w:pPr>
              <w:jc w:val="left"/>
              <w:rPr>
                <w:rFonts w:eastAsia="Times New Roman" w:cs="Times New Roman"/>
                <w:sz w:val="20"/>
                <w:szCs w:val="20"/>
              </w:rPr>
            </w:pPr>
          </w:p>
        </w:tc>
        <w:tc>
          <w:tcPr>
            <w:tcW w:w="959" w:type="pct"/>
            <w:tcBorders>
              <w:left w:val="nil"/>
              <w:right w:val="nil"/>
            </w:tcBorders>
          </w:tcPr>
          <w:p w14:paraId="73072550" w14:textId="77777777" w:rsidR="000B7923" w:rsidRPr="002B1DFC" w:rsidRDefault="000B7923" w:rsidP="00F441C6">
            <w:pPr>
              <w:jc w:val="left"/>
              <w:rPr>
                <w:rFonts w:eastAsia="Times New Roman" w:cs="Times New Roman"/>
                <w:sz w:val="20"/>
                <w:szCs w:val="20"/>
              </w:rPr>
            </w:pPr>
          </w:p>
        </w:tc>
        <w:tc>
          <w:tcPr>
            <w:tcW w:w="960" w:type="pct"/>
            <w:tcBorders>
              <w:left w:val="nil"/>
              <w:right w:val="single" w:sz="4" w:space="0" w:color="4F81BD"/>
            </w:tcBorders>
          </w:tcPr>
          <w:p w14:paraId="742F5AC8" w14:textId="77777777" w:rsidR="000B7923" w:rsidRPr="002B1DFC" w:rsidRDefault="000B7923" w:rsidP="00F441C6">
            <w:pPr>
              <w:jc w:val="left"/>
              <w:rPr>
                <w:rFonts w:eastAsia="Times New Roman" w:cs="Times New Roman"/>
                <w:sz w:val="20"/>
                <w:szCs w:val="20"/>
              </w:rPr>
            </w:pPr>
          </w:p>
        </w:tc>
      </w:tr>
      <w:tr w:rsidR="000B7923" w:rsidRPr="002B1DFC" w14:paraId="126A981E" w14:textId="77777777">
        <w:tc>
          <w:tcPr>
            <w:tcW w:w="1163" w:type="pct"/>
            <w:tcBorders>
              <w:top w:val="nil"/>
              <w:left w:val="single" w:sz="4" w:space="0" w:color="4F81BD"/>
              <w:bottom w:val="nil"/>
              <w:right w:val="nil"/>
            </w:tcBorders>
            <w:shd w:val="clear" w:color="auto" w:fill="FFFFFF"/>
          </w:tcPr>
          <w:p w14:paraId="2CB5A8A4"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1</w:t>
            </w:r>
            <w:r w:rsidRPr="002B1DFC">
              <w:rPr>
                <w:rFonts w:eastAsia="Times New Roman" w:cs="Times New Roman"/>
                <w:sz w:val="20"/>
                <w:szCs w:val="20"/>
                <w:vertAlign w:val="superscript"/>
              </w:rPr>
              <w:t>st</w:t>
            </w:r>
            <w:r w:rsidR="00781B71">
              <w:rPr>
                <w:rFonts w:eastAsia="Times New Roman" w:cs="Times New Roman"/>
                <w:sz w:val="20"/>
                <w:szCs w:val="20"/>
              </w:rPr>
              <w:t>–</w:t>
            </w:r>
            <w:r w:rsidRPr="002B1DFC">
              <w:rPr>
                <w:rFonts w:eastAsia="Times New Roman" w:cs="Times New Roman"/>
                <w:sz w:val="20"/>
                <w:szCs w:val="20"/>
              </w:rPr>
              <w:t>4</w:t>
            </w:r>
            <w:r w:rsidRPr="002B1DFC">
              <w:rPr>
                <w:rFonts w:eastAsia="Times New Roman" w:cs="Times New Roman"/>
                <w:sz w:val="20"/>
                <w:szCs w:val="20"/>
                <w:vertAlign w:val="superscript"/>
              </w:rPr>
              <w:t>th</w:t>
            </w:r>
            <w:r w:rsidRPr="002B1DFC">
              <w:rPr>
                <w:rFonts w:eastAsia="Times New Roman" w:cs="Times New Roman"/>
                <w:sz w:val="20"/>
                <w:szCs w:val="20"/>
              </w:rPr>
              <w:t xml:space="preserve"> hazard category</w:t>
            </w:r>
          </w:p>
        </w:tc>
        <w:tc>
          <w:tcPr>
            <w:tcW w:w="959" w:type="pct"/>
            <w:tcBorders>
              <w:top w:val="nil"/>
              <w:left w:val="nil"/>
              <w:bottom w:val="nil"/>
              <w:right w:val="nil"/>
            </w:tcBorders>
          </w:tcPr>
          <w:p w14:paraId="501357F8"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448,118 </w:t>
            </w:r>
          </w:p>
        </w:tc>
        <w:tc>
          <w:tcPr>
            <w:tcW w:w="959" w:type="pct"/>
            <w:tcBorders>
              <w:top w:val="nil"/>
              <w:left w:val="nil"/>
              <w:bottom w:val="nil"/>
              <w:right w:val="nil"/>
            </w:tcBorders>
          </w:tcPr>
          <w:p w14:paraId="1122AE5F"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1,693 </w:t>
            </w:r>
          </w:p>
        </w:tc>
        <w:tc>
          <w:tcPr>
            <w:tcW w:w="959" w:type="pct"/>
            <w:tcBorders>
              <w:top w:val="nil"/>
              <w:left w:val="nil"/>
              <w:bottom w:val="nil"/>
              <w:right w:val="nil"/>
            </w:tcBorders>
          </w:tcPr>
          <w:p w14:paraId="7A882DDA"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5,899 </w:t>
            </w:r>
          </w:p>
        </w:tc>
        <w:tc>
          <w:tcPr>
            <w:tcW w:w="960" w:type="pct"/>
            <w:tcBorders>
              <w:top w:val="nil"/>
              <w:left w:val="nil"/>
              <w:bottom w:val="nil"/>
              <w:right w:val="single" w:sz="4" w:space="0" w:color="4F81BD"/>
            </w:tcBorders>
          </w:tcPr>
          <w:p w14:paraId="5553FF00"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2,907 </w:t>
            </w:r>
          </w:p>
        </w:tc>
      </w:tr>
      <w:tr w:rsidR="000B7923" w:rsidRPr="002B1DFC" w14:paraId="2EDC2177" w14:textId="77777777">
        <w:tc>
          <w:tcPr>
            <w:tcW w:w="1163" w:type="pct"/>
            <w:tcBorders>
              <w:left w:val="single" w:sz="4" w:space="0" w:color="4F81BD"/>
              <w:right w:val="nil"/>
            </w:tcBorders>
            <w:shd w:val="clear" w:color="auto" w:fill="FFFFFF"/>
          </w:tcPr>
          <w:p w14:paraId="1E5A66B4"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Including 1</w:t>
            </w:r>
            <w:r w:rsidRPr="002B1DFC">
              <w:rPr>
                <w:rFonts w:eastAsia="Times New Roman" w:cs="Times New Roman"/>
                <w:sz w:val="20"/>
                <w:szCs w:val="20"/>
                <w:vertAlign w:val="superscript"/>
              </w:rPr>
              <w:t>st</w:t>
            </w:r>
            <w:r w:rsidR="00781B71">
              <w:rPr>
                <w:rFonts w:eastAsia="Times New Roman" w:cs="Times New Roman"/>
                <w:sz w:val="20"/>
                <w:szCs w:val="20"/>
              </w:rPr>
              <w:t>–</w:t>
            </w:r>
            <w:r w:rsidRPr="002B1DFC">
              <w:rPr>
                <w:rFonts w:eastAsia="Times New Roman" w:cs="Times New Roman"/>
                <w:sz w:val="20"/>
                <w:szCs w:val="20"/>
              </w:rPr>
              <w:t>3</w:t>
            </w:r>
            <w:r w:rsidRPr="002B1DFC">
              <w:rPr>
                <w:rFonts w:eastAsia="Times New Roman" w:cs="Times New Roman"/>
                <w:sz w:val="20"/>
                <w:szCs w:val="20"/>
                <w:vertAlign w:val="superscript"/>
              </w:rPr>
              <w:t>rd</w:t>
            </w:r>
            <w:r w:rsidRPr="002B1DFC">
              <w:rPr>
                <w:rFonts w:eastAsia="Times New Roman" w:cs="Times New Roman"/>
                <w:sz w:val="20"/>
                <w:szCs w:val="20"/>
              </w:rPr>
              <w:t xml:space="preserve"> hazard category</w:t>
            </w:r>
          </w:p>
        </w:tc>
        <w:tc>
          <w:tcPr>
            <w:tcW w:w="959" w:type="pct"/>
            <w:tcBorders>
              <w:left w:val="nil"/>
              <w:right w:val="nil"/>
            </w:tcBorders>
          </w:tcPr>
          <w:p w14:paraId="0D22DCE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924</w:t>
            </w:r>
          </w:p>
        </w:tc>
        <w:tc>
          <w:tcPr>
            <w:tcW w:w="959" w:type="pct"/>
            <w:tcBorders>
              <w:left w:val="nil"/>
              <w:right w:val="nil"/>
            </w:tcBorders>
          </w:tcPr>
          <w:p w14:paraId="0D80AD9C"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5</w:t>
            </w:r>
          </w:p>
        </w:tc>
        <w:tc>
          <w:tcPr>
            <w:tcW w:w="959" w:type="pct"/>
            <w:tcBorders>
              <w:left w:val="nil"/>
              <w:right w:val="nil"/>
            </w:tcBorders>
          </w:tcPr>
          <w:p w14:paraId="1C90F58B"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131</w:t>
            </w:r>
          </w:p>
        </w:tc>
        <w:tc>
          <w:tcPr>
            <w:tcW w:w="960" w:type="pct"/>
            <w:tcBorders>
              <w:left w:val="nil"/>
              <w:right w:val="single" w:sz="4" w:space="0" w:color="4F81BD"/>
            </w:tcBorders>
          </w:tcPr>
          <w:p w14:paraId="00288DFF"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0.4</w:t>
            </w:r>
          </w:p>
        </w:tc>
      </w:tr>
      <w:tr w:rsidR="000B7923" w:rsidRPr="002B1DFC" w14:paraId="3750DD4F" w14:textId="77777777">
        <w:tc>
          <w:tcPr>
            <w:tcW w:w="1163" w:type="pct"/>
            <w:tcBorders>
              <w:top w:val="nil"/>
              <w:left w:val="single" w:sz="4" w:space="0" w:color="4F81BD"/>
              <w:bottom w:val="nil"/>
              <w:right w:val="nil"/>
            </w:tcBorders>
            <w:shd w:val="clear" w:color="auto" w:fill="FFFFFF"/>
          </w:tcPr>
          <w:p w14:paraId="4DFCA40E"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Stock of wastes</w:t>
            </w:r>
          </w:p>
        </w:tc>
        <w:tc>
          <w:tcPr>
            <w:tcW w:w="959" w:type="pct"/>
            <w:tcBorders>
              <w:top w:val="nil"/>
              <w:left w:val="nil"/>
              <w:bottom w:val="nil"/>
              <w:right w:val="nil"/>
            </w:tcBorders>
          </w:tcPr>
          <w:p w14:paraId="702E7C6F" w14:textId="77777777" w:rsidR="000B7923" w:rsidRPr="002B1DFC" w:rsidRDefault="000B7923" w:rsidP="00F441C6">
            <w:pPr>
              <w:jc w:val="left"/>
              <w:rPr>
                <w:rFonts w:eastAsia="Times New Roman" w:cs="Times New Roman"/>
                <w:sz w:val="20"/>
                <w:szCs w:val="20"/>
              </w:rPr>
            </w:pPr>
          </w:p>
        </w:tc>
        <w:tc>
          <w:tcPr>
            <w:tcW w:w="959" w:type="pct"/>
            <w:tcBorders>
              <w:top w:val="nil"/>
              <w:left w:val="nil"/>
              <w:bottom w:val="nil"/>
              <w:right w:val="nil"/>
            </w:tcBorders>
          </w:tcPr>
          <w:p w14:paraId="426895E0" w14:textId="77777777" w:rsidR="000B7923" w:rsidRPr="002B1DFC" w:rsidRDefault="000B7923" w:rsidP="00F441C6">
            <w:pPr>
              <w:jc w:val="left"/>
              <w:rPr>
                <w:rFonts w:eastAsia="Times New Roman" w:cs="Times New Roman"/>
                <w:sz w:val="20"/>
                <w:szCs w:val="20"/>
              </w:rPr>
            </w:pPr>
          </w:p>
        </w:tc>
        <w:tc>
          <w:tcPr>
            <w:tcW w:w="959" w:type="pct"/>
            <w:tcBorders>
              <w:top w:val="nil"/>
              <w:left w:val="nil"/>
              <w:bottom w:val="nil"/>
              <w:right w:val="nil"/>
            </w:tcBorders>
          </w:tcPr>
          <w:p w14:paraId="414A8D6A" w14:textId="77777777" w:rsidR="000B7923" w:rsidRPr="002B1DFC" w:rsidRDefault="000B7923" w:rsidP="00F441C6">
            <w:pPr>
              <w:jc w:val="left"/>
              <w:rPr>
                <w:rFonts w:eastAsia="Times New Roman" w:cs="Times New Roman"/>
                <w:sz w:val="20"/>
                <w:szCs w:val="20"/>
              </w:rPr>
            </w:pPr>
          </w:p>
        </w:tc>
        <w:tc>
          <w:tcPr>
            <w:tcW w:w="960" w:type="pct"/>
            <w:tcBorders>
              <w:top w:val="nil"/>
              <w:left w:val="nil"/>
              <w:bottom w:val="nil"/>
              <w:right w:val="single" w:sz="4" w:space="0" w:color="4F81BD"/>
            </w:tcBorders>
          </w:tcPr>
          <w:p w14:paraId="641FE995" w14:textId="77777777" w:rsidR="000B7923" w:rsidRPr="002B1DFC" w:rsidRDefault="000B7923" w:rsidP="00F441C6">
            <w:pPr>
              <w:jc w:val="left"/>
              <w:rPr>
                <w:rFonts w:eastAsia="Times New Roman" w:cs="Times New Roman"/>
                <w:sz w:val="20"/>
                <w:szCs w:val="20"/>
              </w:rPr>
            </w:pPr>
          </w:p>
        </w:tc>
      </w:tr>
      <w:tr w:rsidR="000B7923" w:rsidRPr="002B1DFC" w14:paraId="5228B7C7" w14:textId="77777777">
        <w:tc>
          <w:tcPr>
            <w:tcW w:w="1163" w:type="pct"/>
            <w:tcBorders>
              <w:left w:val="single" w:sz="4" w:space="0" w:color="4F81BD"/>
              <w:right w:val="nil"/>
            </w:tcBorders>
            <w:shd w:val="clear" w:color="auto" w:fill="FFFFFF"/>
          </w:tcPr>
          <w:p w14:paraId="3446F3EB"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1</w:t>
            </w:r>
            <w:r w:rsidRPr="002B1DFC">
              <w:rPr>
                <w:rFonts w:eastAsia="Times New Roman" w:cs="Times New Roman"/>
                <w:sz w:val="20"/>
                <w:szCs w:val="20"/>
                <w:vertAlign w:val="superscript"/>
              </w:rPr>
              <w:t>st</w:t>
            </w:r>
            <w:r w:rsidR="00781B71">
              <w:rPr>
                <w:rFonts w:eastAsia="Times New Roman" w:cs="Times New Roman"/>
                <w:sz w:val="20"/>
                <w:szCs w:val="20"/>
              </w:rPr>
              <w:t>–</w:t>
            </w:r>
            <w:r w:rsidRPr="002B1DFC">
              <w:rPr>
                <w:rFonts w:eastAsia="Times New Roman" w:cs="Times New Roman"/>
                <w:sz w:val="20"/>
                <w:szCs w:val="20"/>
              </w:rPr>
              <w:t>4</w:t>
            </w:r>
            <w:r w:rsidRPr="002B1DFC">
              <w:rPr>
                <w:rFonts w:eastAsia="Times New Roman" w:cs="Times New Roman"/>
                <w:sz w:val="20"/>
                <w:szCs w:val="20"/>
                <w:vertAlign w:val="superscript"/>
              </w:rPr>
              <w:t>th</w:t>
            </w:r>
            <w:r w:rsidRPr="002B1DFC">
              <w:rPr>
                <w:rFonts w:eastAsia="Times New Roman" w:cs="Times New Roman"/>
                <w:sz w:val="20"/>
                <w:szCs w:val="20"/>
              </w:rPr>
              <w:t xml:space="preserve"> hazard category</w:t>
            </w:r>
          </w:p>
        </w:tc>
        <w:tc>
          <w:tcPr>
            <w:tcW w:w="959" w:type="pct"/>
            <w:tcBorders>
              <w:left w:val="nil"/>
              <w:right w:val="nil"/>
            </w:tcBorders>
          </w:tcPr>
          <w:p w14:paraId="21085E8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15,167,369 </w:t>
            </w:r>
          </w:p>
        </w:tc>
        <w:tc>
          <w:tcPr>
            <w:tcW w:w="959" w:type="pct"/>
            <w:tcBorders>
              <w:left w:val="nil"/>
              <w:right w:val="nil"/>
            </w:tcBorders>
          </w:tcPr>
          <w:p w14:paraId="591E566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40,636 </w:t>
            </w:r>
          </w:p>
        </w:tc>
        <w:tc>
          <w:tcPr>
            <w:tcW w:w="959" w:type="pct"/>
            <w:tcBorders>
              <w:left w:val="nil"/>
              <w:right w:val="nil"/>
            </w:tcBorders>
          </w:tcPr>
          <w:p w14:paraId="7BE66C16"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25,628 </w:t>
            </w:r>
          </w:p>
        </w:tc>
        <w:tc>
          <w:tcPr>
            <w:tcW w:w="960" w:type="pct"/>
            <w:tcBorders>
              <w:left w:val="nil"/>
              <w:right w:val="single" w:sz="4" w:space="0" w:color="4F81BD"/>
            </w:tcBorders>
          </w:tcPr>
          <w:p w14:paraId="51CD75B0"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27,833 </w:t>
            </w:r>
          </w:p>
        </w:tc>
      </w:tr>
      <w:tr w:rsidR="000B7923" w:rsidRPr="002B1DFC" w14:paraId="1D46A999" w14:textId="77777777">
        <w:tc>
          <w:tcPr>
            <w:tcW w:w="1163" w:type="pct"/>
            <w:tcBorders>
              <w:top w:val="nil"/>
              <w:left w:val="single" w:sz="4" w:space="0" w:color="4F81BD"/>
              <w:bottom w:val="nil"/>
              <w:right w:val="nil"/>
            </w:tcBorders>
            <w:shd w:val="clear" w:color="auto" w:fill="FFFFFF"/>
          </w:tcPr>
          <w:p w14:paraId="7F1F3B22"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lastRenderedPageBreak/>
              <w:t>Including 1</w:t>
            </w:r>
            <w:r w:rsidRPr="002B1DFC">
              <w:rPr>
                <w:rFonts w:eastAsia="Times New Roman" w:cs="Times New Roman"/>
                <w:sz w:val="20"/>
                <w:szCs w:val="20"/>
                <w:vertAlign w:val="superscript"/>
              </w:rPr>
              <w:t>st</w:t>
            </w:r>
            <w:r w:rsidR="00781B71">
              <w:rPr>
                <w:rFonts w:eastAsia="Times New Roman" w:cs="Times New Roman"/>
                <w:sz w:val="20"/>
                <w:szCs w:val="20"/>
              </w:rPr>
              <w:t>–</w:t>
            </w:r>
            <w:r w:rsidRPr="002B1DFC">
              <w:rPr>
                <w:rFonts w:eastAsia="Times New Roman" w:cs="Times New Roman"/>
                <w:sz w:val="20"/>
                <w:szCs w:val="20"/>
              </w:rPr>
              <w:t>3</w:t>
            </w:r>
            <w:r w:rsidRPr="002B1DFC">
              <w:rPr>
                <w:rFonts w:eastAsia="Times New Roman" w:cs="Times New Roman"/>
                <w:sz w:val="20"/>
                <w:szCs w:val="20"/>
                <w:vertAlign w:val="superscript"/>
              </w:rPr>
              <w:t>rd</w:t>
            </w:r>
            <w:r w:rsidRPr="002B1DFC">
              <w:rPr>
                <w:rFonts w:eastAsia="Times New Roman" w:cs="Times New Roman"/>
                <w:sz w:val="20"/>
                <w:szCs w:val="20"/>
              </w:rPr>
              <w:t xml:space="preserve"> hazard category</w:t>
            </w:r>
          </w:p>
        </w:tc>
        <w:tc>
          <w:tcPr>
            <w:tcW w:w="959" w:type="pct"/>
            <w:tcBorders>
              <w:top w:val="nil"/>
              <w:left w:val="nil"/>
              <w:bottom w:val="nil"/>
              <w:right w:val="nil"/>
            </w:tcBorders>
          </w:tcPr>
          <w:p w14:paraId="6C2C927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12,642</w:t>
            </w:r>
          </w:p>
        </w:tc>
        <w:tc>
          <w:tcPr>
            <w:tcW w:w="959" w:type="pct"/>
            <w:tcBorders>
              <w:top w:val="nil"/>
              <w:left w:val="nil"/>
              <w:bottom w:val="nil"/>
              <w:right w:val="nil"/>
            </w:tcBorders>
          </w:tcPr>
          <w:p w14:paraId="04FCD174"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74</w:t>
            </w:r>
          </w:p>
        </w:tc>
        <w:tc>
          <w:tcPr>
            <w:tcW w:w="959" w:type="pct"/>
            <w:tcBorders>
              <w:top w:val="nil"/>
              <w:left w:val="nil"/>
              <w:bottom w:val="nil"/>
              <w:right w:val="nil"/>
            </w:tcBorders>
          </w:tcPr>
          <w:p w14:paraId="71FC1559"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39</w:t>
            </w:r>
          </w:p>
        </w:tc>
        <w:tc>
          <w:tcPr>
            <w:tcW w:w="960" w:type="pct"/>
            <w:tcBorders>
              <w:top w:val="nil"/>
              <w:left w:val="nil"/>
              <w:bottom w:val="nil"/>
              <w:right w:val="single" w:sz="4" w:space="0" w:color="4F81BD"/>
            </w:tcBorders>
          </w:tcPr>
          <w:p w14:paraId="6ECBD8BC"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0.2</w:t>
            </w:r>
          </w:p>
        </w:tc>
      </w:tr>
      <w:tr w:rsidR="000B7923" w:rsidRPr="002B1DFC" w14:paraId="4C13AFEA" w14:textId="77777777">
        <w:tc>
          <w:tcPr>
            <w:tcW w:w="1163" w:type="pct"/>
            <w:tcBorders>
              <w:left w:val="single" w:sz="4" w:space="0" w:color="4F81BD"/>
              <w:right w:val="nil"/>
            </w:tcBorders>
            <w:shd w:val="clear" w:color="auto" w:fill="FFFFFF"/>
          </w:tcPr>
          <w:p w14:paraId="3AE50B74"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Main indicators of handling the wastes of the I</w:t>
            </w:r>
            <w:r w:rsidR="00781B71">
              <w:rPr>
                <w:rFonts w:eastAsia="Times New Roman" w:cs="Times New Roman"/>
                <w:b/>
                <w:bCs/>
                <w:sz w:val="20"/>
                <w:szCs w:val="20"/>
              </w:rPr>
              <w:t>–</w:t>
            </w:r>
            <w:r w:rsidRPr="002B1DFC">
              <w:rPr>
                <w:rFonts w:eastAsia="Times New Roman" w:cs="Times New Roman"/>
                <w:b/>
                <w:bCs/>
                <w:sz w:val="20"/>
                <w:szCs w:val="20"/>
              </w:rPr>
              <w:t>IV grades of hazard in 2014 (thousand tons)</w:t>
            </w:r>
          </w:p>
        </w:tc>
        <w:tc>
          <w:tcPr>
            <w:tcW w:w="959" w:type="pct"/>
            <w:tcBorders>
              <w:left w:val="nil"/>
              <w:right w:val="nil"/>
            </w:tcBorders>
          </w:tcPr>
          <w:p w14:paraId="7FF535CE" w14:textId="77777777" w:rsidR="000B7923" w:rsidRPr="002B1DFC" w:rsidRDefault="000B7923" w:rsidP="00F441C6">
            <w:pPr>
              <w:jc w:val="left"/>
              <w:rPr>
                <w:rFonts w:eastAsia="Times New Roman" w:cs="Times New Roman"/>
                <w:sz w:val="20"/>
                <w:szCs w:val="20"/>
              </w:rPr>
            </w:pPr>
          </w:p>
        </w:tc>
        <w:tc>
          <w:tcPr>
            <w:tcW w:w="959" w:type="pct"/>
            <w:tcBorders>
              <w:left w:val="nil"/>
              <w:right w:val="nil"/>
            </w:tcBorders>
          </w:tcPr>
          <w:p w14:paraId="7D1E29C7" w14:textId="77777777" w:rsidR="000B7923" w:rsidRPr="002B1DFC" w:rsidRDefault="000B7923" w:rsidP="00F441C6">
            <w:pPr>
              <w:jc w:val="left"/>
              <w:rPr>
                <w:rFonts w:eastAsia="Times New Roman" w:cs="Times New Roman"/>
                <w:sz w:val="20"/>
                <w:szCs w:val="20"/>
              </w:rPr>
            </w:pPr>
          </w:p>
        </w:tc>
        <w:tc>
          <w:tcPr>
            <w:tcW w:w="959" w:type="pct"/>
            <w:tcBorders>
              <w:left w:val="nil"/>
              <w:right w:val="nil"/>
            </w:tcBorders>
          </w:tcPr>
          <w:p w14:paraId="0935A092" w14:textId="77777777" w:rsidR="000B7923" w:rsidRPr="002B1DFC" w:rsidRDefault="000B7923" w:rsidP="00F441C6">
            <w:pPr>
              <w:jc w:val="left"/>
              <w:rPr>
                <w:rFonts w:eastAsia="Times New Roman" w:cs="Times New Roman"/>
                <w:sz w:val="20"/>
                <w:szCs w:val="20"/>
              </w:rPr>
            </w:pPr>
          </w:p>
        </w:tc>
        <w:tc>
          <w:tcPr>
            <w:tcW w:w="960" w:type="pct"/>
            <w:tcBorders>
              <w:left w:val="nil"/>
              <w:right w:val="single" w:sz="4" w:space="0" w:color="4F81BD"/>
            </w:tcBorders>
          </w:tcPr>
          <w:p w14:paraId="695DBC74" w14:textId="77777777" w:rsidR="000B7923" w:rsidRPr="002B1DFC" w:rsidRDefault="000B7923" w:rsidP="00F441C6">
            <w:pPr>
              <w:jc w:val="left"/>
              <w:rPr>
                <w:rFonts w:eastAsia="Times New Roman" w:cs="Times New Roman"/>
                <w:sz w:val="20"/>
                <w:szCs w:val="20"/>
              </w:rPr>
            </w:pPr>
          </w:p>
        </w:tc>
      </w:tr>
      <w:tr w:rsidR="000B7923" w:rsidRPr="002B1DFC" w14:paraId="5218BBF9" w14:textId="77777777">
        <w:tc>
          <w:tcPr>
            <w:tcW w:w="1163" w:type="pct"/>
            <w:tcBorders>
              <w:top w:val="nil"/>
              <w:left w:val="single" w:sz="4" w:space="0" w:color="4F81BD"/>
              <w:bottom w:val="nil"/>
              <w:right w:val="nil"/>
            </w:tcBorders>
            <w:shd w:val="clear" w:color="auto" w:fill="FFFFFF"/>
          </w:tcPr>
          <w:p w14:paraId="2A5094ED"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Generated</w:t>
            </w:r>
          </w:p>
        </w:tc>
        <w:tc>
          <w:tcPr>
            <w:tcW w:w="959" w:type="pct"/>
            <w:tcBorders>
              <w:top w:val="nil"/>
              <w:left w:val="nil"/>
              <w:bottom w:val="nil"/>
              <w:right w:val="nil"/>
            </w:tcBorders>
          </w:tcPr>
          <w:p w14:paraId="706E17AB"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343,529</w:t>
            </w:r>
          </w:p>
        </w:tc>
        <w:tc>
          <w:tcPr>
            <w:tcW w:w="959" w:type="pct"/>
            <w:tcBorders>
              <w:top w:val="nil"/>
              <w:left w:val="nil"/>
              <w:bottom w:val="nil"/>
              <w:right w:val="nil"/>
            </w:tcBorders>
          </w:tcPr>
          <w:p w14:paraId="4A8EF794"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1,815</w:t>
            </w:r>
          </w:p>
        </w:tc>
        <w:tc>
          <w:tcPr>
            <w:tcW w:w="959" w:type="pct"/>
            <w:tcBorders>
              <w:top w:val="nil"/>
              <w:left w:val="nil"/>
              <w:bottom w:val="nil"/>
              <w:right w:val="nil"/>
            </w:tcBorders>
          </w:tcPr>
          <w:p w14:paraId="69BCB75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5,017</w:t>
            </w:r>
          </w:p>
        </w:tc>
        <w:tc>
          <w:tcPr>
            <w:tcW w:w="960" w:type="pct"/>
            <w:tcBorders>
              <w:top w:val="nil"/>
              <w:left w:val="nil"/>
              <w:bottom w:val="nil"/>
              <w:right w:val="single" w:sz="4" w:space="0" w:color="4F81BD"/>
            </w:tcBorders>
          </w:tcPr>
          <w:p w14:paraId="07D3596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2,424</w:t>
            </w:r>
          </w:p>
        </w:tc>
      </w:tr>
      <w:tr w:rsidR="000B7923" w:rsidRPr="002B1DFC" w14:paraId="58684A3B" w14:textId="77777777">
        <w:tc>
          <w:tcPr>
            <w:tcW w:w="1163" w:type="pct"/>
            <w:tcBorders>
              <w:left w:val="single" w:sz="4" w:space="0" w:color="4F81BD"/>
              <w:right w:val="nil"/>
            </w:tcBorders>
            <w:shd w:val="clear" w:color="auto" w:fill="FFFFFF"/>
            <w:vAlign w:val="center"/>
          </w:tcPr>
          <w:p w14:paraId="19F02237"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Recycled</w:t>
            </w:r>
          </w:p>
        </w:tc>
        <w:tc>
          <w:tcPr>
            <w:tcW w:w="959" w:type="pct"/>
            <w:tcBorders>
              <w:left w:val="nil"/>
              <w:right w:val="nil"/>
            </w:tcBorders>
          </w:tcPr>
          <w:p w14:paraId="2C5D5AE5"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105,310</w:t>
            </w:r>
          </w:p>
        </w:tc>
        <w:tc>
          <w:tcPr>
            <w:tcW w:w="959" w:type="pct"/>
            <w:tcBorders>
              <w:left w:val="nil"/>
              <w:right w:val="nil"/>
            </w:tcBorders>
          </w:tcPr>
          <w:p w14:paraId="1474BE8A"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426</w:t>
            </w:r>
          </w:p>
        </w:tc>
        <w:tc>
          <w:tcPr>
            <w:tcW w:w="959" w:type="pct"/>
            <w:tcBorders>
              <w:left w:val="nil"/>
              <w:right w:val="nil"/>
            </w:tcBorders>
          </w:tcPr>
          <w:p w14:paraId="5DBE6236"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3,442</w:t>
            </w:r>
          </w:p>
        </w:tc>
        <w:tc>
          <w:tcPr>
            <w:tcW w:w="960" w:type="pct"/>
            <w:tcBorders>
              <w:left w:val="nil"/>
              <w:right w:val="single" w:sz="4" w:space="0" w:color="4F81BD"/>
            </w:tcBorders>
          </w:tcPr>
          <w:p w14:paraId="6BCAA6A7"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240</w:t>
            </w:r>
          </w:p>
        </w:tc>
      </w:tr>
      <w:tr w:rsidR="000B7923" w:rsidRPr="002B1DFC" w14:paraId="61B72EFF" w14:textId="77777777">
        <w:tc>
          <w:tcPr>
            <w:tcW w:w="1163" w:type="pct"/>
            <w:tcBorders>
              <w:top w:val="nil"/>
              <w:left w:val="single" w:sz="4" w:space="0" w:color="4F81BD"/>
              <w:bottom w:val="nil"/>
              <w:right w:val="nil"/>
            </w:tcBorders>
            <w:shd w:val="clear" w:color="auto" w:fill="FFFFFF"/>
            <w:vAlign w:val="center"/>
          </w:tcPr>
          <w:p w14:paraId="33F49320"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Incineration</w:t>
            </w:r>
          </w:p>
        </w:tc>
        <w:tc>
          <w:tcPr>
            <w:tcW w:w="959" w:type="pct"/>
            <w:tcBorders>
              <w:top w:val="nil"/>
              <w:left w:val="nil"/>
              <w:bottom w:val="nil"/>
              <w:right w:val="nil"/>
            </w:tcBorders>
          </w:tcPr>
          <w:p w14:paraId="48BCF65C"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922</w:t>
            </w:r>
          </w:p>
        </w:tc>
        <w:tc>
          <w:tcPr>
            <w:tcW w:w="959" w:type="pct"/>
            <w:tcBorders>
              <w:top w:val="nil"/>
              <w:left w:val="nil"/>
              <w:bottom w:val="nil"/>
              <w:right w:val="nil"/>
            </w:tcBorders>
          </w:tcPr>
          <w:p w14:paraId="1444090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125</w:t>
            </w:r>
          </w:p>
        </w:tc>
        <w:tc>
          <w:tcPr>
            <w:tcW w:w="959" w:type="pct"/>
            <w:tcBorders>
              <w:top w:val="nil"/>
              <w:left w:val="nil"/>
              <w:bottom w:val="nil"/>
              <w:right w:val="nil"/>
            </w:tcBorders>
          </w:tcPr>
          <w:p w14:paraId="111C2B91"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30</w:t>
            </w:r>
          </w:p>
        </w:tc>
        <w:tc>
          <w:tcPr>
            <w:tcW w:w="960" w:type="pct"/>
            <w:tcBorders>
              <w:top w:val="nil"/>
              <w:left w:val="nil"/>
              <w:bottom w:val="nil"/>
              <w:right w:val="single" w:sz="4" w:space="0" w:color="4F81BD"/>
            </w:tcBorders>
          </w:tcPr>
          <w:p w14:paraId="00C0061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45</w:t>
            </w:r>
          </w:p>
        </w:tc>
      </w:tr>
      <w:tr w:rsidR="000B7923" w:rsidRPr="002B1DFC" w14:paraId="66A26329" w14:textId="77777777">
        <w:tc>
          <w:tcPr>
            <w:tcW w:w="1163" w:type="pct"/>
            <w:tcBorders>
              <w:left w:val="single" w:sz="4" w:space="0" w:color="4F81BD"/>
              <w:right w:val="nil"/>
            </w:tcBorders>
            <w:shd w:val="clear" w:color="auto" w:fill="FFFFFF"/>
            <w:vAlign w:val="center"/>
          </w:tcPr>
          <w:p w14:paraId="4B92C9C6" w14:textId="77777777" w:rsidR="000B7923" w:rsidRPr="002B1DFC" w:rsidRDefault="000B7923" w:rsidP="0061686D">
            <w:pPr>
              <w:ind w:left="522" w:hanging="162"/>
              <w:jc w:val="left"/>
              <w:rPr>
                <w:rFonts w:eastAsia="Times New Roman" w:cs="Times New Roman"/>
                <w:b/>
                <w:bCs/>
                <w:sz w:val="20"/>
                <w:szCs w:val="20"/>
              </w:rPr>
            </w:pPr>
            <w:r w:rsidRPr="002B1DFC">
              <w:rPr>
                <w:rFonts w:eastAsia="Times New Roman" w:cs="Times New Roman"/>
                <w:sz w:val="20"/>
                <w:szCs w:val="20"/>
              </w:rPr>
              <w:t>Landfilling on a managed dumpsites</w:t>
            </w:r>
          </w:p>
        </w:tc>
        <w:tc>
          <w:tcPr>
            <w:tcW w:w="959" w:type="pct"/>
            <w:tcBorders>
              <w:left w:val="nil"/>
              <w:right w:val="nil"/>
            </w:tcBorders>
          </w:tcPr>
          <w:p w14:paraId="59538DC4"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224,389</w:t>
            </w:r>
          </w:p>
        </w:tc>
        <w:tc>
          <w:tcPr>
            <w:tcW w:w="959" w:type="pct"/>
            <w:tcBorders>
              <w:left w:val="nil"/>
              <w:right w:val="nil"/>
            </w:tcBorders>
          </w:tcPr>
          <w:p w14:paraId="75727410"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942</w:t>
            </w:r>
          </w:p>
        </w:tc>
        <w:tc>
          <w:tcPr>
            <w:tcW w:w="959" w:type="pct"/>
            <w:tcBorders>
              <w:left w:val="nil"/>
              <w:right w:val="nil"/>
            </w:tcBorders>
          </w:tcPr>
          <w:p w14:paraId="42DB7E2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415</w:t>
            </w:r>
          </w:p>
        </w:tc>
        <w:tc>
          <w:tcPr>
            <w:tcW w:w="960" w:type="pct"/>
            <w:tcBorders>
              <w:left w:val="nil"/>
              <w:right w:val="single" w:sz="4" w:space="0" w:color="4F81BD"/>
            </w:tcBorders>
          </w:tcPr>
          <w:p w14:paraId="798461A1"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610</w:t>
            </w:r>
          </w:p>
        </w:tc>
      </w:tr>
      <w:tr w:rsidR="000B7923" w:rsidRPr="002B1DFC" w14:paraId="76466A35" w14:textId="77777777">
        <w:tc>
          <w:tcPr>
            <w:tcW w:w="1163" w:type="pct"/>
            <w:tcBorders>
              <w:top w:val="nil"/>
              <w:left w:val="single" w:sz="4" w:space="0" w:color="4F81BD"/>
              <w:bottom w:val="nil"/>
              <w:right w:val="nil"/>
            </w:tcBorders>
            <w:shd w:val="clear" w:color="auto" w:fill="FFFFFF"/>
            <w:vAlign w:val="center"/>
          </w:tcPr>
          <w:p w14:paraId="7EC2F787" w14:textId="77777777" w:rsidR="000B7923" w:rsidRPr="002B1DFC" w:rsidRDefault="000B7923" w:rsidP="0061686D">
            <w:pPr>
              <w:ind w:left="522" w:hanging="162"/>
              <w:jc w:val="left"/>
              <w:rPr>
                <w:rFonts w:eastAsia="Times New Roman" w:cs="Times New Roman"/>
                <w:b/>
                <w:bCs/>
                <w:sz w:val="20"/>
                <w:szCs w:val="20"/>
              </w:rPr>
            </w:pPr>
            <w:r w:rsidRPr="002B1DFC">
              <w:rPr>
                <w:rFonts w:eastAsia="Times New Roman" w:cs="Times New Roman"/>
                <w:sz w:val="20"/>
                <w:szCs w:val="20"/>
              </w:rPr>
              <w:t>Total wastes volume accumulated in the managed dump-sites within the whole period of exploitation</w:t>
            </w:r>
          </w:p>
        </w:tc>
        <w:tc>
          <w:tcPr>
            <w:tcW w:w="959" w:type="pct"/>
            <w:tcBorders>
              <w:top w:val="nil"/>
              <w:left w:val="nil"/>
              <w:bottom w:val="nil"/>
              <w:right w:val="nil"/>
            </w:tcBorders>
          </w:tcPr>
          <w:p w14:paraId="189EFBD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11,581,651</w:t>
            </w:r>
          </w:p>
        </w:tc>
        <w:tc>
          <w:tcPr>
            <w:tcW w:w="959" w:type="pct"/>
            <w:tcBorders>
              <w:top w:val="nil"/>
              <w:left w:val="nil"/>
              <w:bottom w:val="nil"/>
              <w:right w:val="nil"/>
            </w:tcBorders>
          </w:tcPr>
          <w:p w14:paraId="2631370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41,548</w:t>
            </w:r>
          </w:p>
        </w:tc>
        <w:tc>
          <w:tcPr>
            <w:tcW w:w="959" w:type="pct"/>
            <w:tcBorders>
              <w:top w:val="nil"/>
              <w:left w:val="nil"/>
              <w:bottom w:val="nil"/>
              <w:right w:val="nil"/>
            </w:tcBorders>
          </w:tcPr>
          <w:p w14:paraId="49182CE1"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25,602</w:t>
            </w:r>
          </w:p>
        </w:tc>
        <w:tc>
          <w:tcPr>
            <w:tcW w:w="960" w:type="pct"/>
            <w:tcBorders>
              <w:top w:val="nil"/>
              <w:left w:val="nil"/>
              <w:bottom w:val="nil"/>
              <w:right w:val="single" w:sz="4" w:space="0" w:color="4F81BD"/>
            </w:tcBorders>
          </w:tcPr>
          <w:p w14:paraId="3F7E95D2"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28,653</w:t>
            </w:r>
          </w:p>
        </w:tc>
      </w:tr>
      <w:tr w:rsidR="000B7923" w:rsidRPr="002B1DFC" w14:paraId="3EEC6F63" w14:textId="77777777">
        <w:tc>
          <w:tcPr>
            <w:tcW w:w="1163" w:type="pct"/>
            <w:tcBorders>
              <w:left w:val="single" w:sz="4" w:space="0" w:color="4F81BD"/>
              <w:right w:val="nil"/>
            </w:tcBorders>
            <w:shd w:val="clear" w:color="auto" w:fill="FFFFFF"/>
          </w:tcPr>
          <w:p w14:paraId="06657A0E"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Expenditures on the environmental protection and management of natural resources by regions in 2014 (thousand UAH)</w:t>
            </w:r>
          </w:p>
        </w:tc>
        <w:tc>
          <w:tcPr>
            <w:tcW w:w="959" w:type="pct"/>
            <w:tcBorders>
              <w:left w:val="nil"/>
              <w:right w:val="nil"/>
            </w:tcBorders>
          </w:tcPr>
          <w:p w14:paraId="7E0815DE" w14:textId="77777777" w:rsidR="000B7923" w:rsidRPr="002B1DFC" w:rsidRDefault="000B7923" w:rsidP="00F441C6">
            <w:pPr>
              <w:jc w:val="left"/>
              <w:rPr>
                <w:rFonts w:eastAsia="Times New Roman" w:cs="Times New Roman"/>
                <w:sz w:val="20"/>
                <w:szCs w:val="20"/>
              </w:rPr>
            </w:pPr>
          </w:p>
        </w:tc>
        <w:tc>
          <w:tcPr>
            <w:tcW w:w="959" w:type="pct"/>
            <w:tcBorders>
              <w:left w:val="nil"/>
              <w:right w:val="nil"/>
            </w:tcBorders>
          </w:tcPr>
          <w:p w14:paraId="173BDAFD" w14:textId="77777777" w:rsidR="000B7923" w:rsidRPr="002B1DFC" w:rsidRDefault="000B7923" w:rsidP="00F441C6">
            <w:pPr>
              <w:jc w:val="left"/>
              <w:rPr>
                <w:rFonts w:eastAsia="Times New Roman" w:cs="Times New Roman"/>
                <w:sz w:val="20"/>
                <w:szCs w:val="20"/>
              </w:rPr>
            </w:pPr>
          </w:p>
        </w:tc>
        <w:tc>
          <w:tcPr>
            <w:tcW w:w="959" w:type="pct"/>
            <w:tcBorders>
              <w:left w:val="nil"/>
              <w:right w:val="nil"/>
            </w:tcBorders>
          </w:tcPr>
          <w:p w14:paraId="6E4CE0C4" w14:textId="77777777" w:rsidR="000B7923" w:rsidRPr="002B1DFC" w:rsidRDefault="000B7923" w:rsidP="00F441C6">
            <w:pPr>
              <w:jc w:val="left"/>
              <w:rPr>
                <w:rFonts w:eastAsia="Times New Roman" w:cs="Times New Roman"/>
                <w:sz w:val="20"/>
                <w:szCs w:val="20"/>
              </w:rPr>
            </w:pPr>
          </w:p>
        </w:tc>
        <w:tc>
          <w:tcPr>
            <w:tcW w:w="960" w:type="pct"/>
            <w:tcBorders>
              <w:left w:val="nil"/>
              <w:right w:val="single" w:sz="4" w:space="0" w:color="4F81BD"/>
            </w:tcBorders>
          </w:tcPr>
          <w:p w14:paraId="1657BCA3" w14:textId="77777777" w:rsidR="000B7923" w:rsidRPr="002B1DFC" w:rsidRDefault="000B7923" w:rsidP="00F441C6">
            <w:pPr>
              <w:jc w:val="left"/>
              <w:rPr>
                <w:rFonts w:eastAsia="Times New Roman" w:cs="Times New Roman"/>
                <w:sz w:val="20"/>
                <w:szCs w:val="20"/>
              </w:rPr>
            </w:pPr>
          </w:p>
        </w:tc>
      </w:tr>
      <w:tr w:rsidR="000B7923" w:rsidRPr="002B1DFC" w14:paraId="3C197B17" w14:textId="77777777">
        <w:tc>
          <w:tcPr>
            <w:tcW w:w="1163" w:type="pct"/>
            <w:tcBorders>
              <w:top w:val="nil"/>
              <w:left w:val="single" w:sz="4" w:space="0" w:color="4F81BD"/>
              <w:bottom w:val="nil"/>
              <w:right w:val="nil"/>
            </w:tcBorders>
            <w:shd w:val="clear" w:color="auto" w:fill="FFFFFF"/>
          </w:tcPr>
          <w:p w14:paraId="0F7A0F52"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Total</w:t>
            </w:r>
          </w:p>
        </w:tc>
        <w:tc>
          <w:tcPr>
            <w:tcW w:w="959" w:type="pct"/>
            <w:tcBorders>
              <w:top w:val="nil"/>
              <w:left w:val="nil"/>
              <w:bottom w:val="nil"/>
              <w:right w:val="nil"/>
            </w:tcBorders>
          </w:tcPr>
          <w:p w14:paraId="58AA74E9" w14:textId="77777777" w:rsidR="000B7923" w:rsidRPr="002B1DFC" w:rsidRDefault="000B7923" w:rsidP="00F441C6">
            <w:pPr>
              <w:tabs>
                <w:tab w:val="left" w:pos="1313"/>
              </w:tabs>
              <w:jc w:val="left"/>
              <w:rPr>
                <w:rFonts w:eastAsia="Times New Roman" w:cs="Times New Roman"/>
                <w:sz w:val="20"/>
                <w:szCs w:val="20"/>
              </w:rPr>
            </w:pPr>
            <w:r w:rsidRPr="002B1DFC">
              <w:rPr>
                <w:rFonts w:eastAsia="Times New Roman" w:cs="Times New Roman"/>
                <w:sz w:val="20"/>
                <w:szCs w:val="20"/>
              </w:rPr>
              <w:t>21,925,580</w:t>
            </w:r>
            <w:r w:rsidRPr="002B1DFC">
              <w:rPr>
                <w:rFonts w:eastAsia="Times New Roman" w:cs="Times New Roman"/>
                <w:sz w:val="20"/>
                <w:szCs w:val="20"/>
              </w:rPr>
              <w:tab/>
            </w:r>
          </w:p>
        </w:tc>
        <w:tc>
          <w:tcPr>
            <w:tcW w:w="959" w:type="pct"/>
            <w:tcBorders>
              <w:top w:val="nil"/>
              <w:left w:val="nil"/>
              <w:bottom w:val="nil"/>
              <w:right w:val="nil"/>
            </w:tcBorders>
          </w:tcPr>
          <w:p w14:paraId="1E53EA5C"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326,467</w:t>
            </w:r>
          </w:p>
        </w:tc>
        <w:tc>
          <w:tcPr>
            <w:tcW w:w="959" w:type="pct"/>
            <w:tcBorders>
              <w:top w:val="nil"/>
              <w:left w:val="nil"/>
              <w:bottom w:val="nil"/>
              <w:right w:val="nil"/>
            </w:tcBorders>
            <w:vAlign w:val="bottom"/>
          </w:tcPr>
          <w:p w14:paraId="14528B7D" w14:textId="77777777" w:rsidR="000B7923" w:rsidRPr="002B1DFC" w:rsidRDefault="000B7923" w:rsidP="00F441C6">
            <w:pPr>
              <w:spacing w:before="100" w:beforeAutospacing="1" w:after="100" w:afterAutospacing="1"/>
              <w:jc w:val="left"/>
              <w:rPr>
                <w:rFonts w:eastAsia="Times New Roman" w:cs="Times New Roman"/>
                <w:sz w:val="20"/>
                <w:szCs w:val="20"/>
              </w:rPr>
            </w:pPr>
            <w:r w:rsidRPr="002B1DFC">
              <w:rPr>
                <w:rFonts w:eastAsia="Times New Roman" w:cs="Times New Roman"/>
                <w:sz w:val="20"/>
                <w:szCs w:val="20"/>
              </w:rPr>
              <w:t>768,696</w:t>
            </w:r>
          </w:p>
        </w:tc>
        <w:tc>
          <w:tcPr>
            <w:tcW w:w="960" w:type="pct"/>
            <w:tcBorders>
              <w:top w:val="nil"/>
              <w:left w:val="nil"/>
              <w:bottom w:val="nil"/>
              <w:right w:val="single" w:sz="4" w:space="0" w:color="4F81BD"/>
            </w:tcBorders>
          </w:tcPr>
          <w:p w14:paraId="3DBDF980"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125,841</w:t>
            </w:r>
          </w:p>
        </w:tc>
      </w:tr>
      <w:tr w:rsidR="000B7923" w:rsidRPr="002B1DFC" w14:paraId="653DBA06" w14:textId="77777777">
        <w:tc>
          <w:tcPr>
            <w:tcW w:w="1163" w:type="pct"/>
            <w:tcBorders>
              <w:left w:val="single" w:sz="4" w:space="0" w:color="4F81BD"/>
              <w:right w:val="nil"/>
            </w:tcBorders>
            <w:shd w:val="clear" w:color="auto" w:fill="FFFFFF"/>
          </w:tcPr>
          <w:p w14:paraId="38940828"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Capital Investments</w:t>
            </w:r>
          </w:p>
          <w:p w14:paraId="2209C877" w14:textId="77777777" w:rsidR="000B7923" w:rsidRPr="002B1DFC" w:rsidRDefault="000B7923" w:rsidP="00F441C6">
            <w:pPr>
              <w:ind w:left="360"/>
              <w:jc w:val="left"/>
              <w:rPr>
                <w:rFonts w:eastAsia="Times New Roman" w:cs="Times New Roman"/>
                <w:b/>
                <w:bCs/>
                <w:i/>
                <w:iCs/>
                <w:sz w:val="20"/>
                <w:szCs w:val="20"/>
              </w:rPr>
            </w:pPr>
            <w:r w:rsidRPr="002B1DFC">
              <w:rPr>
                <w:rFonts w:eastAsia="Times New Roman" w:cs="Times New Roman"/>
                <w:i/>
                <w:iCs/>
                <w:sz w:val="20"/>
                <w:szCs w:val="20"/>
              </w:rPr>
              <w:t>Of which major repairs</w:t>
            </w:r>
          </w:p>
        </w:tc>
        <w:tc>
          <w:tcPr>
            <w:tcW w:w="959" w:type="pct"/>
            <w:tcBorders>
              <w:left w:val="nil"/>
              <w:right w:val="nil"/>
            </w:tcBorders>
          </w:tcPr>
          <w:p w14:paraId="6C5C4037"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7,959,854 (36%)</w:t>
            </w:r>
          </w:p>
          <w:p w14:paraId="2A1866A8" w14:textId="77777777" w:rsidR="000B7923" w:rsidRPr="002B1DFC" w:rsidRDefault="000B7923" w:rsidP="00F441C6">
            <w:pPr>
              <w:jc w:val="left"/>
              <w:rPr>
                <w:rFonts w:eastAsia="Times New Roman" w:cs="Times New Roman"/>
                <w:i/>
                <w:iCs/>
                <w:sz w:val="20"/>
                <w:szCs w:val="20"/>
              </w:rPr>
            </w:pPr>
            <w:r w:rsidRPr="002B1DFC">
              <w:rPr>
                <w:rFonts w:eastAsia="Times New Roman" w:cs="Times New Roman"/>
                <w:i/>
                <w:iCs/>
                <w:sz w:val="20"/>
                <w:szCs w:val="20"/>
              </w:rPr>
              <w:t>640,783</w:t>
            </w:r>
          </w:p>
        </w:tc>
        <w:tc>
          <w:tcPr>
            <w:tcW w:w="959" w:type="pct"/>
            <w:tcBorders>
              <w:left w:val="nil"/>
              <w:right w:val="nil"/>
            </w:tcBorders>
          </w:tcPr>
          <w:p w14:paraId="05270B6F"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139,737</w:t>
            </w:r>
            <w:r w:rsidRPr="002B1DFC">
              <w:rPr>
                <w:rFonts w:eastAsia="Times New Roman" w:cs="Times New Roman"/>
                <w:sz w:val="20"/>
                <w:szCs w:val="20"/>
              </w:rPr>
              <w:tab/>
              <w:t>(43%)</w:t>
            </w:r>
          </w:p>
          <w:p w14:paraId="45EE50FB" w14:textId="77777777" w:rsidR="000B7923" w:rsidRPr="002B1DFC" w:rsidRDefault="000B7923" w:rsidP="00F441C6">
            <w:pPr>
              <w:jc w:val="left"/>
              <w:rPr>
                <w:rFonts w:eastAsia="Times New Roman" w:cs="Times New Roman"/>
                <w:i/>
                <w:iCs/>
                <w:sz w:val="20"/>
                <w:szCs w:val="20"/>
              </w:rPr>
            </w:pPr>
            <w:r w:rsidRPr="002B1DFC">
              <w:rPr>
                <w:rFonts w:eastAsia="Times New Roman" w:cs="Times New Roman"/>
                <w:i/>
                <w:iCs/>
                <w:sz w:val="20"/>
                <w:szCs w:val="20"/>
              </w:rPr>
              <w:t>39,021</w:t>
            </w:r>
          </w:p>
        </w:tc>
        <w:tc>
          <w:tcPr>
            <w:tcW w:w="959" w:type="pct"/>
            <w:tcBorders>
              <w:left w:val="nil"/>
              <w:right w:val="nil"/>
            </w:tcBorders>
          </w:tcPr>
          <w:p w14:paraId="62A574B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127,649</w:t>
            </w:r>
            <w:r w:rsidRPr="002B1DFC">
              <w:rPr>
                <w:rFonts w:eastAsia="Times New Roman" w:cs="Times New Roman"/>
                <w:sz w:val="20"/>
                <w:szCs w:val="20"/>
              </w:rPr>
              <w:tab/>
              <w:t>(17%)</w:t>
            </w:r>
          </w:p>
          <w:p w14:paraId="007C6269" w14:textId="77777777" w:rsidR="000B7923" w:rsidRPr="002B1DFC" w:rsidRDefault="000B7923" w:rsidP="00F441C6">
            <w:pPr>
              <w:jc w:val="left"/>
              <w:rPr>
                <w:rFonts w:eastAsia="Times New Roman" w:cs="Times New Roman"/>
                <w:i/>
                <w:iCs/>
                <w:sz w:val="20"/>
                <w:szCs w:val="20"/>
              </w:rPr>
            </w:pPr>
            <w:r w:rsidRPr="002B1DFC">
              <w:rPr>
                <w:rFonts w:eastAsia="Times New Roman" w:cs="Times New Roman"/>
                <w:i/>
                <w:iCs/>
                <w:sz w:val="20"/>
                <w:szCs w:val="20"/>
              </w:rPr>
              <w:t>59,659</w:t>
            </w:r>
          </w:p>
        </w:tc>
        <w:tc>
          <w:tcPr>
            <w:tcW w:w="960" w:type="pct"/>
            <w:tcBorders>
              <w:left w:val="nil"/>
              <w:right w:val="single" w:sz="4" w:space="0" w:color="4F81BD"/>
            </w:tcBorders>
          </w:tcPr>
          <w:p w14:paraId="3ED8114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7,320 (6%)</w:t>
            </w:r>
            <w:r w:rsidRPr="002B1DFC">
              <w:rPr>
                <w:rFonts w:eastAsia="Times New Roman" w:cs="Times New Roman"/>
                <w:sz w:val="20"/>
                <w:szCs w:val="20"/>
              </w:rPr>
              <w:tab/>
            </w:r>
          </w:p>
          <w:p w14:paraId="021B1D3F" w14:textId="77777777" w:rsidR="000B7923" w:rsidRPr="002B1DFC" w:rsidRDefault="000B7923" w:rsidP="00F441C6">
            <w:pPr>
              <w:jc w:val="left"/>
              <w:rPr>
                <w:rFonts w:eastAsia="Times New Roman" w:cs="Times New Roman"/>
                <w:i/>
                <w:iCs/>
                <w:sz w:val="20"/>
                <w:szCs w:val="20"/>
              </w:rPr>
            </w:pPr>
            <w:r w:rsidRPr="002B1DFC">
              <w:rPr>
                <w:rFonts w:eastAsia="Times New Roman" w:cs="Times New Roman"/>
                <w:i/>
                <w:iCs/>
                <w:sz w:val="20"/>
                <w:szCs w:val="20"/>
              </w:rPr>
              <w:t>4,375</w:t>
            </w:r>
          </w:p>
        </w:tc>
      </w:tr>
      <w:tr w:rsidR="000B7923" w:rsidRPr="002B1DFC" w14:paraId="0C9D8696" w14:textId="77777777">
        <w:tc>
          <w:tcPr>
            <w:tcW w:w="1163" w:type="pct"/>
            <w:tcBorders>
              <w:top w:val="nil"/>
              <w:left w:val="single" w:sz="4" w:space="0" w:color="4F81BD"/>
              <w:bottom w:val="nil"/>
              <w:right w:val="nil"/>
            </w:tcBorders>
            <w:shd w:val="clear" w:color="auto" w:fill="FFFFFF"/>
          </w:tcPr>
          <w:p w14:paraId="0C16649B"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Operating Costs</w:t>
            </w:r>
          </w:p>
        </w:tc>
        <w:tc>
          <w:tcPr>
            <w:tcW w:w="959" w:type="pct"/>
            <w:tcBorders>
              <w:top w:val="nil"/>
              <w:left w:val="nil"/>
              <w:bottom w:val="nil"/>
              <w:right w:val="nil"/>
            </w:tcBorders>
          </w:tcPr>
          <w:p w14:paraId="521E526B"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13,965,726 (64%)</w:t>
            </w:r>
          </w:p>
        </w:tc>
        <w:tc>
          <w:tcPr>
            <w:tcW w:w="959" w:type="pct"/>
            <w:tcBorders>
              <w:top w:val="nil"/>
              <w:left w:val="nil"/>
              <w:bottom w:val="nil"/>
              <w:right w:val="nil"/>
            </w:tcBorders>
          </w:tcPr>
          <w:p w14:paraId="704CB0FA"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186,729 (57%)</w:t>
            </w:r>
          </w:p>
        </w:tc>
        <w:tc>
          <w:tcPr>
            <w:tcW w:w="959" w:type="pct"/>
            <w:tcBorders>
              <w:top w:val="nil"/>
              <w:left w:val="nil"/>
              <w:bottom w:val="nil"/>
              <w:right w:val="nil"/>
            </w:tcBorders>
          </w:tcPr>
          <w:p w14:paraId="492E6C6B"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641,047 (83%)</w:t>
            </w:r>
          </w:p>
        </w:tc>
        <w:tc>
          <w:tcPr>
            <w:tcW w:w="960" w:type="pct"/>
            <w:tcBorders>
              <w:top w:val="nil"/>
              <w:left w:val="nil"/>
              <w:bottom w:val="nil"/>
              <w:right w:val="single" w:sz="4" w:space="0" w:color="4F81BD"/>
            </w:tcBorders>
          </w:tcPr>
          <w:p w14:paraId="1502199E"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118,520 (94%)</w:t>
            </w:r>
          </w:p>
        </w:tc>
      </w:tr>
      <w:tr w:rsidR="000B7923" w:rsidRPr="002B1DFC" w14:paraId="4B6CED90" w14:textId="77777777">
        <w:tc>
          <w:tcPr>
            <w:tcW w:w="1163" w:type="pct"/>
            <w:tcBorders>
              <w:top w:val="nil"/>
              <w:left w:val="single" w:sz="4" w:space="0" w:color="4F81BD"/>
              <w:bottom w:val="nil"/>
              <w:right w:val="nil"/>
            </w:tcBorders>
            <w:shd w:val="clear" w:color="auto" w:fill="FFFFFF"/>
          </w:tcPr>
          <w:p w14:paraId="1240E736" w14:textId="77777777" w:rsidR="000B7923" w:rsidRPr="002B1DFC" w:rsidRDefault="000B7923" w:rsidP="00F441C6">
            <w:pPr>
              <w:jc w:val="left"/>
              <w:rPr>
                <w:rFonts w:eastAsia="Times New Roman" w:cs="Times New Roman"/>
                <w:b/>
                <w:bCs/>
                <w:sz w:val="20"/>
                <w:szCs w:val="20"/>
              </w:rPr>
            </w:pPr>
            <w:r w:rsidRPr="002B1DFC">
              <w:rPr>
                <w:rFonts w:eastAsia="Times New Roman" w:cs="Times New Roman"/>
                <w:b/>
                <w:bCs/>
                <w:sz w:val="20"/>
                <w:szCs w:val="20"/>
              </w:rPr>
              <w:t>Number of natural protection fund objects</w:t>
            </w:r>
          </w:p>
        </w:tc>
        <w:tc>
          <w:tcPr>
            <w:tcW w:w="959" w:type="pct"/>
            <w:tcBorders>
              <w:top w:val="nil"/>
              <w:left w:val="nil"/>
              <w:bottom w:val="nil"/>
              <w:right w:val="nil"/>
            </w:tcBorders>
          </w:tcPr>
          <w:p w14:paraId="5EF2B75D" w14:textId="77777777" w:rsidR="000B7923" w:rsidRPr="002B1DFC" w:rsidRDefault="000B7923" w:rsidP="00F441C6">
            <w:pPr>
              <w:jc w:val="left"/>
              <w:rPr>
                <w:rFonts w:eastAsia="Times New Roman" w:cs="Times New Roman"/>
                <w:sz w:val="20"/>
                <w:szCs w:val="20"/>
              </w:rPr>
            </w:pPr>
          </w:p>
        </w:tc>
        <w:tc>
          <w:tcPr>
            <w:tcW w:w="959" w:type="pct"/>
            <w:tcBorders>
              <w:top w:val="nil"/>
              <w:left w:val="nil"/>
              <w:bottom w:val="nil"/>
              <w:right w:val="nil"/>
            </w:tcBorders>
          </w:tcPr>
          <w:p w14:paraId="20716632" w14:textId="77777777" w:rsidR="000B7923" w:rsidRPr="002B1DFC" w:rsidRDefault="000B7923" w:rsidP="00F441C6">
            <w:pPr>
              <w:jc w:val="left"/>
              <w:rPr>
                <w:rFonts w:eastAsia="Times New Roman" w:cs="Times New Roman"/>
                <w:sz w:val="20"/>
                <w:szCs w:val="20"/>
              </w:rPr>
            </w:pPr>
          </w:p>
        </w:tc>
        <w:tc>
          <w:tcPr>
            <w:tcW w:w="959" w:type="pct"/>
            <w:tcBorders>
              <w:top w:val="nil"/>
              <w:left w:val="nil"/>
              <w:bottom w:val="nil"/>
              <w:right w:val="nil"/>
            </w:tcBorders>
          </w:tcPr>
          <w:p w14:paraId="396A45DC" w14:textId="77777777" w:rsidR="000B7923" w:rsidRPr="002B1DFC" w:rsidRDefault="000B7923" w:rsidP="00F441C6">
            <w:pPr>
              <w:jc w:val="left"/>
              <w:rPr>
                <w:rFonts w:eastAsia="Times New Roman" w:cs="Times New Roman"/>
                <w:sz w:val="20"/>
                <w:szCs w:val="20"/>
              </w:rPr>
            </w:pPr>
          </w:p>
        </w:tc>
        <w:tc>
          <w:tcPr>
            <w:tcW w:w="960" w:type="pct"/>
            <w:tcBorders>
              <w:top w:val="nil"/>
              <w:left w:val="nil"/>
              <w:bottom w:val="nil"/>
              <w:right w:val="single" w:sz="4" w:space="0" w:color="4F81BD"/>
            </w:tcBorders>
          </w:tcPr>
          <w:p w14:paraId="3D06DD84" w14:textId="77777777" w:rsidR="000B7923" w:rsidRPr="002B1DFC" w:rsidRDefault="000B7923" w:rsidP="00F441C6">
            <w:pPr>
              <w:jc w:val="left"/>
              <w:rPr>
                <w:rFonts w:eastAsia="Times New Roman" w:cs="Times New Roman"/>
                <w:sz w:val="20"/>
                <w:szCs w:val="20"/>
              </w:rPr>
            </w:pPr>
          </w:p>
        </w:tc>
      </w:tr>
      <w:tr w:rsidR="000B7923" w:rsidRPr="002B1DFC" w14:paraId="11B1ABCA" w14:textId="77777777">
        <w:tc>
          <w:tcPr>
            <w:tcW w:w="1163" w:type="pct"/>
            <w:tcBorders>
              <w:top w:val="nil"/>
              <w:left w:val="single" w:sz="4" w:space="0" w:color="4F81BD"/>
              <w:bottom w:val="nil"/>
              <w:right w:val="nil"/>
            </w:tcBorders>
            <w:shd w:val="clear" w:color="auto" w:fill="FFFFFF"/>
          </w:tcPr>
          <w:p w14:paraId="2CE29AA2"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 xml:space="preserve">Number </w:t>
            </w:r>
          </w:p>
        </w:tc>
        <w:tc>
          <w:tcPr>
            <w:tcW w:w="959" w:type="pct"/>
            <w:tcBorders>
              <w:top w:val="nil"/>
              <w:left w:val="nil"/>
              <w:bottom w:val="nil"/>
              <w:right w:val="nil"/>
            </w:tcBorders>
          </w:tcPr>
          <w:p w14:paraId="0C531338"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8154</w:t>
            </w:r>
          </w:p>
        </w:tc>
        <w:tc>
          <w:tcPr>
            <w:tcW w:w="959" w:type="pct"/>
            <w:tcBorders>
              <w:top w:val="nil"/>
              <w:left w:val="nil"/>
              <w:bottom w:val="nil"/>
              <w:right w:val="nil"/>
            </w:tcBorders>
          </w:tcPr>
          <w:p w14:paraId="6A150111"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474</w:t>
            </w:r>
          </w:p>
        </w:tc>
        <w:tc>
          <w:tcPr>
            <w:tcW w:w="959" w:type="pct"/>
            <w:tcBorders>
              <w:top w:val="nil"/>
              <w:left w:val="nil"/>
              <w:bottom w:val="nil"/>
              <w:right w:val="nil"/>
            </w:tcBorders>
          </w:tcPr>
          <w:p w14:paraId="42D6CC15"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387</w:t>
            </w:r>
          </w:p>
        </w:tc>
        <w:tc>
          <w:tcPr>
            <w:tcW w:w="960" w:type="pct"/>
            <w:tcBorders>
              <w:top w:val="nil"/>
              <w:left w:val="nil"/>
              <w:bottom w:val="nil"/>
              <w:right w:val="single" w:sz="4" w:space="0" w:color="4F81BD"/>
            </w:tcBorders>
          </w:tcPr>
          <w:p w14:paraId="4560127A"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408 </w:t>
            </w:r>
          </w:p>
        </w:tc>
      </w:tr>
      <w:tr w:rsidR="000B7923" w:rsidRPr="002B1DFC" w14:paraId="6639D15E" w14:textId="77777777">
        <w:tc>
          <w:tcPr>
            <w:tcW w:w="1163" w:type="pct"/>
            <w:tcBorders>
              <w:top w:val="nil"/>
              <w:left w:val="single" w:sz="4" w:space="0" w:color="4F81BD"/>
              <w:bottom w:val="nil"/>
              <w:right w:val="nil"/>
            </w:tcBorders>
            <w:shd w:val="clear" w:color="auto" w:fill="FFFFFF"/>
          </w:tcPr>
          <w:p w14:paraId="68181336"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Area (km</w:t>
            </w:r>
            <w:r w:rsidRPr="002B1DFC">
              <w:rPr>
                <w:rFonts w:eastAsia="Times New Roman" w:cs="Times New Roman"/>
                <w:sz w:val="20"/>
                <w:szCs w:val="20"/>
                <w:vertAlign w:val="superscript"/>
              </w:rPr>
              <w:t>2</w:t>
            </w:r>
            <w:r w:rsidRPr="002B1DFC">
              <w:rPr>
                <w:rFonts w:eastAsia="Times New Roman" w:cs="Times New Roman"/>
                <w:sz w:val="20"/>
                <w:szCs w:val="20"/>
              </w:rPr>
              <w:t>)</w:t>
            </w:r>
          </w:p>
        </w:tc>
        <w:tc>
          <w:tcPr>
            <w:tcW w:w="959" w:type="pct"/>
            <w:tcBorders>
              <w:top w:val="nil"/>
              <w:left w:val="nil"/>
              <w:bottom w:val="nil"/>
              <w:right w:val="nil"/>
            </w:tcBorders>
          </w:tcPr>
          <w:p w14:paraId="7EA5EC9C"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39,925</w:t>
            </w:r>
          </w:p>
        </w:tc>
        <w:tc>
          <w:tcPr>
            <w:tcW w:w="959" w:type="pct"/>
            <w:tcBorders>
              <w:top w:val="nil"/>
              <w:left w:val="nil"/>
              <w:bottom w:val="nil"/>
              <w:right w:val="nil"/>
            </w:tcBorders>
          </w:tcPr>
          <w:p w14:paraId="3E730F63"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2,188 </w:t>
            </w:r>
          </w:p>
        </w:tc>
        <w:tc>
          <w:tcPr>
            <w:tcW w:w="959" w:type="pct"/>
            <w:tcBorders>
              <w:top w:val="nil"/>
              <w:left w:val="nil"/>
              <w:bottom w:val="nil"/>
              <w:right w:val="nil"/>
            </w:tcBorders>
          </w:tcPr>
          <w:p w14:paraId="5F222666"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 xml:space="preserve">1,424 </w:t>
            </w:r>
          </w:p>
        </w:tc>
        <w:tc>
          <w:tcPr>
            <w:tcW w:w="960" w:type="pct"/>
            <w:tcBorders>
              <w:top w:val="nil"/>
              <w:left w:val="nil"/>
              <w:bottom w:val="nil"/>
              <w:right w:val="single" w:sz="4" w:space="0" w:color="4F81BD"/>
            </w:tcBorders>
          </w:tcPr>
          <w:p w14:paraId="3C28044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594</w:t>
            </w:r>
          </w:p>
        </w:tc>
      </w:tr>
      <w:tr w:rsidR="000B7923" w:rsidRPr="002B1DFC" w14:paraId="2CE98E47" w14:textId="77777777" w:rsidTr="0061686D">
        <w:tc>
          <w:tcPr>
            <w:tcW w:w="1163" w:type="pct"/>
            <w:tcBorders>
              <w:top w:val="nil"/>
              <w:left w:val="single" w:sz="4" w:space="0" w:color="4F81BD"/>
              <w:bottom w:val="single" w:sz="4" w:space="0" w:color="auto"/>
              <w:right w:val="nil"/>
            </w:tcBorders>
            <w:shd w:val="clear" w:color="auto" w:fill="FFFFFF"/>
          </w:tcPr>
          <w:p w14:paraId="5321E35B" w14:textId="77777777" w:rsidR="000B7923" w:rsidRPr="002B1DFC" w:rsidRDefault="000B7923" w:rsidP="00F441C6">
            <w:pPr>
              <w:ind w:left="360"/>
              <w:jc w:val="left"/>
              <w:rPr>
                <w:rFonts w:eastAsia="Times New Roman" w:cs="Times New Roman"/>
                <w:b/>
                <w:bCs/>
                <w:sz w:val="20"/>
                <w:szCs w:val="20"/>
              </w:rPr>
            </w:pPr>
            <w:r w:rsidRPr="002B1DFC">
              <w:rPr>
                <w:rFonts w:eastAsia="Times New Roman" w:cs="Times New Roman"/>
                <w:sz w:val="20"/>
                <w:szCs w:val="20"/>
              </w:rPr>
              <w:t>Share of area</w:t>
            </w:r>
          </w:p>
        </w:tc>
        <w:tc>
          <w:tcPr>
            <w:tcW w:w="959" w:type="pct"/>
            <w:tcBorders>
              <w:top w:val="nil"/>
              <w:left w:val="nil"/>
              <w:bottom w:val="single" w:sz="4" w:space="0" w:color="auto"/>
              <w:right w:val="nil"/>
            </w:tcBorders>
          </w:tcPr>
          <w:p w14:paraId="561BFC97"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6 %</w:t>
            </w:r>
          </w:p>
        </w:tc>
        <w:tc>
          <w:tcPr>
            <w:tcW w:w="959" w:type="pct"/>
            <w:tcBorders>
              <w:top w:val="nil"/>
              <w:left w:val="nil"/>
              <w:bottom w:val="single" w:sz="4" w:space="0" w:color="auto"/>
              <w:right w:val="nil"/>
            </w:tcBorders>
          </w:tcPr>
          <w:p w14:paraId="0AB6013A"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15%</w:t>
            </w:r>
          </w:p>
        </w:tc>
        <w:tc>
          <w:tcPr>
            <w:tcW w:w="959" w:type="pct"/>
            <w:tcBorders>
              <w:top w:val="nil"/>
              <w:left w:val="nil"/>
              <w:bottom w:val="single" w:sz="4" w:space="0" w:color="auto"/>
              <w:right w:val="nil"/>
            </w:tcBorders>
          </w:tcPr>
          <w:p w14:paraId="0359D5C8"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5%</w:t>
            </w:r>
          </w:p>
        </w:tc>
        <w:tc>
          <w:tcPr>
            <w:tcW w:w="960" w:type="pct"/>
            <w:tcBorders>
              <w:top w:val="nil"/>
              <w:left w:val="nil"/>
              <w:bottom w:val="single" w:sz="4" w:space="0" w:color="auto"/>
              <w:right w:val="single" w:sz="4" w:space="0" w:color="4F81BD"/>
            </w:tcBorders>
          </w:tcPr>
          <w:p w14:paraId="286B069D" w14:textId="77777777" w:rsidR="000B7923" w:rsidRPr="002B1DFC" w:rsidRDefault="000B7923" w:rsidP="00F441C6">
            <w:pPr>
              <w:jc w:val="left"/>
              <w:rPr>
                <w:rFonts w:eastAsia="Times New Roman" w:cs="Times New Roman"/>
                <w:sz w:val="20"/>
                <w:szCs w:val="20"/>
              </w:rPr>
            </w:pPr>
            <w:r w:rsidRPr="002B1DFC">
              <w:rPr>
                <w:rFonts w:eastAsia="Times New Roman" w:cs="Times New Roman"/>
                <w:sz w:val="20"/>
                <w:szCs w:val="20"/>
              </w:rPr>
              <w:t>2%</w:t>
            </w:r>
          </w:p>
        </w:tc>
      </w:tr>
    </w:tbl>
    <w:p w14:paraId="1703FA16" w14:textId="77777777" w:rsidR="000B7923" w:rsidRPr="002B1DFC" w:rsidRDefault="000B7923">
      <w:pPr>
        <w:spacing w:after="200" w:line="276" w:lineRule="auto"/>
        <w:jc w:val="left"/>
        <w:rPr>
          <w:rFonts w:cs="Times New Roman"/>
        </w:rPr>
      </w:pPr>
    </w:p>
    <w:p w14:paraId="0E9DCBA0" w14:textId="77777777" w:rsidR="000B7923" w:rsidRPr="002B1DFC" w:rsidRDefault="000B7923" w:rsidP="00C10116">
      <w:pPr>
        <w:pStyle w:val="ListParagraph"/>
        <w:ind w:left="-120"/>
        <w:rPr>
          <w:rFonts w:cs="Times New Roman"/>
        </w:rPr>
      </w:pPr>
    </w:p>
    <w:p w14:paraId="5699845A" w14:textId="77777777" w:rsidR="000B7923" w:rsidRPr="002B1DFC" w:rsidRDefault="000B7923" w:rsidP="00F33595">
      <w:pPr>
        <w:rPr>
          <w:rFonts w:cs="Times New Roman"/>
        </w:rPr>
        <w:sectPr w:rsidR="000B7923" w:rsidRPr="002B1DFC" w:rsidSect="007D498E">
          <w:pgSz w:w="15840" w:h="12240" w:orient="landscape"/>
          <w:pgMar w:top="1440" w:right="1440" w:bottom="1440" w:left="1440" w:header="720" w:footer="720" w:gutter="0"/>
          <w:cols w:space="720"/>
          <w:docGrid w:linePitch="360"/>
        </w:sectPr>
      </w:pPr>
    </w:p>
    <w:p w14:paraId="5A77589F" w14:textId="77777777" w:rsidR="000B7923" w:rsidRPr="002B1DFC" w:rsidRDefault="000B7923" w:rsidP="008A20CA">
      <w:pPr>
        <w:pStyle w:val="Caption"/>
      </w:pPr>
      <w:bookmarkStart w:id="165" w:name="_Toc440273986"/>
      <w:r w:rsidRPr="00374007">
        <w:lastRenderedPageBreak/>
        <w:t xml:space="preserve">Annex </w:t>
      </w:r>
      <w:r w:rsidRPr="00374007">
        <w:fldChar w:fldCharType="begin"/>
      </w:r>
      <w:r w:rsidRPr="00374007">
        <w:instrText xml:space="preserve"> SEQ Annex \* ARABIC </w:instrText>
      </w:r>
      <w:r w:rsidRPr="00374007">
        <w:fldChar w:fldCharType="separate"/>
      </w:r>
      <w:r w:rsidR="00356D5F">
        <w:t>3</w:t>
      </w:r>
      <w:r w:rsidRPr="00374007">
        <w:fldChar w:fldCharType="end"/>
      </w:r>
      <w:r w:rsidRPr="00374007">
        <w:t xml:space="preserve">. Implementation of Environmental Policy at Regional </w:t>
      </w:r>
      <w:r w:rsidR="0057112E">
        <w:t xml:space="preserve">and District </w:t>
      </w:r>
      <w:r w:rsidRPr="00374007">
        <w:t>Level</w:t>
      </w:r>
      <w:r w:rsidR="0057112E">
        <w:t>s</w:t>
      </w:r>
      <w:bookmarkEnd w:id="165"/>
    </w:p>
    <w:tbl>
      <w:tblPr>
        <w:tblW w:w="0" w:type="auto"/>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2106"/>
        <w:gridCol w:w="1819"/>
        <w:gridCol w:w="1803"/>
        <w:gridCol w:w="1819"/>
        <w:gridCol w:w="1803"/>
      </w:tblGrid>
      <w:tr w:rsidR="007B3558" w:rsidRPr="00187A2A" w14:paraId="467370EB" w14:textId="77777777" w:rsidTr="00187A2A">
        <w:tc>
          <w:tcPr>
            <w:tcW w:w="2140" w:type="dxa"/>
            <w:tcBorders>
              <w:bottom w:val="nil"/>
              <w:right w:val="nil"/>
            </w:tcBorders>
            <w:shd w:val="clear" w:color="auto" w:fill="5B9BD5"/>
          </w:tcPr>
          <w:p w14:paraId="2F8FA321" w14:textId="77777777" w:rsidR="007B3558" w:rsidRPr="00187A2A" w:rsidRDefault="007B3558" w:rsidP="003E3AC9">
            <w:pPr>
              <w:rPr>
                <w:b/>
                <w:bCs/>
                <w:color w:val="FFFFFF"/>
                <w:lang w:val="en-GB"/>
              </w:rPr>
            </w:pPr>
            <w:r w:rsidRPr="00187A2A">
              <w:rPr>
                <w:b/>
                <w:bCs/>
                <w:color w:val="FFFFFF"/>
                <w:lang w:val="en-GB"/>
              </w:rPr>
              <w:t>Oblast</w:t>
            </w:r>
          </w:p>
        </w:tc>
        <w:tc>
          <w:tcPr>
            <w:tcW w:w="3718" w:type="dxa"/>
            <w:gridSpan w:val="2"/>
            <w:tcBorders>
              <w:bottom w:val="single" w:sz="4" w:space="0" w:color="5B9BD5"/>
            </w:tcBorders>
            <w:shd w:val="clear" w:color="auto" w:fill="5B9BD5"/>
          </w:tcPr>
          <w:p w14:paraId="3471FAE3" w14:textId="77777777" w:rsidR="007B3558" w:rsidRPr="00187A2A" w:rsidRDefault="007B3558" w:rsidP="00187A2A">
            <w:pPr>
              <w:jc w:val="center"/>
              <w:rPr>
                <w:b/>
                <w:bCs/>
                <w:color w:val="FFFFFF"/>
                <w:lang w:val="en-GB"/>
              </w:rPr>
            </w:pPr>
            <w:r w:rsidRPr="00187A2A">
              <w:rPr>
                <w:b/>
                <w:bCs/>
                <w:color w:val="FFFFFF"/>
                <w:lang w:val="en-GB"/>
              </w:rPr>
              <w:t>At Regional Level</w:t>
            </w:r>
          </w:p>
        </w:tc>
        <w:tc>
          <w:tcPr>
            <w:tcW w:w="3718" w:type="dxa"/>
            <w:gridSpan w:val="2"/>
            <w:shd w:val="clear" w:color="auto" w:fill="5B9BD5"/>
          </w:tcPr>
          <w:p w14:paraId="13B29E66" w14:textId="77777777" w:rsidR="007B3558" w:rsidRPr="00187A2A" w:rsidRDefault="007B3558" w:rsidP="00187A2A">
            <w:pPr>
              <w:jc w:val="center"/>
              <w:rPr>
                <w:b/>
                <w:bCs/>
                <w:color w:val="FFFFFF"/>
                <w:lang w:val="en-GB"/>
              </w:rPr>
            </w:pPr>
            <w:r w:rsidRPr="00187A2A">
              <w:rPr>
                <w:b/>
                <w:bCs/>
                <w:color w:val="FFFFFF"/>
                <w:lang w:val="en-GB"/>
              </w:rPr>
              <w:t>At District Level</w:t>
            </w:r>
          </w:p>
        </w:tc>
      </w:tr>
      <w:tr w:rsidR="003E7423" w:rsidRPr="00187A2A" w14:paraId="2D5E452F" w14:textId="77777777" w:rsidTr="00187A2A">
        <w:tc>
          <w:tcPr>
            <w:tcW w:w="2140" w:type="dxa"/>
            <w:tcBorders>
              <w:top w:val="single" w:sz="4" w:space="0" w:color="5B9BD5"/>
              <w:bottom w:val="single" w:sz="4" w:space="0" w:color="5B9BD5"/>
              <w:right w:val="nil"/>
            </w:tcBorders>
            <w:shd w:val="clear" w:color="auto" w:fill="FFFFFF"/>
          </w:tcPr>
          <w:p w14:paraId="55BFB43F" w14:textId="77777777" w:rsidR="003E7423" w:rsidRPr="00187A2A" w:rsidRDefault="003E7423" w:rsidP="003E7423">
            <w:pPr>
              <w:rPr>
                <w:b/>
                <w:bCs/>
                <w:lang w:val="en-GB"/>
              </w:rPr>
            </w:pPr>
          </w:p>
        </w:tc>
        <w:tc>
          <w:tcPr>
            <w:tcW w:w="1859" w:type="dxa"/>
            <w:tcBorders>
              <w:top w:val="single" w:sz="4" w:space="0" w:color="5B9BD5"/>
              <w:bottom w:val="single" w:sz="4" w:space="0" w:color="auto"/>
            </w:tcBorders>
            <w:shd w:val="clear" w:color="auto" w:fill="auto"/>
          </w:tcPr>
          <w:p w14:paraId="3672BCAA" w14:textId="77777777" w:rsidR="003E7423" w:rsidRPr="00187A2A" w:rsidRDefault="003E7423" w:rsidP="0061686D">
            <w:pPr>
              <w:jc w:val="left"/>
              <w:rPr>
                <w:lang w:val="en-GB"/>
              </w:rPr>
            </w:pPr>
            <w:r w:rsidRPr="00187A2A">
              <w:rPr>
                <w:lang w:val="en-GB"/>
              </w:rPr>
              <w:t xml:space="preserve">No. of Active </w:t>
            </w:r>
            <w:r w:rsidR="00374007" w:rsidRPr="00187A2A">
              <w:rPr>
                <w:lang w:val="en-GB"/>
              </w:rPr>
              <w:t xml:space="preserve">Environment </w:t>
            </w:r>
            <w:r w:rsidRPr="00187A2A">
              <w:rPr>
                <w:lang w:val="en-GB"/>
              </w:rPr>
              <w:t xml:space="preserve">Programs </w:t>
            </w:r>
            <w:r w:rsidR="00374007" w:rsidRPr="00187A2A">
              <w:rPr>
                <w:lang w:val="en-GB"/>
              </w:rPr>
              <w:t xml:space="preserve"> </w:t>
            </w:r>
          </w:p>
        </w:tc>
        <w:tc>
          <w:tcPr>
            <w:tcW w:w="1859" w:type="dxa"/>
            <w:tcBorders>
              <w:top w:val="single" w:sz="4" w:space="0" w:color="5B9BD5"/>
              <w:bottom w:val="single" w:sz="4" w:space="0" w:color="5B9BD5"/>
            </w:tcBorders>
            <w:shd w:val="clear" w:color="auto" w:fill="auto"/>
          </w:tcPr>
          <w:p w14:paraId="6ABC8F2F" w14:textId="77777777" w:rsidR="003E7423" w:rsidRPr="00187A2A" w:rsidRDefault="00A8247F" w:rsidP="0061686D">
            <w:pPr>
              <w:jc w:val="left"/>
              <w:rPr>
                <w:lang w:val="en-GB"/>
              </w:rPr>
            </w:pPr>
            <w:r w:rsidRPr="00187A2A">
              <w:rPr>
                <w:lang w:val="en-GB"/>
              </w:rPr>
              <w:t xml:space="preserve">No. of </w:t>
            </w:r>
            <w:r w:rsidR="003E7423" w:rsidRPr="00187A2A">
              <w:rPr>
                <w:lang w:val="en-GB"/>
              </w:rPr>
              <w:t>Programs Relevant to NES and NEAP</w:t>
            </w:r>
            <w:r w:rsidRPr="00187A2A">
              <w:rPr>
                <w:lang w:val="en-GB"/>
              </w:rPr>
              <w:t xml:space="preserve"> Objectives</w:t>
            </w:r>
          </w:p>
        </w:tc>
        <w:tc>
          <w:tcPr>
            <w:tcW w:w="1859" w:type="dxa"/>
            <w:tcBorders>
              <w:top w:val="single" w:sz="4" w:space="0" w:color="5B9BD5"/>
              <w:bottom w:val="single" w:sz="4" w:space="0" w:color="5B9BD5"/>
            </w:tcBorders>
            <w:shd w:val="clear" w:color="auto" w:fill="auto"/>
          </w:tcPr>
          <w:p w14:paraId="5ECDFE93" w14:textId="77777777" w:rsidR="003E7423" w:rsidRPr="00187A2A" w:rsidRDefault="003E7423" w:rsidP="0061686D">
            <w:pPr>
              <w:jc w:val="left"/>
              <w:rPr>
                <w:lang w:val="en-GB"/>
              </w:rPr>
            </w:pPr>
            <w:r w:rsidRPr="00187A2A">
              <w:rPr>
                <w:lang w:val="en-GB"/>
              </w:rPr>
              <w:t xml:space="preserve">No. of Active </w:t>
            </w:r>
            <w:r w:rsidR="00374007" w:rsidRPr="00187A2A">
              <w:rPr>
                <w:lang w:val="en-GB"/>
              </w:rPr>
              <w:t xml:space="preserve">Environment </w:t>
            </w:r>
            <w:r w:rsidRPr="00187A2A">
              <w:rPr>
                <w:lang w:val="en-GB"/>
              </w:rPr>
              <w:t>Programs</w:t>
            </w:r>
          </w:p>
        </w:tc>
        <w:tc>
          <w:tcPr>
            <w:tcW w:w="1859" w:type="dxa"/>
            <w:tcBorders>
              <w:top w:val="single" w:sz="4" w:space="0" w:color="5B9BD5"/>
              <w:bottom w:val="single" w:sz="4" w:space="0" w:color="5B9BD5"/>
            </w:tcBorders>
            <w:shd w:val="clear" w:color="auto" w:fill="auto"/>
          </w:tcPr>
          <w:p w14:paraId="1FAC3AF3" w14:textId="77777777" w:rsidR="003E7423" w:rsidRPr="00187A2A" w:rsidRDefault="003E7423" w:rsidP="0061686D">
            <w:pPr>
              <w:jc w:val="left"/>
              <w:rPr>
                <w:lang w:val="en-GB"/>
              </w:rPr>
            </w:pPr>
            <w:r w:rsidRPr="00187A2A">
              <w:rPr>
                <w:lang w:val="en-GB"/>
              </w:rPr>
              <w:t>No. of Programs Relevant to NES and NEAP</w:t>
            </w:r>
            <w:r w:rsidR="00A8247F" w:rsidRPr="00187A2A">
              <w:rPr>
                <w:lang w:val="en-GB"/>
              </w:rPr>
              <w:t xml:space="preserve"> Objectives</w:t>
            </w:r>
          </w:p>
        </w:tc>
      </w:tr>
      <w:tr w:rsidR="007B3558" w:rsidRPr="00187A2A" w14:paraId="3D462E45" w14:textId="77777777" w:rsidTr="00187A2A">
        <w:tc>
          <w:tcPr>
            <w:tcW w:w="2140" w:type="dxa"/>
            <w:tcBorders>
              <w:right w:val="nil"/>
            </w:tcBorders>
            <w:shd w:val="clear" w:color="auto" w:fill="FFFFFF"/>
          </w:tcPr>
          <w:p w14:paraId="1490EBCD" w14:textId="77777777" w:rsidR="007B3558" w:rsidRPr="00187A2A" w:rsidRDefault="007B3558" w:rsidP="00791E1D">
            <w:pPr>
              <w:rPr>
                <w:b/>
                <w:bCs/>
                <w:lang w:val="en-GB"/>
              </w:rPr>
            </w:pPr>
            <w:r w:rsidRPr="00187A2A">
              <w:rPr>
                <w:b/>
                <w:bCs/>
                <w:lang w:val="en-GB"/>
              </w:rPr>
              <w:t>Cherkasy</w:t>
            </w:r>
          </w:p>
        </w:tc>
        <w:tc>
          <w:tcPr>
            <w:tcW w:w="1859" w:type="dxa"/>
            <w:tcBorders>
              <w:top w:val="single" w:sz="4" w:space="0" w:color="auto"/>
            </w:tcBorders>
            <w:shd w:val="clear" w:color="auto" w:fill="auto"/>
          </w:tcPr>
          <w:p w14:paraId="16B2D524" w14:textId="77777777" w:rsidR="007B3558" w:rsidRPr="00187A2A" w:rsidRDefault="007B3558" w:rsidP="0061686D">
            <w:pPr>
              <w:ind w:right="3"/>
              <w:jc w:val="center"/>
              <w:rPr>
                <w:lang w:val="en-GB"/>
              </w:rPr>
            </w:pPr>
            <w:r w:rsidRPr="00187A2A">
              <w:rPr>
                <w:lang w:val="en-GB"/>
              </w:rPr>
              <w:t>1</w:t>
            </w:r>
          </w:p>
        </w:tc>
        <w:tc>
          <w:tcPr>
            <w:tcW w:w="1859" w:type="dxa"/>
            <w:shd w:val="clear" w:color="auto" w:fill="auto"/>
          </w:tcPr>
          <w:p w14:paraId="65A78C5C" w14:textId="77777777" w:rsidR="007B3558" w:rsidRPr="00187A2A" w:rsidRDefault="007B3558" w:rsidP="0061686D">
            <w:pPr>
              <w:ind w:right="62"/>
              <w:jc w:val="center"/>
              <w:rPr>
                <w:lang w:val="en-GB"/>
              </w:rPr>
            </w:pPr>
            <w:r w:rsidRPr="00187A2A">
              <w:rPr>
                <w:lang w:val="en-GB"/>
              </w:rPr>
              <w:t>0</w:t>
            </w:r>
          </w:p>
        </w:tc>
        <w:tc>
          <w:tcPr>
            <w:tcW w:w="1859" w:type="dxa"/>
            <w:shd w:val="clear" w:color="auto" w:fill="auto"/>
          </w:tcPr>
          <w:p w14:paraId="67C08DCB" w14:textId="77777777" w:rsidR="007B3558" w:rsidRPr="00187A2A" w:rsidRDefault="00316A95" w:rsidP="0061686D">
            <w:pPr>
              <w:jc w:val="center"/>
              <w:rPr>
                <w:lang w:val="en-GB"/>
              </w:rPr>
            </w:pPr>
            <w:r w:rsidRPr="00187A2A">
              <w:rPr>
                <w:lang w:val="en-GB"/>
              </w:rPr>
              <w:t>19</w:t>
            </w:r>
          </w:p>
        </w:tc>
        <w:tc>
          <w:tcPr>
            <w:tcW w:w="1859" w:type="dxa"/>
            <w:shd w:val="clear" w:color="auto" w:fill="auto"/>
          </w:tcPr>
          <w:p w14:paraId="610CA5EC" w14:textId="77777777" w:rsidR="007B3558" w:rsidRPr="00187A2A" w:rsidRDefault="00316A95" w:rsidP="0061686D">
            <w:pPr>
              <w:jc w:val="center"/>
              <w:rPr>
                <w:lang w:val="en-GB"/>
              </w:rPr>
            </w:pPr>
            <w:r w:rsidRPr="00187A2A">
              <w:rPr>
                <w:lang w:val="en-GB"/>
              </w:rPr>
              <w:t>0</w:t>
            </w:r>
          </w:p>
        </w:tc>
      </w:tr>
      <w:tr w:rsidR="007B3558" w:rsidRPr="00187A2A" w14:paraId="6B2C7A7D" w14:textId="77777777" w:rsidTr="00187A2A">
        <w:tc>
          <w:tcPr>
            <w:tcW w:w="2140" w:type="dxa"/>
            <w:tcBorders>
              <w:top w:val="single" w:sz="4" w:space="0" w:color="5B9BD5"/>
              <w:bottom w:val="single" w:sz="4" w:space="0" w:color="5B9BD5"/>
              <w:right w:val="nil"/>
            </w:tcBorders>
            <w:shd w:val="clear" w:color="auto" w:fill="FFFFFF"/>
          </w:tcPr>
          <w:p w14:paraId="4869D73F" w14:textId="77777777" w:rsidR="007B3558" w:rsidRPr="00187A2A" w:rsidRDefault="007B3558" w:rsidP="00791E1D">
            <w:pPr>
              <w:rPr>
                <w:b/>
                <w:bCs/>
                <w:lang w:val="en-GB"/>
              </w:rPr>
            </w:pPr>
            <w:r w:rsidRPr="00187A2A">
              <w:rPr>
                <w:b/>
                <w:bCs/>
                <w:lang w:val="en-GB"/>
              </w:rPr>
              <w:t>Chernihiv</w:t>
            </w:r>
          </w:p>
        </w:tc>
        <w:tc>
          <w:tcPr>
            <w:tcW w:w="1859" w:type="dxa"/>
            <w:tcBorders>
              <w:top w:val="single" w:sz="4" w:space="0" w:color="5B9BD5"/>
              <w:bottom w:val="single" w:sz="4" w:space="0" w:color="5B9BD5"/>
            </w:tcBorders>
            <w:shd w:val="clear" w:color="auto" w:fill="auto"/>
          </w:tcPr>
          <w:p w14:paraId="1F735EFC" w14:textId="77777777" w:rsidR="007B3558" w:rsidRPr="00187A2A" w:rsidRDefault="007B3558" w:rsidP="0061686D">
            <w:pPr>
              <w:ind w:right="3"/>
              <w:jc w:val="center"/>
              <w:rPr>
                <w:lang w:val="en-GB"/>
              </w:rPr>
            </w:pPr>
            <w:r w:rsidRPr="00187A2A">
              <w:rPr>
                <w:lang w:val="en-GB"/>
              </w:rPr>
              <w:t>5</w:t>
            </w:r>
          </w:p>
        </w:tc>
        <w:tc>
          <w:tcPr>
            <w:tcW w:w="1859" w:type="dxa"/>
            <w:tcBorders>
              <w:top w:val="single" w:sz="4" w:space="0" w:color="5B9BD5"/>
              <w:bottom w:val="single" w:sz="4" w:space="0" w:color="5B9BD5"/>
            </w:tcBorders>
            <w:shd w:val="clear" w:color="auto" w:fill="auto"/>
          </w:tcPr>
          <w:p w14:paraId="280FADE2" w14:textId="77777777" w:rsidR="007B3558" w:rsidRPr="00187A2A" w:rsidRDefault="007B3558" w:rsidP="0061686D">
            <w:pPr>
              <w:ind w:right="62"/>
              <w:jc w:val="center"/>
              <w:rPr>
                <w:lang w:val="en-GB"/>
              </w:rPr>
            </w:pPr>
            <w:r w:rsidRPr="00187A2A">
              <w:rPr>
                <w:lang w:val="en-GB"/>
              </w:rPr>
              <w:t>2</w:t>
            </w:r>
          </w:p>
        </w:tc>
        <w:tc>
          <w:tcPr>
            <w:tcW w:w="1859" w:type="dxa"/>
            <w:tcBorders>
              <w:top w:val="single" w:sz="4" w:space="0" w:color="5B9BD5"/>
              <w:bottom w:val="single" w:sz="4" w:space="0" w:color="5B9BD5"/>
            </w:tcBorders>
            <w:shd w:val="clear" w:color="auto" w:fill="auto"/>
          </w:tcPr>
          <w:p w14:paraId="7C8E83C0" w14:textId="77777777" w:rsidR="007B3558" w:rsidRPr="00187A2A" w:rsidRDefault="00316A95" w:rsidP="0061686D">
            <w:pPr>
              <w:jc w:val="center"/>
              <w:rPr>
                <w:lang w:val="en-GB"/>
              </w:rPr>
            </w:pPr>
            <w:r w:rsidRPr="00187A2A">
              <w:rPr>
                <w:lang w:val="en-GB"/>
              </w:rPr>
              <w:t>37</w:t>
            </w:r>
          </w:p>
        </w:tc>
        <w:tc>
          <w:tcPr>
            <w:tcW w:w="1859" w:type="dxa"/>
            <w:tcBorders>
              <w:top w:val="single" w:sz="4" w:space="0" w:color="5B9BD5"/>
              <w:bottom w:val="single" w:sz="4" w:space="0" w:color="5B9BD5"/>
            </w:tcBorders>
            <w:shd w:val="clear" w:color="auto" w:fill="auto"/>
          </w:tcPr>
          <w:p w14:paraId="026155FD" w14:textId="77777777" w:rsidR="007B3558" w:rsidRPr="00187A2A" w:rsidRDefault="00316A95" w:rsidP="0061686D">
            <w:pPr>
              <w:jc w:val="center"/>
              <w:rPr>
                <w:lang w:val="en-GB"/>
              </w:rPr>
            </w:pPr>
            <w:r w:rsidRPr="00187A2A">
              <w:rPr>
                <w:lang w:val="en-GB"/>
              </w:rPr>
              <w:t>0</w:t>
            </w:r>
          </w:p>
        </w:tc>
      </w:tr>
      <w:tr w:rsidR="007B3558" w:rsidRPr="00187A2A" w14:paraId="5096E588" w14:textId="77777777" w:rsidTr="00187A2A">
        <w:tc>
          <w:tcPr>
            <w:tcW w:w="2140" w:type="dxa"/>
            <w:tcBorders>
              <w:right w:val="nil"/>
            </w:tcBorders>
            <w:shd w:val="clear" w:color="auto" w:fill="FFFFFF"/>
          </w:tcPr>
          <w:p w14:paraId="2463F45E" w14:textId="77777777" w:rsidR="007B3558" w:rsidRPr="00187A2A" w:rsidRDefault="007B3558" w:rsidP="00791E1D">
            <w:pPr>
              <w:rPr>
                <w:b/>
                <w:bCs/>
                <w:lang w:val="en-GB"/>
              </w:rPr>
            </w:pPr>
            <w:r w:rsidRPr="00187A2A">
              <w:rPr>
                <w:b/>
                <w:bCs/>
                <w:lang w:val="en-GB"/>
              </w:rPr>
              <w:t>Chernivtsi</w:t>
            </w:r>
          </w:p>
        </w:tc>
        <w:tc>
          <w:tcPr>
            <w:tcW w:w="1859" w:type="dxa"/>
            <w:shd w:val="clear" w:color="auto" w:fill="auto"/>
          </w:tcPr>
          <w:p w14:paraId="29A2745F" w14:textId="77777777" w:rsidR="007B3558" w:rsidRPr="00187A2A" w:rsidRDefault="007B3558" w:rsidP="0061686D">
            <w:pPr>
              <w:ind w:right="3"/>
              <w:jc w:val="center"/>
              <w:rPr>
                <w:lang w:val="en-GB"/>
              </w:rPr>
            </w:pPr>
            <w:r w:rsidRPr="00187A2A">
              <w:rPr>
                <w:lang w:val="en-GB"/>
              </w:rPr>
              <w:t>1</w:t>
            </w:r>
          </w:p>
        </w:tc>
        <w:tc>
          <w:tcPr>
            <w:tcW w:w="1859" w:type="dxa"/>
            <w:shd w:val="clear" w:color="auto" w:fill="auto"/>
          </w:tcPr>
          <w:p w14:paraId="58571928" w14:textId="77777777" w:rsidR="007B3558" w:rsidRPr="00187A2A" w:rsidRDefault="007B3558" w:rsidP="0061686D">
            <w:pPr>
              <w:ind w:right="62"/>
              <w:jc w:val="center"/>
              <w:rPr>
                <w:lang w:val="en-GB"/>
              </w:rPr>
            </w:pPr>
            <w:r w:rsidRPr="00187A2A">
              <w:rPr>
                <w:lang w:val="en-GB"/>
              </w:rPr>
              <w:t>0</w:t>
            </w:r>
          </w:p>
        </w:tc>
        <w:tc>
          <w:tcPr>
            <w:tcW w:w="1859" w:type="dxa"/>
            <w:shd w:val="clear" w:color="auto" w:fill="auto"/>
          </w:tcPr>
          <w:p w14:paraId="206CF9A9" w14:textId="77777777" w:rsidR="007B3558" w:rsidRPr="00187A2A" w:rsidRDefault="00316A95" w:rsidP="0061686D">
            <w:pPr>
              <w:jc w:val="center"/>
              <w:rPr>
                <w:lang w:val="en-GB"/>
              </w:rPr>
            </w:pPr>
            <w:r w:rsidRPr="00187A2A">
              <w:rPr>
                <w:lang w:val="en-GB"/>
              </w:rPr>
              <w:t>14</w:t>
            </w:r>
          </w:p>
        </w:tc>
        <w:tc>
          <w:tcPr>
            <w:tcW w:w="1859" w:type="dxa"/>
            <w:shd w:val="clear" w:color="auto" w:fill="auto"/>
          </w:tcPr>
          <w:p w14:paraId="0FB291FA" w14:textId="77777777" w:rsidR="007B3558" w:rsidRPr="00187A2A" w:rsidRDefault="00316A95" w:rsidP="0061686D">
            <w:pPr>
              <w:jc w:val="center"/>
              <w:rPr>
                <w:lang w:val="en-GB"/>
              </w:rPr>
            </w:pPr>
            <w:r w:rsidRPr="00187A2A">
              <w:rPr>
                <w:lang w:val="en-GB"/>
              </w:rPr>
              <w:t>0</w:t>
            </w:r>
          </w:p>
        </w:tc>
      </w:tr>
      <w:tr w:rsidR="007B3558" w:rsidRPr="00187A2A" w14:paraId="39EB3FCC" w14:textId="77777777" w:rsidTr="0061686D">
        <w:trPr>
          <w:trHeight w:val="144"/>
        </w:trPr>
        <w:tc>
          <w:tcPr>
            <w:tcW w:w="2140" w:type="dxa"/>
            <w:tcBorders>
              <w:top w:val="single" w:sz="4" w:space="0" w:color="5B9BD5"/>
              <w:bottom w:val="single" w:sz="4" w:space="0" w:color="5B9BD5"/>
              <w:right w:val="nil"/>
            </w:tcBorders>
            <w:shd w:val="clear" w:color="auto" w:fill="FFFFFF"/>
          </w:tcPr>
          <w:p w14:paraId="47F077B6" w14:textId="77777777" w:rsidR="007B3558" w:rsidRPr="00187A2A" w:rsidRDefault="007B3558" w:rsidP="003F0B09">
            <w:pPr>
              <w:rPr>
                <w:b/>
                <w:bCs/>
                <w:lang w:val="en-GB"/>
              </w:rPr>
            </w:pPr>
            <w:r w:rsidRPr="00187A2A">
              <w:rPr>
                <w:b/>
                <w:bCs/>
                <w:lang w:val="en-GB"/>
              </w:rPr>
              <w:t>Dnipropetrovsk</w:t>
            </w:r>
          </w:p>
        </w:tc>
        <w:tc>
          <w:tcPr>
            <w:tcW w:w="1859" w:type="dxa"/>
            <w:tcBorders>
              <w:top w:val="single" w:sz="4" w:space="0" w:color="5B9BD5"/>
              <w:bottom w:val="single" w:sz="4" w:space="0" w:color="5B9BD5"/>
            </w:tcBorders>
            <w:shd w:val="clear" w:color="auto" w:fill="auto"/>
          </w:tcPr>
          <w:p w14:paraId="6F2D4AC5" w14:textId="77777777" w:rsidR="007B3558" w:rsidRPr="00187A2A" w:rsidRDefault="007B3558" w:rsidP="0061686D">
            <w:pPr>
              <w:ind w:right="3"/>
              <w:jc w:val="center"/>
              <w:rPr>
                <w:lang w:val="en-GB"/>
              </w:rPr>
            </w:pPr>
            <w:r w:rsidRPr="00187A2A">
              <w:rPr>
                <w:lang w:val="en-GB"/>
              </w:rPr>
              <w:t>10</w:t>
            </w:r>
          </w:p>
        </w:tc>
        <w:tc>
          <w:tcPr>
            <w:tcW w:w="1859" w:type="dxa"/>
            <w:tcBorders>
              <w:top w:val="single" w:sz="4" w:space="0" w:color="5B9BD5"/>
              <w:bottom w:val="single" w:sz="4" w:space="0" w:color="5B9BD5"/>
            </w:tcBorders>
            <w:shd w:val="clear" w:color="auto" w:fill="auto"/>
          </w:tcPr>
          <w:p w14:paraId="379A569C" w14:textId="77777777" w:rsidR="007B3558" w:rsidRPr="00187A2A" w:rsidRDefault="007B3558" w:rsidP="0061686D">
            <w:pPr>
              <w:ind w:right="62"/>
              <w:jc w:val="center"/>
              <w:rPr>
                <w:lang w:val="en-GB"/>
              </w:rPr>
            </w:pPr>
            <w:r w:rsidRPr="00187A2A">
              <w:rPr>
                <w:lang w:val="en-GB"/>
              </w:rPr>
              <w:t>0</w:t>
            </w:r>
          </w:p>
        </w:tc>
        <w:tc>
          <w:tcPr>
            <w:tcW w:w="1859" w:type="dxa"/>
            <w:tcBorders>
              <w:top w:val="single" w:sz="4" w:space="0" w:color="5B9BD5"/>
              <w:bottom w:val="single" w:sz="4" w:space="0" w:color="5B9BD5"/>
            </w:tcBorders>
            <w:shd w:val="clear" w:color="auto" w:fill="auto"/>
          </w:tcPr>
          <w:p w14:paraId="36F98001" w14:textId="77777777" w:rsidR="007B3558" w:rsidRPr="00187A2A" w:rsidRDefault="00316A95" w:rsidP="0061686D">
            <w:pPr>
              <w:jc w:val="center"/>
              <w:rPr>
                <w:lang w:val="en-GB"/>
              </w:rPr>
            </w:pPr>
            <w:r w:rsidRPr="00187A2A">
              <w:rPr>
                <w:lang w:val="en-GB"/>
              </w:rPr>
              <w:t>44</w:t>
            </w:r>
          </w:p>
        </w:tc>
        <w:tc>
          <w:tcPr>
            <w:tcW w:w="1859" w:type="dxa"/>
            <w:tcBorders>
              <w:top w:val="single" w:sz="4" w:space="0" w:color="5B9BD5"/>
              <w:bottom w:val="single" w:sz="4" w:space="0" w:color="5B9BD5"/>
            </w:tcBorders>
            <w:shd w:val="clear" w:color="auto" w:fill="auto"/>
          </w:tcPr>
          <w:p w14:paraId="1CB07E55" w14:textId="77777777" w:rsidR="007B3558" w:rsidRPr="00187A2A" w:rsidRDefault="00316A95" w:rsidP="0061686D">
            <w:pPr>
              <w:jc w:val="center"/>
              <w:rPr>
                <w:lang w:val="en-GB"/>
              </w:rPr>
            </w:pPr>
            <w:r w:rsidRPr="00187A2A">
              <w:rPr>
                <w:lang w:val="en-GB"/>
              </w:rPr>
              <w:t>0</w:t>
            </w:r>
          </w:p>
        </w:tc>
      </w:tr>
      <w:tr w:rsidR="007B3558" w:rsidRPr="00187A2A" w14:paraId="4575BA77" w14:textId="77777777" w:rsidTr="00187A2A">
        <w:tc>
          <w:tcPr>
            <w:tcW w:w="2140" w:type="dxa"/>
            <w:tcBorders>
              <w:right w:val="nil"/>
            </w:tcBorders>
            <w:shd w:val="clear" w:color="auto" w:fill="FFFFFF"/>
          </w:tcPr>
          <w:p w14:paraId="10FB4270" w14:textId="77777777" w:rsidR="007B3558" w:rsidRPr="00187A2A" w:rsidRDefault="007B3558" w:rsidP="00791E1D">
            <w:pPr>
              <w:rPr>
                <w:b/>
                <w:bCs/>
                <w:lang w:val="en-GB"/>
              </w:rPr>
            </w:pPr>
            <w:r w:rsidRPr="00187A2A">
              <w:rPr>
                <w:b/>
                <w:bCs/>
                <w:lang w:val="en-GB"/>
              </w:rPr>
              <w:t xml:space="preserve">Donetsk </w:t>
            </w:r>
          </w:p>
        </w:tc>
        <w:tc>
          <w:tcPr>
            <w:tcW w:w="1859" w:type="dxa"/>
            <w:shd w:val="clear" w:color="auto" w:fill="auto"/>
          </w:tcPr>
          <w:p w14:paraId="1230878D" w14:textId="77777777" w:rsidR="007B3558" w:rsidRPr="00187A2A" w:rsidRDefault="007B3558" w:rsidP="0061686D">
            <w:pPr>
              <w:ind w:right="3"/>
              <w:jc w:val="center"/>
              <w:rPr>
                <w:lang w:val="en-GB"/>
              </w:rPr>
            </w:pPr>
            <w:r w:rsidRPr="00187A2A">
              <w:rPr>
                <w:lang w:val="en-GB"/>
              </w:rPr>
              <w:t>1</w:t>
            </w:r>
          </w:p>
        </w:tc>
        <w:tc>
          <w:tcPr>
            <w:tcW w:w="1859" w:type="dxa"/>
            <w:shd w:val="clear" w:color="auto" w:fill="auto"/>
          </w:tcPr>
          <w:p w14:paraId="6ACCDCEC" w14:textId="77777777" w:rsidR="007B3558" w:rsidRPr="00187A2A" w:rsidRDefault="007B3558" w:rsidP="0061686D">
            <w:pPr>
              <w:ind w:right="62"/>
              <w:jc w:val="center"/>
              <w:rPr>
                <w:lang w:val="en-GB"/>
              </w:rPr>
            </w:pPr>
            <w:r w:rsidRPr="00187A2A">
              <w:rPr>
                <w:lang w:val="en-GB"/>
              </w:rPr>
              <w:t>0</w:t>
            </w:r>
          </w:p>
        </w:tc>
        <w:tc>
          <w:tcPr>
            <w:tcW w:w="1859" w:type="dxa"/>
            <w:shd w:val="clear" w:color="auto" w:fill="auto"/>
          </w:tcPr>
          <w:p w14:paraId="50444C7C" w14:textId="77777777" w:rsidR="007B3558" w:rsidRPr="00187A2A" w:rsidRDefault="00316A95" w:rsidP="0061686D">
            <w:pPr>
              <w:jc w:val="center"/>
              <w:rPr>
                <w:lang w:val="en-GB"/>
              </w:rPr>
            </w:pPr>
            <w:r w:rsidRPr="00187A2A">
              <w:rPr>
                <w:lang w:val="en-GB"/>
              </w:rPr>
              <w:t>3</w:t>
            </w:r>
          </w:p>
        </w:tc>
        <w:tc>
          <w:tcPr>
            <w:tcW w:w="1859" w:type="dxa"/>
            <w:shd w:val="clear" w:color="auto" w:fill="auto"/>
          </w:tcPr>
          <w:p w14:paraId="67370989" w14:textId="77777777" w:rsidR="007B3558" w:rsidRPr="00187A2A" w:rsidRDefault="00316A95" w:rsidP="0061686D">
            <w:pPr>
              <w:jc w:val="center"/>
              <w:rPr>
                <w:lang w:val="en-GB"/>
              </w:rPr>
            </w:pPr>
            <w:r w:rsidRPr="00187A2A">
              <w:rPr>
                <w:lang w:val="en-GB"/>
              </w:rPr>
              <w:t>0</w:t>
            </w:r>
          </w:p>
        </w:tc>
      </w:tr>
      <w:tr w:rsidR="007B3558" w:rsidRPr="00187A2A" w14:paraId="5335F669" w14:textId="77777777" w:rsidTr="00187A2A">
        <w:tc>
          <w:tcPr>
            <w:tcW w:w="2140" w:type="dxa"/>
            <w:tcBorders>
              <w:top w:val="single" w:sz="4" w:space="0" w:color="5B9BD5"/>
              <w:bottom w:val="single" w:sz="4" w:space="0" w:color="5B9BD5"/>
              <w:right w:val="nil"/>
            </w:tcBorders>
            <w:shd w:val="clear" w:color="auto" w:fill="FFFFFF"/>
          </w:tcPr>
          <w:p w14:paraId="507F3E12" w14:textId="77777777" w:rsidR="007B3558" w:rsidRPr="00187A2A" w:rsidRDefault="007B3558" w:rsidP="00791E1D">
            <w:pPr>
              <w:rPr>
                <w:b/>
                <w:bCs/>
                <w:lang w:val="en-GB"/>
              </w:rPr>
            </w:pPr>
            <w:r w:rsidRPr="00187A2A">
              <w:rPr>
                <w:b/>
                <w:bCs/>
                <w:lang w:val="en-GB"/>
              </w:rPr>
              <w:t>Ivano-Frankivsk</w:t>
            </w:r>
          </w:p>
        </w:tc>
        <w:tc>
          <w:tcPr>
            <w:tcW w:w="1859" w:type="dxa"/>
            <w:tcBorders>
              <w:top w:val="single" w:sz="4" w:space="0" w:color="5B9BD5"/>
              <w:bottom w:val="single" w:sz="4" w:space="0" w:color="5B9BD5"/>
            </w:tcBorders>
            <w:shd w:val="clear" w:color="auto" w:fill="auto"/>
          </w:tcPr>
          <w:p w14:paraId="3C7D2662" w14:textId="77777777" w:rsidR="007B3558" w:rsidRPr="00187A2A" w:rsidRDefault="007B3558" w:rsidP="0061686D">
            <w:pPr>
              <w:ind w:right="3"/>
              <w:jc w:val="center"/>
              <w:rPr>
                <w:lang w:val="en-GB"/>
              </w:rPr>
            </w:pPr>
            <w:r w:rsidRPr="00187A2A">
              <w:rPr>
                <w:lang w:val="en-GB"/>
              </w:rPr>
              <w:t>7</w:t>
            </w:r>
          </w:p>
        </w:tc>
        <w:tc>
          <w:tcPr>
            <w:tcW w:w="1859" w:type="dxa"/>
            <w:tcBorders>
              <w:top w:val="single" w:sz="4" w:space="0" w:color="5B9BD5"/>
              <w:bottom w:val="single" w:sz="4" w:space="0" w:color="5B9BD5"/>
            </w:tcBorders>
            <w:shd w:val="clear" w:color="auto" w:fill="auto"/>
          </w:tcPr>
          <w:p w14:paraId="28366262" w14:textId="77777777" w:rsidR="007B3558" w:rsidRPr="00187A2A" w:rsidRDefault="007B3558" w:rsidP="0061686D">
            <w:pPr>
              <w:ind w:right="62"/>
              <w:jc w:val="center"/>
              <w:rPr>
                <w:lang w:val="en-GB"/>
              </w:rPr>
            </w:pPr>
            <w:r w:rsidRPr="00187A2A">
              <w:rPr>
                <w:lang w:val="en-GB"/>
              </w:rPr>
              <w:t>0</w:t>
            </w:r>
          </w:p>
        </w:tc>
        <w:tc>
          <w:tcPr>
            <w:tcW w:w="1859" w:type="dxa"/>
            <w:tcBorders>
              <w:top w:val="single" w:sz="4" w:space="0" w:color="5B9BD5"/>
              <w:bottom w:val="single" w:sz="4" w:space="0" w:color="5B9BD5"/>
            </w:tcBorders>
            <w:shd w:val="clear" w:color="auto" w:fill="auto"/>
          </w:tcPr>
          <w:p w14:paraId="496908D7" w14:textId="77777777" w:rsidR="007B3558" w:rsidRPr="00187A2A" w:rsidRDefault="00316A95" w:rsidP="0061686D">
            <w:pPr>
              <w:jc w:val="center"/>
              <w:rPr>
                <w:lang w:val="en-GB"/>
              </w:rPr>
            </w:pPr>
            <w:r w:rsidRPr="00187A2A">
              <w:rPr>
                <w:lang w:val="en-GB"/>
              </w:rPr>
              <w:t>12</w:t>
            </w:r>
          </w:p>
        </w:tc>
        <w:tc>
          <w:tcPr>
            <w:tcW w:w="1859" w:type="dxa"/>
            <w:tcBorders>
              <w:top w:val="single" w:sz="4" w:space="0" w:color="5B9BD5"/>
              <w:bottom w:val="single" w:sz="4" w:space="0" w:color="5B9BD5"/>
            </w:tcBorders>
            <w:shd w:val="clear" w:color="auto" w:fill="auto"/>
          </w:tcPr>
          <w:p w14:paraId="5D8505A2" w14:textId="77777777" w:rsidR="007B3558" w:rsidRPr="00187A2A" w:rsidRDefault="00316A95" w:rsidP="0061686D">
            <w:pPr>
              <w:jc w:val="center"/>
              <w:rPr>
                <w:lang w:val="en-GB"/>
              </w:rPr>
            </w:pPr>
            <w:r w:rsidRPr="00187A2A">
              <w:rPr>
                <w:lang w:val="en-GB"/>
              </w:rPr>
              <w:t>0</w:t>
            </w:r>
          </w:p>
        </w:tc>
      </w:tr>
      <w:tr w:rsidR="007B3558" w:rsidRPr="00187A2A" w14:paraId="078D7C02" w14:textId="77777777" w:rsidTr="00187A2A">
        <w:tc>
          <w:tcPr>
            <w:tcW w:w="2140" w:type="dxa"/>
            <w:tcBorders>
              <w:right w:val="nil"/>
            </w:tcBorders>
            <w:shd w:val="clear" w:color="auto" w:fill="FFFFFF"/>
          </w:tcPr>
          <w:p w14:paraId="583AFCD3" w14:textId="77777777" w:rsidR="007B3558" w:rsidRPr="00187A2A" w:rsidRDefault="007B3558" w:rsidP="00791E1D">
            <w:pPr>
              <w:rPr>
                <w:b/>
                <w:bCs/>
                <w:lang w:val="en-GB"/>
              </w:rPr>
            </w:pPr>
            <w:proofErr w:type="spellStart"/>
            <w:r w:rsidRPr="00187A2A">
              <w:rPr>
                <w:b/>
                <w:bCs/>
                <w:lang w:val="en-GB"/>
              </w:rPr>
              <w:t>Kharkiv</w:t>
            </w:r>
            <w:proofErr w:type="spellEnd"/>
            <w:r w:rsidRPr="00187A2A">
              <w:rPr>
                <w:b/>
                <w:bCs/>
                <w:lang w:val="en-GB"/>
              </w:rPr>
              <w:t xml:space="preserve"> </w:t>
            </w:r>
          </w:p>
        </w:tc>
        <w:tc>
          <w:tcPr>
            <w:tcW w:w="1859" w:type="dxa"/>
            <w:shd w:val="clear" w:color="auto" w:fill="auto"/>
          </w:tcPr>
          <w:p w14:paraId="6A020CF5" w14:textId="77777777" w:rsidR="007B3558" w:rsidRPr="00187A2A" w:rsidRDefault="007B3558" w:rsidP="0061686D">
            <w:pPr>
              <w:ind w:right="3"/>
              <w:jc w:val="center"/>
              <w:rPr>
                <w:lang w:val="en-GB"/>
              </w:rPr>
            </w:pPr>
            <w:r w:rsidRPr="00187A2A">
              <w:rPr>
                <w:lang w:val="en-GB"/>
              </w:rPr>
              <w:t>8</w:t>
            </w:r>
          </w:p>
        </w:tc>
        <w:tc>
          <w:tcPr>
            <w:tcW w:w="1859" w:type="dxa"/>
            <w:shd w:val="clear" w:color="auto" w:fill="auto"/>
          </w:tcPr>
          <w:p w14:paraId="6BB7F8D4" w14:textId="77777777" w:rsidR="007B3558" w:rsidRPr="00187A2A" w:rsidRDefault="007B3558" w:rsidP="0061686D">
            <w:pPr>
              <w:ind w:right="62"/>
              <w:jc w:val="center"/>
              <w:rPr>
                <w:lang w:val="en-GB"/>
              </w:rPr>
            </w:pPr>
            <w:r w:rsidRPr="00187A2A">
              <w:rPr>
                <w:lang w:val="en-GB"/>
              </w:rPr>
              <w:t>0</w:t>
            </w:r>
          </w:p>
        </w:tc>
        <w:tc>
          <w:tcPr>
            <w:tcW w:w="1859" w:type="dxa"/>
            <w:shd w:val="clear" w:color="auto" w:fill="auto"/>
          </w:tcPr>
          <w:p w14:paraId="0BD1D774" w14:textId="77777777" w:rsidR="007B3558" w:rsidRPr="00187A2A" w:rsidRDefault="00316A95" w:rsidP="0061686D">
            <w:pPr>
              <w:jc w:val="center"/>
              <w:rPr>
                <w:lang w:val="en-GB"/>
              </w:rPr>
            </w:pPr>
            <w:r w:rsidRPr="00187A2A">
              <w:rPr>
                <w:lang w:val="en-GB"/>
              </w:rPr>
              <w:t>50</w:t>
            </w:r>
          </w:p>
        </w:tc>
        <w:tc>
          <w:tcPr>
            <w:tcW w:w="1859" w:type="dxa"/>
            <w:shd w:val="clear" w:color="auto" w:fill="auto"/>
          </w:tcPr>
          <w:p w14:paraId="0C432921" w14:textId="77777777" w:rsidR="007B3558" w:rsidRPr="00187A2A" w:rsidRDefault="00316A95" w:rsidP="0061686D">
            <w:pPr>
              <w:jc w:val="center"/>
              <w:rPr>
                <w:lang w:val="en-GB"/>
              </w:rPr>
            </w:pPr>
            <w:r w:rsidRPr="00187A2A">
              <w:rPr>
                <w:lang w:val="en-GB"/>
              </w:rPr>
              <w:t>3</w:t>
            </w:r>
          </w:p>
        </w:tc>
      </w:tr>
      <w:tr w:rsidR="007B3558" w:rsidRPr="00187A2A" w14:paraId="62546021" w14:textId="77777777" w:rsidTr="00187A2A">
        <w:tc>
          <w:tcPr>
            <w:tcW w:w="2140" w:type="dxa"/>
            <w:tcBorders>
              <w:top w:val="single" w:sz="4" w:space="0" w:color="5B9BD5"/>
              <w:bottom w:val="single" w:sz="4" w:space="0" w:color="5B9BD5"/>
              <w:right w:val="nil"/>
            </w:tcBorders>
            <w:shd w:val="clear" w:color="auto" w:fill="FFFFFF"/>
          </w:tcPr>
          <w:p w14:paraId="59DB01DC" w14:textId="77777777" w:rsidR="007B3558" w:rsidRPr="00187A2A" w:rsidRDefault="007B3558" w:rsidP="00791E1D">
            <w:pPr>
              <w:rPr>
                <w:b/>
                <w:bCs/>
                <w:lang w:val="en-GB"/>
              </w:rPr>
            </w:pPr>
            <w:r w:rsidRPr="00187A2A">
              <w:rPr>
                <w:b/>
                <w:bCs/>
                <w:lang w:val="en-GB"/>
              </w:rPr>
              <w:t xml:space="preserve">Kherson </w:t>
            </w:r>
          </w:p>
        </w:tc>
        <w:tc>
          <w:tcPr>
            <w:tcW w:w="1859" w:type="dxa"/>
            <w:tcBorders>
              <w:top w:val="single" w:sz="4" w:space="0" w:color="5B9BD5"/>
              <w:bottom w:val="single" w:sz="4" w:space="0" w:color="5B9BD5"/>
            </w:tcBorders>
            <w:shd w:val="clear" w:color="auto" w:fill="auto"/>
          </w:tcPr>
          <w:p w14:paraId="41E34A69" w14:textId="77777777" w:rsidR="007B3558" w:rsidRPr="00187A2A" w:rsidRDefault="007B3558" w:rsidP="0061686D">
            <w:pPr>
              <w:ind w:right="3"/>
              <w:jc w:val="center"/>
              <w:rPr>
                <w:lang w:val="en-GB"/>
              </w:rPr>
            </w:pPr>
            <w:r w:rsidRPr="00187A2A">
              <w:rPr>
                <w:lang w:val="en-GB"/>
              </w:rPr>
              <w:t>5</w:t>
            </w:r>
          </w:p>
        </w:tc>
        <w:tc>
          <w:tcPr>
            <w:tcW w:w="1859" w:type="dxa"/>
            <w:tcBorders>
              <w:top w:val="single" w:sz="4" w:space="0" w:color="5B9BD5"/>
              <w:bottom w:val="single" w:sz="4" w:space="0" w:color="5B9BD5"/>
            </w:tcBorders>
            <w:shd w:val="clear" w:color="auto" w:fill="auto"/>
          </w:tcPr>
          <w:p w14:paraId="47AA70CA" w14:textId="77777777" w:rsidR="007B3558" w:rsidRPr="00187A2A" w:rsidRDefault="007B3558" w:rsidP="0061686D">
            <w:pPr>
              <w:ind w:right="62"/>
              <w:jc w:val="center"/>
              <w:rPr>
                <w:lang w:val="en-GB"/>
              </w:rPr>
            </w:pPr>
            <w:r w:rsidRPr="00187A2A">
              <w:rPr>
                <w:lang w:val="en-GB"/>
              </w:rPr>
              <w:t>0</w:t>
            </w:r>
          </w:p>
        </w:tc>
        <w:tc>
          <w:tcPr>
            <w:tcW w:w="1859" w:type="dxa"/>
            <w:tcBorders>
              <w:top w:val="single" w:sz="4" w:space="0" w:color="5B9BD5"/>
              <w:bottom w:val="single" w:sz="4" w:space="0" w:color="5B9BD5"/>
            </w:tcBorders>
            <w:shd w:val="clear" w:color="auto" w:fill="auto"/>
          </w:tcPr>
          <w:p w14:paraId="70B5DCA2" w14:textId="77777777" w:rsidR="007B3558" w:rsidRPr="00187A2A" w:rsidRDefault="00316A95" w:rsidP="0061686D">
            <w:pPr>
              <w:jc w:val="center"/>
              <w:rPr>
                <w:lang w:val="en-GB"/>
              </w:rPr>
            </w:pPr>
            <w:r w:rsidRPr="00187A2A">
              <w:rPr>
                <w:lang w:val="en-GB"/>
              </w:rPr>
              <w:t>5</w:t>
            </w:r>
          </w:p>
        </w:tc>
        <w:tc>
          <w:tcPr>
            <w:tcW w:w="1859" w:type="dxa"/>
            <w:tcBorders>
              <w:top w:val="single" w:sz="4" w:space="0" w:color="5B9BD5"/>
              <w:bottom w:val="single" w:sz="4" w:space="0" w:color="5B9BD5"/>
            </w:tcBorders>
            <w:shd w:val="clear" w:color="auto" w:fill="auto"/>
          </w:tcPr>
          <w:p w14:paraId="0BDE183C" w14:textId="77777777" w:rsidR="007B3558" w:rsidRPr="00187A2A" w:rsidRDefault="00316A95" w:rsidP="0061686D">
            <w:pPr>
              <w:jc w:val="center"/>
              <w:rPr>
                <w:lang w:val="en-GB"/>
              </w:rPr>
            </w:pPr>
            <w:r w:rsidRPr="00187A2A">
              <w:rPr>
                <w:lang w:val="en-GB"/>
              </w:rPr>
              <w:t>0</w:t>
            </w:r>
          </w:p>
        </w:tc>
      </w:tr>
      <w:tr w:rsidR="007B3558" w:rsidRPr="00187A2A" w14:paraId="2D149D3D" w14:textId="77777777" w:rsidTr="00187A2A">
        <w:tc>
          <w:tcPr>
            <w:tcW w:w="2140" w:type="dxa"/>
            <w:tcBorders>
              <w:right w:val="nil"/>
            </w:tcBorders>
            <w:shd w:val="clear" w:color="auto" w:fill="FFFFFF"/>
          </w:tcPr>
          <w:p w14:paraId="59F8C3E1" w14:textId="77777777" w:rsidR="007B3558" w:rsidRPr="00187A2A" w:rsidRDefault="007B3558" w:rsidP="00791E1D">
            <w:pPr>
              <w:rPr>
                <w:b/>
                <w:bCs/>
                <w:lang w:val="en-GB"/>
              </w:rPr>
            </w:pPr>
            <w:proofErr w:type="spellStart"/>
            <w:r w:rsidRPr="00187A2A">
              <w:rPr>
                <w:b/>
                <w:bCs/>
                <w:lang w:val="en-GB"/>
              </w:rPr>
              <w:t>Khmelnytsk</w:t>
            </w:r>
            <w:proofErr w:type="spellEnd"/>
            <w:r w:rsidRPr="00187A2A">
              <w:rPr>
                <w:b/>
                <w:bCs/>
                <w:lang w:val="en-GB"/>
              </w:rPr>
              <w:t xml:space="preserve"> </w:t>
            </w:r>
          </w:p>
        </w:tc>
        <w:tc>
          <w:tcPr>
            <w:tcW w:w="1859" w:type="dxa"/>
            <w:shd w:val="clear" w:color="auto" w:fill="auto"/>
          </w:tcPr>
          <w:p w14:paraId="377F6C2D" w14:textId="77777777" w:rsidR="007B3558" w:rsidRPr="00187A2A" w:rsidRDefault="007B3558" w:rsidP="0061686D">
            <w:pPr>
              <w:ind w:right="3"/>
              <w:jc w:val="center"/>
              <w:rPr>
                <w:lang w:val="en-GB"/>
              </w:rPr>
            </w:pPr>
            <w:r w:rsidRPr="00187A2A">
              <w:rPr>
                <w:lang w:val="en-GB"/>
              </w:rPr>
              <w:t>4</w:t>
            </w:r>
          </w:p>
        </w:tc>
        <w:tc>
          <w:tcPr>
            <w:tcW w:w="1859" w:type="dxa"/>
            <w:shd w:val="clear" w:color="auto" w:fill="auto"/>
          </w:tcPr>
          <w:p w14:paraId="2E65C13B" w14:textId="77777777" w:rsidR="007B3558" w:rsidRPr="00187A2A" w:rsidRDefault="007B3558" w:rsidP="0061686D">
            <w:pPr>
              <w:ind w:right="62"/>
              <w:jc w:val="center"/>
              <w:rPr>
                <w:lang w:val="en-GB"/>
              </w:rPr>
            </w:pPr>
            <w:r w:rsidRPr="00187A2A">
              <w:rPr>
                <w:lang w:val="en-GB"/>
              </w:rPr>
              <w:t>0</w:t>
            </w:r>
          </w:p>
        </w:tc>
        <w:tc>
          <w:tcPr>
            <w:tcW w:w="1859" w:type="dxa"/>
            <w:shd w:val="clear" w:color="auto" w:fill="auto"/>
          </w:tcPr>
          <w:p w14:paraId="10B2C7D5" w14:textId="77777777" w:rsidR="007B3558" w:rsidRPr="00187A2A" w:rsidRDefault="00316A95" w:rsidP="0061686D">
            <w:pPr>
              <w:jc w:val="center"/>
              <w:rPr>
                <w:lang w:val="en-GB"/>
              </w:rPr>
            </w:pPr>
            <w:r w:rsidRPr="00187A2A">
              <w:rPr>
                <w:lang w:val="en-GB"/>
              </w:rPr>
              <w:t>40</w:t>
            </w:r>
          </w:p>
        </w:tc>
        <w:tc>
          <w:tcPr>
            <w:tcW w:w="1859" w:type="dxa"/>
            <w:shd w:val="clear" w:color="auto" w:fill="auto"/>
          </w:tcPr>
          <w:p w14:paraId="35A8F039" w14:textId="77777777" w:rsidR="007B3558" w:rsidRPr="00187A2A" w:rsidRDefault="00316A95" w:rsidP="0061686D">
            <w:pPr>
              <w:jc w:val="center"/>
              <w:rPr>
                <w:lang w:val="en-GB"/>
              </w:rPr>
            </w:pPr>
            <w:r w:rsidRPr="00187A2A">
              <w:rPr>
                <w:lang w:val="en-GB"/>
              </w:rPr>
              <w:t>0</w:t>
            </w:r>
          </w:p>
        </w:tc>
      </w:tr>
      <w:tr w:rsidR="007B3558" w:rsidRPr="00187A2A" w14:paraId="4DAA5BD5" w14:textId="77777777" w:rsidTr="00187A2A">
        <w:tc>
          <w:tcPr>
            <w:tcW w:w="2140" w:type="dxa"/>
            <w:tcBorders>
              <w:top w:val="single" w:sz="4" w:space="0" w:color="5B9BD5"/>
              <w:bottom w:val="single" w:sz="4" w:space="0" w:color="5B9BD5"/>
              <w:right w:val="nil"/>
            </w:tcBorders>
            <w:shd w:val="clear" w:color="auto" w:fill="FFFFFF"/>
          </w:tcPr>
          <w:p w14:paraId="0AE10188" w14:textId="77777777" w:rsidR="007B3558" w:rsidRPr="00187A2A" w:rsidRDefault="007B3558" w:rsidP="00791E1D">
            <w:pPr>
              <w:rPr>
                <w:b/>
                <w:bCs/>
                <w:lang w:val="en-GB"/>
              </w:rPr>
            </w:pPr>
            <w:proofErr w:type="spellStart"/>
            <w:r w:rsidRPr="00187A2A">
              <w:rPr>
                <w:b/>
                <w:bCs/>
                <w:lang w:val="en-GB"/>
              </w:rPr>
              <w:t>Kirovohrad</w:t>
            </w:r>
            <w:proofErr w:type="spellEnd"/>
            <w:r w:rsidRPr="00187A2A">
              <w:rPr>
                <w:b/>
                <w:bCs/>
                <w:lang w:val="en-GB"/>
              </w:rPr>
              <w:t xml:space="preserve">  </w:t>
            </w:r>
          </w:p>
        </w:tc>
        <w:tc>
          <w:tcPr>
            <w:tcW w:w="1859" w:type="dxa"/>
            <w:tcBorders>
              <w:top w:val="single" w:sz="4" w:space="0" w:color="5B9BD5"/>
              <w:bottom w:val="single" w:sz="4" w:space="0" w:color="5B9BD5"/>
            </w:tcBorders>
            <w:shd w:val="clear" w:color="auto" w:fill="auto"/>
          </w:tcPr>
          <w:p w14:paraId="7504861C" w14:textId="77777777" w:rsidR="007B3558" w:rsidRPr="00187A2A" w:rsidRDefault="007B3558" w:rsidP="0061686D">
            <w:pPr>
              <w:ind w:right="3"/>
              <w:jc w:val="center"/>
              <w:rPr>
                <w:lang w:val="en-GB"/>
              </w:rPr>
            </w:pPr>
            <w:r w:rsidRPr="00187A2A">
              <w:rPr>
                <w:lang w:val="en-GB"/>
              </w:rPr>
              <w:t>8</w:t>
            </w:r>
          </w:p>
        </w:tc>
        <w:tc>
          <w:tcPr>
            <w:tcW w:w="1859" w:type="dxa"/>
            <w:tcBorders>
              <w:top w:val="single" w:sz="4" w:space="0" w:color="5B9BD5"/>
              <w:bottom w:val="single" w:sz="4" w:space="0" w:color="5B9BD5"/>
            </w:tcBorders>
            <w:shd w:val="clear" w:color="auto" w:fill="auto"/>
          </w:tcPr>
          <w:p w14:paraId="4999D9DB" w14:textId="77777777" w:rsidR="007B3558" w:rsidRPr="00187A2A" w:rsidRDefault="007B3558" w:rsidP="0061686D">
            <w:pPr>
              <w:ind w:right="62"/>
              <w:jc w:val="center"/>
              <w:rPr>
                <w:lang w:val="en-GB"/>
              </w:rPr>
            </w:pPr>
            <w:r w:rsidRPr="00187A2A">
              <w:rPr>
                <w:lang w:val="en-GB"/>
              </w:rPr>
              <w:t>1</w:t>
            </w:r>
          </w:p>
        </w:tc>
        <w:tc>
          <w:tcPr>
            <w:tcW w:w="1859" w:type="dxa"/>
            <w:tcBorders>
              <w:top w:val="single" w:sz="4" w:space="0" w:color="5B9BD5"/>
              <w:bottom w:val="single" w:sz="4" w:space="0" w:color="5B9BD5"/>
            </w:tcBorders>
            <w:shd w:val="clear" w:color="auto" w:fill="auto"/>
          </w:tcPr>
          <w:p w14:paraId="2E477FCD" w14:textId="77777777" w:rsidR="007B3558" w:rsidRPr="00187A2A" w:rsidRDefault="00316A95" w:rsidP="0061686D">
            <w:pPr>
              <w:jc w:val="center"/>
              <w:rPr>
                <w:lang w:val="en-GB"/>
              </w:rPr>
            </w:pPr>
            <w:r w:rsidRPr="00187A2A">
              <w:rPr>
                <w:lang w:val="en-GB"/>
              </w:rPr>
              <w:t>42</w:t>
            </w:r>
          </w:p>
        </w:tc>
        <w:tc>
          <w:tcPr>
            <w:tcW w:w="1859" w:type="dxa"/>
            <w:tcBorders>
              <w:top w:val="single" w:sz="4" w:space="0" w:color="5B9BD5"/>
              <w:bottom w:val="single" w:sz="4" w:space="0" w:color="5B9BD5"/>
            </w:tcBorders>
            <w:shd w:val="clear" w:color="auto" w:fill="auto"/>
          </w:tcPr>
          <w:p w14:paraId="07FE9BC4" w14:textId="77777777" w:rsidR="007B3558" w:rsidRPr="00187A2A" w:rsidRDefault="00316A95" w:rsidP="0061686D">
            <w:pPr>
              <w:jc w:val="center"/>
              <w:rPr>
                <w:lang w:val="en-GB"/>
              </w:rPr>
            </w:pPr>
            <w:r w:rsidRPr="00187A2A">
              <w:rPr>
                <w:lang w:val="en-GB"/>
              </w:rPr>
              <w:t>0</w:t>
            </w:r>
          </w:p>
        </w:tc>
      </w:tr>
      <w:tr w:rsidR="007B3558" w:rsidRPr="00187A2A" w14:paraId="17E76631" w14:textId="77777777" w:rsidTr="00187A2A">
        <w:tc>
          <w:tcPr>
            <w:tcW w:w="2140" w:type="dxa"/>
            <w:tcBorders>
              <w:right w:val="nil"/>
            </w:tcBorders>
            <w:shd w:val="clear" w:color="auto" w:fill="FFFFFF"/>
          </w:tcPr>
          <w:p w14:paraId="1B91EBF9" w14:textId="77777777" w:rsidR="007B3558" w:rsidRPr="00187A2A" w:rsidRDefault="007B3558" w:rsidP="00791E1D">
            <w:pPr>
              <w:rPr>
                <w:b/>
                <w:bCs/>
                <w:lang w:val="en-GB"/>
              </w:rPr>
            </w:pPr>
            <w:r w:rsidRPr="00187A2A">
              <w:rPr>
                <w:b/>
                <w:bCs/>
                <w:lang w:val="en-GB"/>
              </w:rPr>
              <w:t>Kyiv City</w:t>
            </w:r>
          </w:p>
        </w:tc>
        <w:tc>
          <w:tcPr>
            <w:tcW w:w="1859" w:type="dxa"/>
            <w:shd w:val="clear" w:color="auto" w:fill="auto"/>
          </w:tcPr>
          <w:p w14:paraId="48167105" w14:textId="77777777" w:rsidR="007B3558" w:rsidRPr="00187A2A" w:rsidRDefault="007B3558" w:rsidP="0061686D">
            <w:pPr>
              <w:ind w:right="3"/>
              <w:jc w:val="center"/>
              <w:rPr>
                <w:lang w:val="en-GB"/>
              </w:rPr>
            </w:pPr>
            <w:r w:rsidRPr="00187A2A">
              <w:rPr>
                <w:lang w:val="en-GB"/>
              </w:rPr>
              <w:t>2</w:t>
            </w:r>
          </w:p>
        </w:tc>
        <w:tc>
          <w:tcPr>
            <w:tcW w:w="1859" w:type="dxa"/>
            <w:shd w:val="clear" w:color="auto" w:fill="auto"/>
          </w:tcPr>
          <w:p w14:paraId="1FFAA42F" w14:textId="77777777" w:rsidR="007B3558" w:rsidRPr="00187A2A" w:rsidRDefault="007B3558" w:rsidP="0061686D">
            <w:pPr>
              <w:ind w:right="62"/>
              <w:jc w:val="center"/>
              <w:rPr>
                <w:lang w:val="en-GB"/>
              </w:rPr>
            </w:pPr>
            <w:r w:rsidRPr="00187A2A">
              <w:rPr>
                <w:lang w:val="en-GB"/>
              </w:rPr>
              <w:t>0</w:t>
            </w:r>
          </w:p>
        </w:tc>
        <w:tc>
          <w:tcPr>
            <w:tcW w:w="1859" w:type="dxa"/>
            <w:shd w:val="clear" w:color="auto" w:fill="auto"/>
          </w:tcPr>
          <w:p w14:paraId="6D7970F8" w14:textId="77777777" w:rsidR="007B3558" w:rsidRPr="00187A2A" w:rsidRDefault="00316A95" w:rsidP="0061686D">
            <w:pPr>
              <w:jc w:val="center"/>
              <w:rPr>
                <w:lang w:val="en-GB"/>
              </w:rPr>
            </w:pPr>
            <w:r w:rsidRPr="00187A2A">
              <w:rPr>
                <w:lang w:val="en-GB"/>
              </w:rPr>
              <w:t>Not applicable</w:t>
            </w:r>
          </w:p>
        </w:tc>
        <w:tc>
          <w:tcPr>
            <w:tcW w:w="1859" w:type="dxa"/>
            <w:shd w:val="clear" w:color="auto" w:fill="auto"/>
          </w:tcPr>
          <w:p w14:paraId="66EFC863" w14:textId="77777777" w:rsidR="007B3558" w:rsidRPr="00187A2A" w:rsidRDefault="00316A95" w:rsidP="0061686D">
            <w:pPr>
              <w:jc w:val="center"/>
              <w:rPr>
                <w:lang w:val="en-GB"/>
              </w:rPr>
            </w:pPr>
            <w:r w:rsidRPr="00187A2A">
              <w:rPr>
                <w:lang w:val="en-GB"/>
              </w:rPr>
              <w:t>Not applicable</w:t>
            </w:r>
          </w:p>
        </w:tc>
      </w:tr>
      <w:tr w:rsidR="007B3558" w:rsidRPr="00187A2A" w14:paraId="0E581906" w14:textId="77777777" w:rsidTr="00187A2A">
        <w:tc>
          <w:tcPr>
            <w:tcW w:w="2140" w:type="dxa"/>
            <w:tcBorders>
              <w:top w:val="single" w:sz="4" w:space="0" w:color="5B9BD5"/>
              <w:bottom w:val="single" w:sz="4" w:space="0" w:color="5B9BD5"/>
              <w:right w:val="nil"/>
            </w:tcBorders>
            <w:shd w:val="clear" w:color="auto" w:fill="FFFFFF"/>
          </w:tcPr>
          <w:p w14:paraId="234832AE" w14:textId="77777777" w:rsidR="007B3558" w:rsidRPr="00187A2A" w:rsidRDefault="007B3558" w:rsidP="00791E1D">
            <w:pPr>
              <w:rPr>
                <w:b/>
                <w:bCs/>
                <w:lang w:val="en-GB"/>
              </w:rPr>
            </w:pPr>
            <w:r w:rsidRPr="00187A2A">
              <w:rPr>
                <w:b/>
                <w:bCs/>
                <w:lang w:val="en-GB"/>
              </w:rPr>
              <w:t xml:space="preserve">Kyiv </w:t>
            </w:r>
          </w:p>
        </w:tc>
        <w:tc>
          <w:tcPr>
            <w:tcW w:w="1859" w:type="dxa"/>
            <w:tcBorders>
              <w:top w:val="single" w:sz="4" w:space="0" w:color="5B9BD5"/>
              <w:bottom w:val="single" w:sz="4" w:space="0" w:color="5B9BD5"/>
            </w:tcBorders>
            <w:shd w:val="clear" w:color="auto" w:fill="auto"/>
          </w:tcPr>
          <w:p w14:paraId="23CCFEA0" w14:textId="77777777" w:rsidR="007B3558" w:rsidRPr="00187A2A" w:rsidRDefault="007B3558" w:rsidP="0061686D">
            <w:pPr>
              <w:ind w:right="3"/>
              <w:jc w:val="center"/>
              <w:rPr>
                <w:lang w:val="en-GB"/>
              </w:rPr>
            </w:pPr>
            <w:r w:rsidRPr="00187A2A">
              <w:rPr>
                <w:lang w:val="en-GB"/>
              </w:rPr>
              <w:t>5</w:t>
            </w:r>
          </w:p>
        </w:tc>
        <w:tc>
          <w:tcPr>
            <w:tcW w:w="1859" w:type="dxa"/>
            <w:tcBorders>
              <w:top w:val="single" w:sz="4" w:space="0" w:color="5B9BD5"/>
              <w:bottom w:val="single" w:sz="4" w:space="0" w:color="5B9BD5"/>
            </w:tcBorders>
            <w:shd w:val="clear" w:color="auto" w:fill="auto"/>
          </w:tcPr>
          <w:p w14:paraId="0A51098F" w14:textId="77777777" w:rsidR="007B3558" w:rsidRPr="00187A2A" w:rsidRDefault="007B3558" w:rsidP="0061686D">
            <w:pPr>
              <w:ind w:right="62"/>
              <w:jc w:val="center"/>
              <w:rPr>
                <w:lang w:val="en-GB"/>
              </w:rPr>
            </w:pPr>
            <w:r w:rsidRPr="00187A2A">
              <w:rPr>
                <w:lang w:val="en-GB"/>
              </w:rPr>
              <w:t>1</w:t>
            </w:r>
          </w:p>
        </w:tc>
        <w:tc>
          <w:tcPr>
            <w:tcW w:w="1859" w:type="dxa"/>
            <w:tcBorders>
              <w:top w:val="single" w:sz="4" w:space="0" w:color="5B9BD5"/>
              <w:bottom w:val="single" w:sz="4" w:space="0" w:color="5B9BD5"/>
            </w:tcBorders>
            <w:shd w:val="clear" w:color="auto" w:fill="auto"/>
          </w:tcPr>
          <w:p w14:paraId="61E866B9" w14:textId="77777777" w:rsidR="007B3558" w:rsidRPr="00187A2A" w:rsidRDefault="00316A95" w:rsidP="0061686D">
            <w:pPr>
              <w:jc w:val="center"/>
              <w:rPr>
                <w:lang w:val="en-GB"/>
              </w:rPr>
            </w:pPr>
            <w:r w:rsidRPr="00187A2A">
              <w:rPr>
                <w:lang w:val="en-GB"/>
              </w:rPr>
              <w:t>14</w:t>
            </w:r>
          </w:p>
        </w:tc>
        <w:tc>
          <w:tcPr>
            <w:tcW w:w="1859" w:type="dxa"/>
            <w:tcBorders>
              <w:top w:val="single" w:sz="4" w:space="0" w:color="5B9BD5"/>
              <w:bottom w:val="single" w:sz="4" w:space="0" w:color="5B9BD5"/>
            </w:tcBorders>
            <w:shd w:val="clear" w:color="auto" w:fill="auto"/>
          </w:tcPr>
          <w:p w14:paraId="2BB9B4C1" w14:textId="77777777" w:rsidR="007B3558" w:rsidRPr="00187A2A" w:rsidRDefault="00316A95" w:rsidP="0061686D">
            <w:pPr>
              <w:jc w:val="center"/>
              <w:rPr>
                <w:lang w:val="en-GB"/>
              </w:rPr>
            </w:pPr>
            <w:r w:rsidRPr="00187A2A">
              <w:rPr>
                <w:lang w:val="en-GB"/>
              </w:rPr>
              <w:t>2</w:t>
            </w:r>
          </w:p>
        </w:tc>
      </w:tr>
      <w:tr w:rsidR="007B3558" w:rsidRPr="00187A2A" w14:paraId="47F7BE2B" w14:textId="77777777" w:rsidTr="00187A2A">
        <w:tc>
          <w:tcPr>
            <w:tcW w:w="2140" w:type="dxa"/>
            <w:tcBorders>
              <w:right w:val="nil"/>
            </w:tcBorders>
            <w:shd w:val="clear" w:color="auto" w:fill="FFFFFF"/>
          </w:tcPr>
          <w:p w14:paraId="64C4A48A" w14:textId="77777777" w:rsidR="007B3558" w:rsidRPr="00187A2A" w:rsidRDefault="007B3558" w:rsidP="00791E1D">
            <w:pPr>
              <w:rPr>
                <w:b/>
                <w:bCs/>
                <w:lang w:val="en-GB"/>
              </w:rPr>
            </w:pPr>
            <w:r w:rsidRPr="00187A2A">
              <w:rPr>
                <w:b/>
                <w:bCs/>
                <w:lang w:val="en-GB"/>
              </w:rPr>
              <w:t xml:space="preserve">Luhansk </w:t>
            </w:r>
          </w:p>
        </w:tc>
        <w:tc>
          <w:tcPr>
            <w:tcW w:w="1859" w:type="dxa"/>
            <w:shd w:val="clear" w:color="auto" w:fill="auto"/>
          </w:tcPr>
          <w:p w14:paraId="66E92629" w14:textId="77777777" w:rsidR="007B3558" w:rsidRPr="00187A2A" w:rsidRDefault="007B3558" w:rsidP="0061686D">
            <w:pPr>
              <w:ind w:right="3"/>
              <w:jc w:val="center"/>
              <w:rPr>
                <w:lang w:val="en-GB"/>
              </w:rPr>
            </w:pPr>
            <w:r w:rsidRPr="00187A2A">
              <w:rPr>
                <w:lang w:val="en-GB"/>
              </w:rPr>
              <w:t>1</w:t>
            </w:r>
          </w:p>
        </w:tc>
        <w:tc>
          <w:tcPr>
            <w:tcW w:w="1859" w:type="dxa"/>
            <w:shd w:val="clear" w:color="auto" w:fill="auto"/>
          </w:tcPr>
          <w:p w14:paraId="1969DF8B" w14:textId="77777777" w:rsidR="007B3558" w:rsidRPr="00187A2A" w:rsidRDefault="007B3558" w:rsidP="0061686D">
            <w:pPr>
              <w:ind w:right="62"/>
              <w:jc w:val="center"/>
              <w:rPr>
                <w:lang w:val="en-GB"/>
              </w:rPr>
            </w:pPr>
            <w:r w:rsidRPr="00187A2A">
              <w:rPr>
                <w:lang w:val="en-GB"/>
              </w:rPr>
              <w:t>0</w:t>
            </w:r>
          </w:p>
        </w:tc>
        <w:tc>
          <w:tcPr>
            <w:tcW w:w="1859" w:type="dxa"/>
            <w:shd w:val="clear" w:color="auto" w:fill="auto"/>
          </w:tcPr>
          <w:p w14:paraId="0DB19983" w14:textId="77777777" w:rsidR="007B3558" w:rsidRPr="00187A2A" w:rsidRDefault="00316A95" w:rsidP="0061686D">
            <w:pPr>
              <w:jc w:val="center"/>
              <w:rPr>
                <w:lang w:val="en-GB"/>
              </w:rPr>
            </w:pPr>
            <w:r w:rsidRPr="00187A2A">
              <w:rPr>
                <w:lang w:val="en-GB"/>
              </w:rPr>
              <w:t>6</w:t>
            </w:r>
          </w:p>
        </w:tc>
        <w:tc>
          <w:tcPr>
            <w:tcW w:w="1859" w:type="dxa"/>
            <w:shd w:val="clear" w:color="auto" w:fill="auto"/>
          </w:tcPr>
          <w:p w14:paraId="715AEB09" w14:textId="77777777" w:rsidR="007B3558" w:rsidRPr="00187A2A" w:rsidRDefault="00316A95" w:rsidP="0061686D">
            <w:pPr>
              <w:jc w:val="center"/>
              <w:rPr>
                <w:lang w:val="en-GB"/>
              </w:rPr>
            </w:pPr>
            <w:r w:rsidRPr="00187A2A">
              <w:rPr>
                <w:lang w:val="en-GB"/>
              </w:rPr>
              <w:t>0</w:t>
            </w:r>
          </w:p>
        </w:tc>
      </w:tr>
      <w:tr w:rsidR="007B3558" w:rsidRPr="00187A2A" w14:paraId="7C991498" w14:textId="77777777" w:rsidTr="00187A2A">
        <w:tc>
          <w:tcPr>
            <w:tcW w:w="2140" w:type="dxa"/>
            <w:tcBorders>
              <w:top w:val="single" w:sz="4" w:space="0" w:color="5B9BD5"/>
              <w:bottom w:val="single" w:sz="4" w:space="0" w:color="5B9BD5"/>
              <w:right w:val="nil"/>
            </w:tcBorders>
            <w:shd w:val="clear" w:color="auto" w:fill="FFFFFF"/>
          </w:tcPr>
          <w:p w14:paraId="064741E1" w14:textId="77777777" w:rsidR="007B3558" w:rsidRPr="00187A2A" w:rsidRDefault="007B3558" w:rsidP="00791E1D">
            <w:pPr>
              <w:rPr>
                <w:b/>
                <w:bCs/>
                <w:lang w:val="en-GB"/>
              </w:rPr>
            </w:pPr>
            <w:proofErr w:type="spellStart"/>
            <w:r w:rsidRPr="00187A2A">
              <w:rPr>
                <w:b/>
                <w:bCs/>
                <w:lang w:val="en-GB"/>
              </w:rPr>
              <w:t>Lviv</w:t>
            </w:r>
            <w:proofErr w:type="spellEnd"/>
            <w:r w:rsidRPr="00187A2A">
              <w:rPr>
                <w:b/>
                <w:bCs/>
                <w:lang w:val="en-GB"/>
              </w:rPr>
              <w:t xml:space="preserve"> </w:t>
            </w:r>
          </w:p>
        </w:tc>
        <w:tc>
          <w:tcPr>
            <w:tcW w:w="1859" w:type="dxa"/>
            <w:tcBorders>
              <w:top w:val="single" w:sz="4" w:space="0" w:color="5B9BD5"/>
              <w:bottom w:val="single" w:sz="4" w:space="0" w:color="5B9BD5"/>
            </w:tcBorders>
            <w:shd w:val="clear" w:color="auto" w:fill="auto"/>
          </w:tcPr>
          <w:p w14:paraId="76B70870" w14:textId="77777777" w:rsidR="007B3558" w:rsidRPr="00187A2A" w:rsidRDefault="007B3558" w:rsidP="0061686D">
            <w:pPr>
              <w:ind w:right="3"/>
              <w:jc w:val="center"/>
              <w:rPr>
                <w:lang w:val="en-GB"/>
              </w:rPr>
            </w:pPr>
            <w:r w:rsidRPr="00187A2A">
              <w:rPr>
                <w:lang w:val="en-GB"/>
              </w:rPr>
              <w:t>9</w:t>
            </w:r>
          </w:p>
        </w:tc>
        <w:tc>
          <w:tcPr>
            <w:tcW w:w="1859" w:type="dxa"/>
            <w:tcBorders>
              <w:top w:val="single" w:sz="4" w:space="0" w:color="5B9BD5"/>
              <w:bottom w:val="single" w:sz="4" w:space="0" w:color="5B9BD5"/>
            </w:tcBorders>
            <w:shd w:val="clear" w:color="auto" w:fill="auto"/>
          </w:tcPr>
          <w:p w14:paraId="66CB9743" w14:textId="77777777" w:rsidR="007B3558" w:rsidRPr="00187A2A" w:rsidRDefault="007B3558" w:rsidP="0061686D">
            <w:pPr>
              <w:ind w:right="62"/>
              <w:jc w:val="center"/>
              <w:rPr>
                <w:lang w:val="en-GB"/>
              </w:rPr>
            </w:pPr>
            <w:r w:rsidRPr="00187A2A">
              <w:rPr>
                <w:lang w:val="en-GB"/>
              </w:rPr>
              <w:t>0</w:t>
            </w:r>
          </w:p>
        </w:tc>
        <w:tc>
          <w:tcPr>
            <w:tcW w:w="1859" w:type="dxa"/>
            <w:tcBorders>
              <w:top w:val="single" w:sz="4" w:space="0" w:color="5B9BD5"/>
              <w:bottom w:val="single" w:sz="4" w:space="0" w:color="5B9BD5"/>
            </w:tcBorders>
            <w:shd w:val="clear" w:color="auto" w:fill="auto"/>
          </w:tcPr>
          <w:p w14:paraId="2B76D8CE" w14:textId="77777777" w:rsidR="007B3558" w:rsidRPr="00187A2A" w:rsidRDefault="00316A95" w:rsidP="0061686D">
            <w:pPr>
              <w:jc w:val="center"/>
              <w:rPr>
                <w:lang w:val="en-GB"/>
              </w:rPr>
            </w:pPr>
            <w:r w:rsidRPr="00187A2A">
              <w:rPr>
                <w:lang w:val="en-GB"/>
              </w:rPr>
              <w:t>61</w:t>
            </w:r>
          </w:p>
        </w:tc>
        <w:tc>
          <w:tcPr>
            <w:tcW w:w="1859" w:type="dxa"/>
            <w:tcBorders>
              <w:top w:val="single" w:sz="4" w:space="0" w:color="5B9BD5"/>
              <w:bottom w:val="single" w:sz="4" w:space="0" w:color="5B9BD5"/>
            </w:tcBorders>
            <w:shd w:val="clear" w:color="auto" w:fill="auto"/>
          </w:tcPr>
          <w:p w14:paraId="09682D28" w14:textId="77777777" w:rsidR="007B3558" w:rsidRPr="00187A2A" w:rsidRDefault="00316A95" w:rsidP="0061686D">
            <w:pPr>
              <w:jc w:val="center"/>
              <w:rPr>
                <w:lang w:val="en-GB"/>
              </w:rPr>
            </w:pPr>
            <w:r w:rsidRPr="00187A2A">
              <w:rPr>
                <w:lang w:val="en-GB"/>
              </w:rPr>
              <w:t>0</w:t>
            </w:r>
          </w:p>
        </w:tc>
      </w:tr>
      <w:tr w:rsidR="007B3558" w:rsidRPr="00187A2A" w14:paraId="17627DF4" w14:textId="77777777" w:rsidTr="00187A2A">
        <w:tc>
          <w:tcPr>
            <w:tcW w:w="2140" w:type="dxa"/>
            <w:tcBorders>
              <w:right w:val="nil"/>
            </w:tcBorders>
            <w:shd w:val="clear" w:color="auto" w:fill="FFFFFF"/>
          </w:tcPr>
          <w:p w14:paraId="17B80CD9" w14:textId="77777777" w:rsidR="007B3558" w:rsidRPr="00187A2A" w:rsidRDefault="007B3558" w:rsidP="00791E1D">
            <w:pPr>
              <w:rPr>
                <w:b/>
                <w:bCs/>
                <w:lang w:val="en-GB"/>
              </w:rPr>
            </w:pPr>
            <w:r w:rsidRPr="00187A2A">
              <w:rPr>
                <w:b/>
                <w:bCs/>
                <w:lang w:val="en-GB"/>
              </w:rPr>
              <w:t xml:space="preserve">Mykolaiv </w:t>
            </w:r>
          </w:p>
        </w:tc>
        <w:tc>
          <w:tcPr>
            <w:tcW w:w="1859" w:type="dxa"/>
            <w:shd w:val="clear" w:color="auto" w:fill="auto"/>
          </w:tcPr>
          <w:p w14:paraId="0AD19D9A" w14:textId="77777777" w:rsidR="007B3558" w:rsidRPr="00187A2A" w:rsidRDefault="007B3558" w:rsidP="0061686D">
            <w:pPr>
              <w:ind w:right="3"/>
              <w:jc w:val="center"/>
              <w:rPr>
                <w:lang w:val="en-GB"/>
              </w:rPr>
            </w:pPr>
            <w:r w:rsidRPr="00187A2A">
              <w:rPr>
                <w:lang w:val="en-GB"/>
              </w:rPr>
              <w:t>2</w:t>
            </w:r>
          </w:p>
        </w:tc>
        <w:tc>
          <w:tcPr>
            <w:tcW w:w="1859" w:type="dxa"/>
            <w:shd w:val="clear" w:color="auto" w:fill="auto"/>
          </w:tcPr>
          <w:p w14:paraId="2697DC56" w14:textId="77777777" w:rsidR="007B3558" w:rsidRPr="00187A2A" w:rsidRDefault="007B3558" w:rsidP="0061686D">
            <w:pPr>
              <w:ind w:right="62"/>
              <w:jc w:val="center"/>
              <w:rPr>
                <w:lang w:val="en-GB"/>
              </w:rPr>
            </w:pPr>
            <w:r w:rsidRPr="00187A2A">
              <w:rPr>
                <w:lang w:val="en-GB"/>
              </w:rPr>
              <w:t>1</w:t>
            </w:r>
          </w:p>
        </w:tc>
        <w:tc>
          <w:tcPr>
            <w:tcW w:w="1859" w:type="dxa"/>
            <w:shd w:val="clear" w:color="auto" w:fill="auto"/>
          </w:tcPr>
          <w:p w14:paraId="2AEC9C58" w14:textId="77777777" w:rsidR="007B3558" w:rsidRPr="00187A2A" w:rsidRDefault="00316A95" w:rsidP="0061686D">
            <w:pPr>
              <w:jc w:val="center"/>
              <w:rPr>
                <w:lang w:val="en-GB"/>
              </w:rPr>
            </w:pPr>
            <w:r w:rsidRPr="00187A2A">
              <w:rPr>
                <w:lang w:val="en-GB"/>
              </w:rPr>
              <w:t>-</w:t>
            </w:r>
          </w:p>
        </w:tc>
        <w:tc>
          <w:tcPr>
            <w:tcW w:w="1859" w:type="dxa"/>
            <w:shd w:val="clear" w:color="auto" w:fill="auto"/>
          </w:tcPr>
          <w:p w14:paraId="5236B249" w14:textId="77777777" w:rsidR="007B3558" w:rsidRPr="00187A2A" w:rsidRDefault="00316A95" w:rsidP="0061686D">
            <w:pPr>
              <w:jc w:val="center"/>
              <w:rPr>
                <w:lang w:val="en-GB"/>
              </w:rPr>
            </w:pPr>
            <w:r w:rsidRPr="00187A2A">
              <w:rPr>
                <w:lang w:val="en-GB"/>
              </w:rPr>
              <w:t>-</w:t>
            </w:r>
          </w:p>
        </w:tc>
      </w:tr>
      <w:tr w:rsidR="007B3558" w:rsidRPr="00187A2A" w14:paraId="41273927" w14:textId="77777777" w:rsidTr="00187A2A">
        <w:tc>
          <w:tcPr>
            <w:tcW w:w="2140" w:type="dxa"/>
            <w:tcBorders>
              <w:top w:val="single" w:sz="4" w:space="0" w:color="5B9BD5"/>
              <w:bottom w:val="single" w:sz="4" w:space="0" w:color="5B9BD5"/>
              <w:right w:val="nil"/>
            </w:tcBorders>
            <w:shd w:val="clear" w:color="auto" w:fill="FFFFFF"/>
          </w:tcPr>
          <w:p w14:paraId="3886AE8A" w14:textId="77777777" w:rsidR="007B3558" w:rsidRPr="00187A2A" w:rsidRDefault="007B3558" w:rsidP="00791E1D">
            <w:pPr>
              <w:rPr>
                <w:b/>
                <w:bCs/>
                <w:lang w:val="en-GB"/>
              </w:rPr>
            </w:pPr>
            <w:r w:rsidRPr="00187A2A">
              <w:rPr>
                <w:b/>
                <w:bCs/>
                <w:lang w:val="en-GB"/>
              </w:rPr>
              <w:t xml:space="preserve">Odesa </w:t>
            </w:r>
          </w:p>
        </w:tc>
        <w:tc>
          <w:tcPr>
            <w:tcW w:w="1859" w:type="dxa"/>
            <w:tcBorders>
              <w:top w:val="single" w:sz="4" w:space="0" w:color="5B9BD5"/>
              <w:bottom w:val="single" w:sz="4" w:space="0" w:color="5B9BD5"/>
            </w:tcBorders>
            <w:shd w:val="clear" w:color="auto" w:fill="auto"/>
          </w:tcPr>
          <w:p w14:paraId="21E2C71E" w14:textId="77777777" w:rsidR="007B3558" w:rsidRPr="00187A2A" w:rsidRDefault="007B3558" w:rsidP="0061686D">
            <w:pPr>
              <w:ind w:right="3"/>
              <w:jc w:val="center"/>
              <w:rPr>
                <w:lang w:val="en-GB"/>
              </w:rPr>
            </w:pPr>
            <w:r w:rsidRPr="00187A2A">
              <w:rPr>
                <w:lang w:val="en-GB"/>
              </w:rPr>
              <w:t>10</w:t>
            </w:r>
          </w:p>
        </w:tc>
        <w:tc>
          <w:tcPr>
            <w:tcW w:w="1859" w:type="dxa"/>
            <w:tcBorders>
              <w:top w:val="single" w:sz="4" w:space="0" w:color="5B9BD5"/>
              <w:bottom w:val="single" w:sz="4" w:space="0" w:color="5B9BD5"/>
            </w:tcBorders>
            <w:shd w:val="clear" w:color="auto" w:fill="auto"/>
          </w:tcPr>
          <w:p w14:paraId="13FD7B5B" w14:textId="77777777" w:rsidR="007B3558" w:rsidRPr="00187A2A" w:rsidRDefault="007B3558" w:rsidP="0061686D">
            <w:pPr>
              <w:ind w:right="62"/>
              <w:jc w:val="center"/>
              <w:rPr>
                <w:lang w:val="en-GB"/>
              </w:rPr>
            </w:pPr>
            <w:r w:rsidRPr="00187A2A">
              <w:rPr>
                <w:lang w:val="en-GB"/>
              </w:rPr>
              <w:t>0</w:t>
            </w:r>
          </w:p>
        </w:tc>
        <w:tc>
          <w:tcPr>
            <w:tcW w:w="1859" w:type="dxa"/>
            <w:tcBorders>
              <w:top w:val="single" w:sz="4" w:space="0" w:color="5B9BD5"/>
              <w:bottom w:val="single" w:sz="4" w:space="0" w:color="5B9BD5"/>
            </w:tcBorders>
            <w:shd w:val="clear" w:color="auto" w:fill="auto"/>
          </w:tcPr>
          <w:p w14:paraId="7E720109" w14:textId="77777777" w:rsidR="007B3558" w:rsidRPr="00187A2A" w:rsidRDefault="00316A95" w:rsidP="0061686D">
            <w:pPr>
              <w:jc w:val="center"/>
              <w:rPr>
                <w:lang w:val="en-GB"/>
              </w:rPr>
            </w:pPr>
            <w:r w:rsidRPr="00187A2A">
              <w:rPr>
                <w:lang w:val="en-GB"/>
              </w:rPr>
              <w:t>35</w:t>
            </w:r>
          </w:p>
        </w:tc>
        <w:tc>
          <w:tcPr>
            <w:tcW w:w="1859" w:type="dxa"/>
            <w:tcBorders>
              <w:top w:val="single" w:sz="4" w:space="0" w:color="5B9BD5"/>
              <w:bottom w:val="single" w:sz="4" w:space="0" w:color="5B9BD5"/>
            </w:tcBorders>
            <w:shd w:val="clear" w:color="auto" w:fill="auto"/>
          </w:tcPr>
          <w:p w14:paraId="769EB233" w14:textId="77777777" w:rsidR="007B3558" w:rsidRPr="00187A2A" w:rsidRDefault="00316A95" w:rsidP="0061686D">
            <w:pPr>
              <w:jc w:val="center"/>
              <w:rPr>
                <w:lang w:val="en-GB"/>
              </w:rPr>
            </w:pPr>
            <w:r w:rsidRPr="00187A2A">
              <w:rPr>
                <w:lang w:val="en-GB"/>
              </w:rPr>
              <w:t>0</w:t>
            </w:r>
          </w:p>
        </w:tc>
      </w:tr>
      <w:tr w:rsidR="007B3558" w:rsidRPr="00187A2A" w14:paraId="34D6BF02" w14:textId="77777777" w:rsidTr="00187A2A">
        <w:tc>
          <w:tcPr>
            <w:tcW w:w="2140" w:type="dxa"/>
            <w:tcBorders>
              <w:right w:val="nil"/>
            </w:tcBorders>
            <w:shd w:val="clear" w:color="auto" w:fill="FFFFFF"/>
          </w:tcPr>
          <w:p w14:paraId="18C852EE" w14:textId="77777777" w:rsidR="007B3558" w:rsidRPr="00187A2A" w:rsidRDefault="007B3558" w:rsidP="00791E1D">
            <w:pPr>
              <w:rPr>
                <w:b/>
                <w:bCs/>
                <w:lang w:val="en-GB"/>
              </w:rPr>
            </w:pPr>
            <w:r w:rsidRPr="00187A2A">
              <w:rPr>
                <w:b/>
                <w:bCs/>
                <w:lang w:val="en-GB"/>
              </w:rPr>
              <w:t xml:space="preserve">Poltava </w:t>
            </w:r>
          </w:p>
        </w:tc>
        <w:tc>
          <w:tcPr>
            <w:tcW w:w="1859" w:type="dxa"/>
            <w:shd w:val="clear" w:color="auto" w:fill="auto"/>
          </w:tcPr>
          <w:p w14:paraId="58222C0E" w14:textId="77777777" w:rsidR="007B3558" w:rsidRPr="00187A2A" w:rsidRDefault="007B3558" w:rsidP="0061686D">
            <w:pPr>
              <w:ind w:right="3"/>
              <w:jc w:val="center"/>
              <w:rPr>
                <w:lang w:val="en-GB"/>
              </w:rPr>
            </w:pPr>
            <w:r w:rsidRPr="00187A2A">
              <w:rPr>
                <w:lang w:val="en-GB"/>
              </w:rPr>
              <w:t>10</w:t>
            </w:r>
          </w:p>
        </w:tc>
        <w:tc>
          <w:tcPr>
            <w:tcW w:w="1859" w:type="dxa"/>
            <w:shd w:val="clear" w:color="auto" w:fill="auto"/>
          </w:tcPr>
          <w:p w14:paraId="32010CBF" w14:textId="77777777" w:rsidR="007B3558" w:rsidRPr="00187A2A" w:rsidRDefault="007B3558" w:rsidP="0061686D">
            <w:pPr>
              <w:ind w:right="62"/>
              <w:jc w:val="center"/>
              <w:rPr>
                <w:lang w:val="en-GB"/>
              </w:rPr>
            </w:pPr>
            <w:r w:rsidRPr="00187A2A">
              <w:rPr>
                <w:lang w:val="en-GB"/>
              </w:rPr>
              <w:t>0</w:t>
            </w:r>
          </w:p>
        </w:tc>
        <w:tc>
          <w:tcPr>
            <w:tcW w:w="1859" w:type="dxa"/>
            <w:shd w:val="clear" w:color="auto" w:fill="auto"/>
          </w:tcPr>
          <w:p w14:paraId="6D52D84C" w14:textId="77777777" w:rsidR="007B3558" w:rsidRPr="00187A2A" w:rsidRDefault="00316A95" w:rsidP="0061686D">
            <w:pPr>
              <w:jc w:val="center"/>
              <w:rPr>
                <w:lang w:val="en-GB"/>
              </w:rPr>
            </w:pPr>
            <w:r w:rsidRPr="00187A2A">
              <w:rPr>
                <w:lang w:val="en-GB"/>
              </w:rPr>
              <w:t>36</w:t>
            </w:r>
          </w:p>
        </w:tc>
        <w:tc>
          <w:tcPr>
            <w:tcW w:w="1859" w:type="dxa"/>
            <w:shd w:val="clear" w:color="auto" w:fill="auto"/>
          </w:tcPr>
          <w:p w14:paraId="1E40BE71" w14:textId="77777777" w:rsidR="007B3558" w:rsidRPr="00187A2A" w:rsidRDefault="00316A95" w:rsidP="0061686D">
            <w:pPr>
              <w:jc w:val="center"/>
              <w:rPr>
                <w:lang w:val="en-GB"/>
              </w:rPr>
            </w:pPr>
            <w:r w:rsidRPr="00187A2A">
              <w:rPr>
                <w:lang w:val="en-GB"/>
              </w:rPr>
              <w:t>0</w:t>
            </w:r>
          </w:p>
        </w:tc>
      </w:tr>
      <w:tr w:rsidR="007B3558" w:rsidRPr="00187A2A" w14:paraId="1C2B5BC5" w14:textId="77777777" w:rsidTr="00187A2A">
        <w:tc>
          <w:tcPr>
            <w:tcW w:w="2140" w:type="dxa"/>
            <w:tcBorders>
              <w:top w:val="single" w:sz="4" w:space="0" w:color="5B9BD5"/>
              <w:bottom w:val="single" w:sz="4" w:space="0" w:color="5B9BD5"/>
              <w:right w:val="nil"/>
            </w:tcBorders>
            <w:shd w:val="clear" w:color="auto" w:fill="FFFFFF"/>
          </w:tcPr>
          <w:p w14:paraId="2D6A6DEB" w14:textId="77777777" w:rsidR="007B3558" w:rsidRPr="00187A2A" w:rsidRDefault="007B3558" w:rsidP="00791E1D">
            <w:pPr>
              <w:rPr>
                <w:b/>
                <w:bCs/>
                <w:lang w:val="en-GB"/>
              </w:rPr>
            </w:pPr>
            <w:r w:rsidRPr="00187A2A">
              <w:rPr>
                <w:b/>
                <w:bCs/>
                <w:lang w:val="en-GB"/>
              </w:rPr>
              <w:t xml:space="preserve">Rivne </w:t>
            </w:r>
          </w:p>
        </w:tc>
        <w:tc>
          <w:tcPr>
            <w:tcW w:w="1859" w:type="dxa"/>
            <w:tcBorders>
              <w:top w:val="single" w:sz="4" w:space="0" w:color="5B9BD5"/>
              <w:bottom w:val="single" w:sz="4" w:space="0" w:color="5B9BD5"/>
            </w:tcBorders>
            <w:shd w:val="clear" w:color="auto" w:fill="auto"/>
          </w:tcPr>
          <w:p w14:paraId="6707A111" w14:textId="77777777" w:rsidR="007B3558" w:rsidRPr="00187A2A" w:rsidRDefault="007B3558" w:rsidP="0061686D">
            <w:pPr>
              <w:ind w:right="3"/>
              <w:jc w:val="center"/>
              <w:rPr>
                <w:lang w:val="en-GB"/>
              </w:rPr>
            </w:pPr>
            <w:r w:rsidRPr="00187A2A">
              <w:rPr>
                <w:lang w:val="en-GB"/>
              </w:rPr>
              <w:t>7</w:t>
            </w:r>
          </w:p>
        </w:tc>
        <w:tc>
          <w:tcPr>
            <w:tcW w:w="1859" w:type="dxa"/>
            <w:tcBorders>
              <w:top w:val="single" w:sz="4" w:space="0" w:color="5B9BD5"/>
              <w:bottom w:val="single" w:sz="4" w:space="0" w:color="5B9BD5"/>
            </w:tcBorders>
            <w:shd w:val="clear" w:color="auto" w:fill="auto"/>
          </w:tcPr>
          <w:p w14:paraId="2ABAFB12" w14:textId="77777777" w:rsidR="007B3558" w:rsidRPr="00187A2A" w:rsidRDefault="007B3558" w:rsidP="0061686D">
            <w:pPr>
              <w:ind w:right="62"/>
              <w:jc w:val="center"/>
              <w:rPr>
                <w:lang w:val="en-GB"/>
              </w:rPr>
            </w:pPr>
            <w:r w:rsidRPr="00187A2A">
              <w:rPr>
                <w:lang w:val="en-GB"/>
              </w:rPr>
              <w:t>0</w:t>
            </w:r>
          </w:p>
        </w:tc>
        <w:tc>
          <w:tcPr>
            <w:tcW w:w="1859" w:type="dxa"/>
            <w:tcBorders>
              <w:top w:val="single" w:sz="4" w:space="0" w:color="5B9BD5"/>
              <w:bottom w:val="single" w:sz="4" w:space="0" w:color="5B9BD5"/>
            </w:tcBorders>
            <w:shd w:val="clear" w:color="auto" w:fill="auto"/>
          </w:tcPr>
          <w:p w14:paraId="623E989C" w14:textId="77777777" w:rsidR="007B3558" w:rsidRPr="00187A2A" w:rsidRDefault="00316A95" w:rsidP="0061686D">
            <w:pPr>
              <w:jc w:val="center"/>
              <w:rPr>
                <w:lang w:val="en-GB"/>
              </w:rPr>
            </w:pPr>
            <w:r w:rsidRPr="00187A2A">
              <w:rPr>
                <w:lang w:val="en-GB"/>
              </w:rPr>
              <w:t>69</w:t>
            </w:r>
          </w:p>
        </w:tc>
        <w:tc>
          <w:tcPr>
            <w:tcW w:w="1859" w:type="dxa"/>
            <w:tcBorders>
              <w:top w:val="single" w:sz="4" w:space="0" w:color="5B9BD5"/>
              <w:bottom w:val="single" w:sz="4" w:space="0" w:color="5B9BD5"/>
            </w:tcBorders>
            <w:shd w:val="clear" w:color="auto" w:fill="auto"/>
          </w:tcPr>
          <w:p w14:paraId="167185EC" w14:textId="77777777" w:rsidR="007B3558" w:rsidRPr="00187A2A" w:rsidRDefault="00316A95" w:rsidP="0061686D">
            <w:pPr>
              <w:jc w:val="center"/>
              <w:rPr>
                <w:lang w:val="en-GB"/>
              </w:rPr>
            </w:pPr>
            <w:r w:rsidRPr="00187A2A">
              <w:rPr>
                <w:lang w:val="en-GB"/>
              </w:rPr>
              <w:t>3</w:t>
            </w:r>
          </w:p>
        </w:tc>
      </w:tr>
      <w:tr w:rsidR="007B3558" w:rsidRPr="00187A2A" w14:paraId="60F0F23C" w14:textId="77777777" w:rsidTr="00187A2A">
        <w:tc>
          <w:tcPr>
            <w:tcW w:w="2140" w:type="dxa"/>
            <w:tcBorders>
              <w:right w:val="nil"/>
            </w:tcBorders>
            <w:shd w:val="clear" w:color="auto" w:fill="FFFFFF"/>
          </w:tcPr>
          <w:p w14:paraId="466C4E69" w14:textId="77777777" w:rsidR="007B3558" w:rsidRPr="00187A2A" w:rsidRDefault="007B3558" w:rsidP="00791E1D">
            <w:pPr>
              <w:rPr>
                <w:b/>
                <w:bCs/>
                <w:lang w:val="en-GB"/>
              </w:rPr>
            </w:pPr>
            <w:r w:rsidRPr="00187A2A">
              <w:rPr>
                <w:b/>
                <w:bCs/>
                <w:lang w:val="en-GB"/>
              </w:rPr>
              <w:t xml:space="preserve">Sumy </w:t>
            </w:r>
          </w:p>
        </w:tc>
        <w:tc>
          <w:tcPr>
            <w:tcW w:w="1859" w:type="dxa"/>
            <w:shd w:val="clear" w:color="auto" w:fill="auto"/>
          </w:tcPr>
          <w:p w14:paraId="4408F4AD" w14:textId="77777777" w:rsidR="007B3558" w:rsidRPr="00187A2A" w:rsidRDefault="007B3558" w:rsidP="0061686D">
            <w:pPr>
              <w:ind w:right="3"/>
              <w:jc w:val="center"/>
              <w:rPr>
                <w:lang w:val="en-GB"/>
              </w:rPr>
            </w:pPr>
            <w:r w:rsidRPr="00187A2A">
              <w:rPr>
                <w:lang w:val="en-GB"/>
              </w:rPr>
              <w:t>4</w:t>
            </w:r>
          </w:p>
        </w:tc>
        <w:tc>
          <w:tcPr>
            <w:tcW w:w="1859" w:type="dxa"/>
            <w:shd w:val="clear" w:color="auto" w:fill="auto"/>
          </w:tcPr>
          <w:p w14:paraId="269F6538" w14:textId="77777777" w:rsidR="007B3558" w:rsidRPr="00187A2A" w:rsidRDefault="007B3558" w:rsidP="0061686D">
            <w:pPr>
              <w:ind w:right="62"/>
              <w:jc w:val="center"/>
              <w:rPr>
                <w:lang w:val="en-GB"/>
              </w:rPr>
            </w:pPr>
            <w:r w:rsidRPr="00187A2A">
              <w:rPr>
                <w:lang w:val="en-GB"/>
              </w:rPr>
              <w:t>0</w:t>
            </w:r>
          </w:p>
        </w:tc>
        <w:tc>
          <w:tcPr>
            <w:tcW w:w="1859" w:type="dxa"/>
            <w:shd w:val="clear" w:color="auto" w:fill="auto"/>
          </w:tcPr>
          <w:p w14:paraId="4BFADD0D" w14:textId="77777777" w:rsidR="007B3558" w:rsidRPr="00187A2A" w:rsidRDefault="00316A95" w:rsidP="0061686D">
            <w:pPr>
              <w:jc w:val="center"/>
              <w:rPr>
                <w:lang w:val="en-GB"/>
              </w:rPr>
            </w:pPr>
            <w:r w:rsidRPr="00187A2A">
              <w:rPr>
                <w:lang w:val="en-GB"/>
              </w:rPr>
              <w:t>18</w:t>
            </w:r>
          </w:p>
        </w:tc>
        <w:tc>
          <w:tcPr>
            <w:tcW w:w="1859" w:type="dxa"/>
            <w:shd w:val="clear" w:color="auto" w:fill="auto"/>
          </w:tcPr>
          <w:p w14:paraId="71FF0F0A" w14:textId="77777777" w:rsidR="007B3558" w:rsidRPr="00187A2A" w:rsidRDefault="00316A95" w:rsidP="0061686D">
            <w:pPr>
              <w:jc w:val="center"/>
              <w:rPr>
                <w:lang w:val="en-GB"/>
              </w:rPr>
            </w:pPr>
            <w:r w:rsidRPr="00187A2A">
              <w:rPr>
                <w:lang w:val="en-GB"/>
              </w:rPr>
              <w:t>0</w:t>
            </w:r>
          </w:p>
        </w:tc>
      </w:tr>
      <w:tr w:rsidR="007B3558" w:rsidRPr="00187A2A" w14:paraId="0996E0D2" w14:textId="77777777" w:rsidTr="00187A2A">
        <w:tc>
          <w:tcPr>
            <w:tcW w:w="2140" w:type="dxa"/>
            <w:tcBorders>
              <w:top w:val="single" w:sz="4" w:space="0" w:color="5B9BD5"/>
              <w:bottom w:val="single" w:sz="4" w:space="0" w:color="5B9BD5"/>
              <w:right w:val="nil"/>
            </w:tcBorders>
            <w:shd w:val="clear" w:color="auto" w:fill="FFFFFF"/>
          </w:tcPr>
          <w:p w14:paraId="1689CE87" w14:textId="77777777" w:rsidR="007B3558" w:rsidRPr="00187A2A" w:rsidRDefault="007B3558" w:rsidP="00791E1D">
            <w:pPr>
              <w:rPr>
                <w:b/>
                <w:bCs/>
                <w:lang w:val="en-GB"/>
              </w:rPr>
            </w:pPr>
            <w:proofErr w:type="spellStart"/>
            <w:r w:rsidRPr="00187A2A">
              <w:rPr>
                <w:b/>
                <w:bCs/>
                <w:lang w:val="en-GB"/>
              </w:rPr>
              <w:t>Ternopil</w:t>
            </w:r>
            <w:proofErr w:type="spellEnd"/>
            <w:r w:rsidRPr="00187A2A">
              <w:rPr>
                <w:b/>
                <w:bCs/>
                <w:lang w:val="en-GB"/>
              </w:rPr>
              <w:t xml:space="preserve"> </w:t>
            </w:r>
          </w:p>
        </w:tc>
        <w:tc>
          <w:tcPr>
            <w:tcW w:w="1859" w:type="dxa"/>
            <w:tcBorders>
              <w:top w:val="single" w:sz="4" w:space="0" w:color="5B9BD5"/>
              <w:bottom w:val="single" w:sz="4" w:space="0" w:color="5B9BD5"/>
            </w:tcBorders>
            <w:shd w:val="clear" w:color="auto" w:fill="auto"/>
          </w:tcPr>
          <w:p w14:paraId="3FC4C5A5" w14:textId="77777777" w:rsidR="007B3558" w:rsidRPr="00187A2A" w:rsidRDefault="007B3558" w:rsidP="0061686D">
            <w:pPr>
              <w:ind w:right="3"/>
              <w:jc w:val="center"/>
              <w:rPr>
                <w:lang w:val="en-GB"/>
              </w:rPr>
            </w:pPr>
            <w:r w:rsidRPr="00187A2A">
              <w:rPr>
                <w:lang w:val="en-GB"/>
              </w:rPr>
              <w:t>12</w:t>
            </w:r>
          </w:p>
        </w:tc>
        <w:tc>
          <w:tcPr>
            <w:tcW w:w="1859" w:type="dxa"/>
            <w:tcBorders>
              <w:top w:val="single" w:sz="4" w:space="0" w:color="5B9BD5"/>
              <w:bottom w:val="single" w:sz="4" w:space="0" w:color="5B9BD5"/>
            </w:tcBorders>
            <w:shd w:val="clear" w:color="auto" w:fill="auto"/>
          </w:tcPr>
          <w:p w14:paraId="7ADF120C" w14:textId="77777777" w:rsidR="007B3558" w:rsidRPr="00187A2A" w:rsidRDefault="007B3558" w:rsidP="0061686D">
            <w:pPr>
              <w:ind w:right="62"/>
              <w:jc w:val="center"/>
              <w:rPr>
                <w:lang w:val="en-GB"/>
              </w:rPr>
            </w:pPr>
            <w:r w:rsidRPr="00187A2A">
              <w:rPr>
                <w:lang w:val="en-GB"/>
              </w:rPr>
              <w:t>0</w:t>
            </w:r>
          </w:p>
        </w:tc>
        <w:tc>
          <w:tcPr>
            <w:tcW w:w="1859" w:type="dxa"/>
            <w:tcBorders>
              <w:top w:val="single" w:sz="4" w:space="0" w:color="5B9BD5"/>
              <w:bottom w:val="single" w:sz="4" w:space="0" w:color="5B9BD5"/>
            </w:tcBorders>
            <w:shd w:val="clear" w:color="auto" w:fill="auto"/>
          </w:tcPr>
          <w:p w14:paraId="5AC43EA9" w14:textId="77777777" w:rsidR="007B3558" w:rsidRPr="00187A2A" w:rsidRDefault="00316A95" w:rsidP="0061686D">
            <w:pPr>
              <w:jc w:val="center"/>
              <w:rPr>
                <w:lang w:val="en-GB"/>
              </w:rPr>
            </w:pPr>
            <w:r w:rsidRPr="00187A2A">
              <w:rPr>
                <w:lang w:val="en-GB"/>
              </w:rPr>
              <w:t>8</w:t>
            </w:r>
          </w:p>
        </w:tc>
        <w:tc>
          <w:tcPr>
            <w:tcW w:w="1859" w:type="dxa"/>
            <w:tcBorders>
              <w:top w:val="single" w:sz="4" w:space="0" w:color="5B9BD5"/>
              <w:bottom w:val="single" w:sz="4" w:space="0" w:color="5B9BD5"/>
            </w:tcBorders>
            <w:shd w:val="clear" w:color="auto" w:fill="auto"/>
          </w:tcPr>
          <w:p w14:paraId="35A4AD3E" w14:textId="77777777" w:rsidR="007B3558" w:rsidRPr="00187A2A" w:rsidRDefault="00316A95" w:rsidP="0061686D">
            <w:pPr>
              <w:jc w:val="center"/>
              <w:rPr>
                <w:lang w:val="en-GB"/>
              </w:rPr>
            </w:pPr>
            <w:r w:rsidRPr="00187A2A">
              <w:rPr>
                <w:lang w:val="en-GB"/>
              </w:rPr>
              <w:t>1</w:t>
            </w:r>
          </w:p>
        </w:tc>
      </w:tr>
      <w:tr w:rsidR="007B3558" w:rsidRPr="00187A2A" w14:paraId="58DC5B7A" w14:textId="77777777" w:rsidTr="00187A2A">
        <w:tc>
          <w:tcPr>
            <w:tcW w:w="2140" w:type="dxa"/>
            <w:tcBorders>
              <w:right w:val="nil"/>
            </w:tcBorders>
            <w:shd w:val="clear" w:color="auto" w:fill="FFFFFF"/>
          </w:tcPr>
          <w:p w14:paraId="7C3B7BBA" w14:textId="77777777" w:rsidR="007B3558" w:rsidRPr="00187A2A" w:rsidRDefault="007B3558" w:rsidP="00791E1D">
            <w:pPr>
              <w:rPr>
                <w:b/>
                <w:bCs/>
                <w:lang w:val="en-GB"/>
              </w:rPr>
            </w:pPr>
            <w:proofErr w:type="spellStart"/>
            <w:r w:rsidRPr="00187A2A">
              <w:rPr>
                <w:b/>
                <w:bCs/>
                <w:lang w:val="en-GB"/>
              </w:rPr>
              <w:t>Vinnytsia</w:t>
            </w:r>
            <w:proofErr w:type="spellEnd"/>
            <w:r w:rsidRPr="00187A2A">
              <w:rPr>
                <w:b/>
                <w:bCs/>
                <w:lang w:val="en-GB"/>
              </w:rPr>
              <w:t xml:space="preserve"> </w:t>
            </w:r>
          </w:p>
        </w:tc>
        <w:tc>
          <w:tcPr>
            <w:tcW w:w="1859" w:type="dxa"/>
            <w:shd w:val="clear" w:color="auto" w:fill="auto"/>
          </w:tcPr>
          <w:p w14:paraId="11068B8E" w14:textId="77777777" w:rsidR="007B3558" w:rsidRPr="00187A2A" w:rsidRDefault="007B3558" w:rsidP="0061686D">
            <w:pPr>
              <w:ind w:right="3"/>
              <w:jc w:val="center"/>
              <w:rPr>
                <w:lang w:val="en-GB"/>
              </w:rPr>
            </w:pPr>
            <w:r w:rsidRPr="00187A2A">
              <w:rPr>
                <w:lang w:val="en-GB"/>
              </w:rPr>
              <w:t>6</w:t>
            </w:r>
          </w:p>
        </w:tc>
        <w:tc>
          <w:tcPr>
            <w:tcW w:w="1859" w:type="dxa"/>
            <w:shd w:val="clear" w:color="auto" w:fill="auto"/>
          </w:tcPr>
          <w:p w14:paraId="4324792A" w14:textId="77777777" w:rsidR="007B3558" w:rsidRPr="00187A2A" w:rsidRDefault="007B3558" w:rsidP="0061686D">
            <w:pPr>
              <w:ind w:right="62"/>
              <w:jc w:val="center"/>
              <w:rPr>
                <w:lang w:val="en-GB"/>
              </w:rPr>
            </w:pPr>
            <w:r w:rsidRPr="00187A2A">
              <w:rPr>
                <w:lang w:val="en-GB"/>
              </w:rPr>
              <w:t>2</w:t>
            </w:r>
          </w:p>
        </w:tc>
        <w:tc>
          <w:tcPr>
            <w:tcW w:w="1859" w:type="dxa"/>
            <w:shd w:val="clear" w:color="auto" w:fill="auto"/>
          </w:tcPr>
          <w:p w14:paraId="69490B09" w14:textId="77777777" w:rsidR="007B3558" w:rsidRPr="00187A2A" w:rsidRDefault="00316A95" w:rsidP="0061686D">
            <w:pPr>
              <w:jc w:val="center"/>
              <w:rPr>
                <w:lang w:val="en-GB"/>
              </w:rPr>
            </w:pPr>
            <w:r w:rsidRPr="00187A2A">
              <w:rPr>
                <w:lang w:val="en-GB"/>
              </w:rPr>
              <w:t>28</w:t>
            </w:r>
          </w:p>
        </w:tc>
        <w:tc>
          <w:tcPr>
            <w:tcW w:w="1859" w:type="dxa"/>
            <w:shd w:val="clear" w:color="auto" w:fill="auto"/>
          </w:tcPr>
          <w:p w14:paraId="32393CC0" w14:textId="77777777" w:rsidR="007B3558" w:rsidRPr="00187A2A" w:rsidRDefault="00316A95" w:rsidP="0061686D">
            <w:pPr>
              <w:jc w:val="center"/>
              <w:rPr>
                <w:lang w:val="en-GB"/>
              </w:rPr>
            </w:pPr>
            <w:r w:rsidRPr="00187A2A">
              <w:rPr>
                <w:lang w:val="en-GB"/>
              </w:rPr>
              <w:t>0</w:t>
            </w:r>
          </w:p>
        </w:tc>
      </w:tr>
      <w:tr w:rsidR="007B3558" w:rsidRPr="00187A2A" w14:paraId="3A1042AD" w14:textId="77777777" w:rsidTr="00187A2A">
        <w:tc>
          <w:tcPr>
            <w:tcW w:w="2140" w:type="dxa"/>
            <w:tcBorders>
              <w:top w:val="single" w:sz="4" w:space="0" w:color="5B9BD5"/>
              <w:bottom w:val="single" w:sz="4" w:space="0" w:color="5B9BD5"/>
              <w:right w:val="nil"/>
            </w:tcBorders>
            <w:shd w:val="clear" w:color="auto" w:fill="FFFFFF"/>
          </w:tcPr>
          <w:p w14:paraId="18AE4D56" w14:textId="77777777" w:rsidR="007B3558" w:rsidRPr="00187A2A" w:rsidRDefault="007B3558" w:rsidP="00374007">
            <w:pPr>
              <w:rPr>
                <w:b/>
                <w:bCs/>
                <w:lang w:val="en-GB"/>
              </w:rPr>
            </w:pPr>
            <w:proofErr w:type="spellStart"/>
            <w:r w:rsidRPr="00187A2A">
              <w:rPr>
                <w:b/>
                <w:bCs/>
                <w:lang w:val="en-GB"/>
              </w:rPr>
              <w:t>Volyn</w:t>
            </w:r>
            <w:proofErr w:type="spellEnd"/>
          </w:p>
        </w:tc>
        <w:tc>
          <w:tcPr>
            <w:tcW w:w="1859" w:type="dxa"/>
            <w:tcBorders>
              <w:top w:val="single" w:sz="4" w:space="0" w:color="5B9BD5"/>
              <w:bottom w:val="single" w:sz="4" w:space="0" w:color="5B9BD5"/>
            </w:tcBorders>
            <w:shd w:val="clear" w:color="auto" w:fill="auto"/>
          </w:tcPr>
          <w:p w14:paraId="71D992F0" w14:textId="77777777" w:rsidR="007B3558" w:rsidRPr="00187A2A" w:rsidRDefault="007B3558" w:rsidP="0061686D">
            <w:pPr>
              <w:ind w:right="3"/>
              <w:jc w:val="center"/>
              <w:rPr>
                <w:lang w:val="en-GB"/>
              </w:rPr>
            </w:pPr>
            <w:r w:rsidRPr="00187A2A">
              <w:rPr>
                <w:lang w:val="en-GB"/>
              </w:rPr>
              <w:t>1</w:t>
            </w:r>
          </w:p>
        </w:tc>
        <w:tc>
          <w:tcPr>
            <w:tcW w:w="1859" w:type="dxa"/>
            <w:tcBorders>
              <w:top w:val="single" w:sz="4" w:space="0" w:color="5B9BD5"/>
              <w:bottom w:val="single" w:sz="4" w:space="0" w:color="5B9BD5"/>
            </w:tcBorders>
            <w:shd w:val="clear" w:color="auto" w:fill="auto"/>
          </w:tcPr>
          <w:p w14:paraId="42E6F1F4" w14:textId="77777777" w:rsidR="007B3558" w:rsidRPr="00187A2A" w:rsidRDefault="007B3558" w:rsidP="0061686D">
            <w:pPr>
              <w:ind w:right="62"/>
              <w:jc w:val="center"/>
              <w:rPr>
                <w:lang w:val="en-GB"/>
              </w:rPr>
            </w:pPr>
            <w:r w:rsidRPr="00187A2A">
              <w:rPr>
                <w:lang w:val="en-GB"/>
              </w:rPr>
              <w:t>0</w:t>
            </w:r>
          </w:p>
        </w:tc>
        <w:tc>
          <w:tcPr>
            <w:tcW w:w="1859" w:type="dxa"/>
            <w:tcBorders>
              <w:top w:val="single" w:sz="4" w:space="0" w:color="5B9BD5"/>
              <w:bottom w:val="single" w:sz="4" w:space="0" w:color="5B9BD5"/>
            </w:tcBorders>
            <w:shd w:val="clear" w:color="auto" w:fill="auto"/>
          </w:tcPr>
          <w:p w14:paraId="30DD05B8" w14:textId="77777777" w:rsidR="007B3558" w:rsidRPr="00187A2A" w:rsidRDefault="00316A95" w:rsidP="0061686D">
            <w:pPr>
              <w:jc w:val="center"/>
              <w:rPr>
                <w:lang w:val="en-GB"/>
              </w:rPr>
            </w:pPr>
            <w:r w:rsidRPr="00187A2A">
              <w:rPr>
                <w:lang w:val="en-GB"/>
              </w:rPr>
              <w:t>17</w:t>
            </w:r>
          </w:p>
        </w:tc>
        <w:tc>
          <w:tcPr>
            <w:tcW w:w="1859" w:type="dxa"/>
            <w:tcBorders>
              <w:top w:val="single" w:sz="4" w:space="0" w:color="5B9BD5"/>
              <w:bottom w:val="single" w:sz="4" w:space="0" w:color="5B9BD5"/>
            </w:tcBorders>
            <w:shd w:val="clear" w:color="auto" w:fill="auto"/>
          </w:tcPr>
          <w:p w14:paraId="2A3122C9" w14:textId="77777777" w:rsidR="007B3558" w:rsidRPr="00187A2A" w:rsidRDefault="00316A95" w:rsidP="0061686D">
            <w:pPr>
              <w:jc w:val="center"/>
              <w:rPr>
                <w:lang w:val="en-GB"/>
              </w:rPr>
            </w:pPr>
            <w:r w:rsidRPr="00187A2A">
              <w:rPr>
                <w:lang w:val="en-GB"/>
              </w:rPr>
              <w:t>0</w:t>
            </w:r>
          </w:p>
        </w:tc>
      </w:tr>
      <w:tr w:rsidR="007B3558" w:rsidRPr="00187A2A" w14:paraId="1D87BE85" w14:textId="77777777" w:rsidTr="00187A2A">
        <w:tc>
          <w:tcPr>
            <w:tcW w:w="2140" w:type="dxa"/>
            <w:tcBorders>
              <w:right w:val="nil"/>
            </w:tcBorders>
            <w:shd w:val="clear" w:color="auto" w:fill="FFFFFF"/>
          </w:tcPr>
          <w:p w14:paraId="1CDAAF88" w14:textId="77777777" w:rsidR="007B3558" w:rsidRPr="00187A2A" w:rsidRDefault="007B3558" w:rsidP="00374007">
            <w:pPr>
              <w:rPr>
                <w:b/>
                <w:bCs/>
                <w:lang w:val="en-GB"/>
              </w:rPr>
            </w:pPr>
            <w:proofErr w:type="spellStart"/>
            <w:r w:rsidRPr="00187A2A">
              <w:rPr>
                <w:b/>
                <w:bCs/>
                <w:lang w:val="en-GB"/>
              </w:rPr>
              <w:t>Zakarpattia</w:t>
            </w:r>
            <w:proofErr w:type="spellEnd"/>
            <w:r w:rsidRPr="00187A2A">
              <w:rPr>
                <w:b/>
                <w:bCs/>
                <w:lang w:val="en-GB"/>
              </w:rPr>
              <w:t xml:space="preserve">  </w:t>
            </w:r>
          </w:p>
        </w:tc>
        <w:tc>
          <w:tcPr>
            <w:tcW w:w="1859" w:type="dxa"/>
            <w:shd w:val="clear" w:color="auto" w:fill="auto"/>
          </w:tcPr>
          <w:p w14:paraId="0C8CAF3A" w14:textId="77777777" w:rsidR="007B3558" w:rsidRPr="00187A2A" w:rsidRDefault="007B3558" w:rsidP="0061686D">
            <w:pPr>
              <w:ind w:right="3"/>
              <w:jc w:val="center"/>
              <w:rPr>
                <w:lang w:val="en-GB"/>
              </w:rPr>
            </w:pPr>
            <w:r w:rsidRPr="00187A2A">
              <w:rPr>
                <w:lang w:val="en-GB"/>
              </w:rPr>
              <w:t>2</w:t>
            </w:r>
          </w:p>
        </w:tc>
        <w:tc>
          <w:tcPr>
            <w:tcW w:w="1859" w:type="dxa"/>
            <w:shd w:val="clear" w:color="auto" w:fill="auto"/>
          </w:tcPr>
          <w:p w14:paraId="0C2B0E1A" w14:textId="77777777" w:rsidR="007B3558" w:rsidRPr="00187A2A" w:rsidRDefault="007B3558" w:rsidP="0061686D">
            <w:pPr>
              <w:ind w:right="62"/>
              <w:jc w:val="center"/>
              <w:rPr>
                <w:lang w:val="en-GB"/>
              </w:rPr>
            </w:pPr>
            <w:r w:rsidRPr="00187A2A">
              <w:rPr>
                <w:lang w:val="en-GB"/>
              </w:rPr>
              <w:t>0</w:t>
            </w:r>
          </w:p>
        </w:tc>
        <w:tc>
          <w:tcPr>
            <w:tcW w:w="1859" w:type="dxa"/>
            <w:shd w:val="clear" w:color="auto" w:fill="auto"/>
          </w:tcPr>
          <w:p w14:paraId="6AC8C09A" w14:textId="77777777" w:rsidR="007B3558" w:rsidRPr="00187A2A" w:rsidRDefault="00316A95" w:rsidP="0061686D">
            <w:pPr>
              <w:jc w:val="center"/>
              <w:rPr>
                <w:lang w:val="en-GB"/>
              </w:rPr>
            </w:pPr>
            <w:r w:rsidRPr="00187A2A">
              <w:rPr>
                <w:lang w:val="en-GB"/>
              </w:rPr>
              <w:t>1</w:t>
            </w:r>
          </w:p>
        </w:tc>
        <w:tc>
          <w:tcPr>
            <w:tcW w:w="1859" w:type="dxa"/>
            <w:shd w:val="clear" w:color="auto" w:fill="auto"/>
          </w:tcPr>
          <w:p w14:paraId="3291C6E3" w14:textId="77777777" w:rsidR="007B3558" w:rsidRPr="00187A2A" w:rsidRDefault="00316A95" w:rsidP="0061686D">
            <w:pPr>
              <w:jc w:val="center"/>
              <w:rPr>
                <w:lang w:val="en-GB"/>
              </w:rPr>
            </w:pPr>
            <w:r w:rsidRPr="00187A2A">
              <w:rPr>
                <w:lang w:val="en-GB"/>
              </w:rPr>
              <w:t>0</w:t>
            </w:r>
          </w:p>
        </w:tc>
      </w:tr>
      <w:tr w:rsidR="007B3558" w:rsidRPr="00187A2A" w14:paraId="2B43F98A" w14:textId="77777777" w:rsidTr="00187A2A">
        <w:tc>
          <w:tcPr>
            <w:tcW w:w="2140" w:type="dxa"/>
            <w:tcBorders>
              <w:top w:val="single" w:sz="4" w:space="0" w:color="5B9BD5"/>
              <w:bottom w:val="single" w:sz="4" w:space="0" w:color="5B9BD5"/>
              <w:right w:val="nil"/>
            </w:tcBorders>
            <w:shd w:val="clear" w:color="auto" w:fill="FFFFFF"/>
          </w:tcPr>
          <w:p w14:paraId="7BA4B5CD" w14:textId="77777777" w:rsidR="007B3558" w:rsidRPr="00187A2A" w:rsidRDefault="007B3558" w:rsidP="00791E1D">
            <w:pPr>
              <w:rPr>
                <w:b/>
                <w:bCs/>
                <w:lang w:val="en-GB"/>
              </w:rPr>
            </w:pPr>
            <w:proofErr w:type="spellStart"/>
            <w:r w:rsidRPr="00187A2A">
              <w:rPr>
                <w:b/>
                <w:bCs/>
                <w:lang w:val="en-GB"/>
              </w:rPr>
              <w:t>Zaporizhzhia</w:t>
            </w:r>
            <w:proofErr w:type="spellEnd"/>
            <w:r w:rsidRPr="00187A2A">
              <w:rPr>
                <w:b/>
                <w:bCs/>
                <w:lang w:val="en-GB"/>
              </w:rPr>
              <w:t xml:space="preserve"> </w:t>
            </w:r>
          </w:p>
        </w:tc>
        <w:tc>
          <w:tcPr>
            <w:tcW w:w="1859" w:type="dxa"/>
            <w:tcBorders>
              <w:top w:val="single" w:sz="4" w:space="0" w:color="5B9BD5"/>
              <w:bottom w:val="single" w:sz="4" w:space="0" w:color="5B9BD5"/>
            </w:tcBorders>
            <w:shd w:val="clear" w:color="auto" w:fill="auto"/>
          </w:tcPr>
          <w:p w14:paraId="78DF703B" w14:textId="77777777" w:rsidR="007B3558" w:rsidRPr="00187A2A" w:rsidRDefault="007B3558" w:rsidP="0061686D">
            <w:pPr>
              <w:ind w:right="3"/>
              <w:jc w:val="center"/>
              <w:rPr>
                <w:lang w:val="en-GB"/>
              </w:rPr>
            </w:pPr>
            <w:r w:rsidRPr="00187A2A">
              <w:rPr>
                <w:lang w:val="en-GB"/>
              </w:rPr>
              <w:t>5</w:t>
            </w:r>
          </w:p>
        </w:tc>
        <w:tc>
          <w:tcPr>
            <w:tcW w:w="1859" w:type="dxa"/>
            <w:tcBorders>
              <w:top w:val="single" w:sz="4" w:space="0" w:color="5B9BD5"/>
              <w:bottom w:val="single" w:sz="4" w:space="0" w:color="5B9BD5"/>
            </w:tcBorders>
            <w:shd w:val="clear" w:color="auto" w:fill="auto"/>
          </w:tcPr>
          <w:p w14:paraId="2EE183E4" w14:textId="77777777" w:rsidR="007B3558" w:rsidRPr="00187A2A" w:rsidRDefault="007B3558" w:rsidP="0061686D">
            <w:pPr>
              <w:ind w:right="62"/>
              <w:jc w:val="center"/>
              <w:rPr>
                <w:lang w:val="en-GB"/>
              </w:rPr>
            </w:pPr>
            <w:r w:rsidRPr="00187A2A">
              <w:rPr>
                <w:lang w:val="en-GB"/>
              </w:rPr>
              <w:t>1</w:t>
            </w:r>
          </w:p>
        </w:tc>
        <w:tc>
          <w:tcPr>
            <w:tcW w:w="1859" w:type="dxa"/>
            <w:tcBorders>
              <w:top w:val="single" w:sz="4" w:space="0" w:color="5B9BD5"/>
              <w:bottom w:val="single" w:sz="4" w:space="0" w:color="5B9BD5"/>
            </w:tcBorders>
            <w:shd w:val="clear" w:color="auto" w:fill="auto"/>
          </w:tcPr>
          <w:p w14:paraId="1C8D906E" w14:textId="77777777" w:rsidR="007B3558" w:rsidRPr="00187A2A" w:rsidRDefault="00316A95" w:rsidP="0061686D">
            <w:pPr>
              <w:jc w:val="center"/>
              <w:rPr>
                <w:lang w:val="en-GB"/>
              </w:rPr>
            </w:pPr>
            <w:r w:rsidRPr="00187A2A">
              <w:rPr>
                <w:lang w:val="en-GB"/>
              </w:rPr>
              <w:t>41</w:t>
            </w:r>
          </w:p>
        </w:tc>
        <w:tc>
          <w:tcPr>
            <w:tcW w:w="1859" w:type="dxa"/>
            <w:tcBorders>
              <w:top w:val="single" w:sz="4" w:space="0" w:color="5B9BD5"/>
              <w:bottom w:val="single" w:sz="4" w:space="0" w:color="5B9BD5"/>
            </w:tcBorders>
            <w:shd w:val="clear" w:color="auto" w:fill="auto"/>
          </w:tcPr>
          <w:p w14:paraId="7DEA9430" w14:textId="77777777" w:rsidR="007B3558" w:rsidRPr="00187A2A" w:rsidRDefault="00316A95" w:rsidP="0061686D">
            <w:pPr>
              <w:jc w:val="center"/>
              <w:rPr>
                <w:lang w:val="en-GB"/>
              </w:rPr>
            </w:pPr>
            <w:r w:rsidRPr="00187A2A">
              <w:rPr>
                <w:lang w:val="en-GB"/>
              </w:rPr>
              <w:t>0</w:t>
            </w:r>
          </w:p>
        </w:tc>
      </w:tr>
      <w:tr w:rsidR="007B3558" w:rsidRPr="00187A2A" w14:paraId="33DC9033" w14:textId="77777777" w:rsidTr="00187A2A">
        <w:tc>
          <w:tcPr>
            <w:tcW w:w="2140" w:type="dxa"/>
            <w:tcBorders>
              <w:right w:val="nil"/>
            </w:tcBorders>
            <w:shd w:val="clear" w:color="auto" w:fill="FFFFFF"/>
          </w:tcPr>
          <w:p w14:paraId="69C8DF99" w14:textId="77777777" w:rsidR="007B3558" w:rsidRPr="00187A2A" w:rsidRDefault="007B3558" w:rsidP="00791E1D">
            <w:pPr>
              <w:rPr>
                <w:b/>
                <w:bCs/>
                <w:lang w:val="en-GB"/>
              </w:rPr>
            </w:pPr>
            <w:r w:rsidRPr="00187A2A">
              <w:rPr>
                <w:b/>
                <w:bCs/>
                <w:lang w:val="en-GB"/>
              </w:rPr>
              <w:t xml:space="preserve">Zhytomyr </w:t>
            </w:r>
          </w:p>
        </w:tc>
        <w:tc>
          <w:tcPr>
            <w:tcW w:w="1859" w:type="dxa"/>
            <w:shd w:val="clear" w:color="auto" w:fill="auto"/>
          </w:tcPr>
          <w:p w14:paraId="5A36E0D3" w14:textId="77777777" w:rsidR="007B3558" w:rsidRPr="00187A2A" w:rsidRDefault="00A8247F" w:rsidP="0061686D">
            <w:pPr>
              <w:ind w:right="3"/>
              <w:jc w:val="center"/>
              <w:rPr>
                <w:lang w:val="en-GB"/>
              </w:rPr>
            </w:pPr>
            <w:r w:rsidRPr="00187A2A">
              <w:rPr>
                <w:lang w:val="en-GB"/>
              </w:rPr>
              <w:t>0</w:t>
            </w:r>
          </w:p>
        </w:tc>
        <w:tc>
          <w:tcPr>
            <w:tcW w:w="1859" w:type="dxa"/>
            <w:shd w:val="clear" w:color="auto" w:fill="auto"/>
          </w:tcPr>
          <w:p w14:paraId="065BDC3E" w14:textId="77777777" w:rsidR="007B3558" w:rsidRPr="00187A2A" w:rsidRDefault="00A8247F" w:rsidP="0061686D">
            <w:pPr>
              <w:ind w:right="62"/>
              <w:jc w:val="center"/>
              <w:rPr>
                <w:lang w:val="en-GB"/>
              </w:rPr>
            </w:pPr>
            <w:r w:rsidRPr="00187A2A">
              <w:rPr>
                <w:lang w:val="en-GB"/>
              </w:rPr>
              <w:t>1</w:t>
            </w:r>
          </w:p>
        </w:tc>
        <w:tc>
          <w:tcPr>
            <w:tcW w:w="1859" w:type="dxa"/>
            <w:shd w:val="clear" w:color="auto" w:fill="auto"/>
          </w:tcPr>
          <w:p w14:paraId="0D1CE4FB" w14:textId="77777777" w:rsidR="007B3558" w:rsidRPr="00187A2A" w:rsidRDefault="00316A95" w:rsidP="0061686D">
            <w:pPr>
              <w:jc w:val="center"/>
              <w:rPr>
                <w:lang w:val="en-GB"/>
              </w:rPr>
            </w:pPr>
            <w:r w:rsidRPr="00187A2A">
              <w:rPr>
                <w:lang w:val="en-GB"/>
              </w:rPr>
              <w:t>18</w:t>
            </w:r>
          </w:p>
        </w:tc>
        <w:tc>
          <w:tcPr>
            <w:tcW w:w="1859" w:type="dxa"/>
            <w:shd w:val="clear" w:color="auto" w:fill="auto"/>
          </w:tcPr>
          <w:p w14:paraId="28893C57" w14:textId="77777777" w:rsidR="007B3558" w:rsidRPr="00187A2A" w:rsidRDefault="00316A95" w:rsidP="0061686D">
            <w:pPr>
              <w:jc w:val="center"/>
              <w:rPr>
                <w:lang w:val="en-GB"/>
              </w:rPr>
            </w:pPr>
            <w:r w:rsidRPr="00187A2A">
              <w:rPr>
                <w:lang w:val="en-GB"/>
              </w:rPr>
              <w:t>0</w:t>
            </w:r>
          </w:p>
        </w:tc>
      </w:tr>
      <w:tr w:rsidR="00A8247F" w:rsidRPr="00187A2A" w14:paraId="7AA033DB" w14:textId="77777777" w:rsidTr="00187A2A">
        <w:tc>
          <w:tcPr>
            <w:tcW w:w="2140" w:type="dxa"/>
            <w:tcBorders>
              <w:top w:val="single" w:sz="4" w:space="0" w:color="5B9BD5"/>
              <w:bottom w:val="single" w:sz="4" w:space="0" w:color="5B9BD5"/>
              <w:right w:val="nil"/>
            </w:tcBorders>
            <w:shd w:val="clear" w:color="auto" w:fill="BFBFBF"/>
          </w:tcPr>
          <w:p w14:paraId="2F94D004" w14:textId="77777777" w:rsidR="00A8247F" w:rsidRPr="00187A2A" w:rsidRDefault="00A8247F" w:rsidP="00A8247F">
            <w:pPr>
              <w:rPr>
                <w:b/>
                <w:bCs/>
                <w:lang w:val="en-GB"/>
              </w:rPr>
            </w:pPr>
            <w:r w:rsidRPr="00187A2A">
              <w:rPr>
                <w:b/>
                <w:bCs/>
                <w:lang w:val="en-GB"/>
              </w:rPr>
              <w:t>Total</w:t>
            </w:r>
          </w:p>
        </w:tc>
        <w:tc>
          <w:tcPr>
            <w:tcW w:w="1859" w:type="dxa"/>
            <w:tcBorders>
              <w:top w:val="single" w:sz="4" w:space="0" w:color="5B9BD5"/>
              <w:bottom w:val="single" w:sz="4" w:space="0" w:color="5B9BD5"/>
            </w:tcBorders>
            <w:shd w:val="clear" w:color="auto" w:fill="BFBFBF"/>
            <w:vAlign w:val="center"/>
          </w:tcPr>
          <w:p w14:paraId="7AFCFAF9" w14:textId="77777777" w:rsidR="00A8247F" w:rsidRPr="00187A2A" w:rsidRDefault="00A8247F" w:rsidP="0061686D">
            <w:pPr>
              <w:ind w:right="3"/>
              <w:jc w:val="center"/>
              <w:rPr>
                <w:b/>
                <w:bCs/>
                <w:color w:val="000000"/>
              </w:rPr>
            </w:pPr>
            <w:r w:rsidRPr="00187A2A">
              <w:rPr>
                <w:b/>
                <w:bCs/>
                <w:color w:val="000000"/>
                <w:lang w:val="en-GB"/>
              </w:rPr>
              <w:t>126</w:t>
            </w:r>
          </w:p>
        </w:tc>
        <w:tc>
          <w:tcPr>
            <w:tcW w:w="1859" w:type="dxa"/>
            <w:tcBorders>
              <w:top w:val="single" w:sz="4" w:space="0" w:color="5B9BD5"/>
              <w:bottom w:val="single" w:sz="4" w:space="0" w:color="5B9BD5"/>
            </w:tcBorders>
            <w:shd w:val="clear" w:color="auto" w:fill="BFBFBF"/>
            <w:vAlign w:val="center"/>
          </w:tcPr>
          <w:p w14:paraId="56351446" w14:textId="77777777" w:rsidR="00A8247F" w:rsidRPr="00187A2A" w:rsidRDefault="00A8247F" w:rsidP="0061686D">
            <w:pPr>
              <w:ind w:right="62"/>
              <w:jc w:val="center"/>
              <w:rPr>
                <w:b/>
                <w:bCs/>
                <w:color w:val="000000"/>
              </w:rPr>
            </w:pPr>
            <w:r w:rsidRPr="00187A2A">
              <w:rPr>
                <w:b/>
                <w:bCs/>
                <w:color w:val="000000"/>
                <w:lang w:val="en-GB"/>
              </w:rPr>
              <w:t>9</w:t>
            </w:r>
          </w:p>
        </w:tc>
        <w:tc>
          <w:tcPr>
            <w:tcW w:w="1859" w:type="dxa"/>
            <w:tcBorders>
              <w:top w:val="single" w:sz="4" w:space="0" w:color="5B9BD5"/>
              <w:bottom w:val="single" w:sz="4" w:space="0" w:color="5B9BD5"/>
            </w:tcBorders>
            <w:shd w:val="clear" w:color="auto" w:fill="BFBFBF"/>
            <w:vAlign w:val="center"/>
          </w:tcPr>
          <w:p w14:paraId="4D5797F9" w14:textId="77777777" w:rsidR="00A8247F" w:rsidRPr="00187A2A" w:rsidRDefault="00A8247F" w:rsidP="0061686D">
            <w:pPr>
              <w:jc w:val="center"/>
              <w:rPr>
                <w:b/>
                <w:bCs/>
                <w:color w:val="000000"/>
              </w:rPr>
            </w:pPr>
            <w:r w:rsidRPr="00187A2A">
              <w:rPr>
                <w:b/>
                <w:bCs/>
                <w:color w:val="000000"/>
                <w:lang w:val="en-GB"/>
              </w:rPr>
              <w:t>618</w:t>
            </w:r>
          </w:p>
        </w:tc>
        <w:tc>
          <w:tcPr>
            <w:tcW w:w="1859" w:type="dxa"/>
            <w:tcBorders>
              <w:top w:val="single" w:sz="4" w:space="0" w:color="5B9BD5"/>
              <w:bottom w:val="single" w:sz="4" w:space="0" w:color="5B9BD5"/>
            </w:tcBorders>
            <w:shd w:val="clear" w:color="auto" w:fill="BFBFBF"/>
            <w:vAlign w:val="center"/>
          </w:tcPr>
          <w:p w14:paraId="346DFD6E" w14:textId="77777777" w:rsidR="00A8247F" w:rsidRPr="00187A2A" w:rsidRDefault="00A8247F" w:rsidP="0061686D">
            <w:pPr>
              <w:jc w:val="center"/>
              <w:rPr>
                <w:b/>
                <w:bCs/>
                <w:color w:val="000000"/>
              </w:rPr>
            </w:pPr>
            <w:r w:rsidRPr="00187A2A">
              <w:rPr>
                <w:b/>
                <w:bCs/>
                <w:color w:val="000000"/>
                <w:lang w:val="en-GB"/>
              </w:rPr>
              <w:t>9</w:t>
            </w:r>
          </w:p>
        </w:tc>
      </w:tr>
    </w:tbl>
    <w:p w14:paraId="6EF26306" w14:textId="77777777" w:rsidR="000B7923" w:rsidRPr="0061686D" w:rsidRDefault="000B7923" w:rsidP="009761EB">
      <w:pPr>
        <w:rPr>
          <w:rFonts w:cs="Times New Roman"/>
          <w:b/>
          <w:sz w:val="20"/>
          <w:szCs w:val="20"/>
        </w:rPr>
      </w:pPr>
      <w:r w:rsidRPr="0061686D">
        <w:rPr>
          <w:rFonts w:cs="Times New Roman"/>
          <w:bCs/>
          <w:i/>
          <w:sz w:val="20"/>
          <w:szCs w:val="20"/>
        </w:rPr>
        <w:t>Source:</w:t>
      </w:r>
      <w:r w:rsidRPr="0061686D">
        <w:rPr>
          <w:rFonts w:cs="Times New Roman"/>
          <w:bCs/>
          <w:sz w:val="20"/>
          <w:szCs w:val="20"/>
        </w:rPr>
        <w:t xml:space="preserve"> EU Project / Mama – 86, 2015</w:t>
      </w:r>
      <w:r w:rsidR="00781B71" w:rsidRPr="0061686D">
        <w:rPr>
          <w:rFonts w:cs="Times New Roman"/>
          <w:bCs/>
          <w:sz w:val="20"/>
          <w:szCs w:val="20"/>
        </w:rPr>
        <w:t>.</w:t>
      </w:r>
      <w:r w:rsidRPr="0061686D">
        <w:rPr>
          <w:rFonts w:cs="Times New Roman"/>
          <w:b/>
          <w:sz w:val="20"/>
          <w:szCs w:val="20"/>
        </w:rPr>
        <w:t xml:space="preserve"> </w:t>
      </w:r>
    </w:p>
    <w:p w14:paraId="63CDD0CB" w14:textId="77777777" w:rsidR="000B7923" w:rsidRPr="002B1DFC" w:rsidRDefault="000B7923">
      <w:pPr>
        <w:spacing w:after="200" w:line="276" w:lineRule="auto"/>
        <w:jc w:val="left"/>
        <w:rPr>
          <w:b/>
          <w:bCs/>
        </w:rPr>
      </w:pPr>
    </w:p>
    <w:p w14:paraId="034DD91B" w14:textId="71FA8DA4" w:rsidR="005C7E41" w:rsidRDefault="000B7923">
      <w:pPr>
        <w:jc w:val="left"/>
        <w:rPr>
          <w:rFonts w:cs="Times New Roman"/>
          <w:b/>
          <w:noProof/>
          <w:szCs w:val="20"/>
          <w:lang w:val="en-GB"/>
        </w:rPr>
      </w:pPr>
      <w:r w:rsidRPr="002B1DFC">
        <w:br w:type="page"/>
      </w:r>
    </w:p>
    <w:p w14:paraId="69CFE013" w14:textId="6E04FB8A" w:rsidR="000B7923" w:rsidRPr="0061686D" w:rsidRDefault="000B7923" w:rsidP="00452C91">
      <w:pPr>
        <w:pStyle w:val="Caption"/>
        <w:rPr>
          <w:b w:val="0"/>
          <w:noProof w:val="0"/>
          <w:lang w:val="en-US"/>
        </w:rPr>
      </w:pPr>
      <w:bookmarkStart w:id="166" w:name="_Toc440273987"/>
      <w:r w:rsidRPr="002B1DFC">
        <w:lastRenderedPageBreak/>
        <w:t xml:space="preserve">Annex </w:t>
      </w:r>
      <w:r w:rsidRPr="002B1DFC">
        <w:fldChar w:fldCharType="begin"/>
      </w:r>
      <w:r w:rsidRPr="002B1DFC">
        <w:instrText xml:space="preserve"> SEQ Annex \* ARABIC </w:instrText>
      </w:r>
      <w:r w:rsidRPr="002B1DFC">
        <w:fldChar w:fldCharType="separate"/>
      </w:r>
      <w:r w:rsidR="00356D5F">
        <w:t>4</w:t>
      </w:r>
      <w:r w:rsidRPr="002B1DFC">
        <w:fldChar w:fldCharType="end"/>
      </w:r>
      <w:r w:rsidRPr="002B1DFC">
        <w:t xml:space="preserve">. </w:t>
      </w:r>
      <w:r w:rsidRPr="002B1DFC">
        <w:rPr>
          <w:noProof w:val="0"/>
          <w:lang w:val="en-US"/>
        </w:rPr>
        <w:t xml:space="preserve">Little Green Data Book </w:t>
      </w:r>
      <w:r w:rsidR="009561D6">
        <w:rPr>
          <w:noProof w:val="0"/>
          <w:lang w:val="en-US"/>
        </w:rPr>
        <w:t xml:space="preserve">2015 </w:t>
      </w:r>
      <w:r w:rsidRPr="002B1DFC">
        <w:rPr>
          <w:noProof w:val="0"/>
          <w:lang w:val="en-US"/>
        </w:rPr>
        <w:t>Statistics on Ukraine</w:t>
      </w:r>
      <w:bookmarkEnd w:id="166"/>
      <w:r w:rsidR="00D60AF4">
        <w:rPr>
          <w:noProof w:val="0"/>
          <w:lang w:val="en-US"/>
        </w:rPr>
        <w:t xml:space="preserve"> </w:t>
      </w:r>
    </w:p>
    <w:p w14:paraId="66D41B0E" w14:textId="77777777" w:rsidR="000B7923" w:rsidRPr="002B1DFC" w:rsidRDefault="00BE4288" w:rsidP="00F33595">
      <w:pPr>
        <w:jc w:val="center"/>
        <w:rPr>
          <w:rFonts w:cs="Times New Roman"/>
        </w:rPr>
      </w:pPr>
      <w:r w:rsidRPr="00F570EC">
        <w:rPr>
          <w:noProof/>
        </w:rPr>
        <w:drawing>
          <wp:inline distT="0" distB="0" distL="0" distR="0" wp14:anchorId="3396A34C" wp14:editId="35035F2B">
            <wp:extent cx="3562350" cy="7772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62350" cy="7772400"/>
                    </a:xfrm>
                    <a:prstGeom prst="rect">
                      <a:avLst/>
                    </a:prstGeom>
                    <a:noFill/>
                    <a:ln>
                      <a:noFill/>
                    </a:ln>
                  </pic:spPr>
                </pic:pic>
              </a:graphicData>
            </a:graphic>
          </wp:inline>
        </w:drawing>
      </w:r>
    </w:p>
    <w:p w14:paraId="638B3553" w14:textId="6D91B45F" w:rsidR="005C7E41" w:rsidRDefault="000B7923">
      <w:pPr>
        <w:jc w:val="left"/>
        <w:rPr>
          <w:rFonts w:cs="Times New Roman"/>
        </w:rPr>
      </w:pPr>
      <w:r w:rsidRPr="002B1DFC">
        <w:rPr>
          <w:rFonts w:cs="Times New Roman"/>
        </w:rPr>
        <w:br w:type="page"/>
      </w:r>
    </w:p>
    <w:p w14:paraId="267773EB" w14:textId="4A6D7D79" w:rsidR="000B7923" w:rsidRPr="0061686D" w:rsidRDefault="000B7923" w:rsidP="0061686D">
      <w:pPr>
        <w:spacing w:after="200" w:line="276" w:lineRule="auto"/>
        <w:jc w:val="left"/>
        <w:rPr>
          <w:b/>
        </w:rPr>
      </w:pPr>
      <w:bookmarkStart w:id="167" w:name="_Toc440273988"/>
      <w:r w:rsidRPr="0061686D">
        <w:rPr>
          <w:b/>
        </w:rPr>
        <w:lastRenderedPageBreak/>
        <w:t xml:space="preserve">Annex </w:t>
      </w:r>
      <w:r w:rsidRPr="0061686D">
        <w:rPr>
          <w:b/>
        </w:rPr>
        <w:fldChar w:fldCharType="begin"/>
      </w:r>
      <w:r w:rsidRPr="0061686D">
        <w:rPr>
          <w:b/>
        </w:rPr>
        <w:instrText xml:space="preserve"> SEQ Annex \* ARABIC </w:instrText>
      </w:r>
      <w:r w:rsidRPr="0061686D">
        <w:rPr>
          <w:b/>
        </w:rPr>
        <w:fldChar w:fldCharType="separate"/>
      </w:r>
      <w:r w:rsidR="00356D5F">
        <w:rPr>
          <w:b/>
          <w:noProof/>
        </w:rPr>
        <w:t>5</w:t>
      </w:r>
      <w:r w:rsidRPr="0061686D">
        <w:rPr>
          <w:b/>
        </w:rPr>
        <w:fldChar w:fldCharType="end"/>
      </w:r>
      <w:r w:rsidRPr="0061686D">
        <w:rPr>
          <w:b/>
        </w:rPr>
        <w:t xml:space="preserve">. Example of OSA Environment Department Responsibilities </w:t>
      </w:r>
      <w:r w:rsidR="00781B71" w:rsidRPr="0061686D">
        <w:rPr>
          <w:b/>
        </w:rPr>
        <w:t>–</w:t>
      </w:r>
      <w:r w:rsidRPr="0061686D">
        <w:rPr>
          <w:b/>
        </w:rPr>
        <w:t xml:space="preserve"> Poltava Oblast</w:t>
      </w:r>
      <w:bookmarkEnd w:id="167"/>
    </w:p>
    <w:p w14:paraId="4FA6CFD1" w14:textId="77777777" w:rsidR="000B7923" w:rsidRPr="002B1DFC" w:rsidRDefault="000B7923" w:rsidP="00CD70BB">
      <w:r w:rsidRPr="002B1DFC">
        <w:t xml:space="preserve">Order of Poltava Regional State Administration </w:t>
      </w:r>
      <w:r w:rsidR="006B2C60">
        <w:t>N</w:t>
      </w:r>
      <w:r w:rsidRPr="002B1DFC">
        <w:t>o. 219 (May 2015) on approval of regulation on the Department of Environment and Natural Resources of Poltava Regional State Administration:</w:t>
      </w:r>
    </w:p>
    <w:p w14:paraId="4D7F6FC6" w14:textId="77777777" w:rsidR="000B7923" w:rsidRPr="002B1DFC" w:rsidRDefault="000B7923" w:rsidP="00CD70BB"/>
    <w:p w14:paraId="2CEFD985" w14:textId="77777777" w:rsidR="000B7923" w:rsidRPr="002B1DFC" w:rsidRDefault="000B7923" w:rsidP="002137DD">
      <w:r w:rsidRPr="002B1DFC">
        <w:t xml:space="preserve">Article 5 </w:t>
      </w:r>
      <w:r w:rsidR="00781B71">
        <w:t>–</w:t>
      </w:r>
      <w:r w:rsidRPr="002B1DFC">
        <w:t xml:space="preserve"> The </w:t>
      </w:r>
      <w:r w:rsidR="006020B3">
        <w:t>d</w:t>
      </w:r>
      <w:r w:rsidRPr="002B1DFC">
        <w:t>epartment, according to specific sectoral responsibilities, and within the competence established by law, has the following tasks:</w:t>
      </w:r>
    </w:p>
    <w:p w14:paraId="08788DF3" w14:textId="77777777" w:rsidR="000B7923" w:rsidRPr="002B1DFC" w:rsidRDefault="000B7923" w:rsidP="00B83095">
      <w:pPr>
        <w:pStyle w:val="ListParagraph"/>
        <w:numPr>
          <w:ilvl w:val="1"/>
          <w:numId w:val="9"/>
        </w:numPr>
        <w:ind w:left="360"/>
      </w:pPr>
      <w:r w:rsidRPr="002B1DFC">
        <w:t>Organize and ensure the implementation of the Constitution and laws of Ukraine, acts of the President of Ukraine, the Cabinet of Ministers of Ukraine, and orders of ministries and other central executive authorities;</w:t>
      </w:r>
    </w:p>
    <w:p w14:paraId="13EA5376" w14:textId="77777777" w:rsidR="000B7923" w:rsidRPr="002B1DFC" w:rsidRDefault="000B7923" w:rsidP="00B83095">
      <w:pPr>
        <w:pStyle w:val="ListParagraph"/>
        <w:numPr>
          <w:ilvl w:val="1"/>
          <w:numId w:val="9"/>
        </w:numPr>
        <w:ind w:left="360"/>
      </w:pPr>
      <w:r w:rsidRPr="002B1DFC">
        <w:t>Provide for the protection of human rights and legitimate interests of individuals and legal entities;</w:t>
      </w:r>
    </w:p>
    <w:p w14:paraId="1F90817A" w14:textId="77777777" w:rsidR="000B7923" w:rsidRPr="002B1DFC" w:rsidRDefault="000B7923" w:rsidP="00B83095">
      <w:pPr>
        <w:pStyle w:val="ListParagraph"/>
        <w:numPr>
          <w:ilvl w:val="1"/>
          <w:numId w:val="9"/>
        </w:numPr>
        <w:ind w:left="360"/>
      </w:pPr>
      <w:r w:rsidRPr="002B1DFC">
        <w:t>Provide administrative services;</w:t>
      </w:r>
    </w:p>
    <w:p w14:paraId="05C3F439" w14:textId="77777777" w:rsidR="000B7923" w:rsidRPr="002B1DFC" w:rsidRDefault="000B7923" w:rsidP="00B83095">
      <w:pPr>
        <w:pStyle w:val="ListParagraph"/>
        <w:numPr>
          <w:ilvl w:val="1"/>
          <w:numId w:val="9"/>
        </w:numPr>
        <w:ind w:left="360"/>
      </w:pPr>
      <w:r w:rsidRPr="002B1DFC">
        <w:t>Participate in the implementation of state control to ensure compliance of enterprises, agencies and organizations, with the rules, regulations, standards within its defined responsibilities;</w:t>
      </w:r>
    </w:p>
    <w:p w14:paraId="497CEC73" w14:textId="77777777" w:rsidR="000B7923" w:rsidRPr="002B1DFC" w:rsidRDefault="000B7923" w:rsidP="00B83095">
      <w:pPr>
        <w:pStyle w:val="ListParagraph"/>
        <w:numPr>
          <w:ilvl w:val="1"/>
          <w:numId w:val="9"/>
        </w:numPr>
        <w:ind w:left="360"/>
      </w:pPr>
      <w:r w:rsidRPr="002B1DFC">
        <w:t>Analyze the status and trends of socioeconomic and cultural development in the field of environmental protection in Poltava region and participate in taking measures to address the deficiencies;</w:t>
      </w:r>
    </w:p>
    <w:p w14:paraId="5887C507" w14:textId="77777777" w:rsidR="000B7923" w:rsidRPr="002B1DFC" w:rsidRDefault="000B7923" w:rsidP="00B83095">
      <w:pPr>
        <w:pStyle w:val="ListParagraph"/>
        <w:numPr>
          <w:ilvl w:val="1"/>
          <w:numId w:val="9"/>
        </w:numPr>
        <w:ind w:left="360"/>
      </w:pPr>
      <w:r w:rsidRPr="002B1DFC">
        <w:t>Participate in the preparation of proposals for projects of socioeconomic and cultural development of corresponding administrative and territorial unit;</w:t>
      </w:r>
    </w:p>
    <w:p w14:paraId="6B9E81CB" w14:textId="77777777" w:rsidR="000B7923" w:rsidRPr="002B1DFC" w:rsidRDefault="000B7923" w:rsidP="00B83095">
      <w:pPr>
        <w:pStyle w:val="ListParagraph"/>
        <w:numPr>
          <w:ilvl w:val="1"/>
          <w:numId w:val="9"/>
        </w:numPr>
        <w:ind w:left="360"/>
      </w:pPr>
      <w:r w:rsidRPr="002B1DFC">
        <w:t>Prepare proposal for draft local budget;</w:t>
      </w:r>
    </w:p>
    <w:p w14:paraId="3AE64A4C" w14:textId="77777777" w:rsidR="000B7923" w:rsidRPr="002B1DFC" w:rsidRDefault="000B7923" w:rsidP="00B83095">
      <w:pPr>
        <w:pStyle w:val="ListParagraph"/>
        <w:numPr>
          <w:ilvl w:val="1"/>
          <w:numId w:val="9"/>
        </w:numPr>
        <w:ind w:left="360"/>
      </w:pPr>
      <w:r w:rsidRPr="002B1DFC">
        <w:t>Provide effective and targeted use of the relevant budget;</w:t>
      </w:r>
    </w:p>
    <w:p w14:paraId="2FBD21B3" w14:textId="77777777" w:rsidR="000B7923" w:rsidRPr="002B1DFC" w:rsidRDefault="000B7923" w:rsidP="00B83095">
      <w:pPr>
        <w:pStyle w:val="ListParagraph"/>
        <w:numPr>
          <w:ilvl w:val="1"/>
          <w:numId w:val="9"/>
        </w:numPr>
        <w:ind w:left="360"/>
      </w:pPr>
      <w:r w:rsidRPr="002B1DFC">
        <w:t>Participate in training measures for regional development;</w:t>
      </w:r>
    </w:p>
    <w:p w14:paraId="05C28C93" w14:textId="77777777" w:rsidR="000B7923" w:rsidRPr="002B1DFC" w:rsidRDefault="000B7923" w:rsidP="00B83095">
      <w:pPr>
        <w:pStyle w:val="ListParagraph"/>
        <w:numPr>
          <w:ilvl w:val="1"/>
          <w:numId w:val="9"/>
        </w:numPr>
        <w:ind w:left="360"/>
      </w:pPr>
      <w:r w:rsidRPr="002B1DFC">
        <w:t>Draft orders</w:t>
      </w:r>
      <w:r w:rsidR="00A471C6">
        <w:t>;</w:t>
      </w:r>
      <w:r w:rsidRPr="002B1DFC">
        <w:t xml:space="preserve"> in the cases determined by law</w:t>
      </w:r>
      <w:r w:rsidR="00A471C6">
        <w:t>,</w:t>
      </w:r>
      <w:r w:rsidRPr="002B1DFC">
        <w:t xml:space="preserve"> draft legal acts on implementation of sectoral responsibilities;</w:t>
      </w:r>
    </w:p>
    <w:p w14:paraId="13978DE4" w14:textId="77777777" w:rsidR="000B7923" w:rsidRPr="002B1DFC" w:rsidRDefault="000B7923" w:rsidP="00B83095">
      <w:pPr>
        <w:pStyle w:val="ListParagraph"/>
        <w:numPr>
          <w:ilvl w:val="1"/>
          <w:numId w:val="9"/>
        </w:numPr>
        <w:ind w:left="360"/>
      </w:pPr>
      <w:r w:rsidRPr="002B1DFC">
        <w:t>Participate in the coordination of normative legal acts developed by other authorities;</w:t>
      </w:r>
    </w:p>
    <w:p w14:paraId="382B16EE" w14:textId="77777777" w:rsidR="000B7923" w:rsidRPr="002B1DFC" w:rsidRDefault="000B7923" w:rsidP="00B83095">
      <w:pPr>
        <w:pStyle w:val="ListParagraph"/>
        <w:numPr>
          <w:ilvl w:val="1"/>
          <w:numId w:val="9"/>
        </w:numPr>
        <w:ind w:left="360"/>
      </w:pPr>
      <w:r w:rsidRPr="002B1DFC">
        <w:t>Participate in drafting instructions of the Head, draft legal acts, which are the main developers of other structural units;</w:t>
      </w:r>
    </w:p>
    <w:p w14:paraId="681B7DA7" w14:textId="77777777" w:rsidR="000B7923" w:rsidRPr="002B1DFC" w:rsidRDefault="000B7923" w:rsidP="00B83095">
      <w:pPr>
        <w:pStyle w:val="ListParagraph"/>
        <w:numPr>
          <w:ilvl w:val="1"/>
          <w:numId w:val="9"/>
        </w:numPr>
        <w:ind w:left="360"/>
      </w:pPr>
      <w:r w:rsidRPr="002B1DFC">
        <w:t>Participate in the preparation of reports to the Head of their consideration at the session of the respective local council;</w:t>
      </w:r>
    </w:p>
    <w:p w14:paraId="01B05DAB" w14:textId="77777777" w:rsidR="000B7923" w:rsidRPr="002B1DFC" w:rsidRDefault="000B7923" w:rsidP="00B83095">
      <w:pPr>
        <w:pStyle w:val="ListParagraph"/>
        <w:numPr>
          <w:ilvl w:val="1"/>
          <w:numId w:val="9"/>
        </w:numPr>
        <w:ind w:left="360"/>
      </w:pPr>
      <w:r w:rsidRPr="002B1DFC">
        <w:t>Prepare its own or together with other departments of information and analysis for the submission of the Head;</w:t>
      </w:r>
    </w:p>
    <w:p w14:paraId="66060F1C" w14:textId="77777777" w:rsidR="000B7923" w:rsidRPr="002B1DFC" w:rsidRDefault="000B7923" w:rsidP="00B83095">
      <w:pPr>
        <w:pStyle w:val="ListParagraph"/>
        <w:numPr>
          <w:ilvl w:val="1"/>
          <w:numId w:val="9"/>
        </w:numPr>
        <w:ind w:left="360"/>
      </w:pPr>
      <w:r w:rsidRPr="002B1DFC">
        <w:t>Ensure the implementation of measures to prevent and combat corruption;</w:t>
      </w:r>
    </w:p>
    <w:p w14:paraId="117E828A" w14:textId="77777777" w:rsidR="000B7923" w:rsidRPr="002B1DFC" w:rsidRDefault="00A471C6" w:rsidP="00B83095">
      <w:pPr>
        <w:pStyle w:val="ListParagraph"/>
        <w:numPr>
          <w:ilvl w:val="1"/>
          <w:numId w:val="9"/>
        </w:numPr>
        <w:ind w:left="360"/>
      </w:pPr>
      <w:r>
        <w:t>P</w:t>
      </w:r>
      <w:r w:rsidR="000B7923" w:rsidRPr="002B1DFC">
        <w:t xml:space="preserve">articipate in drafting agreements, memorandums, </w:t>
      </w:r>
      <w:r>
        <w:t xml:space="preserve">and </w:t>
      </w:r>
      <w:r w:rsidR="000B7923" w:rsidRPr="002B1DFC">
        <w:t>minutes of meetings of delegations and working groups;</w:t>
      </w:r>
    </w:p>
    <w:p w14:paraId="3D6298B0" w14:textId="77777777" w:rsidR="000B7923" w:rsidRPr="002B1DFC" w:rsidRDefault="00A471C6" w:rsidP="00B83095">
      <w:pPr>
        <w:pStyle w:val="ListParagraph"/>
        <w:numPr>
          <w:ilvl w:val="1"/>
          <w:numId w:val="9"/>
        </w:numPr>
        <w:ind w:left="360"/>
      </w:pPr>
      <w:r>
        <w:t>R</w:t>
      </w:r>
      <w:r w:rsidR="000B7923" w:rsidRPr="002B1DFC">
        <w:t>eview in accordance with legislation addresses of citizens;</w:t>
      </w:r>
    </w:p>
    <w:p w14:paraId="0A886664" w14:textId="77777777" w:rsidR="000B7923" w:rsidRPr="002B1DFC" w:rsidRDefault="00A471C6" w:rsidP="00B83095">
      <w:pPr>
        <w:pStyle w:val="ListParagraph"/>
        <w:numPr>
          <w:ilvl w:val="1"/>
          <w:numId w:val="9"/>
        </w:numPr>
        <w:ind w:left="360"/>
      </w:pPr>
      <w:r>
        <w:t>H</w:t>
      </w:r>
      <w:r w:rsidR="000B7923" w:rsidRPr="002B1DFC">
        <w:t>andle queries and appeals people's deputies of Ukraine and relevant local councils;</w:t>
      </w:r>
    </w:p>
    <w:p w14:paraId="2DCCC4A0" w14:textId="77777777" w:rsidR="000B7923" w:rsidRPr="002B1DFC" w:rsidRDefault="00A471C6" w:rsidP="00B83095">
      <w:pPr>
        <w:pStyle w:val="ListParagraph"/>
        <w:numPr>
          <w:ilvl w:val="1"/>
          <w:numId w:val="9"/>
        </w:numPr>
        <w:ind w:left="360"/>
      </w:pPr>
      <w:r>
        <w:t>P</w:t>
      </w:r>
      <w:r w:rsidR="000B7923" w:rsidRPr="002B1DFC">
        <w:t>rovide access to public information, which is the manager of the Department;</w:t>
      </w:r>
    </w:p>
    <w:p w14:paraId="239FEDBE" w14:textId="77777777" w:rsidR="000B7923" w:rsidRPr="002B1DFC" w:rsidRDefault="00A471C6" w:rsidP="009561D6">
      <w:pPr>
        <w:pStyle w:val="ListParagraph"/>
        <w:numPr>
          <w:ilvl w:val="1"/>
          <w:numId w:val="9"/>
        </w:numPr>
        <w:ind w:left="360"/>
      </w:pPr>
      <w:r>
        <w:t>I</w:t>
      </w:r>
      <w:r w:rsidR="000B7923" w:rsidRPr="002B1DFC">
        <w:t xml:space="preserve">nform the public on the </w:t>
      </w:r>
      <w:r w:rsidR="009561D6">
        <w:t xml:space="preserve">implementation progress of assigned responsibilities; </w:t>
      </w:r>
    </w:p>
    <w:p w14:paraId="49704DAB" w14:textId="77777777" w:rsidR="000B7923" w:rsidRPr="002B1DFC" w:rsidRDefault="00A471C6" w:rsidP="00B83095">
      <w:pPr>
        <w:pStyle w:val="ListParagraph"/>
        <w:numPr>
          <w:ilvl w:val="1"/>
          <w:numId w:val="9"/>
        </w:numPr>
        <w:ind w:left="360"/>
      </w:pPr>
      <w:r>
        <w:t>P</w:t>
      </w:r>
      <w:r w:rsidR="000B7923" w:rsidRPr="002B1DFC">
        <w:t>articipate in the control of local governments and provide consultations on issues of statutory powers granted to them by the executive;</w:t>
      </w:r>
    </w:p>
    <w:p w14:paraId="74606313" w14:textId="77777777" w:rsidR="000B7923" w:rsidRPr="002B1DFC" w:rsidRDefault="00A471C6" w:rsidP="00B83095">
      <w:pPr>
        <w:pStyle w:val="ListParagraph"/>
        <w:numPr>
          <w:ilvl w:val="1"/>
          <w:numId w:val="9"/>
        </w:numPr>
        <w:ind w:left="360"/>
      </w:pPr>
      <w:r>
        <w:t>P</w:t>
      </w:r>
      <w:r w:rsidR="000B7923" w:rsidRPr="002B1DFC">
        <w:t>articipate in providing</w:t>
      </w:r>
      <w:r>
        <w:t>,</w:t>
      </w:r>
      <w:r w:rsidR="000B7923" w:rsidRPr="002B1DFC">
        <w:t xml:space="preserve"> within its authority</w:t>
      </w:r>
      <w:r>
        <w:t>,</w:t>
      </w:r>
      <w:r w:rsidR="000B7923" w:rsidRPr="002B1DFC">
        <w:t xml:space="preserve"> tasks </w:t>
      </w:r>
      <w:r>
        <w:t xml:space="preserve">relating to </w:t>
      </w:r>
      <w:r w:rsidR="000B7923" w:rsidRPr="002B1DFC">
        <w:t xml:space="preserve">mobilization training, civil protection, </w:t>
      </w:r>
      <w:r>
        <w:t xml:space="preserve">and </w:t>
      </w:r>
      <w:r w:rsidR="000B7923" w:rsidRPr="002B1DFC">
        <w:t>compliance with safety</w:t>
      </w:r>
      <w:r>
        <w:t xml:space="preserve"> and</w:t>
      </w:r>
      <w:r w:rsidR="000B7923" w:rsidRPr="002B1DFC">
        <w:t xml:space="preserve"> fire </w:t>
      </w:r>
      <w:r>
        <w:t>issues</w:t>
      </w:r>
      <w:r w:rsidR="000B7923" w:rsidRPr="002B1DFC">
        <w:t>;</w:t>
      </w:r>
    </w:p>
    <w:p w14:paraId="30C5B475" w14:textId="77777777" w:rsidR="000B7923" w:rsidRPr="002B1DFC" w:rsidRDefault="00A471C6" w:rsidP="00B83095">
      <w:pPr>
        <w:pStyle w:val="ListParagraph"/>
        <w:numPr>
          <w:ilvl w:val="1"/>
          <w:numId w:val="9"/>
        </w:numPr>
        <w:ind w:left="360"/>
      </w:pPr>
      <w:r>
        <w:t>O</w:t>
      </w:r>
      <w:r w:rsidR="000B7923" w:rsidRPr="002B1DFC">
        <w:t>rganize the staffing, storage, accounting</w:t>
      </w:r>
      <w:r>
        <w:t>,</w:t>
      </w:r>
      <w:r w:rsidR="000B7923" w:rsidRPr="002B1DFC">
        <w:t xml:space="preserve"> and use of archival documents;</w:t>
      </w:r>
    </w:p>
    <w:p w14:paraId="2BA8BD5A" w14:textId="77777777" w:rsidR="000B7923" w:rsidRPr="002B1DFC" w:rsidRDefault="00A471C6" w:rsidP="00B83095">
      <w:pPr>
        <w:pStyle w:val="ListParagraph"/>
        <w:numPr>
          <w:ilvl w:val="1"/>
          <w:numId w:val="9"/>
        </w:numPr>
        <w:ind w:left="360"/>
      </w:pPr>
      <w:r>
        <w:t>P</w:t>
      </w:r>
      <w:r w:rsidR="000B7923" w:rsidRPr="002B1DFC">
        <w:t>rovide</w:t>
      </w:r>
      <w:r>
        <w:t>,</w:t>
      </w:r>
      <w:r w:rsidR="000B7923" w:rsidRPr="002B1DFC">
        <w:t xml:space="preserve"> within its competence</w:t>
      </w:r>
      <w:r>
        <w:t>, the</w:t>
      </w:r>
      <w:r w:rsidR="000B7923" w:rsidRPr="002B1DFC">
        <w:t xml:space="preserve"> realization of state policy concerning the protection of classified information;</w:t>
      </w:r>
    </w:p>
    <w:p w14:paraId="0374FF2A" w14:textId="77777777" w:rsidR="000B7923" w:rsidRPr="002B1DFC" w:rsidRDefault="00A471C6" w:rsidP="00B83095">
      <w:pPr>
        <w:pStyle w:val="ListParagraph"/>
        <w:numPr>
          <w:ilvl w:val="1"/>
          <w:numId w:val="9"/>
        </w:numPr>
        <w:ind w:left="360"/>
      </w:pPr>
      <w:r>
        <w:t>P</w:t>
      </w:r>
      <w:r w:rsidR="000B7923" w:rsidRPr="002B1DFC">
        <w:t xml:space="preserve">articipate in </w:t>
      </w:r>
      <w:r>
        <w:t>deciding labor disputes (conflicts)</w:t>
      </w:r>
      <w:r w:rsidR="000B7923" w:rsidRPr="002B1DFC">
        <w:t xml:space="preserve"> in accordance with the law of collective labor disputes (conflicts);</w:t>
      </w:r>
    </w:p>
    <w:p w14:paraId="3A6D9D17" w14:textId="77777777" w:rsidR="000B7923" w:rsidRPr="002B1DFC" w:rsidRDefault="00A471C6" w:rsidP="00B83095">
      <w:pPr>
        <w:pStyle w:val="ListParagraph"/>
        <w:numPr>
          <w:ilvl w:val="1"/>
          <w:numId w:val="9"/>
        </w:numPr>
        <w:ind w:left="360"/>
      </w:pPr>
      <w:r>
        <w:t>P</w:t>
      </w:r>
      <w:r w:rsidR="000B7923" w:rsidRPr="002B1DFC">
        <w:t>rovide protection of personal data;</w:t>
      </w:r>
    </w:p>
    <w:p w14:paraId="1A3042FD" w14:textId="77777777" w:rsidR="000B7923" w:rsidRPr="002B1DFC" w:rsidRDefault="00A471C6" w:rsidP="00B83095">
      <w:pPr>
        <w:pStyle w:val="ListParagraph"/>
        <w:numPr>
          <w:ilvl w:val="1"/>
          <w:numId w:val="9"/>
        </w:numPr>
        <w:ind w:left="360"/>
      </w:pPr>
      <w:r>
        <w:t>C</w:t>
      </w:r>
      <w:r w:rsidR="000B7923" w:rsidRPr="002B1DFC">
        <w:t>onduct state environmental review;</w:t>
      </w:r>
    </w:p>
    <w:p w14:paraId="4886B043" w14:textId="77777777" w:rsidR="000B7923" w:rsidRPr="002B1DFC" w:rsidRDefault="00A471C6" w:rsidP="00B83095">
      <w:pPr>
        <w:pStyle w:val="ListParagraph"/>
        <w:numPr>
          <w:ilvl w:val="1"/>
          <w:numId w:val="9"/>
        </w:numPr>
        <w:ind w:left="360"/>
      </w:pPr>
      <w:r>
        <w:t>H</w:t>
      </w:r>
      <w:r w:rsidR="000B7923" w:rsidRPr="002B1DFC">
        <w:t xml:space="preserve">old the legally established procedure the state environmental review of research and technological development and design estimates on construction and reconstruction of enterprises, installations, landfills, complexes, buildings and other specially designated areas or facilities to comply with legal </w:t>
      </w:r>
      <w:r w:rsidR="000B7923" w:rsidRPr="002B1DFC">
        <w:lastRenderedPageBreak/>
        <w:t>requirements and standards under the formation, processing, recycling and waste disposal facilities in addition, the decision regarding approval (approval) which was adopted by the Cabinet of Ministers of Ukraine;</w:t>
      </w:r>
    </w:p>
    <w:p w14:paraId="7224D7B3" w14:textId="77777777" w:rsidR="000B7923" w:rsidRPr="002B1DFC" w:rsidRDefault="00A471C6" w:rsidP="00B83095">
      <w:pPr>
        <w:pStyle w:val="ListParagraph"/>
        <w:numPr>
          <w:ilvl w:val="1"/>
          <w:numId w:val="9"/>
        </w:numPr>
        <w:ind w:left="360"/>
      </w:pPr>
      <w:r>
        <w:t>P</w:t>
      </w:r>
      <w:r w:rsidR="000B7923" w:rsidRPr="002B1DFC">
        <w:t>repare and maintain a register of objects of education, treatment</w:t>
      </w:r>
      <w:r>
        <w:t>,</w:t>
      </w:r>
      <w:r w:rsidR="000B7923" w:rsidRPr="002B1DFC">
        <w:t xml:space="preserve"> and disposal of waste</w:t>
      </w:r>
      <w:r>
        <w:t>,</w:t>
      </w:r>
      <w:r w:rsidR="000B7923" w:rsidRPr="002B1DFC">
        <w:t xml:space="preserve"> and </w:t>
      </w:r>
      <w:r>
        <w:t>prepare and maintain a r</w:t>
      </w:r>
      <w:r w:rsidR="000B7923" w:rsidRPr="002B1DFC">
        <w:t>egister of waste;</w:t>
      </w:r>
    </w:p>
    <w:p w14:paraId="0A73D44F" w14:textId="77777777" w:rsidR="000B7923" w:rsidRPr="002B1DFC" w:rsidRDefault="00A471C6" w:rsidP="00B83095">
      <w:pPr>
        <w:pStyle w:val="ListParagraph"/>
        <w:numPr>
          <w:ilvl w:val="1"/>
          <w:numId w:val="9"/>
        </w:numPr>
        <w:ind w:left="360"/>
      </w:pPr>
      <w:r>
        <w:t>I</w:t>
      </w:r>
      <w:r w:rsidR="000B7923" w:rsidRPr="002B1DFC">
        <w:t>ssue permit</w:t>
      </w:r>
      <w:r>
        <w:t>s</w:t>
      </w:r>
      <w:r w:rsidR="000B7923" w:rsidRPr="002B1DFC">
        <w:t xml:space="preserve"> for operations in the field of waste management for three</w:t>
      </w:r>
      <w:r>
        <w:t>-</w:t>
      </w:r>
      <w:r w:rsidR="000B7923" w:rsidRPr="002B1DFC">
        <w:t>year</w:t>
      </w:r>
      <w:r>
        <w:t xml:space="preserve"> terms</w:t>
      </w:r>
      <w:r w:rsidR="000B7923" w:rsidRPr="002B1DFC">
        <w:t xml:space="preserve">; </w:t>
      </w:r>
    </w:p>
    <w:p w14:paraId="18A48BEE" w14:textId="77777777" w:rsidR="000B7923" w:rsidRPr="002B1DFC" w:rsidRDefault="00A471C6" w:rsidP="00B83095">
      <w:pPr>
        <w:pStyle w:val="ListParagraph"/>
        <w:numPr>
          <w:ilvl w:val="1"/>
          <w:numId w:val="9"/>
        </w:numPr>
        <w:ind w:left="360"/>
      </w:pPr>
      <w:r>
        <w:t>I</w:t>
      </w:r>
      <w:r w:rsidR="000B7923" w:rsidRPr="002B1DFC">
        <w:t>ssue permits for special water use;</w:t>
      </w:r>
    </w:p>
    <w:p w14:paraId="7B98E9E5" w14:textId="77777777" w:rsidR="000B7923" w:rsidRPr="002B1DFC" w:rsidRDefault="00A471C6" w:rsidP="00B83095">
      <w:pPr>
        <w:pStyle w:val="ListParagraph"/>
        <w:numPr>
          <w:ilvl w:val="1"/>
          <w:numId w:val="9"/>
        </w:numPr>
        <w:ind w:left="360"/>
      </w:pPr>
      <w:r>
        <w:t>I</w:t>
      </w:r>
      <w:r w:rsidR="000B7923" w:rsidRPr="002B1DFC">
        <w:t>ssue permits for emissions of pollutants into the environment, special natural resources in accordance with the law;</w:t>
      </w:r>
    </w:p>
    <w:p w14:paraId="3451FE7D" w14:textId="77777777" w:rsidR="000B7923" w:rsidRPr="002B1DFC" w:rsidRDefault="00A471C6" w:rsidP="00B83095">
      <w:pPr>
        <w:pStyle w:val="ListParagraph"/>
        <w:numPr>
          <w:ilvl w:val="1"/>
          <w:numId w:val="9"/>
        </w:numPr>
        <w:ind w:left="360"/>
      </w:pPr>
      <w:r>
        <w:t>I</w:t>
      </w:r>
      <w:r w:rsidR="000B7923" w:rsidRPr="002B1DFC">
        <w:t xml:space="preserve">ssue permits for emissions of pollutants into the atmosphere from stationary sources, the object of which belongs to the second or third group; </w:t>
      </w:r>
    </w:p>
    <w:p w14:paraId="489CC479" w14:textId="77777777" w:rsidR="000B7923" w:rsidRPr="002B1DFC" w:rsidRDefault="00A471C6" w:rsidP="00B83095">
      <w:pPr>
        <w:pStyle w:val="ListParagraph"/>
        <w:numPr>
          <w:ilvl w:val="1"/>
          <w:numId w:val="9"/>
        </w:numPr>
        <w:ind w:left="360"/>
      </w:pPr>
      <w:r>
        <w:t>I</w:t>
      </w:r>
      <w:r w:rsidR="000B7923" w:rsidRPr="002B1DFC">
        <w:t>ssue permits for special use of natural resources in accordance with the law;</w:t>
      </w:r>
    </w:p>
    <w:p w14:paraId="412A1F3D" w14:textId="77777777" w:rsidR="000B7923" w:rsidRPr="002B1DFC" w:rsidRDefault="00A471C6" w:rsidP="00B83095">
      <w:pPr>
        <w:pStyle w:val="ListParagraph"/>
        <w:numPr>
          <w:ilvl w:val="1"/>
          <w:numId w:val="9"/>
        </w:numPr>
        <w:ind w:left="360"/>
      </w:pPr>
      <w:r>
        <w:t>C</w:t>
      </w:r>
      <w:r w:rsidR="000B7923" w:rsidRPr="002B1DFC">
        <w:t>onfirm the maximum allowable discharges (GDS) substances into the water with feedback waters;</w:t>
      </w:r>
    </w:p>
    <w:p w14:paraId="07FD335E" w14:textId="77777777" w:rsidR="000B7923" w:rsidRPr="002B1DFC" w:rsidRDefault="00A471C6" w:rsidP="00B83095">
      <w:pPr>
        <w:pStyle w:val="ListParagraph"/>
        <w:numPr>
          <w:ilvl w:val="1"/>
          <w:numId w:val="9"/>
        </w:numPr>
        <w:ind w:left="360"/>
      </w:pPr>
      <w:r>
        <w:t>A</w:t>
      </w:r>
      <w:r w:rsidR="000B7923" w:rsidRPr="002B1DFC">
        <w:t>pprove individual technological standards of drinking water;</w:t>
      </w:r>
    </w:p>
    <w:p w14:paraId="17A84636" w14:textId="77777777" w:rsidR="000B7923" w:rsidRPr="002B1DFC" w:rsidRDefault="00A471C6" w:rsidP="00B83095">
      <w:pPr>
        <w:pStyle w:val="ListParagraph"/>
        <w:numPr>
          <w:ilvl w:val="1"/>
          <w:numId w:val="9"/>
        </w:numPr>
        <w:ind w:left="360"/>
      </w:pPr>
      <w:r>
        <w:t>A</w:t>
      </w:r>
      <w:r w:rsidR="000B7923" w:rsidRPr="002B1DFC">
        <w:t>pprove projects work on the lands of water fund;</w:t>
      </w:r>
    </w:p>
    <w:p w14:paraId="2D9A4DC6" w14:textId="77777777" w:rsidR="000B7923" w:rsidRPr="002B1DFC" w:rsidRDefault="000B7923" w:rsidP="00B83095">
      <w:pPr>
        <w:pStyle w:val="ListParagraph"/>
        <w:numPr>
          <w:ilvl w:val="1"/>
          <w:numId w:val="9"/>
        </w:numPr>
        <w:ind w:left="360"/>
      </w:pPr>
      <w:r w:rsidRPr="002B1DFC">
        <w:t>approve the draft land for allotment of land nature reserve and other environmental purposes, land, located on the territory or within the object of natural reserve fund or within coastal protection strips;</w:t>
      </w:r>
    </w:p>
    <w:p w14:paraId="13A67BB3" w14:textId="77777777" w:rsidR="000B7923" w:rsidRPr="002B1DFC" w:rsidRDefault="00A471C6" w:rsidP="00B83095">
      <w:pPr>
        <w:pStyle w:val="ListParagraph"/>
        <w:numPr>
          <w:ilvl w:val="1"/>
          <w:numId w:val="9"/>
        </w:numPr>
        <w:ind w:left="360"/>
      </w:pPr>
      <w:r>
        <w:t>A</w:t>
      </w:r>
      <w:r w:rsidR="000B7923" w:rsidRPr="002B1DFC">
        <w:t xml:space="preserve">pprove the territories of </w:t>
      </w:r>
      <w:r>
        <w:t xml:space="preserve">the </w:t>
      </w:r>
      <w:r w:rsidR="000B7923" w:rsidRPr="002B1DFC">
        <w:t>nature reserve fund (excluding reserves and commercial zones of national natural and regional landscape parks):</w:t>
      </w:r>
    </w:p>
    <w:p w14:paraId="74E4428A" w14:textId="77777777" w:rsidR="000B7923" w:rsidRPr="002B1DFC" w:rsidRDefault="000B7923" w:rsidP="00B83095">
      <w:pPr>
        <w:pStyle w:val="ListParagraph"/>
        <w:numPr>
          <w:ilvl w:val="0"/>
          <w:numId w:val="31"/>
        </w:numPr>
      </w:pPr>
      <w:r w:rsidRPr="002B1DFC">
        <w:t>sanitary cuttings;</w:t>
      </w:r>
    </w:p>
    <w:p w14:paraId="73D99108" w14:textId="77777777" w:rsidR="000B7923" w:rsidRPr="002B1DFC" w:rsidRDefault="000B7923" w:rsidP="00B83095">
      <w:pPr>
        <w:pStyle w:val="ListParagraph"/>
        <w:numPr>
          <w:ilvl w:val="0"/>
          <w:numId w:val="31"/>
        </w:numPr>
      </w:pPr>
      <w:r w:rsidRPr="002B1DFC">
        <w:t>plans for sanitary and health measures;</w:t>
      </w:r>
    </w:p>
    <w:p w14:paraId="7C9DC522" w14:textId="77777777" w:rsidR="000B7923" w:rsidRPr="002B1DFC" w:rsidRDefault="000B7923" w:rsidP="00B83095">
      <w:pPr>
        <w:pStyle w:val="ListParagraph"/>
        <w:numPr>
          <w:ilvl w:val="0"/>
          <w:numId w:val="31"/>
        </w:numPr>
      </w:pPr>
      <w:r w:rsidRPr="002B1DFC">
        <w:t>determination stands for selective sanitary cuttings;</w:t>
      </w:r>
    </w:p>
    <w:p w14:paraId="4BA0927A" w14:textId="77777777" w:rsidR="000B7923" w:rsidRPr="002B1DFC" w:rsidRDefault="000B7923" w:rsidP="00B83095">
      <w:pPr>
        <w:pStyle w:val="ListParagraph"/>
        <w:numPr>
          <w:ilvl w:val="0"/>
          <w:numId w:val="31"/>
        </w:numPr>
      </w:pPr>
      <w:r w:rsidRPr="002B1DFC">
        <w:t>for the purpose of selective sanitary cuttings;</w:t>
      </w:r>
    </w:p>
    <w:p w14:paraId="6A20262A" w14:textId="77777777" w:rsidR="000B7923" w:rsidRPr="002B1DFC" w:rsidRDefault="000B7923" w:rsidP="00B83095">
      <w:pPr>
        <w:pStyle w:val="ListParagraph"/>
        <w:numPr>
          <w:ilvl w:val="0"/>
          <w:numId w:val="31"/>
        </w:numPr>
      </w:pPr>
      <w:r w:rsidRPr="002B1DFC">
        <w:t>appointment of continuous sanitary cutting;</w:t>
      </w:r>
    </w:p>
    <w:p w14:paraId="6E64FCE9" w14:textId="77777777" w:rsidR="000B7923" w:rsidRPr="002B1DFC" w:rsidRDefault="00841ACA" w:rsidP="00B83095">
      <w:pPr>
        <w:pStyle w:val="ListParagraph"/>
        <w:numPr>
          <w:ilvl w:val="0"/>
          <w:numId w:val="31"/>
        </w:numPr>
      </w:pPr>
      <w:r>
        <w:t>t</w:t>
      </w:r>
      <w:r w:rsidR="000B7923" w:rsidRPr="002B1DFC">
        <w:t>o eliminate clutter;</w:t>
      </w:r>
    </w:p>
    <w:p w14:paraId="334766D0" w14:textId="77777777" w:rsidR="000B7923" w:rsidRPr="002B1DFC" w:rsidRDefault="00A471C6" w:rsidP="00B83095">
      <w:pPr>
        <w:pStyle w:val="ListParagraph"/>
        <w:numPr>
          <w:ilvl w:val="1"/>
          <w:numId w:val="9"/>
        </w:numPr>
        <w:ind w:left="360"/>
      </w:pPr>
      <w:r>
        <w:t>P</w:t>
      </w:r>
      <w:r w:rsidR="000B7923" w:rsidRPr="002B1DFC">
        <w:t xml:space="preserve">articipate in the Commission survey </w:t>
      </w:r>
      <w:r w:rsidR="006020B3">
        <w:t xml:space="preserve">of </w:t>
      </w:r>
      <w:r w:rsidR="000B7923" w:rsidRPr="002B1DFC">
        <w:t xml:space="preserve">forests for logging </w:t>
      </w:r>
      <w:r w:rsidR="006020B3">
        <w:t>(</w:t>
      </w:r>
      <w:proofErr w:type="spellStart"/>
      <w:r w:rsidR="000B7923" w:rsidRPr="002B1DFC">
        <w:t>lisovidnovnyh</w:t>
      </w:r>
      <w:proofErr w:type="spellEnd"/>
      <w:r w:rsidR="006020B3">
        <w:t>)</w:t>
      </w:r>
      <w:r w:rsidR="000B7923" w:rsidRPr="002B1DFC">
        <w:t>;</w:t>
      </w:r>
    </w:p>
    <w:p w14:paraId="55401041" w14:textId="77777777" w:rsidR="000B7923" w:rsidRPr="002B1DFC" w:rsidRDefault="00A471C6" w:rsidP="00B83095">
      <w:pPr>
        <w:pStyle w:val="ListParagraph"/>
        <w:numPr>
          <w:ilvl w:val="1"/>
          <w:numId w:val="9"/>
        </w:numPr>
        <w:ind w:left="360"/>
      </w:pPr>
      <w:r>
        <w:t>C</w:t>
      </w:r>
      <w:r w:rsidR="000B7923" w:rsidRPr="002B1DFC">
        <w:t>onfirm the selection standards especially protective forest sites;</w:t>
      </w:r>
    </w:p>
    <w:p w14:paraId="15BC6D86" w14:textId="77777777" w:rsidR="000B7923" w:rsidRPr="002B1DFC" w:rsidRDefault="00A471C6" w:rsidP="00B83095">
      <w:pPr>
        <w:pStyle w:val="ListParagraph"/>
        <w:numPr>
          <w:ilvl w:val="1"/>
          <w:numId w:val="9"/>
        </w:numPr>
        <w:ind w:left="360"/>
      </w:pPr>
      <w:r>
        <w:t>C</w:t>
      </w:r>
      <w:r w:rsidR="000B7923" w:rsidRPr="002B1DFC">
        <w:t>onfirm the decision to classify the categories of forests;</w:t>
      </w:r>
    </w:p>
    <w:p w14:paraId="78C27455" w14:textId="77777777" w:rsidR="000B7923" w:rsidRPr="002B1DFC" w:rsidRDefault="00A471C6" w:rsidP="00B83095">
      <w:pPr>
        <w:pStyle w:val="ListParagraph"/>
        <w:numPr>
          <w:ilvl w:val="1"/>
          <w:numId w:val="9"/>
        </w:numPr>
        <w:ind w:left="360"/>
      </w:pPr>
      <w:r>
        <w:t>A</w:t>
      </w:r>
      <w:r w:rsidR="000B7923" w:rsidRPr="002B1DFC">
        <w:t>pprove the limits of natural resources within the territories and objects of nature reserve fund local importance;</w:t>
      </w:r>
    </w:p>
    <w:p w14:paraId="56F5EC18" w14:textId="77777777" w:rsidR="000B7923" w:rsidRPr="002B1DFC" w:rsidRDefault="00A471C6" w:rsidP="00B83095">
      <w:pPr>
        <w:pStyle w:val="ListParagraph"/>
        <w:numPr>
          <w:ilvl w:val="1"/>
          <w:numId w:val="9"/>
        </w:numPr>
        <w:ind w:left="360"/>
      </w:pPr>
      <w:r>
        <w:t>S</w:t>
      </w:r>
      <w:r w:rsidR="000B7923" w:rsidRPr="002B1DFC">
        <w:t>ubmit for approval the draft limits the use of natural resources within the territories and objects of nature reserve fund of national importance;</w:t>
      </w:r>
    </w:p>
    <w:p w14:paraId="336F4171" w14:textId="77777777" w:rsidR="000B7923" w:rsidRPr="002B1DFC" w:rsidRDefault="00A471C6" w:rsidP="00B83095">
      <w:pPr>
        <w:pStyle w:val="ListParagraph"/>
        <w:numPr>
          <w:ilvl w:val="1"/>
          <w:numId w:val="9"/>
        </w:numPr>
        <w:ind w:left="360"/>
      </w:pPr>
      <w:r>
        <w:t>C</w:t>
      </w:r>
      <w:r w:rsidR="000B7923" w:rsidRPr="002B1DFC">
        <w:t>laim by the central executive body that implements the state policy in the sphere of environmental protection for enterprises, institutions and organizations limits the use of natural resources (except for the natural resources of national importance), discharge of pollutants into the environment (except for discharges leading to contamination of natural resources of national significance, natural environment outside of the territory);</w:t>
      </w:r>
    </w:p>
    <w:p w14:paraId="4E2E5508" w14:textId="77777777" w:rsidR="000B7923" w:rsidRPr="002B1DFC" w:rsidRDefault="00A471C6" w:rsidP="00B83095">
      <w:pPr>
        <w:pStyle w:val="ListParagraph"/>
        <w:numPr>
          <w:ilvl w:val="1"/>
          <w:numId w:val="9"/>
        </w:numPr>
        <w:ind w:left="360"/>
      </w:pPr>
      <w:r>
        <w:t>S</w:t>
      </w:r>
      <w:r w:rsidR="000B7923" w:rsidRPr="002B1DFC">
        <w:t>ubmit proposals to the relevant local authorities for the organization of territories and objects of nature reserve fund local importance;</w:t>
      </w:r>
    </w:p>
    <w:p w14:paraId="6280EA99" w14:textId="77777777" w:rsidR="000B7923" w:rsidRPr="002B1DFC" w:rsidRDefault="00A471C6" w:rsidP="00B83095">
      <w:pPr>
        <w:pStyle w:val="ListParagraph"/>
        <w:numPr>
          <w:ilvl w:val="1"/>
          <w:numId w:val="9"/>
        </w:numPr>
        <w:ind w:left="360"/>
      </w:pPr>
      <w:r>
        <w:t>C</w:t>
      </w:r>
      <w:r w:rsidR="000B7923" w:rsidRPr="002B1DFC">
        <w:t>onfirm in the prescribed manner issues relating to leasing the hunting grounds and fishery water bodies;</w:t>
      </w:r>
    </w:p>
    <w:p w14:paraId="06B4CF7E" w14:textId="77777777" w:rsidR="000B7923" w:rsidRPr="002B1DFC" w:rsidRDefault="00A471C6" w:rsidP="00B83095">
      <w:pPr>
        <w:pStyle w:val="ListParagraph"/>
        <w:numPr>
          <w:ilvl w:val="1"/>
          <w:numId w:val="9"/>
        </w:numPr>
        <w:ind w:left="360"/>
      </w:pPr>
      <w:r>
        <w:t>P</w:t>
      </w:r>
      <w:r w:rsidR="000B7923" w:rsidRPr="002B1DFC">
        <w:t xml:space="preserve">lan to finance environmental protection measures from the Fund for Environmental Protection Poltava region (hereinafter </w:t>
      </w:r>
      <w:r w:rsidR="00781B71">
        <w:t>–</w:t>
      </w:r>
      <w:r w:rsidR="000B7923" w:rsidRPr="002B1DFC">
        <w:t xml:space="preserve"> </w:t>
      </w:r>
      <w:r w:rsidR="00E72314">
        <w:t>“</w:t>
      </w:r>
      <w:r>
        <w:t>l</w:t>
      </w:r>
      <w:r w:rsidR="000B7923" w:rsidRPr="002B1DFC">
        <w:t>ist</w:t>
      </w:r>
      <w:r w:rsidR="00E72314">
        <w:t>”</w:t>
      </w:r>
      <w:r w:rsidR="000B7923" w:rsidRPr="002B1DFC">
        <w:t>);</w:t>
      </w:r>
    </w:p>
    <w:p w14:paraId="6188DB6E" w14:textId="77777777" w:rsidR="000B7923" w:rsidRPr="002B1DFC" w:rsidRDefault="00A471C6" w:rsidP="00B83095">
      <w:pPr>
        <w:pStyle w:val="ListParagraph"/>
        <w:numPr>
          <w:ilvl w:val="1"/>
          <w:numId w:val="9"/>
        </w:numPr>
        <w:ind w:left="360"/>
      </w:pPr>
      <w:r>
        <w:t>F</w:t>
      </w:r>
      <w:r w:rsidR="000B7923" w:rsidRPr="002B1DFC">
        <w:t>orm the draft list;</w:t>
      </w:r>
    </w:p>
    <w:p w14:paraId="5A56EFD0" w14:textId="77777777" w:rsidR="000B7923" w:rsidRPr="002B1DFC" w:rsidRDefault="00A471C6" w:rsidP="00B83095">
      <w:pPr>
        <w:pStyle w:val="ListParagraph"/>
        <w:numPr>
          <w:ilvl w:val="1"/>
          <w:numId w:val="9"/>
        </w:numPr>
        <w:ind w:left="360"/>
      </w:pPr>
      <w:r>
        <w:t>O</w:t>
      </w:r>
      <w:r w:rsidR="000B7923" w:rsidRPr="002B1DFC">
        <w:t>rganize state administration making the project list to the Standing Committee of the Poltava Regional Council for the Environment and of environmental management for approval and subsequent adoption at the next session of the Regional Council;</w:t>
      </w:r>
    </w:p>
    <w:p w14:paraId="543AEB22" w14:textId="77777777" w:rsidR="000B7923" w:rsidRPr="002B1DFC" w:rsidRDefault="00A471C6" w:rsidP="00B83095">
      <w:pPr>
        <w:pStyle w:val="ListParagraph"/>
        <w:numPr>
          <w:ilvl w:val="1"/>
          <w:numId w:val="9"/>
        </w:numPr>
        <w:ind w:left="360"/>
      </w:pPr>
      <w:r>
        <w:t>E</w:t>
      </w:r>
      <w:r w:rsidR="000B7923" w:rsidRPr="002B1DFC">
        <w:t>nsure the implementation of national and regional programs for environmental protection;</w:t>
      </w:r>
    </w:p>
    <w:p w14:paraId="735B58C1" w14:textId="77777777" w:rsidR="000B7923" w:rsidRPr="002B1DFC" w:rsidRDefault="00A471C6" w:rsidP="00B83095">
      <w:pPr>
        <w:pStyle w:val="ListParagraph"/>
        <w:numPr>
          <w:ilvl w:val="1"/>
          <w:numId w:val="9"/>
        </w:numPr>
        <w:ind w:left="360"/>
      </w:pPr>
      <w:r>
        <w:t>P</w:t>
      </w:r>
      <w:r w:rsidR="000B7923" w:rsidRPr="002B1DFC">
        <w:t>rovide free public access to information on the environment Poltava region;</w:t>
      </w:r>
    </w:p>
    <w:p w14:paraId="1268E96A" w14:textId="77777777" w:rsidR="000B7923" w:rsidRPr="002B1DFC" w:rsidRDefault="00A471C6" w:rsidP="00B83095">
      <w:pPr>
        <w:pStyle w:val="ListParagraph"/>
        <w:numPr>
          <w:ilvl w:val="1"/>
          <w:numId w:val="9"/>
        </w:numPr>
        <w:ind w:left="360"/>
      </w:pPr>
      <w:r>
        <w:t>S</w:t>
      </w:r>
      <w:r w:rsidR="000B7923" w:rsidRPr="002B1DFC">
        <w:t>ummarize the practice of legislation in the field of environmental protection;</w:t>
      </w:r>
    </w:p>
    <w:p w14:paraId="5DCF4060" w14:textId="77777777" w:rsidR="000B7923" w:rsidRPr="002B1DFC" w:rsidRDefault="00A471C6" w:rsidP="00B83095">
      <w:pPr>
        <w:pStyle w:val="ListParagraph"/>
        <w:numPr>
          <w:ilvl w:val="1"/>
          <w:numId w:val="9"/>
        </w:numPr>
        <w:ind w:left="360"/>
      </w:pPr>
      <w:r>
        <w:lastRenderedPageBreak/>
        <w:t>A</w:t>
      </w:r>
      <w:r w:rsidR="000B7923" w:rsidRPr="002B1DFC">
        <w:t>nalyze the status and trends of the field of the environment, making the Head and the MEP proposals to improve ecological safety and environmental protection Poltava region;</w:t>
      </w:r>
    </w:p>
    <w:p w14:paraId="72E59DE8" w14:textId="77777777" w:rsidR="000B7923" w:rsidRPr="002B1DFC" w:rsidRDefault="00A471C6" w:rsidP="00B83095">
      <w:pPr>
        <w:pStyle w:val="ListParagraph"/>
        <w:numPr>
          <w:ilvl w:val="1"/>
          <w:numId w:val="9"/>
        </w:numPr>
        <w:ind w:left="360"/>
      </w:pPr>
      <w:r>
        <w:t>D</w:t>
      </w:r>
      <w:r w:rsidR="000B7923" w:rsidRPr="002B1DFC">
        <w:t>evelop and submit proposals to the Head</w:t>
      </w:r>
      <w:r>
        <w:t xml:space="preserve"> regarding the following matters</w:t>
      </w:r>
      <w:r w:rsidR="000B7923" w:rsidRPr="002B1DFC">
        <w:t>:</w:t>
      </w:r>
    </w:p>
    <w:p w14:paraId="6DE7B0DC" w14:textId="77777777" w:rsidR="000B7923" w:rsidRPr="002B1DFC" w:rsidRDefault="000B7923" w:rsidP="00B83095">
      <w:pPr>
        <w:pStyle w:val="ListParagraph"/>
        <w:numPr>
          <w:ilvl w:val="0"/>
          <w:numId w:val="32"/>
        </w:numPr>
      </w:pPr>
      <w:r w:rsidRPr="002B1DFC">
        <w:t xml:space="preserve">relevant sections of projects of state and local budgets, </w:t>
      </w:r>
      <w:r w:rsidR="00A471C6">
        <w:t xml:space="preserve">and of </w:t>
      </w:r>
      <w:r w:rsidRPr="002B1DFC">
        <w:t>state and local environmental protection programs;</w:t>
      </w:r>
    </w:p>
    <w:p w14:paraId="6C78D132" w14:textId="77777777" w:rsidR="000B7923" w:rsidRPr="002B1DFC" w:rsidRDefault="000B7923" w:rsidP="00B83095">
      <w:pPr>
        <w:pStyle w:val="ListParagraph"/>
        <w:numPr>
          <w:ilvl w:val="0"/>
          <w:numId w:val="32"/>
        </w:numPr>
      </w:pPr>
      <w:r w:rsidRPr="002B1DFC">
        <w:t>feasibility of placing the region new enterprises, irrespective of ownership, as well as enterprises in the neighboring areas, the scope of the environmental impacts which cover the Poltava region;</w:t>
      </w:r>
    </w:p>
    <w:p w14:paraId="71FE4CF1" w14:textId="77777777" w:rsidR="000B7923" w:rsidRPr="002B1DFC" w:rsidRDefault="000B7923" w:rsidP="00B83095">
      <w:pPr>
        <w:pStyle w:val="ListParagraph"/>
        <w:numPr>
          <w:ilvl w:val="0"/>
          <w:numId w:val="32"/>
        </w:numPr>
      </w:pPr>
      <w:r w:rsidRPr="002B1DFC">
        <w:t>draft programs of reform and development of the field of environmental protection, rational use, restoration and protection of natural resources;</w:t>
      </w:r>
    </w:p>
    <w:p w14:paraId="43DABB67" w14:textId="77777777" w:rsidR="000B7923" w:rsidRPr="002B1DFC" w:rsidRDefault="000B7923" w:rsidP="00B83095">
      <w:pPr>
        <w:pStyle w:val="ListParagraph"/>
        <w:numPr>
          <w:ilvl w:val="0"/>
          <w:numId w:val="32"/>
        </w:numPr>
      </w:pPr>
      <w:r w:rsidRPr="002B1DFC">
        <w:t>implementation of sectoral programs (events) and programs (measures) of individual companies with environmental protection, rational use, restoration and protection of natural resources, the treatment of waste;</w:t>
      </w:r>
    </w:p>
    <w:p w14:paraId="39543004" w14:textId="77777777" w:rsidR="000B7923" w:rsidRPr="002B1DFC" w:rsidRDefault="000B7923" w:rsidP="00B83095">
      <w:pPr>
        <w:pStyle w:val="ListParagraph"/>
        <w:numPr>
          <w:ilvl w:val="0"/>
          <w:numId w:val="32"/>
        </w:numPr>
      </w:pPr>
      <w:r w:rsidRPr="002B1DFC">
        <w:t>identif</w:t>
      </w:r>
      <w:r w:rsidR="00A471C6">
        <w:t>ication of</w:t>
      </w:r>
      <w:r w:rsidRPr="002B1DFC">
        <w:t xml:space="preserve"> areas of possible investments and investors in the field of environmental protection </w:t>
      </w:r>
      <w:r w:rsidR="00E72314">
        <w:t xml:space="preserve">in the </w:t>
      </w:r>
      <w:r w:rsidRPr="002B1DFC">
        <w:t>Poltava region;</w:t>
      </w:r>
    </w:p>
    <w:p w14:paraId="6DC2DBDF" w14:textId="77777777" w:rsidR="000B7923" w:rsidRPr="002B1DFC" w:rsidRDefault="000B7923" w:rsidP="00B83095">
      <w:pPr>
        <w:pStyle w:val="ListParagraph"/>
        <w:numPr>
          <w:ilvl w:val="0"/>
          <w:numId w:val="32"/>
        </w:numPr>
      </w:pPr>
      <w:r w:rsidRPr="002B1DFC">
        <w:t>economic and organizational measures aimed at environmental protection Poltava region;</w:t>
      </w:r>
      <w:r w:rsidR="00A471C6">
        <w:t xml:space="preserve"> and</w:t>
      </w:r>
    </w:p>
    <w:p w14:paraId="6779F2B8" w14:textId="77777777" w:rsidR="000B7923" w:rsidRPr="002B1DFC" w:rsidRDefault="00841ACA" w:rsidP="00B83095">
      <w:pPr>
        <w:pStyle w:val="ListParagraph"/>
        <w:numPr>
          <w:ilvl w:val="0"/>
          <w:numId w:val="32"/>
        </w:numPr>
      </w:pPr>
      <w:proofErr w:type="gramStart"/>
      <w:r>
        <w:t>a</w:t>
      </w:r>
      <w:r w:rsidRPr="002B1DFC">
        <w:t>ppointment</w:t>
      </w:r>
      <w:proofErr w:type="gramEnd"/>
      <w:r w:rsidRPr="002B1DFC">
        <w:t xml:space="preserve"> </w:t>
      </w:r>
      <w:r w:rsidR="000B7923" w:rsidRPr="002B1DFC">
        <w:t>of persons to the position of managers</w:t>
      </w:r>
      <w:r w:rsidR="006020B3">
        <w:t xml:space="preserve"> of</w:t>
      </w:r>
      <w:r w:rsidR="000B7923" w:rsidRPr="002B1DFC">
        <w:t xml:space="preserve"> institutions and organizations belonging to the Ministry of Environment and Administration, except </w:t>
      </w:r>
      <w:r w:rsidR="006020B3">
        <w:t xml:space="preserve">for </w:t>
      </w:r>
      <w:r w:rsidR="000B7923" w:rsidRPr="002B1DFC">
        <w:t xml:space="preserve">the leaders, </w:t>
      </w:r>
      <w:r w:rsidR="006020B3">
        <w:t xml:space="preserve">who are </w:t>
      </w:r>
      <w:r w:rsidR="000B7923" w:rsidRPr="002B1DFC">
        <w:t>elected (appointed) to posts by competitive selection.</w:t>
      </w:r>
    </w:p>
    <w:p w14:paraId="4C616EA9" w14:textId="77777777" w:rsidR="000B7923" w:rsidRPr="002B1DFC" w:rsidRDefault="00A471C6" w:rsidP="00B83095">
      <w:pPr>
        <w:pStyle w:val="ListParagraph"/>
        <w:numPr>
          <w:ilvl w:val="1"/>
          <w:numId w:val="9"/>
        </w:numPr>
        <w:ind w:left="360"/>
      </w:pPr>
      <w:r>
        <w:t>E</w:t>
      </w:r>
      <w:r w:rsidR="000B7923" w:rsidRPr="002B1DFC">
        <w:t>xercise the powers delegated to local authorities;</w:t>
      </w:r>
    </w:p>
    <w:p w14:paraId="50DF1FDC" w14:textId="77777777" w:rsidR="000B7923" w:rsidRPr="002B1DFC" w:rsidRDefault="00A471C6" w:rsidP="00B83095">
      <w:pPr>
        <w:pStyle w:val="ListParagraph"/>
        <w:numPr>
          <w:ilvl w:val="1"/>
          <w:numId w:val="9"/>
        </w:numPr>
        <w:ind w:left="360"/>
      </w:pPr>
      <w:r>
        <w:t>P</w:t>
      </w:r>
      <w:r w:rsidR="000B7923" w:rsidRPr="002B1DFC">
        <w:t>articipate in</w:t>
      </w:r>
    </w:p>
    <w:p w14:paraId="1AD62C4A" w14:textId="77777777" w:rsidR="000B7923" w:rsidRPr="002B1DFC" w:rsidRDefault="000B7923" w:rsidP="00B83095">
      <w:pPr>
        <w:pStyle w:val="ListParagraph"/>
        <w:numPr>
          <w:ilvl w:val="0"/>
          <w:numId w:val="33"/>
        </w:numPr>
      </w:pPr>
      <w:r w:rsidRPr="002B1DFC">
        <w:t xml:space="preserve">ensuring environmental safety in the territory, </w:t>
      </w:r>
      <w:r w:rsidR="00A471C6">
        <w:t xml:space="preserve">and ensuring </w:t>
      </w:r>
      <w:r w:rsidRPr="002B1DFC">
        <w:t>implementation of public administration in the field of waste management, hazardous chemicals, pesticides</w:t>
      </w:r>
      <w:r w:rsidR="00A471C6">
        <w:t>,</w:t>
      </w:r>
      <w:r w:rsidRPr="002B1DFC">
        <w:t xml:space="preserve"> and agricultural chemicals;</w:t>
      </w:r>
    </w:p>
    <w:p w14:paraId="256DE5E8" w14:textId="77777777" w:rsidR="000B7923" w:rsidRPr="002B1DFC" w:rsidRDefault="000B7923" w:rsidP="00B83095">
      <w:pPr>
        <w:pStyle w:val="ListParagraph"/>
        <w:numPr>
          <w:ilvl w:val="0"/>
          <w:numId w:val="33"/>
        </w:numPr>
      </w:pPr>
      <w:r w:rsidRPr="002B1DFC">
        <w:t>monitoring of the environment;</w:t>
      </w:r>
    </w:p>
    <w:p w14:paraId="0419B2A7" w14:textId="77777777" w:rsidR="000B7923" w:rsidRPr="002B1DFC" w:rsidRDefault="000B7923" w:rsidP="00B83095">
      <w:pPr>
        <w:pStyle w:val="ListParagraph"/>
        <w:numPr>
          <w:ilvl w:val="0"/>
          <w:numId w:val="33"/>
        </w:numPr>
      </w:pPr>
      <w:r w:rsidRPr="002B1DFC">
        <w:t>form</w:t>
      </w:r>
      <w:r w:rsidR="00A471C6">
        <w:t>ulating</w:t>
      </w:r>
      <w:r w:rsidRPr="002B1DFC">
        <w:t xml:space="preserve"> and us</w:t>
      </w:r>
      <w:r w:rsidR="00A471C6">
        <w:t>ing</w:t>
      </w:r>
      <w:r w:rsidRPr="002B1DFC">
        <w:t xml:space="preserve"> </w:t>
      </w:r>
      <w:r w:rsidR="00A471C6">
        <w:t xml:space="preserve">the </w:t>
      </w:r>
      <w:r w:rsidRPr="002B1DFC">
        <w:t>Regional Fund for Environmental Protection as part of the regional budget</w:t>
      </w:r>
      <w:r w:rsidR="00841ACA">
        <w:t>;</w:t>
      </w:r>
    </w:p>
    <w:p w14:paraId="68E75B13" w14:textId="77777777" w:rsidR="000B7923" w:rsidRPr="002B1DFC" w:rsidRDefault="000B7923" w:rsidP="00B83095">
      <w:pPr>
        <w:pStyle w:val="ListParagraph"/>
        <w:numPr>
          <w:ilvl w:val="0"/>
          <w:numId w:val="33"/>
        </w:numPr>
      </w:pPr>
      <w:r w:rsidRPr="002B1DFC">
        <w:t>considering issues related to subsoil use in the region;</w:t>
      </w:r>
    </w:p>
    <w:p w14:paraId="0E9DE0C4" w14:textId="77777777" w:rsidR="000B7923" w:rsidRPr="002B1DFC" w:rsidRDefault="00A471C6" w:rsidP="00B83095">
      <w:pPr>
        <w:pStyle w:val="ListParagraph"/>
        <w:numPr>
          <w:ilvl w:val="0"/>
          <w:numId w:val="33"/>
        </w:numPr>
      </w:pPr>
      <w:r>
        <w:t>developing</w:t>
      </w:r>
      <w:r w:rsidR="000B7923" w:rsidRPr="002B1DFC">
        <w:t xml:space="preserve"> and enforc</w:t>
      </w:r>
      <w:r>
        <w:t>ing</w:t>
      </w:r>
      <w:r w:rsidR="000B7923" w:rsidRPr="002B1DFC">
        <w:t xml:space="preserve"> state programs to protect the environment;</w:t>
      </w:r>
    </w:p>
    <w:p w14:paraId="59C47227" w14:textId="77777777" w:rsidR="000B7923" w:rsidRPr="002B1DFC" w:rsidRDefault="000B7923" w:rsidP="00B83095">
      <w:pPr>
        <w:pStyle w:val="ListParagraph"/>
        <w:numPr>
          <w:ilvl w:val="0"/>
          <w:numId w:val="33"/>
        </w:numPr>
      </w:pPr>
      <w:r w:rsidRPr="002B1DFC">
        <w:t>develop</w:t>
      </w:r>
      <w:r w:rsidR="00A471C6">
        <w:t>ing</w:t>
      </w:r>
      <w:r w:rsidRPr="002B1DFC">
        <w:t xml:space="preserve"> the submission for approval by the respective councils and regional environmental enforcement programs; reporting to the relevant council on their performance;</w:t>
      </w:r>
    </w:p>
    <w:p w14:paraId="605C2FC9" w14:textId="77777777" w:rsidR="000B7923" w:rsidRPr="002B1DFC" w:rsidRDefault="000B7923" w:rsidP="00B83095">
      <w:pPr>
        <w:pStyle w:val="ListParagraph"/>
        <w:numPr>
          <w:ilvl w:val="0"/>
          <w:numId w:val="33"/>
        </w:numPr>
      </w:pPr>
      <w:r w:rsidRPr="002B1DFC">
        <w:t>making proposals to the relevant authorities for state environmental programs;</w:t>
      </w:r>
    </w:p>
    <w:p w14:paraId="4BA22842" w14:textId="77777777" w:rsidR="000B7923" w:rsidRPr="002B1DFC" w:rsidRDefault="000B7923" w:rsidP="00B83095">
      <w:pPr>
        <w:pStyle w:val="ListParagraph"/>
        <w:numPr>
          <w:ilvl w:val="0"/>
          <w:numId w:val="33"/>
        </w:numPr>
      </w:pPr>
      <w:r w:rsidRPr="002B1DFC">
        <w:t>informing the public about environmentally hazardous accidents and situations, environment, as well as measures taken to improve it;</w:t>
      </w:r>
    </w:p>
    <w:p w14:paraId="26EF3795" w14:textId="77777777" w:rsidR="000B7923" w:rsidRPr="002B1DFC" w:rsidRDefault="000B7923" w:rsidP="00B83095">
      <w:pPr>
        <w:pStyle w:val="ListParagraph"/>
        <w:numPr>
          <w:ilvl w:val="0"/>
          <w:numId w:val="33"/>
        </w:numPr>
      </w:pPr>
      <w:r w:rsidRPr="002B1DFC">
        <w:t>coordinating and promoting the development of entrepreneurship in waste management;</w:t>
      </w:r>
    </w:p>
    <w:p w14:paraId="42340D2B" w14:textId="77777777" w:rsidR="000B7923" w:rsidRPr="002B1DFC" w:rsidRDefault="000B7923" w:rsidP="00B83095">
      <w:pPr>
        <w:pStyle w:val="ListParagraph"/>
        <w:numPr>
          <w:ilvl w:val="0"/>
          <w:numId w:val="33"/>
        </w:numPr>
      </w:pPr>
      <w:r w:rsidRPr="002B1DFC">
        <w:t>organizi</w:t>
      </w:r>
      <w:r w:rsidR="008478BE">
        <w:t>ng</w:t>
      </w:r>
      <w:r w:rsidRPr="002B1DFC">
        <w:t xml:space="preserve"> and promot</w:t>
      </w:r>
      <w:r w:rsidR="008478BE">
        <w:t>ing</w:t>
      </w:r>
      <w:r w:rsidRPr="002B1DFC">
        <w:t xml:space="preserve"> the development of specialized enterprises of all forms of ownership for the collection, treatment, recycling</w:t>
      </w:r>
      <w:r w:rsidR="00E72314">
        <w:t>,</w:t>
      </w:r>
      <w:r w:rsidRPr="002B1DFC">
        <w:t xml:space="preserve"> and disposal of waste;</w:t>
      </w:r>
    </w:p>
    <w:p w14:paraId="61EA13BE" w14:textId="77777777" w:rsidR="000B7923" w:rsidRPr="002B1DFC" w:rsidRDefault="000B7923" w:rsidP="00B83095">
      <w:pPr>
        <w:pStyle w:val="ListParagraph"/>
        <w:numPr>
          <w:ilvl w:val="0"/>
          <w:numId w:val="33"/>
        </w:numPr>
      </w:pPr>
      <w:r w:rsidRPr="002B1DFC">
        <w:t>attracting and uniting</w:t>
      </w:r>
      <w:r w:rsidR="00E72314">
        <w:t>,</w:t>
      </w:r>
      <w:r w:rsidRPr="002B1DFC">
        <w:t xml:space="preserve"> on a contractual basis</w:t>
      </w:r>
      <w:r w:rsidR="00E72314">
        <w:t>,</w:t>
      </w:r>
      <w:r w:rsidRPr="002B1DFC">
        <w:t xml:space="preserve"> enterprises, institutions, organizations</w:t>
      </w:r>
      <w:r w:rsidR="00E72314">
        <w:t>,</w:t>
      </w:r>
      <w:r w:rsidRPr="002B1DFC">
        <w:t xml:space="preserve"> and citizens, local government</w:t>
      </w:r>
      <w:r w:rsidR="00E72314">
        <w:t>,</w:t>
      </w:r>
      <w:r w:rsidRPr="002B1DFC">
        <w:t xml:space="preserve"> and extra-budgetary funds to finance the construction of new, </w:t>
      </w:r>
      <w:r w:rsidR="00E72314">
        <w:t xml:space="preserve">and </w:t>
      </w:r>
      <w:r w:rsidRPr="002B1DFC">
        <w:t>expansion and renovation of existing</w:t>
      </w:r>
      <w:r w:rsidR="00E72314">
        <w:t>,</w:t>
      </w:r>
      <w:r w:rsidRPr="002B1DFC">
        <w:t xml:space="preserve"> waste treatment facilities, and explor</w:t>
      </w:r>
      <w:r w:rsidR="00E72314">
        <w:t>ing</w:t>
      </w:r>
      <w:r w:rsidRPr="002B1DFC">
        <w:t xml:space="preserve"> the possibility of recycling of wastes, </w:t>
      </w:r>
      <w:r w:rsidR="008478BE">
        <w:t>m</w:t>
      </w:r>
      <w:r w:rsidRPr="002B1DFC">
        <w:t>arketing</w:t>
      </w:r>
      <w:r w:rsidR="008478BE">
        <w:t>,</w:t>
      </w:r>
      <w:r w:rsidRPr="002B1DFC">
        <w:t xml:space="preserve"> </w:t>
      </w:r>
      <w:r w:rsidR="00E72314">
        <w:t>and so forth</w:t>
      </w:r>
      <w:r w:rsidRPr="002B1DFC">
        <w:t>;</w:t>
      </w:r>
    </w:p>
    <w:p w14:paraId="6C045A27" w14:textId="77777777" w:rsidR="000B7923" w:rsidRPr="002B1DFC" w:rsidRDefault="000B7923" w:rsidP="00B83095">
      <w:pPr>
        <w:pStyle w:val="ListParagraph"/>
        <w:numPr>
          <w:ilvl w:val="0"/>
          <w:numId w:val="33"/>
        </w:numPr>
      </w:pPr>
      <w:r w:rsidRPr="002B1DFC">
        <w:t>organiz</w:t>
      </w:r>
      <w:r w:rsidR="008478BE">
        <w:t xml:space="preserve">ing </w:t>
      </w:r>
      <w:r w:rsidRPr="002B1DFC">
        <w:t>education</w:t>
      </w:r>
      <w:r w:rsidR="008478BE">
        <w:t>al programming</w:t>
      </w:r>
      <w:r w:rsidRPr="002B1DFC">
        <w:t>, treatment, disposal, recycling</w:t>
      </w:r>
      <w:r w:rsidR="008478BE">
        <w:t>,</w:t>
      </w:r>
      <w:r w:rsidRPr="002B1DFC">
        <w:t xml:space="preserve"> and waste management, </w:t>
      </w:r>
      <w:r w:rsidR="008478BE">
        <w:t xml:space="preserve">associated </w:t>
      </w:r>
      <w:r w:rsidRPr="002B1DFC">
        <w:t>certification</w:t>
      </w:r>
      <w:r w:rsidR="008478BE">
        <w:t>, and approving the</w:t>
      </w:r>
      <w:r w:rsidRPr="002B1DFC">
        <w:t xml:space="preserve"> placement of waste management (except hazardous wastes);</w:t>
      </w:r>
    </w:p>
    <w:p w14:paraId="7E038D37" w14:textId="77777777" w:rsidR="000B7923" w:rsidRPr="002B1DFC" w:rsidRDefault="000B7923" w:rsidP="00B83095">
      <w:pPr>
        <w:pStyle w:val="ListParagraph"/>
        <w:numPr>
          <w:ilvl w:val="0"/>
          <w:numId w:val="33"/>
        </w:numPr>
      </w:pPr>
      <w:r w:rsidRPr="002B1DFC">
        <w:t xml:space="preserve">ensuring </w:t>
      </w:r>
      <w:r w:rsidR="00E72314">
        <w:t xml:space="preserve">the </w:t>
      </w:r>
      <w:r w:rsidRPr="002B1DFC">
        <w:t>eliminat</w:t>
      </w:r>
      <w:r w:rsidR="00E72314">
        <w:t>ion of</w:t>
      </w:r>
      <w:r w:rsidRPr="002B1DFC">
        <w:t xml:space="preserve"> unauthorized and uncontrolled waste dumps alone or by the decision of </w:t>
      </w:r>
      <w:r w:rsidR="00E72314">
        <w:t xml:space="preserve">an </w:t>
      </w:r>
      <w:r w:rsidRPr="002B1DFC">
        <w:t>authorized body;</w:t>
      </w:r>
    </w:p>
    <w:p w14:paraId="694D6B58" w14:textId="77777777" w:rsidR="000B7923" w:rsidRPr="002B1DFC" w:rsidRDefault="000B7923" w:rsidP="00B83095">
      <w:pPr>
        <w:pStyle w:val="ListParagraph"/>
        <w:numPr>
          <w:ilvl w:val="0"/>
          <w:numId w:val="33"/>
        </w:numPr>
      </w:pPr>
      <w:r w:rsidRPr="002B1DFC">
        <w:t>facilitating the clarification of legislation on waste in the population, creation of necessary conditions for stimulating public involvement in the collection and harvesting of certain types of waste as secondary raw materials; approv</w:t>
      </w:r>
      <w:r w:rsidR="00E72314">
        <w:t>ing</w:t>
      </w:r>
      <w:r w:rsidRPr="002B1DFC">
        <w:t xml:space="preserve"> projects </w:t>
      </w:r>
      <w:r w:rsidR="00E72314">
        <w:t>involving</w:t>
      </w:r>
      <w:r w:rsidR="00E72314" w:rsidRPr="002B1DFC">
        <w:t xml:space="preserve"> </w:t>
      </w:r>
      <w:r w:rsidRPr="002B1DFC">
        <w:t>water protection zones;</w:t>
      </w:r>
    </w:p>
    <w:p w14:paraId="5A1BEC41" w14:textId="77777777" w:rsidR="000B7923" w:rsidRPr="002B1DFC" w:rsidRDefault="00A471C6" w:rsidP="00B83095">
      <w:pPr>
        <w:pStyle w:val="ListParagraph"/>
        <w:numPr>
          <w:ilvl w:val="0"/>
          <w:numId w:val="33"/>
        </w:numPr>
      </w:pPr>
      <w:r>
        <w:t>achieving</w:t>
      </w:r>
      <w:r w:rsidR="000B7923" w:rsidRPr="002B1DFC">
        <w:t xml:space="preserve"> </w:t>
      </w:r>
      <w:r>
        <w:t xml:space="preserve">outcomes of </w:t>
      </w:r>
      <w:r w:rsidR="000B7923" w:rsidRPr="002B1DFC">
        <w:t>state policy in the field of forest relations; controlling the use and protection of forests in the manner prescribed by law;</w:t>
      </w:r>
      <w:r w:rsidR="00E72314">
        <w:t xml:space="preserve"> and</w:t>
      </w:r>
    </w:p>
    <w:p w14:paraId="7C4358EB" w14:textId="77777777" w:rsidR="000B7923" w:rsidRPr="002B1DFC" w:rsidRDefault="00E72314" w:rsidP="00B83095">
      <w:pPr>
        <w:pStyle w:val="ListParagraph"/>
        <w:numPr>
          <w:ilvl w:val="0"/>
          <w:numId w:val="33"/>
        </w:numPr>
      </w:pPr>
      <w:proofErr w:type="gramStart"/>
      <w:r>
        <w:lastRenderedPageBreak/>
        <w:t>d</w:t>
      </w:r>
      <w:r w:rsidR="000B7923" w:rsidRPr="002B1DFC">
        <w:t>eveloping</w:t>
      </w:r>
      <w:proofErr w:type="gramEnd"/>
      <w:r w:rsidR="000B7923" w:rsidRPr="002B1DFC">
        <w:t xml:space="preserve"> proposals </w:t>
      </w:r>
      <w:r>
        <w:t>for</w:t>
      </w:r>
      <w:r w:rsidR="000B7923" w:rsidRPr="002B1DFC">
        <w:t xml:space="preserve"> suspen</w:t>
      </w:r>
      <w:r>
        <w:t>ding,</w:t>
      </w:r>
      <w:r w:rsidR="000B7923" w:rsidRPr="002B1DFC">
        <w:t xml:space="preserve"> as prescribed by law</w:t>
      </w:r>
      <w:r>
        <w:t>,</w:t>
      </w:r>
      <w:r w:rsidR="000B7923" w:rsidRPr="002B1DFC">
        <w:t xml:space="preserve"> enterprises, institutions</w:t>
      </w:r>
      <w:r>
        <w:t>,</w:t>
      </w:r>
      <w:r w:rsidR="000B7923" w:rsidRPr="002B1DFC">
        <w:t xml:space="preserve"> and organizations regardless of ownership in case of violation of environmental law.</w:t>
      </w:r>
    </w:p>
    <w:p w14:paraId="3EB7315F" w14:textId="77777777" w:rsidR="000B7923" w:rsidRPr="002B1DFC" w:rsidRDefault="00A471C6" w:rsidP="00B83095">
      <w:pPr>
        <w:pStyle w:val="ListParagraph"/>
        <w:numPr>
          <w:ilvl w:val="1"/>
          <w:numId w:val="9"/>
        </w:numPr>
        <w:ind w:left="360"/>
      </w:pPr>
      <w:r>
        <w:t>I</w:t>
      </w:r>
      <w:r w:rsidR="000B7923" w:rsidRPr="002B1DFC">
        <w:t>nteract with the Ministry of Environment in matters of waste management, hazardous chemicals, pesticides and agricultural chemicals, environmental security, reserve management, development, conservation and use of environmental network, ensuring state control over the use and protection of land, forests, water, air, flora and fauna and other natural resources, development and implementation of state and regional programs in the fields of environmental protection, rational use, restoration and protection of natural resources, handling of hazardous waste, development of ecological networks;</w:t>
      </w:r>
    </w:p>
    <w:p w14:paraId="14EDE90C" w14:textId="77777777" w:rsidR="000B7923" w:rsidRPr="002B1DFC" w:rsidRDefault="00A471C6" w:rsidP="00B83095">
      <w:pPr>
        <w:pStyle w:val="ListParagraph"/>
        <w:numPr>
          <w:ilvl w:val="1"/>
          <w:numId w:val="9"/>
        </w:numPr>
        <w:ind w:left="360"/>
      </w:pPr>
      <w:r>
        <w:t>I</w:t>
      </w:r>
      <w:r w:rsidR="000B7923" w:rsidRPr="002B1DFC">
        <w:t xml:space="preserve">nteract with the regional commission on </w:t>
      </w:r>
      <w:proofErr w:type="spellStart"/>
      <w:r w:rsidR="000B7923" w:rsidRPr="002B1DFC">
        <w:t>technogenic</w:t>
      </w:r>
      <w:proofErr w:type="spellEnd"/>
      <w:r w:rsidR="000B7923" w:rsidRPr="002B1DFC">
        <w:t xml:space="preserve"> and ecological safety and emergencies (point 2 of Part 3 of Article 6 of the Code of Civil Defense of Ukraine) and corresponding structural division RSA, which provides development and implements the state policy in the field of civil protection, in order to inform the population through the media about the state of the environment in the region, prompt notification of emergency environmental situations and on the implementation of measures to eliminate them;</w:t>
      </w:r>
    </w:p>
    <w:p w14:paraId="06123B8B" w14:textId="77777777" w:rsidR="000B7923" w:rsidRDefault="00A471C6" w:rsidP="009561D6">
      <w:pPr>
        <w:pStyle w:val="ListParagraph"/>
        <w:numPr>
          <w:ilvl w:val="1"/>
          <w:numId w:val="9"/>
        </w:numPr>
        <w:ind w:left="360"/>
      </w:pPr>
      <w:r>
        <w:t>I</w:t>
      </w:r>
      <w:r w:rsidR="000B7923" w:rsidRPr="002B1DFC">
        <w:t>n accordance with legislation and within the competence established by law</w:t>
      </w:r>
      <w:r w:rsidR="006020B3">
        <w:t>,</w:t>
      </w:r>
      <w:r w:rsidR="000B7923" w:rsidRPr="002B1DFC">
        <w:t xml:space="preserve"> interact with the staff and other departments of the</w:t>
      </w:r>
      <w:r w:rsidR="009561D6">
        <w:t xml:space="preserve"> oblast</w:t>
      </w:r>
      <w:r w:rsidR="000B7923" w:rsidRPr="002B1DFC">
        <w:t xml:space="preserve"> state administration, with local governments, with regional offices of ministries</w:t>
      </w:r>
      <w:r w:rsidR="006020B3">
        <w:t>,</w:t>
      </w:r>
      <w:r w:rsidR="000B7923" w:rsidRPr="002B1DFC">
        <w:t xml:space="preserve"> and </w:t>
      </w:r>
      <w:r w:rsidR="006020B3">
        <w:t xml:space="preserve">with </w:t>
      </w:r>
      <w:r w:rsidR="000B7923" w:rsidRPr="002B1DFC">
        <w:t>other central executive bodies of enterprises, institutions</w:t>
      </w:r>
      <w:r w:rsidR="006020B3">
        <w:t>,</w:t>
      </w:r>
      <w:r w:rsidR="000B7923" w:rsidRPr="002B1DFC">
        <w:t xml:space="preserve"> and organizations </w:t>
      </w:r>
      <w:r w:rsidR="009561D6">
        <w:t xml:space="preserve">with the objective </w:t>
      </w:r>
      <w:r w:rsidR="000B7923" w:rsidRPr="002B1DFC">
        <w:t xml:space="preserve">to create conditions for </w:t>
      </w:r>
      <w:r w:rsidR="009561D6">
        <w:t xml:space="preserve">implementation of </w:t>
      </w:r>
      <w:r w:rsidR="000B7923" w:rsidRPr="002B1DFC">
        <w:t>consistent and coordinated activit</w:t>
      </w:r>
      <w:r w:rsidR="009561D6">
        <w:t>y</w:t>
      </w:r>
      <w:r w:rsidR="000B7923" w:rsidRPr="002B1DFC">
        <w:t xml:space="preserve"> </w:t>
      </w:r>
      <w:r w:rsidR="009561D6">
        <w:t xml:space="preserve">for establishing deadlines, </w:t>
      </w:r>
      <w:r w:rsidR="000B7923" w:rsidRPr="002B1DFC">
        <w:t>frequency</w:t>
      </w:r>
      <w:r w:rsidR="009561D6">
        <w:t xml:space="preserve"> of receipt and</w:t>
      </w:r>
      <w:r w:rsidR="000B7923" w:rsidRPr="002B1DFC">
        <w:t xml:space="preserve"> transmission of information necessary for the proper performance of their department objectives and implementation of the planned measures.</w:t>
      </w:r>
    </w:p>
    <w:p w14:paraId="0482F03B" w14:textId="77777777" w:rsidR="000B7923" w:rsidRPr="002B1DFC" w:rsidRDefault="00A471C6" w:rsidP="00B83095">
      <w:pPr>
        <w:pStyle w:val="ListParagraph"/>
        <w:numPr>
          <w:ilvl w:val="1"/>
          <w:numId w:val="9"/>
        </w:numPr>
        <w:ind w:left="360"/>
      </w:pPr>
      <w:r>
        <w:t>C</w:t>
      </w:r>
      <w:r w:rsidR="000B7923" w:rsidRPr="002B1DFC">
        <w:t>ontribute to</w:t>
      </w:r>
    </w:p>
    <w:p w14:paraId="2E46CBC5" w14:textId="77777777" w:rsidR="000B7923" w:rsidRPr="002B1DFC" w:rsidRDefault="000B7923" w:rsidP="009561D6">
      <w:pPr>
        <w:pStyle w:val="ListParagraph"/>
        <w:numPr>
          <w:ilvl w:val="0"/>
          <w:numId w:val="34"/>
        </w:numPr>
      </w:pPr>
      <w:r w:rsidRPr="002B1DFC">
        <w:t xml:space="preserve">formation and implementation, together with the relevant central and local executive bodies, </w:t>
      </w:r>
      <w:r w:rsidR="00A471C6">
        <w:t xml:space="preserve">of </w:t>
      </w:r>
      <w:r w:rsidRPr="002B1DFC">
        <w:t xml:space="preserve">state development strategy </w:t>
      </w:r>
      <w:r w:rsidR="00A471C6">
        <w:t>regarding</w:t>
      </w:r>
      <w:r w:rsidRPr="002B1DFC">
        <w:t xml:space="preserve"> state policy in the field of environmental protection, rational use, restoration and protection of natural resources, reserve management, </w:t>
      </w:r>
      <w:r w:rsidR="00A471C6">
        <w:t xml:space="preserve">and </w:t>
      </w:r>
      <w:r w:rsidRPr="002B1DFC">
        <w:t xml:space="preserve">protection and use of areas and objects </w:t>
      </w:r>
      <w:r w:rsidR="009561D6">
        <w:t xml:space="preserve">of the </w:t>
      </w:r>
      <w:r w:rsidRPr="002B1DFC">
        <w:t>nature reserve fund</w:t>
      </w:r>
      <w:r w:rsidR="009561D6">
        <w:t>, and</w:t>
      </w:r>
      <w:r w:rsidRPr="002B1DFC">
        <w:t xml:space="preserve"> in the </w:t>
      </w:r>
      <w:r w:rsidR="009561D6">
        <w:t xml:space="preserve">area of </w:t>
      </w:r>
      <w:r w:rsidRPr="002B1DFC">
        <w:t>waste management;</w:t>
      </w:r>
    </w:p>
    <w:p w14:paraId="6D041137" w14:textId="77777777" w:rsidR="000B7923" w:rsidRPr="002B1DFC" w:rsidRDefault="000B7923" w:rsidP="009561D6">
      <w:pPr>
        <w:pStyle w:val="ListParagraph"/>
        <w:numPr>
          <w:ilvl w:val="0"/>
          <w:numId w:val="34"/>
        </w:numPr>
      </w:pPr>
      <w:r w:rsidRPr="002B1DFC">
        <w:t>implement</w:t>
      </w:r>
      <w:r w:rsidR="00A471C6">
        <w:t>ation</w:t>
      </w:r>
      <w:r w:rsidR="009561D6">
        <w:t>,</w:t>
      </w:r>
      <w:r w:rsidR="00A471C6">
        <w:t xml:space="preserve"> </w:t>
      </w:r>
      <w:r w:rsidRPr="002B1DFC">
        <w:t xml:space="preserve">within </w:t>
      </w:r>
      <w:r w:rsidR="009561D6">
        <w:t>its area of</w:t>
      </w:r>
      <w:r w:rsidRPr="002B1DFC">
        <w:t xml:space="preserve"> competence</w:t>
      </w:r>
      <w:r w:rsidR="009561D6">
        <w:t>,</w:t>
      </w:r>
      <w:r w:rsidRPr="002B1DFC">
        <w:t xml:space="preserve"> of state control over the use and protection of land, forests, minerals, water, air, flora and fauna and other natural resources, collection, recycling</w:t>
      </w:r>
      <w:r w:rsidR="00A471C6">
        <w:t>,</w:t>
      </w:r>
      <w:r w:rsidRPr="002B1DFC">
        <w:t xml:space="preserve"> and disposal of industrial </w:t>
      </w:r>
      <w:r w:rsidR="00A471C6">
        <w:t xml:space="preserve">waste </w:t>
      </w:r>
      <w:r w:rsidRPr="002B1DFC">
        <w:t xml:space="preserve">and </w:t>
      </w:r>
      <w:r w:rsidR="00A471C6">
        <w:t xml:space="preserve">other </w:t>
      </w:r>
      <w:r w:rsidRPr="002B1DFC">
        <w:t>waste</w:t>
      </w:r>
      <w:r w:rsidR="00A471C6">
        <w:t xml:space="preserve"> (except household waste)</w:t>
      </w:r>
      <w:r w:rsidRPr="002B1DFC">
        <w:t>;</w:t>
      </w:r>
    </w:p>
    <w:p w14:paraId="50156437" w14:textId="77777777" w:rsidR="000B7923" w:rsidRPr="002B1DFC" w:rsidRDefault="000B7923" w:rsidP="00B83095">
      <w:pPr>
        <w:pStyle w:val="ListParagraph"/>
        <w:numPr>
          <w:ilvl w:val="0"/>
          <w:numId w:val="34"/>
        </w:numPr>
      </w:pPr>
      <w:r w:rsidRPr="002B1DFC">
        <w:t>measures to limit or temporary cessation of enterprises, institutions and organizations for violations of environmental legislation;</w:t>
      </w:r>
    </w:p>
    <w:p w14:paraId="5FB267EC" w14:textId="77777777" w:rsidR="000B7923" w:rsidRPr="002B1DFC" w:rsidRDefault="000B7923" w:rsidP="00B83095">
      <w:pPr>
        <w:pStyle w:val="ListParagraph"/>
        <w:numPr>
          <w:ilvl w:val="0"/>
          <w:numId w:val="34"/>
        </w:numPr>
      </w:pPr>
      <w:r w:rsidRPr="002B1DFC">
        <w:t>environmental education and ecological education of citizens,</w:t>
      </w:r>
      <w:r w:rsidR="00A471C6">
        <w:t xml:space="preserve"> and</w:t>
      </w:r>
      <w:r w:rsidRPr="002B1DFC">
        <w:t xml:space="preserve"> environmental activities of associations, movements, </w:t>
      </w:r>
      <w:r w:rsidR="00A471C6">
        <w:t>and similar entities</w:t>
      </w:r>
      <w:r w:rsidRPr="002B1DFC">
        <w:t>;</w:t>
      </w:r>
    </w:p>
    <w:p w14:paraId="5A49AFAF" w14:textId="77777777" w:rsidR="000B7923" w:rsidRPr="002B1DFC" w:rsidRDefault="000B7923" w:rsidP="00B83095">
      <w:pPr>
        <w:pStyle w:val="ListParagraph"/>
        <w:numPr>
          <w:ilvl w:val="0"/>
          <w:numId w:val="34"/>
        </w:numPr>
      </w:pPr>
      <w:r w:rsidRPr="002B1DFC">
        <w:t>introduction of new environmentally friendly technologies</w:t>
      </w:r>
      <w:r w:rsidR="00A471C6">
        <w:t>; and</w:t>
      </w:r>
      <w:r w:rsidRPr="002B1DFC">
        <w:t xml:space="preserve"> increas</w:t>
      </w:r>
      <w:r w:rsidR="00A471C6">
        <w:t>ing</w:t>
      </w:r>
      <w:r w:rsidRPr="002B1DFC">
        <w:t xml:space="preserve"> the technical level of production and product quality, </w:t>
      </w:r>
      <w:r w:rsidR="00A471C6">
        <w:t xml:space="preserve">and </w:t>
      </w:r>
      <w:r w:rsidRPr="002B1DFC">
        <w:t>solving technical problems, which are very important to enhance its efficiency and competitiveness;</w:t>
      </w:r>
      <w:r w:rsidR="00A471C6">
        <w:t xml:space="preserve"> and</w:t>
      </w:r>
    </w:p>
    <w:p w14:paraId="57E5BC71" w14:textId="77777777" w:rsidR="000B7923" w:rsidRPr="002B1DFC" w:rsidRDefault="000B7923" w:rsidP="00B83095">
      <w:pPr>
        <w:pStyle w:val="ListParagraph"/>
        <w:numPr>
          <w:ilvl w:val="0"/>
          <w:numId w:val="34"/>
        </w:numPr>
      </w:pPr>
      <w:proofErr w:type="gramStart"/>
      <w:r w:rsidRPr="002B1DFC">
        <w:t>development</w:t>
      </w:r>
      <w:proofErr w:type="gramEnd"/>
      <w:r w:rsidRPr="002B1DFC">
        <w:t xml:space="preserve"> of international cooperation in the field of environmental safety.</w:t>
      </w:r>
    </w:p>
    <w:p w14:paraId="44F413F5" w14:textId="7BCA6AA8" w:rsidR="000B7923" w:rsidRPr="002B1DFC" w:rsidRDefault="000B7923" w:rsidP="00417A81">
      <w:pPr>
        <w:pStyle w:val="ListParagraph"/>
        <w:numPr>
          <w:ilvl w:val="1"/>
          <w:numId w:val="9"/>
        </w:numPr>
        <w:ind w:left="360"/>
      </w:pPr>
      <w:r w:rsidRPr="002B1DFC">
        <w:t>Exercise other powers stipulated by the Constitution and laws of Ukraine.</w:t>
      </w:r>
    </w:p>
    <w:p w14:paraId="62AE6748" w14:textId="77777777" w:rsidR="000B7923" w:rsidRPr="002B1DFC" w:rsidRDefault="000B7923" w:rsidP="009B3B9B">
      <w:pPr>
        <w:pStyle w:val="Caption"/>
        <w:rPr>
          <w:b w:val="0"/>
          <w:bCs/>
          <w:noProof w:val="0"/>
          <w:lang w:val="en-US"/>
        </w:rPr>
      </w:pPr>
      <w:r w:rsidRPr="002B1DFC">
        <w:rPr>
          <w:b w:val="0"/>
          <w:bCs/>
          <w:noProof w:val="0"/>
          <w:lang w:val="en-US"/>
        </w:rPr>
        <w:t xml:space="preserve">Article 6 </w:t>
      </w:r>
      <w:r w:rsidR="00781B71">
        <w:rPr>
          <w:b w:val="0"/>
          <w:bCs/>
          <w:noProof w:val="0"/>
          <w:lang w:val="en-US"/>
        </w:rPr>
        <w:t>–</w:t>
      </w:r>
      <w:r w:rsidRPr="002B1DFC">
        <w:rPr>
          <w:b w:val="0"/>
          <w:bCs/>
          <w:noProof w:val="0"/>
          <w:lang w:val="en-US"/>
        </w:rPr>
        <w:t xml:space="preserve"> The Department for the exercise of powers and tasks defined by the Constitution and laws of Ukraine and this Statute within the competence established by law is entitled</w:t>
      </w:r>
      <w:r w:rsidR="00A471C6">
        <w:rPr>
          <w:b w:val="0"/>
          <w:bCs/>
          <w:noProof w:val="0"/>
          <w:lang w:val="en-US"/>
        </w:rPr>
        <w:t xml:space="preserve"> to</w:t>
      </w:r>
    </w:p>
    <w:p w14:paraId="57BD27B8" w14:textId="77777777" w:rsidR="000B7923" w:rsidRPr="002B1DFC" w:rsidRDefault="00A471C6" w:rsidP="00B83095">
      <w:pPr>
        <w:pStyle w:val="ListParagraph"/>
        <w:numPr>
          <w:ilvl w:val="0"/>
          <w:numId w:val="35"/>
        </w:numPr>
      </w:pPr>
      <w:r>
        <w:t>r</w:t>
      </w:r>
      <w:r w:rsidR="000B7923" w:rsidRPr="002B1DFC">
        <w:t>eceive</w:t>
      </w:r>
      <w:r>
        <w:t>—</w:t>
      </w:r>
      <w:r w:rsidR="000B7923" w:rsidRPr="002B1DFC">
        <w:t xml:space="preserve">in accordance with </w:t>
      </w:r>
      <w:r>
        <w:t xml:space="preserve">the </w:t>
      </w:r>
      <w:r w:rsidR="000B7923" w:rsidRPr="002B1DFC">
        <w:t>legislation of other structural units of state administration, local governments, enterprises, institutions</w:t>
      </w:r>
      <w:r>
        <w:t>,</w:t>
      </w:r>
      <w:r w:rsidR="000B7923" w:rsidRPr="002B1DFC">
        <w:t xml:space="preserve"> and organizations regardless of ownership and their officials</w:t>
      </w:r>
      <w:r>
        <w:t>—</w:t>
      </w:r>
      <w:r w:rsidR="000B7923" w:rsidRPr="002B1DFC">
        <w:t>information, documents</w:t>
      </w:r>
      <w:r>
        <w:t>,</w:t>
      </w:r>
      <w:r w:rsidR="000B7923" w:rsidRPr="002B1DFC">
        <w:t xml:space="preserve"> and materials necessary to perform assigned tasks;</w:t>
      </w:r>
    </w:p>
    <w:p w14:paraId="0EA9B3A2" w14:textId="77777777" w:rsidR="000B7923" w:rsidRPr="002B1DFC" w:rsidRDefault="000B7923" w:rsidP="00B83095">
      <w:pPr>
        <w:pStyle w:val="ListParagraph"/>
        <w:numPr>
          <w:ilvl w:val="0"/>
          <w:numId w:val="35"/>
        </w:numPr>
      </w:pPr>
      <w:r w:rsidRPr="002B1DFC">
        <w:t>involve the performance of individual works, services, participation in the study of specific issues specialists of other RSA structural subdivisions, enterprises, institutions and organizations (in consultation with their heads), representatives of public associations (by agreement);</w:t>
      </w:r>
    </w:p>
    <w:p w14:paraId="1F5D1603" w14:textId="77777777" w:rsidR="000B7923" w:rsidRPr="002B1DFC" w:rsidRDefault="000B7923" w:rsidP="00B83095">
      <w:pPr>
        <w:pStyle w:val="ListParagraph"/>
        <w:numPr>
          <w:ilvl w:val="0"/>
          <w:numId w:val="35"/>
        </w:numPr>
      </w:pPr>
      <w:r w:rsidRPr="002B1DFC">
        <w:t>submit appropriate proposals on improvement of regional administration in the relevant field;</w:t>
      </w:r>
    </w:p>
    <w:p w14:paraId="5122217E" w14:textId="77777777" w:rsidR="000B7923" w:rsidRPr="002B1DFC" w:rsidRDefault="000B7923" w:rsidP="00B83095">
      <w:pPr>
        <w:pStyle w:val="ListParagraph"/>
        <w:numPr>
          <w:ilvl w:val="0"/>
          <w:numId w:val="35"/>
        </w:numPr>
      </w:pPr>
      <w:r w:rsidRPr="002B1DFC">
        <w:t>use in the prescribed manner of information databases of executive power, communications systems and communications networks for Special Communications and other technical means;</w:t>
      </w:r>
      <w:r w:rsidR="00A471C6">
        <w:t xml:space="preserve"> and</w:t>
      </w:r>
    </w:p>
    <w:p w14:paraId="2E8BF99A" w14:textId="3CB9452C" w:rsidR="005C7E41" w:rsidRDefault="000B7923" w:rsidP="007B0BF5">
      <w:pPr>
        <w:pStyle w:val="ListParagraph"/>
        <w:numPr>
          <w:ilvl w:val="0"/>
          <w:numId w:val="35"/>
        </w:numPr>
        <w:jc w:val="left"/>
      </w:pPr>
      <w:proofErr w:type="gramStart"/>
      <w:r w:rsidRPr="002B1DFC">
        <w:t>convene</w:t>
      </w:r>
      <w:proofErr w:type="gramEnd"/>
      <w:r w:rsidRPr="002B1DFC">
        <w:t xml:space="preserve"> a meeting in the prescribed manner, conduct seminars and conferences on matters within their competence. </w:t>
      </w:r>
      <w:r w:rsidRPr="002B1DFC">
        <w:br w:type="page"/>
      </w:r>
    </w:p>
    <w:p w14:paraId="328A5A35" w14:textId="157068FC" w:rsidR="000B7923" w:rsidRPr="0061686D" w:rsidRDefault="000B7923" w:rsidP="0061686D">
      <w:pPr>
        <w:pStyle w:val="ListParagraph"/>
        <w:ind w:left="0"/>
        <w:rPr>
          <w:b/>
        </w:rPr>
      </w:pPr>
      <w:bookmarkStart w:id="168" w:name="_Toc440273989"/>
      <w:r w:rsidRPr="0061686D">
        <w:rPr>
          <w:b/>
        </w:rPr>
        <w:lastRenderedPageBreak/>
        <w:t xml:space="preserve">Annex </w:t>
      </w:r>
      <w:r w:rsidRPr="0061686D">
        <w:rPr>
          <w:b/>
        </w:rPr>
        <w:fldChar w:fldCharType="begin"/>
      </w:r>
      <w:r w:rsidRPr="0061686D">
        <w:rPr>
          <w:b/>
        </w:rPr>
        <w:instrText xml:space="preserve"> SEQ Annex \* ARABIC </w:instrText>
      </w:r>
      <w:r w:rsidRPr="0061686D">
        <w:rPr>
          <w:b/>
        </w:rPr>
        <w:fldChar w:fldCharType="separate"/>
      </w:r>
      <w:r w:rsidR="00356D5F">
        <w:rPr>
          <w:b/>
          <w:noProof/>
        </w:rPr>
        <w:t>6</w:t>
      </w:r>
      <w:r w:rsidRPr="0061686D">
        <w:rPr>
          <w:b/>
        </w:rPr>
        <w:fldChar w:fldCharType="end"/>
      </w:r>
      <w:r w:rsidRPr="0061686D">
        <w:rPr>
          <w:b/>
          <w:bCs/>
        </w:rPr>
        <w:t>.</w:t>
      </w:r>
      <w:r w:rsidRPr="0061686D">
        <w:rPr>
          <w:b/>
        </w:rPr>
        <w:t xml:space="preserve"> Technological Standards of Allowable Air Emissions</w:t>
      </w:r>
      <w:bookmarkEnd w:id="168"/>
    </w:p>
    <w:p w14:paraId="00B3621F" w14:textId="77777777" w:rsidR="000B7923" w:rsidRPr="002B1DFC" w:rsidRDefault="000B7923" w:rsidP="00626143"/>
    <w:p w14:paraId="7CC801F2" w14:textId="77777777" w:rsidR="000B7923" w:rsidRPr="002B1DFC" w:rsidRDefault="000B7923" w:rsidP="00626143">
      <w:r w:rsidRPr="002B1DFC">
        <w:t>List of technological standards of allowable air pollutants’ emissions for different types of installation</w:t>
      </w:r>
      <w:r w:rsidR="008A2ACA">
        <w:t>s</w:t>
      </w:r>
      <w:r w:rsidRPr="002B1DFC">
        <w:t xml:space="preserve"> and facilities, which the MENR </w:t>
      </w:r>
      <w:r w:rsidR="008A2ACA">
        <w:t xml:space="preserve">adopted </w:t>
      </w:r>
      <w:r w:rsidRPr="002B1DFC">
        <w:t>during 2008</w:t>
      </w:r>
      <w:r w:rsidR="00781B71">
        <w:t>–</w:t>
      </w:r>
      <w:r w:rsidRPr="002B1DFC">
        <w:t>2012</w:t>
      </w:r>
    </w:p>
    <w:p w14:paraId="1FFF9415" w14:textId="77777777" w:rsidR="000B7923" w:rsidRPr="002B1DFC" w:rsidRDefault="000B7923" w:rsidP="00140845"/>
    <w:tbl>
      <w:tblPr>
        <w:tblW w:w="5000" w:type="pct"/>
        <w:tblInd w:w="108" w:type="dxa"/>
        <w:tblLook w:val="00A0" w:firstRow="1" w:lastRow="0" w:firstColumn="1" w:lastColumn="0" w:noHBand="0" w:noVBand="0"/>
      </w:tblPr>
      <w:tblGrid>
        <w:gridCol w:w="4680"/>
        <w:gridCol w:w="4680"/>
      </w:tblGrid>
      <w:tr w:rsidR="000B7923" w:rsidRPr="002B1DFC" w14:paraId="66886AF5" w14:textId="77777777">
        <w:tc>
          <w:tcPr>
            <w:tcW w:w="2500" w:type="pct"/>
            <w:tcBorders>
              <w:bottom w:val="single" w:sz="4" w:space="0" w:color="95B3D7"/>
            </w:tcBorders>
          </w:tcPr>
          <w:p w14:paraId="2AE0AFB0" w14:textId="77777777" w:rsidR="000B7923" w:rsidRPr="002B1DFC" w:rsidRDefault="000B7923" w:rsidP="00626143">
            <w:pPr>
              <w:rPr>
                <w:b/>
                <w:bCs/>
                <w:sz w:val="20"/>
                <w:szCs w:val="20"/>
                <w:lang w:val="uk-UA"/>
              </w:rPr>
            </w:pPr>
            <w:r w:rsidRPr="002B1DFC">
              <w:rPr>
                <w:sz w:val="20"/>
                <w:szCs w:val="20"/>
                <w:lang w:val="uk-UA"/>
              </w:rPr>
              <w:t>Наказ Мінприроди</w:t>
            </w:r>
            <w:r w:rsidRPr="002B1DFC">
              <w:rPr>
                <w:sz w:val="20"/>
                <w:szCs w:val="20"/>
                <w:lang w:val="ru-RU"/>
              </w:rPr>
              <w:t xml:space="preserve"> від 22.10.2008 № 541 «Про затвердження технологічних нормативів допустимих викидів забруднюючих речовин із теплосилових установок, номінальна теплова потужність яких перевіщує 50 МВт»;</w:t>
            </w:r>
          </w:p>
        </w:tc>
        <w:tc>
          <w:tcPr>
            <w:tcW w:w="2500" w:type="pct"/>
            <w:tcBorders>
              <w:bottom w:val="single" w:sz="4" w:space="0" w:color="95B3D7"/>
            </w:tcBorders>
          </w:tcPr>
          <w:p w14:paraId="08C0C669" w14:textId="77777777" w:rsidR="000B7923" w:rsidRPr="0061686D" w:rsidRDefault="000B7923" w:rsidP="006B2C60">
            <w:pPr>
              <w:rPr>
                <w:b/>
                <w:bCs/>
                <w:sz w:val="20"/>
                <w:szCs w:val="20"/>
              </w:rPr>
            </w:pPr>
            <w:r w:rsidRPr="002B1DFC">
              <w:rPr>
                <w:sz w:val="20"/>
                <w:szCs w:val="20"/>
              </w:rPr>
              <w:t xml:space="preserve">MENR </w:t>
            </w:r>
            <w:r w:rsidRPr="002B1DFC">
              <w:rPr>
                <w:sz w:val="20"/>
                <w:szCs w:val="20"/>
                <w:lang w:val="uk-UA"/>
              </w:rPr>
              <w:t xml:space="preserve">Order of </w:t>
            </w:r>
            <w:r w:rsidR="00D60AF4">
              <w:rPr>
                <w:sz w:val="20"/>
                <w:szCs w:val="20"/>
              </w:rPr>
              <w:t xml:space="preserve">October </w:t>
            </w:r>
            <w:r w:rsidRPr="002B1DFC">
              <w:rPr>
                <w:sz w:val="20"/>
                <w:szCs w:val="20"/>
                <w:lang w:val="uk-UA"/>
              </w:rPr>
              <w:t>22</w:t>
            </w:r>
            <w:r w:rsidR="00D60AF4">
              <w:rPr>
                <w:sz w:val="20"/>
                <w:szCs w:val="20"/>
              </w:rPr>
              <w:t xml:space="preserve">, </w:t>
            </w:r>
            <w:r w:rsidRPr="002B1DFC">
              <w:rPr>
                <w:sz w:val="20"/>
                <w:szCs w:val="20"/>
                <w:lang w:val="uk-UA"/>
              </w:rPr>
              <w:t>2008</w:t>
            </w:r>
            <w:r w:rsidR="00D60AF4">
              <w:rPr>
                <w:sz w:val="20"/>
                <w:szCs w:val="20"/>
              </w:rPr>
              <w:t>,</w:t>
            </w:r>
            <w:r w:rsidRPr="002B1DFC">
              <w:rPr>
                <w:sz w:val="20"/>
                <w:szCs w:val="20"/>
                <w:lang w:val="uk-UA"/>
              </w:rPr>
              <w:t xml:space="preserve"> </w:t>
            </w:r>
            <w:r w:rsidR="006B2C60">
              <w:rPr>
                <w:sz w:val="20"/>
                <w:szCs w:val="20"/>
              </w:rPr>
              <w:t>No.</w:t>
            </w:r>
            <w:r w:rsidR="006B2C60" w:rsidRPr="002B1DFC">
              <w:rPr>
                <w:sz w:val="20"/>
                <w:szCs w:val="20"/>
                <w:lang w:val="uk-UA"/>
              </w:rPr>
              <w:t xml:space="preserve"> </w:t>
            </w:r>
            <w:r w:rsidRPr="002B1DFC">
              <w:rPr>
                <w:sz w:val="20"/>
                <w:szCs w:val="20"/>
                <w:lang w:val="uk-UA"/>
              </w:rPr>
              <w:t xml:space="preserve">541 </w:t>
            </w:r>
            <w:r w:rsidR="00D60AF4">
              <w:rPr>
                <w:sz w:val="20"/>
                <w:szCs w:val="20"/>
              </w:rPr>
              <w:t>“</w:t>
            </w:r>
            <w:r w:rsidRPr="002B1DFC">
              <w:rPr>
                <w:sz w:val="20"/>
                <w:szCs w:val="20"/>
                <w:lang w:val="uk-UA"/>
              </w:rPr>
              <w:t xml:space="preserve">On Approval of </w:t>
            </w:r>
            <w:r w:rsidR="00D60AF4">
              <w:rPr>
                <w:sz w:val="20"/>
                <w:szCs w:val="20"/>
              </w:rPr>
              <w:t>T</w:t>
            </w:r>
            <w:r w:rsidRPr="002B1DFC">
              <w:rPr>
                <w:sz w:val="20"/>
                <w:szCs w:val="20"/>
                <w:lang w:val="uk-UA"/>
              </w:rPr>
              <w:t xml:space="preserve">echnological </w:t>
            </w:r>
            <w:r w:rsidR="00D60AF4">
              <w:rPr>
                <w:sz w:val="20"/>
                <w:szCs w:val="20"/>
              </w:rPr>
              <w:t>N</w:t>
            </w:r>
            <w:r w:rsidRPr="002B1DFC">
              <w:rPr>
                <w:sz w:val="20"/>
                <w:szCs w:val="20"/>
                <w:lang w:val="uk-UA"/>
              </w:rPr>
              <w:t xml:space="preserve">orms of </w:t>
            </w:r>
            <w:r w:rsidR="00D60AF4">
              <w:rPr>
                <w:sz w:val="20"/>
                <w:szCs w:val="20"/>
              </w:rPr>
              <w:t>P</w:t>
            </w:r>
            <w:r w:rsidRPr="002B1DFC">
              <w:rPr>
                <w:sz w:val="20"/>
                <w:szCs w:val="20"/>
                <w:lang w:val="uk-UA"/>
              </w:rPr>
              <w:t xml:space="preserve">ermissible </w:t>
            </w:r>
            <w:r w:rsidR="00D60AF4">
              <w:rPr>
                <w:sz w:val="20"/>
                <w:szCs w:val="20"/>
              </w:rPr>
              <w:t>P</w:t>
            </w:r>
            <w:r w:rsidRPr="002B1DFC">
              <w:rPr>
                <w:sz w:val="20"/>
                <w:szCs w:val="20"/>
                <w:lang w:val="uk-UA"/>
              </w:rPr>
              <w:t xml:space="preserve">ollutant </w:t>
            </w:r>
            <w:r w:rsidR="00246B60">
              <w:rPr>
                <w:sz w:val="20"/>
                <w:szCs w:val="20"/>
              </w:rPr>
              <w:t>E</w:t>
            </w:r>
            <w:r w:rsidRPr="002B1DFC">
              <w:rPr>
                <w:sz w:val="20"/>
                <w:szCs w:val="20"/>
                <w:lang w:val="uk-UA"/>
              </w:rPr>
              <w:t xml:space="preserve">missions from </w:t>
            </w:r>
            <w:r w:rsidR="00246B60">
              <w:rPr>
                <w:sz w:val="20"/>
                <w:szCs w:val="20"/>
              </w:rPr>
              <w:t>T</w:t>
            </w:r>
            <w:r w:rsidRPr="002B1DFC">
              <w:rPr>
                <w:sz w:val="20"/>
                <w:szCs w:val="20"/>
                <w:lang w:val="uk-UA"/>
              </w:rPr>
              <w:t xml:space="preserve">hermal </w:t>
            </w:r>
            <w:r w:rsidR="00246B60">
              <w:rPr>
                <w:sz w:val="20"/>
                <w:szCs w:val="20"/>
              </w:rPr>
              <w:t>P</w:t>
            </w:r>
            <w:r w:rsidRPr="002B1DFC">
              <w:rPr>
                <w:sz w:val="20"/>
                <w:szCs w:val="20"/>
                <w:lang w:val="uk-UA"/>
              </w:rPr>
              <w:t xml:space="preserve">ower </w:t>
            </w:r>
            <w:r w:rsidR="00246B60">
              <w:rPr>
                <w:sz w:val="20"/>
                <w:szCs w:val="20"/>
              </w:rPr>
              <w:t>P</w:t>
            </w:r>
            <w:r w:rsidRPr="002B1DFC">
              <w:rPr>
                <w:sz w:val="20"/>
                <w:szCs w:val="20"/>
                <w:lang w:val="uk-UA"/>
              </w:rPr>
              <w:t>lants</w:t>
            </w:r>
            <w:r w:rsidR="00246B60">
              <w:rPr>
                <w:sz w:val="20"/>
                <w:szCs w:val="20"/>
              </w:rPr>
              <w:t xml:space="preserve"> Whose</w:t>
            </w:r>
            <w:r w:rsidRPr="002B1DFC">
              <w:rPr>
                <w:sz w:val="20"/>
                <w:szCs w:val="20"/>
              </w:rPr>
              <w:t xml:space="preserve"> </w:t>
            </w:r>
            <w:r w:rsidR="00246B60">
              <w:rPr>
                <w:sz w:val="20"/>
                <w:szCs w:val="20"/>
              </w:rPr>
              <w:t>R</w:t>
            </w:r>
            <w:r w:rsidRPr="002B1DFC">
              <w:rPr>
                <w:sz w:val="20"/>
                <w:szCs w:val="20"/>
                <w:lang w:val="uk-UA"/>
              </w:rPr>
              <w:t xml:space="preserve">ated </w:t>
            </w:r>
            <w:r w:rsidR="00246B60">
              <w:rPr>
                <w:sz w:val="20"/>
                <w:szCs w:val="20"/>
              </w:rPr>
              <w:t>T</w:t>
            </w:r>
            <w:r w:rsidRPr="002B1DFC">
              <w:rPr>
                <w:sz w:val="20"/>
                <w:szCs w:val="20"/>
                <w:lang w:val="uk-UA"/>
              </w:rPr>
              <w:t xml:space="preserve">hermal </w:t>
            </w:r>
            <w:r w:rsidR="00246B60">
              <w:rPr>
                <w:sz w:val="20"/>
                <w:szCs w:val="20"/>
              </w:rPr>
              <w:t>C</w:t>
            </w:r>
            <w:r w:rsidRPr="002B1DFC">
              <w:rPr>
                <w:sz w:val="20"/>
                <w:szCs w:val="20"/>
                <w:lang w:val="uk-UA"/>
              </w:rPr>
              <w:t xml:space="preserve">apacity </w:t>
            </w:r>
            <w:r w:rsidR="00246B60">
              <w:rPr>
                <w:sz w:val="20"/>
                <w:szCs w:val="20"/>
              </w:rPr>
              <w:t>Is H</w:t>
            </w:r>
            <w:r w:rsidRPr="002B1DFC">
              <w:rPr>
                <w:sz w:val="20"/>
                <w:szCs w:val="20"/>
              </w:rPr>
              <w:t xml:space="preserve">igher than </w:t>
            </w:r>
            <w:r w:rsidRPr="002B1DFC">
              <w:rPr>
                <w:sz w:val="20"/>
                <w:szCs w:val="20"/>
                <w:lang w:val="uk-UA"/>
              </w:rPr>
              <w:t>50 MW</w:t>
            </w:r>
            <w:r w:rsidR="00246B60">
              <w:rPr>
                <w:sz w:val="20"/>
                <w:szCs w:val="20"/>
              </w:rPr>
              <w:t>”</w:t>
            </w:r>
          </w:p>
        </w:tc>
      </w:tr>
      <w:tr w:rsidR="000B7923" w:rsidRPr="002B1DFC" w14:paraId="3A897630" w14:textId="77777777">
        <w:tc>
          <w:tcPr>
            <w:tcW w:w="2500" w:type="pct"/>
            <w:shd w:val="clear" w:color="auto" w:fill="DBE5F1"/>
          </w:tcPr>
          <w:p w14:paraId="1A7C176B" w14:textId="77777777" w:rsidR="000B7923" w:rsidRPr="002B1DFC" w:rsidRDefault="000B7923" w:rsidP="00626143">
            <w:pPr>
              <w:rPr>
                <w:b/>
                <w:bCs/>
                <w:sz w:val="20"/>
                <w:szCs w:val="20"/>
              </w:rPr>
            </w:pPr>
            <w:r w:rsidRPr="002B1DFC">
              <w:rPr>
                <w:sz w:val="20"/>
                <w:szCs w:val="20"/>
                <w:lang w:val="uk-UA"/>
              </w:rPr>
              <w:t>Наказ Мінприроди</w:t>
            </w:r>
            <w:r w:rsidRPr="002B1DFC">
              <w:rPr>
                <w:sz w:val="20"/>
                <w:szCs w:val="20"/>
              </w:rPr>
              <w:t xml:space="preserve"> </w:t>
            </w:r>
            <w:r w:rsidRPr="002B1DFC">
              <w:rPr>
                <w:sz w:val="20"/>
                <w:szCs w:val="20"/>
                <w:lang w:val="ru-RU"/>
              </w:rPr>
              <w:t>від</w:t>
            </w:r>
            <w:r w:rsidRPr="002B1DFC">
              <w:rPr>
                <w:sz w:val="20"/>
                <w:szCs w:val="20"/>
              </w:rPr>
              <w:t xml:space="preserve"> 20.01.2009 № 23 «</w:t>
            </w:r>
            <w:r w:rsidRPr="002B1DFC">
              <w:rPr>
                <w:sz w:val="20"/>
                <w:szCs w:val="20"/>
                <w:lang w:val="ru-RU"/>
              </w:rPr>
              <w:t>Про</w:t>
            </w:r>
            <w:r w:rsidRPr="002B1DFC">
              <w:rPr>
                <w:sz w:val="20"/>
                <w:szCs w:val="20"/>
              </w:rPr>
              <w:t xml:space="preserve"> </w:t>
            </w:r>
            <w:r w:rsidRPr="002B1DFC">
              <w:rPr>
                <w:sz w:val="20"/>
                <w:szCs w:val="20"/>
                <w:lang w:val="ru-RU"/>
              </w:rPr>
              <w:t>затвердження</w:t>
            </w:r>
            <w:r w:rsidRPr="002B1DFC">
              <w:rPr>
                <w:sz w:val="20"/>
                <w:szCs w:val="20"/>
              </w:rPr>
              <w:t xml:space="preserve"> </w:t>
            </w:r>
            <w:r w:rsidRPr="002B1DFC">
              <w:rPr>
                <w:sz w:val="20"/>
                <w:szCs w:val="20"/>
                <w:lang w:val="ru-RU"/>
              </w:rPr>
              <w:t>технологічних</w:t>
            </w:r>
            <w:r w:rsidRPr="002B1DFC">
              <w:rPr>
                <w:sz w:val="20"/>
                <w:szCs w:val="20"/>
              </w:rPr>
              <w:t xml:space="preserve"> </w:t>
            </w:r>
            <w:r w:rsidRPr="002B1DFC">
              <w:rPr>
                <w:sz w:val="20"/>
                <w:szCs w:val="20"/>
                <w:lang w:val="ru-RU"/>
              </w:rPr>
              <w:t>нормативів</w:t>
            </w:r>
            <w:r w:rsidRPr="002B1DFC">
              <w:rPr>
                <w:sz w:val="20"/>
                <w:szCs w:val="20"/>
              </w:rPr>
              <w:t xml:space="preserve"> </w:t>
            </w:r>
            <w:r w:rsidRPr="002B1DFC">
              <w:rPr>
                <w:sz w:val="20"/>
                <w:szCs w:val="20"/>
                <w:lang w:val="ru-RU"/>
              </w:rPr>
              <w:t>допустимих</w:t>
            </w:r>
            <w:r w:rsidRPr="002B1DFC">
              <w:rPr>
                <w:sz w:val="20"/>
                <w:szCs w:val="20"/>
              </w:rPr>
              <w:t xml:space="preserve"> </w:t>
            </w:r>
            <w:r w:rsidRPr="002B1DFC">
              <w:rPr>
                <w:sz w:val="20"/>
                <w:szCs w:val="20"/>
                <w:lang w:val="ru-RU"/>
              </w:rPr>
              <w:t>викидів</w:t>
            </w:r>
            <w:r w:rsidRPr="002B1DFC">
              <w:rPr>
                <w:sz w:val="20"/>
                <w:szCs w:val="20"/>
              </w:rPr>
              <w:t xml:space="preserve"> </w:t>
            </w:r>
            <w:r w:rsidRPr="002B1DFC">
              <w:rPr>
                <w:sz w:val="20"/>
                <w:szCs w:val="20"/>
                <w:lang w:val="ru-RU"/>
              </w:rPr>
              <w:t>забруднюючих</w:t>
            </w:r>
            <w:r w:rsidRPr="002B1DFC">
              <w:rPr>
                <w:sz w:val="20"/>
                <w:szCs w:val="20"/>
              </w:rPr>
              <w:t xml:space="preserve"> </w:t>
            </w:r>
            <w:r w:rsidRPr="002B1DFC">
              <w:rPr>
                <w:sz w:val="20"/>
                <w:szCs w:val="20"/>
                <w:lang w:val="ru-RU"/>
              </w:rPr>
              <w:t>речовин</w:t>
            </w:r>
            <w:r w:rsidRPr="002B1DFC">
              <w:rPr>
                <w:sz w:val="20"/>
                <w:szCs w:val="20"/>
              </w:rPr>
              <w:t xml:space="preserve"> </w:t>
            </w:r>
            <w:r w:rsidRPr="002B1DFC">
              <w:rPr>
                <w:sz w:val="20"/>
                <w:szCs w:val="20"/>
                <w:lang w:val="ru-RU"/>
              </w:rPr>
              <w:t>із</w:t>
            </w:r>
            <w:r w:rsidRPr="002B1DFC">
              <w:rPr>
                <w:sz w:val="20"/>
                <w:szCs w:val="20"/>
              </w:rPr>
              <w:t xml:space="preserve"> </w:t>
            </w:r>
            <w:r w:rsidRPr="002B1DFC">
              <w:rPr>
                <w:sz w:val="20"/>
                <w:szCs w:val="20"/>
                <w:lang w:val="ru-RU"/>
              </w:rPr>
              <w:t>устаткування</w:t>
            </w:r>
            <w:r w:rsidRPr="002B1DFC">
              <w:rPr>
                <w:sz w:val="20"/>
                <w:szCs w:val="20"/>
              </w:rPr>
              <w:t xml:space="preserve"> (</w:t>
            </w:r>
            <w:r w:rsidRPr="002B1DFC">
              <w:rPr>
                <w:sz w:val="20"/>
                <w:szCs w:val="20"/>
                <w:lang w:val="ru-RU"/>
              </w:rPr>
              <w:t>установок</w:t>
            </w:r>
            <w:r w:rsidRPr="002B1DFC">
              <w:rPr>
                <w:sz w:val="20"/>
                <w:szCs w:val="20"/>
              </w:rPr>
              <w:t xml:space="preserve">) </w:t>
            </w:r>
            <w:r w:rsidRPr="002B1DFC">
              <w:rPr>
                <w:sz w:val="20"/>
                <w:szCs w:val="20"/>
                <w:lang w:val="ru-RU"/>
              </w:rPr>
              <w:t>для</w:t>
            </w:r>
            <w:r w:rsidRPr="002B1DFC">
              <w:rPr>
                <w:sz w:val="20"/>
                <w:szCs w:val="20"/>
              </w:rPr>
              <w:t xml:space="preserve"> </w:t>
            </w:r>
            <w:r w:rsidRPr="002B1DFC">
              <w:rPr>
                <w:sz w:val="20"/>
                <w:szCs w:val="20"/>
                <w:lang w:val="ru-RU"/>
              </w:rPr>
              <w:t>виробництва</w:t>
            </w:r>
            <w:r w:rsidRPr="002B1DFC">
              <w:rPr>
                <w:sz w:val="20"/>
                <w:szCs w:val="20"/>
              </w:rPr>
              <w:t xml:space="preserve"> </w:t>
            </w:r>
            <w:r w:rsidRPr="002B1DFC">
              <w:rPr>
                <w:sz w:val="20"/>
                <w:szCs w:val="20"/>
                <w:lang w:val="ru-RU"/>
              </w:rPr>
              <w:t>цементного</w:t>
            </w:r>
            <w:r w:rsidRPr="002B1DFC">
              <w:rPr>
                <w:sz w:val="20"/>
                <w:szCs w:val="20"/>
              </w:rPr>
              <w:t xml:space="preserve"> </w:t>
            </w:r>
            <w:r w:rsidRPr="002B1DFC">
              <w:rPr>
                <w:sz w:val="20"/>
                <w:szCs w:val="20"/>
                <w:lang w:val="ru-RU"/>
              </w:rPr>
              <w:t>клінкеру</w:t>
            </w:r>
            <w:r w:rsidRPr="002B1DFC">
              <w:rPr>
                <w:sz w:val="20"/>
                <w:szCs w:val="20"/>
              </w:rPr>
              <w:t xml:space="preserve"> </w:t>
            </w:r>
            <w:r w:rsidRPr="002B1DFC">
              <w:rPr>
                <w:sz w:val="20"/>
                <w:szCs w:val="20"/>
                <w:lang w:val="ru-RU"/>
              </w:rPr>
              <w:t>в</w:t>
            </w:r>
            <w:r w:rsidRPr="002B1DFC">
              <w:rPr>
                <w:sz w:val="20"/>
                <w:szCs w:val="20"/>
              </w:rPr>
              <w:t xml:space="preserve"> </w:t>
            </w:r>
            <w:r w:rsidRPr="002B1DFC">
              <w:rPr>
                <w:sz w:val="20"/>
                <w:szCs w:val="20"/>
                <w:lang w:val="ru-RU"/>
              </w:rPr>
              <w:t>обертових</w:t>
            </w:r>
            <w:r w:rsidRPr="002B1DFC">
              <w:rPr>
                <w:sz w:val="20"/>
                <w:szCs w:val="20"/>
              </w:rPr>
              <w:t xml:space="preserve"> </w:t>
            </w:r>
            <w:r w:rsidRPr="002B1DFC">
              <w:rPr>
                <w:sz w:val="20"/>
                <w:szCs w:val="20"/>
                <w:lang w:val="ru-RU"/>
              </w:rPr>
              <w:t>випалювальних</w:t>
            </w:r>
            <w:r w:rsidRPr="002B1DFC">
              <w:rPr>
                <w:sz w:val="20"/>
                <w:szCs w:val="20"/>
              </w:rPr>
              <w:t xml:space="preserve"> </w:t>
            </w:r>
            <w:r w:rsidRPr="002B1DFC">
              <w:rPr>
                <w:sz w:val="20"/>
                <w:szCs w:val="20"/>
                <w:lang w:val="ru-RU"/>
              </w:rPr>
              <w:t>печах</w:t>
            </w:r>
            <w:r w:rsidRPr="002B1DFC">
              <w:rPr>
                <w:sz w:val="20"/>
                <w:szCs w:val="20"/>
              </w:rPr>
              <w:t xml:space="preserve">, </w:t>
            </w:r>
            <w:r w:rsidRPr="002B1DFC">
              <w:rPr>
                <w:sz w:val="20"/>
                <w:szCs w:val="20"/>
                <w:lang w:val="ru-RU"/>
              </w:rPr>
              <w:t>виробнича</w:t>
            </w:r>
            <w:r w:rsidRPr="002B1DFC">
              <w:rPr>
                <w:sz w:val="20"/>
                <w:szCs w:val="20"/>
              </w:rPr>
              <w:t xml:space="preserve"> </w:t>
            </w:r>
            <w:r w:rsidRPr="002B1DFC">
              <w:rPr>
                <w:sz w:val="20"/>
                <w:szCs w:val="20"/>
                <w:lang w:val="ru-RU"/>
              </w:rPr>
              <w:t>потужність</w:t>
            </w:r>
            <w:r w:rsidRPr="002B1DFC">
              <w:rPr>
                <w:sz w:val="20"/>
                <w:szCs w:val="20"/>
              </w:rPr>
              <w:t xml:space="preserve"> </w:t>
            </w:r>
            <w:r w:rsidRPr="002B1DFC">
              <w:rPr>
                <w:sz w:val="20"/>
                <w:szCs w:val="20"/>
                <w:lang w:val="ru-RU"/>
              </w:rPr>
              <w:t>яких</w:t>
            </w:r>
            <w:r w:rsidRPr="002B1DFC">
              <w:rPr>
                <w:sz w:val="20"/>
                <w:szCs w:val="20"/>
              </w:rPr>
              <w:t xml:space="preserve"> </w:t>
            </w:r>
            <w:r w:rsidRPr="002B1DFC">
              <w:rPr>
                <w:sz w:val="20"/>
                <w:szCs w:val="20"/>
                <w:lang w:val="ru-RU"/>
              </w:rPr>
              <w:t>перевищує</w:t>
            </w:r>
            <w:r w:rsidRPr="002B1DFC">
              <w:rPr>
                <w:sz w:val="20"/>
                <w:szCs w:val="20"/>
              </w:rPr>
              <w:t xml:space="preserve"> 500 </w:t>
            </w:r>
            <w:r w:rsidRPr="002B1DFC">
              <w:rPr>
                <w:sz w:val="20"/>
                <w:szCs w:val="20"/>
                <w:lang w:val="ru-RU"/>
              </w:rPr>
              <w:t>тонн</w:t>
            </w:r>
            <w:r w:rsidRPr="002B1DFC">
              <w:rPr>
                <w:sz w:val="20"/>
                <w:szCs w:val="20"/>
              </w:rPr>
              <w:t>/</w:t>
            </w:r>
            <w:r w:rsidRPr="002B1DFC">
              <w:rPr>
                <w:sz w:val="20"/>
                <w:szCs w:val="20"/>
                <w:lang w:val="ru-RU"/>
              </w:rPr>
              <w:t>день</w:t>
            </w:r>
            <w:r w:rsidRPr="002B1DFC">
              <w:rPr>
                <w:sz w:val="20"/>
                <w:szCs w:val="20"/>
              </w:rPr>
              <w:t xml:space="preserve">»; </w:t>
            </w:r>
          </w:p>
        </w:tc>
        <w:tc>
          <w:tcPr>
            <w:tcW w:w="2500" w:type="pct"/>
            <w:shd w:val="clear" w:color="auto" w:fill="DBE5F1"/>
          </w:tcPr>
          <w:p w14:paraId="259B1241" w14:textId="77777777" w:rsidR="000B7923" w:rsidRPr="0061686D" w:rsidRDefault="00A471C6" w:rsidP="00626143">
            <w:pPr>
              <w:rPr>
                <w:sz w:val="20"/>
                <w:szCs w:val="20"/>
              </w:rPr>
            </w:pPr>
            <w:r>
              <w:rPr>
                <w:sz w:val="20"/>
                <w:szCs w:val="20"/>
              </w:rPr>
              <w:t>MENR Order</w:t>
            </w:r>
            <w:r w:rsidR="000B7923" w:rsidRPr="002B1DFC">
              <w:rPr>
                <w:sz w:val="20"/>
                <w:szCs w:val="20"/>
              </w:rPr>
              <w:t xml:space="preserve"> </w:t>
            </w:r>
            <w:r w:rsidR="000B7923" w:rsidRPr="002B1DFC">
              <w:rPr>
                <w:sz w:val="20"/>
                <w:szCs w:val="20"/>
                <w:lang w:val="uk-UA"/>
              </w:rPr>
              <w:t xml:space="preserve">of </w:t>
            </w:r>
            <w:r w:rsidR="00246B60">
              <w:rPr>
                <w:sz w:val="20"/>
                <w:szCs w:val="20"/>
              </w:rPr>
              <w:t xml:space="preserve">January </w:t>
            </w:r>
            <w:r w:rsidR="000B7923" w:rsidRPr="002B1DFC">
              <w:rPr>
                <w:sz w:val="20"/>
                <w:szCs w:val="20"/>
                <w:lang w:val="uk-UA"/>
              </w:rPr>
              <w:t>20</w:t>
            </w:r>
            <w:r w:rsidR="00246B60">
              <w:rPr>
                <w:sz w:val="20"/>
                <w:szCs w:val="20"/>
              </w:rPr>
              <w:t xml:space="preserve">, </w:t>
            </w:r>
            <w:r w:rsidR="000B7923" w:rsidRPr="002B1DFC">
              <w:rPr>
                <w:sz w:val="20"/>
                <w:szCs w:val="20"/>
                <w:lang w:val="uk-UA"/>
              </w:rPr>
              <w:t>2009</w:t>
            </w:r>
            <w:r w:rsidR="00246B60">
              <w:rPr>
                <w:sz w:val="20"/>
                <w:szCs w:val="20"/>
              </w:rPr>
              <w:t>,</w:t>
            </w:r>
            <w:r w:rsidR="000B7923" w:rsidRPr="002B1DFC">
              <w:rPr>
                <w:sz w:val="20"/>
                <w:szCs w:val="20"/>
                <w:lang w:val="uk-UA"/>
              </w:rPr>
              <w:t xml:space="preserve"> </w:t>
            </w:r>
            <w:r w:rsidR="006B2C60" w:rsidRPr="006B2C60">
              <w:rPr>
                <w:sz w:val="20"/>
                <w:szCs w:val="20"/>
                <w:lang w:val="uk-UA"/>
              </w:rPr>
              <w:t xml:space="preserve">No. </w:t>
            </w:r>
            <w:r w:rsidR="000B7923" w:rsidRPr="002B1DFC">
              <w:rPr>
                <w:sz w:val="20"/>
                <w:szCs w:val="20"/>
                <w:lang w:val="uk-UA"/>
              </w:rPr>
              <w:t xml:space="preserve"> 23 </w:t>
            </w:r>
            <w:r w:rsidR="00246B60">
              <w:rPr>
                <w:sz w:val="20"/>
                <w:szCs w:val="20"/>
              </w:rPr>
              <w:t>“</w:t>
            </w:r>
            <w:r w:rsidR="000B7923" w:rsidRPr="002B1DFC">
              <w:rPr>
                <w:sz w:val="20"/>
                <w:szCs w:val="20"/>
                <w:lang w:val="uk-UA"/>
              </w:rPr>
              <w:t xml:space="preserve">On </w:t>
            </w:r>
            <w:r w:rsidR="00246B60">
              <w:rPr>
                <w:sz w:val="20"/>
                <w:szCs w:val="20"/>
              </w:rPr>
              <w:t>A</w:t>
            </w:r>
            <w:r w:rsidR="000B7923" w:rsidRPr="002B1DFC">
              <w:rPr>
                <w:sz w:val="20"/>
                <w:szCs w:val="20"/>
                <w:lang w:val="uk-UA"/>
              </w:rPr>
              <w:t xml:space="preserve">pproval of the </w:t>
            </w:r>
            <w:r w:rsidR="00246B60">
              <w:rPr>
                <w:sz w:val="20"/>
                <w:szCs w:val="20"/>
              </w:rPr>
              <w:t>T</w:t>
            </w:r>
            <w:r w:rsidR="000B7923" w:rsidRPr="002B1DFC">
              <w:rPr>
                <w:sz w:val="20"/>
                <w:szCs w:val="20"/>
                <w:lang w:val="uk-UA"/>
              </w:rPr>
              <w:t xml:space="preserve">echnological </w:t>
            </w:r>
            <w:r w:rsidR="00246B60">
              <w:rPr>
                <w:sz w:val="20"/>
                <w:szCs w:val="20"/>
              </w:rPr>
              <w:t>S</w:t>
            </w:r>
            <w:r w:rsidR="000B7923" w:rsidRPr="002B1DFC">
              <w:rPr>
                <w:sz w:val="20"/>
                <w:szCs w:val="20"/>
                <w:lang w:val="uk-UA"/>
              </w:rPr>
              <w:t xml:space="preserve">tandards of </w:t>
            </w:r>
            <w:r w:rsidR="00246B60">
              <w:rPr>
                <w:sz w:val="20"/>
                <w:szCs w:val="20"/>
              </w:rPr>
              <w:t>P</w:t>
            </w:r>
            <w:r w:rsidR="000B7923" w:rsidRPr="002B1DFC">
              <w:rPr>
                <w:sz w:val="20"/>
                <w:szCs w:val="20"/>
                <w:lang w:val="uk-UA"/>
              </w:rPr>
              <w:t xml:space="preserve">ermissible </w:t>
            </w:r>
            <w:r w:rsidR="00246B60">
              <w:rPr>
                <w:sz w:val="20"/>
                <w:szCs w:val="20"/>
              </w:rPr>
              <w:t>E</w:t>
            </w:r>
            <w:r w:rsidR="000B7923" w:rsidRPr="002B1DFC">
              <w:rPr>
                <w:sz w:val="20"/>
                <w:szCs w:val="20"/>
                <w:lang w:val="uk-UA"/>
              </w:rPr>
              <w:t xml:space="preserve">missions of </w:t>
            </w:r>
            <w:r w:rsidR="00246B60">
              <w:rPr>
                <w:sz w:val="20"/>
                <w:szCs w:val="20"/>
              </w:rPr>
              <w:t>P</w:t>
            </w:r>
            <w:r w:rsidR="000B7923" w:rsidRPr="002B1DFC">
              <w:rPr>
                <w:sz w:val="20"/>
                <w:szCs w:val="20"/>
                <w:lang w:val="uk-UA"/>
              </w:rPr>
              <w:t xml:space="preserve">ollutants from </w:t>
            </w:r>
            <w:r w:rsidR="00246B60">
              <w:rPr>
                <w:sz w:val="20"/>
                <w:szCs w:val="20"/>
              </w:rPr>
              <w:t>E</w:t>
            </w:r>
            <w:r w:rsidR="000B7923" w:rsidRPr="002B1DFC">
              <w:rPr>
                <w:sz w:val="20"/>
                <w:szCs w:val="20"/>
                <w:lang w:val="uk-UA"/>
              </w:rPr>
              <w:t>quipment (</w:t>
            </w:r>
            <w:r w:rsidR="00246B60">
              <w:rPr>
                <w:sz w:val="20"/>
                <w:szCs w:val="20"/>
              </w:rPr>
              <w:t>U</w:t>
            </w:r>
            <w:r w:rsidR="000B7923" w:rsidRPr="002B1DFC">
              <w:rPr>
                <w:sz w:val="20"/>
                <w:szCs w:val="20"/>
                <w:lang w:val="uk-UA"/>
              </w:rPr>
              <w:t xml:space="preserve">nits) for the </w:t>
            </w:r>
            <w:r w:rsidR="00246B60">
              <w:rPr>
                <w:sz w:val="20"/>
                <w:szCs w:val="20"/>
              </w:rPr>
              <w:t>P</w:t>
            </w:r>
            <w:r w:rsidR="000B7923" w:rsidRPr="002B1DFC">
              <w:rPr>
                <w:sz w:val="20"/>
                <w:szCs w:val="20"/>
                <w:lang w:val="uk-UA"/>
              </w:rPr>
              <w:t xml:space="preserve">roduction of </w:t>
            </w:r>
            <w:r w:rsidR="00246B60">
              <w:rPr>
                <w:sz w:val="20"/>
                <w:szCs w:val="20"/>
              </w:rPr>
              <w:t>C</w:t>
            </w:r>
            <w:r w:rsidR="000B7923" w:rsidRPr="002B1DFC">
              <w:rPr>
                <w:sz w:val="20"/>
                <w:szCs w:val="20"/>
                <w:lang w:val="uk-UA"/>
              </w:rPr>
              <w:t xml:space="preserve">ement </w:t>
            </w:r>
            <w:r w:rsidR="00246B60">
              <w:rPr>
                <w:sz w:val="20"/>
                <w:szCs w:val="20"/>
              </w:rPr>
              <w:t>C</w:t>
            </w:r>
            <w:r w:rsidR="000B7923" w:rsidRPr="002B1DFC">
              <w:rPr>
                <w:sz w:val="20"/>
                <w:szCs w:val="20"/>
                <w:lang w:val="uk-UA"/>
              </w:rPr>
              <w:t xml:space="preserve">linker in </w:t>
            </w:r>
            <w:r w:rsidR="00246B60">
              <w:rPr>
                <w:sz w:val="20"/>
                <w:szCs w:val="20"/>
              </w:rPr>
              <w:t>R</w:t>
            </w:r>
            <w:r w:rsidR="000B7923" w:rsidRPr="002B1DFC">
              <w:rPr>
                <w:sz w:val="20"/>
                <w:szCs w:val="20"/>
                <w:lang w:val="uk-UA"/>
              </w:rPr>
              <w:t xml:space="preserve">otary </w:t>
            </w:r>
            <w:r w:rsidR="00246B60">
              <w:rPr>
                <w:sz w:val="20"/>
                <w:szCs w:val="20"/>
              </w:rPr>
              <w:t>K</w:t>
            </w:r>
            <w:r w:rsidR="000B7923" w:rsidRPr="002B1DFC">
              <w:rPr>
                <w:sz w:val="20"/>
                <w:szCs w:val="20"/>
                <w:lang w:val="uk-UA"/>
              </w:rPr>
              <w:t xml:space="preserve">iln </w:t>
            </w:r>
            <w:r w:rsidR="00246B60">
              <w:rPr>
                <w:sz w:val="20"/>
                <w:szCs w:val="20"/>
              </w:rPr>
              <w:t>F</w:t>
            </w:r>
            <w:r w:rsidR="000B7923" w:rsidRPr="002B1DFC">
              <w:rPr>
                <w:sz w:val="20"/>
                <w:szCs w:val="20"/>
                <w:lang w:val="uk-UA"/>
              </w:rPr>
              <w:t>urnaces</w:t>
            </w:r>
            <w:r w:rsidR="00246B60">
              <w:rPr>
                <w:sz w:val="20"/>
                <w:szCs w:val="20"/>
              </w:rPr>
              <w:t xml:space="preserve"> Whose P</w:t>
            </w:r>
            <w:r w:rsidR="000B7923" w:rsidRPr="002B1DFC">
              <w:rPr>
                <w:sz w:val="20"/>
                <w:szCs w:val="20"/>
                <w:lang w:val="uk-UA"/>
              </w:rPr>
              <w:t xml:space="preserve">roduction </w:t>
            </w:r>
            <w:r w:rsidR="00246B60">
              <w:rPr>
                <w:sz w:val="20"/>
                <w:szCs w:val="20"/>
              </w:rPr>
              <w:t>C</w:t>
            </w:r>
            <w:r w:rsidR="000B7923" w:rsidRPr="002B1DFC">
              <w:rPr>
                <w:sz w:val="20"/>
                <w:szCs w:val="20"/>
                <w:lang w:val="uk-UA"/>
              </w:rPr>
              <w:t xml:space="preserve">apacity </w:t>
            </w:r>
            <w:r w:rsidR="00246B60">
              <w:rPr>
                <w:sz w:val="20"/>
                <w:szCs w:val="20"/>
              </w:rPr>
              <w:t>E</w:t>
            </w:r>
            <w:r w:rsidR="000B7923" w:rsidRPr="002B1DFC">
              <w:rPr>
                <w:sz w:val="20"/>
                <w:szCs w:val="20"/>
                <w:lang w:val="uk-UA"/>
              </w:rPr>
              <w:t>xceed</w:t>
            </w:r>
            <w:r w:rsidR="00246B60">
              <w:rPr>
                <w:sz w:val="20"/>
                <w:szCs w:val="20"/>
              </w:rPr>
              <w:t>s</w:t>
            </w:r>
            <w:r w:rsidR="000B7923" w:rsidRPr="002B1DFC">
              <w:rPr>
                <w:sz w:val="20"/>
                <w:szCs w:val="20"/>
                <w:lang w:val="uk-UA"/>
              </w:rPr>
              <w:t xml:space="preserve"> 500 </w:t>
            </w:r>
            <w:r w:rsidR="00246B60">
              <w:rPr>
                <w:sz w:val="20"/>
                <w:szCs w:val="20"/>
              </w:rPr>
              <w:t>T</w:t>
            </w:r>
            <w:r w:rsidR="000B7923" w:rsidRPr="002B1DFC">
              <w:rPr>
                <w:sz w:val="20"/>
                <w:szCs w:val="20"/>
                <w:lang w:val="uk-UA"/>
              </w:rPr>
              <w:t>ons/</w:t>
            </w:r>
            <w:r w:rsidR="00246B60">
              <w:rPr>
                <w:sz w:val="20"/>
                <w:szCs w:val="20"/>
              </w:rPr>
              <w:t>D</w:t>
            </w:r>
            <w:r w:rsidR="000B7923" w:rsidRPr="002B1DFC">
              <w:rPr>
                <w:sz w:val="20"/>
                <w:szCs w:val="20"/>
                <w:lang w:val="uk-UA"/>
              </w:rPr>
              <w:t>ay</w:t>
            </w:r>
            <w:r w:rsidR="00246B60">
              <w:rPr>
                <w:sz w:val="20"/>
                <w:szCs w:val="20"/>
              </w:rPr>
              <w:t>”</w:t>
            </w:r>
          </w:p>
          <w:p w14:paraId="49180BCC" w14:textId="77777777" w:rsidR="000B7923" w:rsidRPr="002B1DFC" w:rsidRDefault="000B7923" w:rsidP="00626143">
            <w:pPr>
              <w:rPr>
                <w:sz w:val="20"/>
                <w:szCs w:val="20"/>
                <w:lang w:val="uk-UA"/>
              </w:rPr>
            </w:pPr>
          </w:p>
        </w:tc>
      </w:tr>
      <w:tr w:rsidR="000B7923" w:rsidRPr="002B1DFC" w14:paraId="4F6A28C3" w14:textId="77777777">
        <w:tc>
          <w:tcPr>
            <w:tcW w:w="2500" w:type="pct"/>
          </w:tcPr>
          <w:p w14:paraId="4687EA8D" w14:textId="77777777" w:rsidR="000B7923" w:rsidRPr="002B1DFC" w:rsidRDefault="000B7923" w:rsidP="00626143">
            <w:pPr>
              <w:rPr>
                <w:b/>
                <w:bCs/>
                <w:sz w:val="20"/>
                <w:szCs w:val="20"/>
                <w:lang w:val="ru-RU"/>
              </w:rPr>
            </w:pPr>
            <w:r w:rsidRPr="002B1DFC">
              <w:rPr>
                <w:sz w:val="20"/>
                <w:szCs w:val="20"/>
                <w:lang w:val="uk-UA"/>
              </w:rPr>
              <w:t>Наказ Мінприроди</w:t>
            </w:r>
            <w:r w:rsidRPr="002B1DFC">
              <w:rPr>
                <w:sz w:val="20"/>
                <w:szCs w:val="20"/>
                <w:lang w:val="ru-RU"/>
              </w:rPr>
              <w:t xml:space="preserve"> від 29.09.2009 № 507 «Про затвердження технологічних нормативів допустимих викидів забруднюючих речовин від коксових печей»;</w:t>
            </w:r>
          </w:p>
        </w:tc>
        <w:tc>
          <w:tcPr>
            <w:tcW w:w="2500" w:type="pct"/>
          </w:tcPr>
          <w:p w14:paraId="673DF844" w14:textId="77777777" w:rsidR="000B7923" w:rsidRPr="0061686D" w:rsidRDefault="00A471C6" w:rsidP="00626143">
            <w:pPr>
              <w:rPr>
                <w:sz w:val="20"/>
                <w:szCs w:val="20"/>
              </w:rPr>
            </w:pPr>
            <w:r>
              <w:rPr>
                <w:sz w:val="20"/>
                <w:szCs w:val="20"/>
              </w:rPr>
              <w:t>MENR Order</w:t>
            </w:r>
            <w:r w:rsidR="000B7923" w:rsidRPr="002B1DFC">
              <w:rPr>
                <w:sz w:val="20"/>
                <w:szCs w:val="20"/>
              </w:rPr>
              <w:t xml:space="preserve"> </w:t>
            </w:r>
            <w:r w:rsidR="000B7923" w:rsidRPr="002B1DFC">
              <w:rPr>
                <w:sz w:val="20"/>
                <w:szCs w:val="20"/>
                <w:lang w:val="uk-UA"/>
              </w:rPr>
              <w:t xml:space="preserve">of </w:t>
            </w:r>
            <w:r w:rsidR="00246B60">
              <w:rPr>
                <w:sz w:val="20"/>
                <w:szCs w:val="20"/>
              </w:rPr>
              <w:t xml:space="preserve">September </w:t>
            </w:r>
            <w:r w:rsidR="000B7923" w:rsidRPr="002B1DFC">
              <w:rPr>
                <w:sz w:val="20"/>
                <w:szCs w:val="20"/>
                <w:lang w:val="uk-UA"/>
              </w:rPr>
              <w:t>29</w:t>
            </w:r>
            <w:r w:rsidR="00246B60">
              <w:rPr>
                <w:sz w:val="20"/>
                <w:szCs w:val="20"/>
              </w:rPr>
              <w:t xml:space="preserve">, </w:t>
            </w:r>
            <w:r w:rsidR="000B7923" w:rsidRPr="002B1DFC">
              <w:rPr>
                <w:sz w:val="20"/>
                <w:szCs w:val="20"/>
                <w:lang w:val="uk-UA"/>
              </w:rPr>
              <w:t>2009</w:t>
            </w:r>
            <w:r w:rsidR="00246B60">
              <w:rPr>
                <w:sz w:val="20"/>
                <w:szCs w:val="20"/>
              </w:rPr>
              <w:t>,</w:t>
            </w:r>
            <w:r w:rsidR="000B7923" w:rsidRPr="002B1DFC">
              <w:rPr>
                <w:sz w:val="20"/>
                <w:szCs w:val="20"/>
                <w:lang w:val="uk-UA"/>
              </w:rPr>
              <w:t xml:space="preserve"> </w:t>
            </w:r>
            <w:r w:rsidR="006B2C60" w:rsidRPr="006B2C60">
              <w:rPr>
                <w:sz w:val="20"/>
                <w:szCs w:val="20"/>
                <w:lang w:val="uk-UA"/>
              </w:rPr>
              <w:t xml:space="preserve">No. </w:t>
            </w:r>
            <w:r w:rsidR="000B7923" w:rsidRPr="002B1DFC">
              <w:rPr>
                <w:sz w:val="20"/>
                <w:szCs w:val="20"/>
                <w:lang w:val="uk-UA"/>
              </w:rPr>
              <w:t xml:space="preserve">507 </w:t>
            </w:r>
            <w:r w:rsidR="00246B60">
              <w:rPr>
                <w:sz w:val="20"/>
                <w:szCs w:val="20"/>
              </w:rPr>
              <w:t>O</w:t>
            </w:r>
            <w:r w:rsidR="000B7923" w:rsidRPr="002B1DFC">
              <w:rPr>
                <w:sz w:val="20"/>
                <w:szCs w:val="20"/>
                <w:lang w:val="uk-UA"/>
              </w:rPr>
              <w:t xml:space="preserve">On Approval of </w:t>
            </w:r>
            <w:proofErr w:type="spellStart"/>
            <w:r w:rsidR="00246B60">
              <w:rPr>
                <w:sz w:val="20"/>
                <w:szCs w:val="20"/>
              </w:rPr>
              <w:t>Te</w:t>
            </w:r>
            <w:proofErr w:type="spellEnd"/>
            <w:r w:rsidR="000B7923" w:rsidRPr="002B1DFC">
              <w:rPr>
                <w:sz w:val="20"/>
                <w:szCs w:val="20"/>
                <w:lang w:val="uk-UA"/>
              </w:rPr>
              <w:t xml:space="preserve">chnological </w:t>
            </w:r>
            <w:r w:rsidR="00246B60">
              <w:rPr>
                <w:sz w:val="20"/>
                <w:szCs w:val="20"/>
              </w:rPr>
              <w:t>N</w:t>
            </w:r>
            <w:r w:rsidR="000B7923" w:rsidRPr="002B1DFC">
              <w:rPr>
                <w:sz w:val="20"/>
                <w:szCs w:val="20"/>
                <w:lang w:val="uk-UA"/>
              </w:rPr>
              <w:t xml:space="preserve">orms of </w:t>
            </w:r>
            <w:r w:rsidR="00246B60">
              <w:rPr>
                <w:sz w:val="20"/>
                <w:szCs w:val="20"/>
              </w:rPr>
              <w:t>P</w:t>
            </w:r>
            <w:r w:rsidR="000B7923" w:rsidRPr="002B1DFC">
              <w:rPr>
                <w:sz w:val="20"/>
                <w:szCs w:val="20"/>
                <w:lang w:val="uk-UA"/>
              </w:rPr>
              <w:t xml:space="preserve">ermissible </w:t>
            </w:r>
            <w:r w:rsidR="00246B60">
              <w:rPr>
                <w:sz w:val="20"/>
                <w:szCs w:val="20"/>
              </w:rPr>
              <w:t>P</w:t>
            </w:r>
            <w:r w:rsidR="000B7923" w:rsidRPr="002B1DFC">
              <w:rPr>
                <w:sz w:val="20"/>
                <w:szCs w:val="20"/>
                <w:lang w:val="uk-UA"/>
              </w:rPr>
              <w:t xml:space="preserve">ollutant </w:t>
            </w:r>
            <w:r w:rsidR="00246B60">
              <w:rPr>
                <w:sz w:val="20"/>
                <w:szCs w:val="20"/>
              </w:rPr>
              <w:t>E</w:t>
            </w:r>
            <w:r w:rsidR="000B7923" w:rsidRPr="002B1DFC">
              <w:rPr>
                <w:sz w:val="20"/>
                <w:szCs w:val="20"/>
                <w:lang w:val="uk-UA"/>
              </w:rPr>
              <w:t xml:space="preserve">missions from </w:t>
            </w:r>
            <w:r w:rsidR="00246B60">
              <w:rPr>
                <w:sz w:val="20"/>
                <w:szCs w:val="20"/>
              </w:rPr>
              <w:t>C</w:t>
            </w:r>
            <w:r w:rsidR="000B7923" w:rsidRPr="002B1DFC">
              <w:rPr>
                <w:sz w:val="20"/>
                <w:szCs w:val="20"/>
                <w:lang w:val="uk-UA"/>
              </w:rPr>
              <w:t xml:space="preserve">oke </w:t>
            </w:r>
            <w:r w:rsidR="00246B60">
              <w:rPr>
                <w:sz w:val="20"/>
                <w:szCs w:val="20"/>
              </w:rPr>
              <w:t>O</w:t>
            </w:r>
            <w:r w:rsidR="000B7923" w:rsidRPr="002B1DFC">
              <w:rPr>
                <w:sz w:val="20"/>
                <w:szCs w:val="20"/>
                <w:lang w:val="uk-UA"/>
              </w:rPr>
              <w:t>vens</w:t>
            </w:r>
            <w:r w:rsidR="00246B60">
              <w:rPr>
                <w:sz w:val="20"/>
                <w:szCs w:val="20"/>
              </w:rPr>
              <w:t>”</w:t>
            </w:r>
          </w:p>
        </w:tc>
      </w:tr>
      <w:tr w:rsidR="000B7923" w:rsidRPr="002B1DFC" w14:paraId="5C8B8125" w14:textId="77777777">
        <w:tc>
          <w:tcPr>
            <w:tcW w:w="2500" w:type="pct"/>
            <w:shd w:val="clear" w:color="auto" w:fill="DBE5F1"/>
          </w:tcPr>
          <w:p w14:paraId="36AA956F" w14:textId="77777777" w:rsidR="000B7923" w:rsidRPr="002B1DFC" w:rsidRDefault="000B7923" w:rsidP="00626143">
            <w:pPr>
              <w:rPr>
                <w:b/>
                <w:bCs/>
                <w:sz w:val="20"/>
                <w:szCs w:val="20"/>
                <w:lang w:val="uk-UA"/>
              </w:rPr>
            </w:pPr>
            <w:r w:rsidRPr="002B1DFC">
              <w:rPr>
                <w:sz w:val="20"/>
                <w:szCs w:val="20"/>
                <w:lang w:val="uk-UA"/>
              </w:rPr>
              <w:t>Наказ Мінприроди від 05.10.2009 № 524 «Про затвердження технологічних нормативів допустимих викидів забруднюючих речовин із устаткування (установок) для виробництва нормального електрокорунду в дугових трифазних руднотермічних печах при плавленні «на випуск»;</w:t>
            </w:r>
          </w:p>
        </w:tc>
        <w:tc>
          <w:tcPr>
            <w:tcW w:w="2500" w:type="pct"/>
            <w:shd w:val="clear" w:color="auto" w:fill="DBE5F1"/>
          </w:tcPr>
          <w:p w14:paraId="49339FEF" w14:textId="77777777" w:rsidR="000B7923" w:rsidRPr="0061686D" w:rsidRDefault="00A471C6" w:rsidP="009561D6">
            <w:pPr>
              <w:rPr>
                <w:sz w:val="20"/>
                <w:szCs w:val="20"/>
              </w:rPr>
            </w:pPr>
            <w:r>
              <w:rPr>
                <w:sz w:val="20"/>
                <w:szCs w:val="20"/>
              </w:rPr>
              <w:t>MENR Order</w:t>
            </w:r>
            <w:r w:rsidR="000B7923" w:rsidRPr="002B1DFC">
              <w:rPr>
                <w:sz w:val="20"/>
                <w:szCs w:val="20"/>
              </w:rPr>
              <w:t xml:space="preserve"> </w:t>
            </w:r>
            <w:r w:rsidR="000B7923" w:rsidRPr="002B1DFC">
              <w:rPr>
                <w:sz w:val="20"/>
                <w:szCs w:val="20"/>
                <w:lang w:val="uk-UA"/>
              </w:rPr>
              <w:t xml:space="preserve">of </w:t>
            </w:r>
            <w:r w:rsidR="00246B60">
              <w:rPr>
                <w:sz w:val="20"/>
                <w:szCs w:val="20"/>
              </w:rPr>
              <w:t xml:space="preserve">October </w:t>
            </w:r>
            <w:r w:rsidR="000B7923" w:rsidRPr="002B1DFC">
              <w:rPr>
                <w:sz w:val="20"/>
                <w:szCs w:val="20"/>
                <w:lang w:val="uk-UA"/>
              </w:rPr>
              <w:t>5</w:t>
            </w:r>
            <w:r w:rsidR="00246B60">
              <w:rPr>
                <w:sz w:val="20"/>
                <w:szCs w:val="20"/>
              </w:rPr>
              <w:t xml:space="preserve">, </w:t>
            </w:r>
            <w:r w:rsidR="000B7923" w:rsidRPr="002B1DFC">
              <w:rPr>
                <w:sz w:val="20"/>
                <w:szCs w:val="20"/>
                <w:lang w:val="uk-UA"/>
              </w:rPr>
              <w:t>2009</w:t>
            </w:r>
            <w:r w:rsidR="00246B60">
              <w:rPr>
                <w:sz w:val="20"/>
                <w:szCs w:val="20"/>
              </w:rPr>
              <w:t>,</w:t>
            </w:r>
            <w:r w:rsidR="000B7923" w:rsidRPr="002B1DFC">
              <w:rPr>
                <w:sz w:val="20"/>
                <w:szCs w:val="20"/>
                <w:lang w:val="uk-UA"/>
              </w:rPr>
              <w:t xml:space="preserve"> </w:t>
            </w:r>
            <w:r w:rsidR="006B2C60" w:rsidRPr="006B2C60">
              <w:rPr>
                <w:sz w:val="20"/>
                <w:szCs w:val="20"/>
                <w:lang w:val="uk-UA"/>
              </w:rPr>
              <w:t xml:space="preserve">No. </w:t>
            </w:r>
            <w:r w:rsidR="000B7923" w:rsidRPr="002B1DFC">
              <w:rPr>
                <w:sz w:val="20"/>
                <w:szCs w:val="20"/>
                <w:lang w:val="uk-UA"/>
              </w:rPr>
              <w:t xml:space="preserve"> 524 </w:t>
            </w:r>
            <w:r w:rsidR="00246B60">
              <w:rPr>
                <w:sz w:val="20"/>
                <w:szCs w:val="20"/>
              </w:rPr>
              <w:t>“</w:t>
            </w:r>
            <w:r w:rsidR="000B7923" w:rsidRPr="002B1DFC">
              <w:rPr>
                <w:sz w:val="20"/>
                <w:szCs w:val="20"/>
                <w:lang w:val="uk-UA"/>
              </w:rPr>
              <w:t xml:space="preserve">On Approval of </w:t>
            </w:r>
            <w:r w:rsidR="00246B60">
              <w:rPr>
                <w:sz w:val="20"/>
                <w:szCs w:val="20"/>
              </w:rPr>
              <w:t>T</w:t>
            </w:r>
            <w:r w:rsidR="000B7923" w:rsidRPr="002B1DFC">
              <w:rPr>
                <w:sz w:val="20"/>
                <w:szCs w:val="20"/>
                <w:lang w:val="uk-UA"/>
              </w:rPr>
              <w:t xml:space="preserve">echnological </w:t>
            </w:r>
            <w:r w:rsidR="00246B60">
              <w:rPr>
                <w:sz w:val="20"/>
                <w:szCs w:val="20"/>
              </w:rPr>
              <w:t>N</w:t>
            </w:r>
            <w:r w:rsidR="000B7923" w:rsidRPr="002B1DFC">
              <w:rPr>
                <w:sz w:val="20"/>
                <w:szCs w:val="20"/>
                <w:lang w:val="uk-UA"/>
              </w:rPr>
              <w:t xml:space="preserve">orms of </w:t>
            </w:r>
            <w:r w:rsidR="00246B60">
              <w:rPr>
                <w:sz w:val="20"/>
                <w:szCs w:val="20"/>
              </w:rPr>
              <w:t>P</w:t>
            </w:r>
            <w:r w:rsidR="000B7923" w:rsidRPr="002B1DFC">
              <w:rPr>
                <w:sz w:val="20"/>
                <w:szCs w:val="20"/>
                <w:lang w:val="uk-UA"/>
              </w:rPr>
              <w:t xml:space="preserve">ermissible </w:t>
            </w:r>
            <w:r w:rsidR="00246B60">
              <w:rPr>
                <w:sz w:val="20"/>
                <w:szCs w:val="20"/>
              </w:rPr>
              <w:t>P</w:t>
            </w:r>
            <w:r w:rsidR="000B7923" w:rsidRPr="002B1DFC">
              <w:rPr>
                <w:sz w:val="20"/>
                <w:szCs w:val="20"/>
                <w:lang w:val="uk-UA"/>
              </w:rPr>
              <w:t xml:space="preserve">ollutant </w:t>
            </w:r>
            <w:r w:rsidR="00246B60">
              <w:rPr>
                <w:sz w:val="20"/>
                <w:szCs w:val="20"/>
              </w:rPr>
              <w:t>E</w:t>
            </w:r>
            <w:r w:rsidR="000B7923" w:rsidRPr="002B1DFC">
              <w:rPr>
                <w:sz w:val="20"/>
                <w:szCs w:val="20"/>
                <w:lang w:val="uk-UA"/>
              </w:rPr>
              <w:t xml:space="preserve">missions of </w:t>
            </w:r>
            <w:r w:rsidR="00246B60">
              <w:rPr>
                <w:sz w:val="20"/>
                <w:szCs w:val="20"/>
              </w:rPr>
              <w:t>E</w:t>
            </w:r>
            <w:r w:rsidR="000B7923" w:rsidRPr="002B1DFC">
              <w:rPr>
                <w:sz w:val="20"/>
                <w:szCs w:val="20"/>
                <w:lang w:val="uk-UA"/>
              </w:rPr>
              <w:t>quipment (</w:t>
            </w:r>
            <w:r w:rsidR="00246B60">
              <w:rPr>
                <w:sz w:val="20"/>
                <w:szCs w:val="20"/>
              </w:rPr>
              <w:t>U</w:t>
            </w:r>
            <w:r w:rsidR="000B7923" w:rsidRPr="002B1DFC">
              <w:rPr>
                <w:sz w:val="20"/>
                <w:szCs w:val="20"/>
                <w:lang w:val="uk-UA"/>
              </w:rPr>
              <w:t xml:space="preserve">nits) for the </w:t>
            </w:r>
            <w:r w:rsidR="00246B60">
              <w:rPr>
                <w:sz w:val="20"/>
                <w:szCs w:val="20"/>
              </w:rPr>
              <w:t>P</w:t>
            </w:r>
            <w:r w:rsidR="000B7923" w:rsidRPr="002B1DFC">
              <w:rPr>
                <w:sz w:val="20"/>
                <w:szCs w:val="20"/>
                <w:lang w:val="uk-UA"/>
              </w:rPr>
              <w:t xml:space="preserve">roduction of </w:t>
            </w:r>
            <w:r w:rsidR="00246B60">
              <w:rPr>
                <w:sz w:val="20"/>
                <w:szCs w:val="20"/>
              </w:rPr>
              <w:t>N</w:t>
            </w:r>
            <w:r w:rsidR="000B7923" w:rsidRPr="002B1DFC">
              <w:rPr>
                <w:sz w:val="20"/>
                <w:szCs w:val="20"/>
                <w:lang w:val="uk-UA"/>
              </w:rPr>
              <w:t xml:space="preserve">ormal </w:t>
            </w:r>
            <w:r w:rsidR="00246B60">
              <w:rPr>
                <w:sz w:val="20"/>
                <w:szCs w:val="20"/>
              </w:rPr>
              <w:t>F</w:t>
            </w:r>
            <w:r w:rsidR="000B7923" w:rsidRPr="002B1DFC">
              <w:rPr>
                <w:sz w:val="20"/>
                <w:szCs w:val="20"/>
                <w:lang w:val="uk-UA"/>
              </w:rPr>
              <w:t xml:space="preserve">used in </w:t>
            </w:r>
            <w:r w:rsidR="00246B60">
              <w:rPr>
                <w:sz w:val="20"/>
                <w:szCs w:val="20"/>
              </w:rPr>
              <w:t>T</w:t>
            </w:r>
            <w:r w:rsidR="000B7923" w:rsidRPr="002B1DFC">
              <w:rPr>
                <w:sz w:val="20"/>
                <w:szCs w:val="20"/>
                <w:lang w:val="uk-UA"/>
              </w:rPr>
              <w:t>hree-</w:t>
            </w:r>
            <w:r w:rsidR="00246B60">
              <w:rPr>
                <w:sz w:val="20"/>
                <w:szCs w:val="20"/>
              </w:rPr>
              <w:t>P</w:t>
            </w:r>
            <w:r w:rsidR="000B7923" w:rsidRPr="002B1DFC">
              <w:rPr>
                <w:sz w:val="20"/>
                <w:szCs w:val="20"/>
                <w:lang w:val="uk-UA"/>
              </w:rPr>
              <w:t xml:space="preserve">hase </w:t>
            </w:r>
            <w:r w:rsidR="00246B60">
              <w:rPr>
                <w:sz w:val="20"/>
                <w:szCs w:val="20"/>
              </w:rPr>
              <w:t>A</w:t>
            </w:r>
            <w:r w:rsidR="000B7923" w:rsidRPr="002B1DFC">
              <w:rPr>
                <w:sz w:val="20"/>
                <w:szCs w:val="20"/>
                <w:lang w:val="uk-UA"/>
              </w:rPr>
              <w:t xml:space="preserve">rc </w:t>
            </w:r>
            <w:r w:rsidR="00246B60">
              <w:rPr>
                <w:sz w:val="20"/>
                <w:szCs w:val="20"/>
              </w:rPr>
              <w:t>F</w:t>
            </w:r>
            <w:r w:rsidR="000B7923" w:rsidRPr="002B1DFC">
              <w:rPr>
                <w:sz w:val="20"/>
                <w:szCs w:val="20"/>
                <w:lang w:val="uk-UA"/>
              </w:rPr>
              <w:t xml:space="preserve">urnace </w:t>
            </w:r>
            <w:r w:rsidR="00246B60">
              <w:rPr>
                <w:sz w:val="20"/>
                <w:szCs w:val="20"/>
              </w:rPr>
              <w:t>M</w:t>
            </w:r>
            <w:r w:rsidR="000B7923" w:rsidRPr="002B1DFC">
              <w:rPr>
                <w:sz w:val="20"/>
                <w:szCs w:val="20"/>
                <w:lang w:val="uk-UA"/>
              </w:rPr>
              <w:t xml:space="preserve">elting </w:t>
            </w:r>
            <w:r w:rsidR="00246B60">
              <w:rPr>
                <w:sz w:val="20"/>
                <w:szCs w:val="20"/>
              </w:rPr>
              <w:t>O</w:t>
            </w:r>
            <w:r w:rsidR="000B7923" w:rsidRPr="002B1DFC">
              <w:rPr>
                <w:sz w:val="20"/>
                <w:szCs w:val="20"/>
                <w:lang w:val="uk-UA"/>
              </w:rPr>
              <w:t xml:space="preserve">rethermical on the </w:t>
            </w:r>
            <w:r w:rsidR="00246B60">
              <w:rPr>
                <w:sz w:val="20"/>
                <w:szCs w:val="20"/>
              </w:rPr>
              <w:t>I</w:t>
            </w:r>
            <w:r w:rsidR="000B7923" w:rsidRPr="002B1DFC">
              <w:rPr>
                <w:sz w:val="20"/>
                <w:szCs w:val="20"/>
                <w:lang w:val="uk-UA"/>
              </w:rPr>
              <w:t>ssue</w:t>
            </w:r>
            <w:r w:rsidR="00246B60">
              <w:rPr>
                <w:sz w:val="20"/>
                <w:szCs w:val="20"/>
              </w:rPr>
              <w:t xml:space="preserve">” </w:t>
            </w:r>
          </w:p>
        </w:tc>
      </w:tr>
      <w:tr w:rsidR="000B7923" w:rsidRPr="002B1DFC" w14:paraId="4732A4B7" w14:textId="77777777">
        <w:tc>
          <w:tcPr>
            <w:tcW w:w="2500" w:type="pct"/>
          </w:tcPr>
          <w:p w14:paraId="6EE642CD" w14:textId="77777777" w:rsidR="000B7923" w:rsidRPr="002B1DFC" w:rsidRDefault="000B7923" w:rsidP="00626143">
            <w:pPr>
              <w:rPr>
                <w:b/>
                <w:bCs/>
                <w:sz w:val="20"/>
                <w:szCs w:val="20"/>
                <w:lang w:val="uk-UA"/>
              </w:rPr>
            </w:pPr>
            <w:r w:rsidRPr="002B1DFC">
              <w:rPr>
                <w:sz w:val="20"/>
                <w:szCs w:val="20"/>
                <w:lang w:val="uk-UA"/>
              </w:rPr>
              <w:t>Наказ Мінприроди від 13.10.2009 № 540 «Про затвердження технологічних нормативів допустимих викидів забруднюючих речовин у атмосферне повітря із котелень, що працюють на лушпинні соняшника»;</w:t>
            </w:r>
          </w:p>
        </w:tc>
        <w:tc>
          <w:tcPr>
            <w:tcW w:w="2500" w:type="pct"/>
          </w:tcPr>
          <w:p w14:paraId="129DB4ED" w14:textId="77777777" w:rsidR="000B7923" w:rsidRPr="0061686D" w:rsidRDefault="00A471C6" w:rsidP="00626143">
            <w:pPr>
              <w:rPr>
                <w:sz w:val="20"/>
                <w:szCs w:val="20"/>
              </w:rPr>
            </w:pPr>
            <w:r>
              <w:rPr>
                <w:sz w:val="20"/>
                <w:szCs w:val="20"/>
              </w:rPr>
              <w:t>MENR Order</w:t>
            </w:r>
            <w:r w:rsidR="000B7923" w:rsidRPr="002B1DFC">
              <w:rPr>
                <w:sz w:val="20"/>
                <w:szCs w:val="20"/>
              </w:rPr>
              <w:t xml:space="preserve"> </w:t>
            </w:r>
            <w:r w:rsidR="000B7923" w:rsidRPr="002B1DFC">
              <w:rPr>
                <w:sz w:val="20"/>
                <w:szCs w:val="20"/>
                <w:lang w:val="uk-UA"/>
              </w:rPr>
              <w:t xml:space="preserve">of </w:t>
            </w:r>
            <w:r w:rsidR="00246B60">
              <w:rPr>
                <w:sz w:val="20"/>
                <w:szCs w:val="20"/>
              </w:rPr>
              <w:t xml:space="preserve">October </w:t>
            </w:r>
            <w:r w:rsidR="000B7923" w:rsidRPr="002B1DFC">
              <w:rPr>
                <w:sz w:val="20"/>
                <w:szCs w:val="20"/>
                <w:lang w:val="uk-UA"/>
              </w:rPr>
              <w:t>13</w:t>
            </w:r>
            <w:r w:rsidR="00246B60">
              <w:rPr>
                <w:sz w:val="20"/>
                <w:szCs w:val="20"/>
              </w:rPr>
              <w:t xml:space="preserve">, </w:t>
            </w:r>
            <w:r w:rsidR="000B7923" w:rsidRPr="002B1DFC">
              <w:rPr>
                <w:sz w:val="20"/>
                <w:szCs w:val="20"/>
                <w:lang w:val="uk-UA"/>
              </w:rPr>
              <w:t>2009</w:t>
            </w:r>
            <w:r w:rsidR="00246B60">
              <w:rPr>
                <w:sz w:val="20"/>
                <w:szCs w:val="20"/>
              </w:rPr>
              <w:t>,</w:t>
            </w:r>
            <w:r w:rsidR="000B7923" w:rsidRPr="002B1DFC">
              <w:rPr>
                <w:sz w:val="20"/>
                <w:szCs w:val="20"/>
                <w:lang w:val="uk-UA"/>
              </w:rPr>
              <w:t xml:space="preserve"> </w:t>
            </w:r>
            <w:r w:rsidR="006B2C60" w:rsidRPr="006B2C60">
              <w:rPr>
                <w:sz w:val="20"/>
                <w:szCs w:val="20"/>
                <w:lang w:val="uk-UA"/>
              </w:rPr>
              <w:t xml:space="preserve">No. </w:t>
            </w:r>
            <w:r w:rsidR="000B7923" w:rsidRPr="002B1DFC">
              <w:rPr>
                <w:sz w:val="20"/>
                <w:szCs w:val="20"/>
                <w:lang w:val="uk-UA"/>
              </w:rPr>
              <w:t xml:space="preserve">540 </w:t>
            </w:r>
            <w:r w:rsidR="00246B60">
              <w:rPr>
                <w:sz w:val="20"/>
                <w:szCs w:val="20"/>
              </w:rPr>
              <w:t>“</w:t>
            </w:r>
            <w:r w:rsidR="000B7923" w:rsidRPr="002B1DFC">
              <w:rPr>
                <w:sz w:val="20"/>
                <w:szCs w:val="20"/>
                <w:lang w:val="uk-UA"/>
              </w:rPr>
              <w:t xml:space="preserve">On Approval of </w:t>
            </w:r>
            <w:r w:rsidR="00246B60">
              <w:rPr>
                <w:sz w:val="20"/>
                <w:szCs w:val="20"/>
              </w:rPr>
              <w:t>T</w:t>
            </w:r>
            <w:r w:rsidR="000B7923" w:rsidRPr="002B1DFC">
              <w:rPr>
                <w:sz w:val="20"/>
                <w:szCs w:val="20"/>
                <w:lang w:val="uk-UA"/>
              </w:rPr>
              <w:t xml:space="preserve">echnological </w:t>
            </w:r>
            <w:r w:rsidR="00246B60">
              <w:rPr>
                <w:sz w:val="20"/>
                <w:szCs w:val="20"/>
              </w:rPr>
              <w:t>S</w:t>
            </w:r>
            <w:r w:rsidR="000B7923" w:rsidRPr="002B1DFC">
              <w:rPr>
                <w:sz w:val="20"/>
                <w:szCs w:val="20"/>
                <w:lang w:val="uk-UA"/>
              </w:rPr>
              <w:t xml:space="preserve">tandards of </w:t>
            </w:r>
            <w:r w:rsidR="00246B60">
              <w:rPr>
                <w:sz w:val="20"/>
                <w:szCs w:val="20"/>
              </w:rPr>
              <w:t>P</w:t>
            </w:r>
            <w:r w:rsidR="000B7923" w:rsidRPr="002B1DFC">
              <w:rPr>
                <w:sz w:val="20"/>
                <w:szCs w:val="20"/>
                <w:lang w:val="uk-UA"/>
              </w:rPr>
              <w:t xml:space="preserve">ermissible </w:t>
            </w:r>
            <w:r w:rsidR="00246B60">
              <w:rPr>
                <w:sz w:val="20"/>
                <w:szCs w:val="20"/>
              </w:rPr>
              <w:t>E</w:t>
            </w:r>
            <w:r w:rsidR="000B7923" w:rsidRPr="002B1DFC">
              <w:rPr>
                <w:sz w:val="20"/>
                <w:szCs w:val="20"/>
                <w:lang w:val="uk-UA"/>
              </w:rPr>
              <w:t xml:space="preserve">missions of </w:t>
            </w:r>
            <w:r w:rsidR="00246B60">
              <w:rPr>
                <w:sz w:val="20"/>
                <w:szCs w:val="20"/>
              </w:rPr>
              <w:t>P</w:t>
            </w:r>
            <w:r w:rsidR="000B7923" w:rsidRPr="002B1DFC">
              <w:rPr>
                <w:sz w:val="20"/>
                <w:szCs w:val="20"/>
                <w:lang w:val="uk-UA"/>
              </w:rPr>
              <w:t xml:space="preserve">ollutants into the </w:t>
            </w:r>
            <w:r w:rsidR="00246B60">
              <w:rPr>
                <w:sz w:val="20"/>
                <w:szCs w:val="20"/>
              </w:rPr>
              <w:t>A</w:t>
            </w:r>
            <w:r w:rsidR="000B7923" w:rsidRPr="002B1DFC">
              <w:rPr>
                <w:sz w:val="20"/>
                <w:szCs w:val="20"/>
                <w:lang w:val="uk-UA"/>
              </w:rPr>
              <w:t xml:space="preserve">ir from the </w:t>
            </w:r>
            <w:r w:rsidR="00246B60">
              <w:rPr>
                <w:sz w:val="20"/>
                <w:szCs w:val="20"/>
              </w:rPr>
              <w:t>B</w:t>
            </w:r>
            <w:r w:rsidR="000B7923" w:rsidRPr="002B1DFC">
              <w:rPr>
                <w:sz w:val="20"/>
                <w:szCs w:val="20"/>
                <w:lang w:val="uk-UA"/>
              </w:rPr>
              <w:t xml:space="preserve">oiler </w:t>
            </w:r>
            <w:r w:rsidR="00246B60">
              <w:rPr>
                <w:sz w:val="20"/>
                <w:szCs w:val="20"/>
              </w:rPr>
              <w:t>W</w:t>
            </w:r>
            <w:r w:rsidR="000B7923" w:rsidRPr="002B1DFC">
              <w:rPr>
                <w:sz w:val="20"/>
                <w:szCs w:val="20"/>
                <w:lang w:val="uk-UA"/>
              </w:rPr>
              <w:t xml:space="preserve">orking </w:t>
            </w:r>
            <w:r w:rsidR="00246B60">
              <w:rPr>
                <w:sz w:val="20"/>
                <w:szCs w:val="20"/>
              </w:rPr>
              <w:t>H</w:t>
            </w:r>
            <w:r w:rsidR="000B7923" w:rsidRPr="002B1DFC">
              <w:rPr>
                <w:sz w:val="20"/>
                <w:szCs w:val="20"/>
                <w:lang w:val="uk-UA"/>
              </w:rPr>
              <w:t>usk Sunflower</w:t>
            </w:r>
            <w:r w:rsidR="00246B60">
              <w:rPr>
                <w:sz w:val="20"/>
                <w:szCs w:val="20"/>
              </w:rPr>
              <w:t>”</w:t>
            </w:r>
          </w:p>
        </w:tc>
      </w:tr>
      <w:tr w:rsidR="000B7923" w:rsidRPr="002B1DFC" w14:paraId="49C6F999" w14:textId="77777777">
        <w:tc>
          <w:tcPr>
            <w:tcW w:w="2500" w:type="pct"/>
            <w:shd w:val="clear" w:color="auto" w:fill="DBE5F1"/>
          </w:tcPr>
          <w:p w14:paraId="7CE5D84B" w14:textId="77777777" w:rsidR="000B7923" w:rsidRPr="002B1DFC" w:rsidRDefault="000B7923" w:rsidP="00626143">
            <w:pPr>
              <w:rPr>
                <w:b/>
                <w:bCs/>
                <w:sz w:val="20"/>
                <w:szCs w:val="20"/>
                <w:lang w:val="uk-UA"/>
              </w:rPr>
            </w:pPr>
            <w:r w:rsidRPr="002B1DFC">
              <w:rPr>
                <w:sz w:val="20"/>
                <w:szCs w:val="20"/>
                <w:lang w:val="uk-UA"/>
              </w:rPr>
              <w:t>Наказ Мінприроди від 19.01.2012 № 18 «Про затвердження технологічних нормативів допустимих викидів забруднюючих речовин у атмосферне повітря із устаткування (установок) для виготовлення скла, включаючи скловолокно з плавильною потужністю, яка перевищує 20 тонн на добу»;</w:t>
            </w:r>
          </w:p>
        </w:tc>
        <w:tc>
          <w:tcPr>
            <w:tcW w:w="2500" w:type="pct"/>
            <w:shd w:val="clear" w:color="auto" w:fill="DBE5F1"/>
          </w:tcPr>
          <w:p w14:paraId="18A7B0F5" w14:textId="77777777" w:rsidR="000B7923" w:rsidRPr="0061686D" w:rsidRDefault="00A471C6" w:rsidP="00626143">
            <w:pPr>
              <w:rPr>
                <w:sz w:val="20"/>
                <w:szCs w:val="20"/>
              </w:rPr>
            </w:pPr>
            <w:r>
              <w:rPr>
                <w:sz w:val="20"/>
                <w:szCs w:val="20"/>
              </w:rPr>
              <w:t>MENR Order</w:t>
            </w:r>
            <w:r w:rsidR="000B7923" w:rsidRPr="002B1DFC">
              <w:rPr>
                <w:sz w:val="20"/>
                <w:szCs w:val="20"/>
              </w:rPr>
              <w:t xml:space="preserve"> </w:t>
            </w:r>
            <w:r w:rsidR="000B7923" w:rsidRPr="002B1DFC">
              <w:rPr>
                <w:sz w:val="20"/>
                <w:szCs w:val="20"/>
                <w:lang w:val="uk-UA"/>
              </w:rPr>
              <w:t xml:space="preserve">of 19.01.2012 </w:t>
            </w:r>
            <w:r w:rsidR="006B2C60" w:rsidRPr="006B2C60">
              <w:rPr>
                <w:sz w:val="20"/>
                <w:szCs w:val="20"/>
                <w:lang w:val="uk-UA"/>
              </w:rPr>
              <w:t xml:space="preserve">No. </w:t>
            </w:r>
            <w:r w:rsidR="000B7923" w:rsidRPr="002B1DFC">
              <w:rPr>
                <w:sz w:val="20"/>
                <w:szCs w:val="20"/>
                <w:lang w:val="uk-UA"/>
              </w:rPr>
              <w:t xml:space="preserve"> 18 </w:t>
            </w:r>
            <w:r w:rsidR="00246B60">
              <w:rPr>
                <w:sz w:val="20"/>
                <w:szCs w:val="20"/>
              </w:rPr>
              <w:t>“</w:t>
            </w:r>
            <w:r w:rsidR="00246B60" w:rsidRPr="002B1DFC">
              <w:rPr>
                <w:sz w:val="20"/>
                <w:szCs w:val="20"/>
                <w:lang w:val="uk-UA"/>
              </w:rPr>
              <w:t xml:space="preserve">On Approval of </w:t>
            </w:r>
            <w:r w:rsidR="00246B60">
              <w:rPr>
                <w:sz w:val="20"/>
                <w:szCs w:val="20"/>
              </w:rPr>
              <w:t>T</w:t>
            </w:r>
            <w:r w:rsidR="00246B60" w:rsidRPr="002B1DFC">
              <w:rPr>
                <w:sz w:val="20"/>
                <w:szCs w:val="20"/>
                <w:lang w:val="uk-UA"/>
              </w:rPr>
              <w:t xml:space="preserve">echnological </w:t>
            </w:r>
            <w:r w:rsidR="00246B60">
              <w:rPr>
                <w:sz w:val="20"/>
                <w:szCs w:val="20"/>
              </w:rPr>
              <w:t>S</w:t>
            </w:r>
            <w:r w:rsidR="00246B60" w:rsidRPr="002B1DFC">
              <w:rPr>
                <w:sz w:val="20"/>
                <w:szCs w:val="20"/>
                <w:lang w:val="uk-UA"/>
              </w:rPr>
              <w:t xml:space="preserve">tandards of </w:t>
            </w:r>
            <w:r w:rsidR="00246B60">
              <w:rPr>
                <w:sz w:val="20"/>
                <w:szCs w:val="20"/>
              </w:rPr>
              <w:t>P</w:t>
            </w:r>
            <w:r w:rsidR="00246B60" w:rsidRPr="002B1DFC">
              <w:rPr>
                <w:sz w:val="20"/>
                <w:szCs w:val="20"/>
                <w:lang w:val="uk-UA"/>
              </w:rPr>
              <w:t xml:space="preserve">ermissible </w:t>
            </w:r>
            <w:r w:rsidR="00246B60">
              <w:rPr>
                <w:sz w:val="20"/>
                <w:szCs w:val="20"/>
              </w:rPr>
              <w:t>E</w:t>
            </w:r>
            <w:r w:rsidR="00246B60" w:rsidRPr="002B1DFC">
              <w:rPr>
                <w:sz w:val="20"/>
                <w:szCs w:val="20"/>
                <w:lang w:val="uk-UA"/>
              </w:rPr>
              <w:t xml:space="preserve">missions of </w:t>
            </w:r>
            <w:r w:rsidR="00246B60">
              <w:rPr>
                <w:sz w:val="20"/>
                <w:szCs w:val="20"/>
              </w:rPr>
              <w:t>P</w:t>
            </w:r>
            <w:r w:rsidR="00246B60" w:rsidRPr="002B1DFC">
              <w:rPr>
                <w:sz w:val="20"/>
                <w:szCs w:val="20"/>
                <w:lang w:val="uk-UA"/>
              </w:rPr>
              <w:t xml:space="preserve">ollutants into the </w:t>
            </w:r>
            <w:r w:rsidR="00246B60">
              <w:rPr>
                <w:sz w:val="20"/>
                <w:szCs w:val="20"/>
              </w:rPr>
              <w:t>A</w:t>
            </w:r>
            <w:r w:rsidR="00246B60" w:rsidRPr="002B1DFC">
              <w:rPr>
                <w:sz w:val="20"/>
                <w:szCs w:val="20"/>
                <w:lang w:val="uk-UA"/>
              </w:rPr>
              <w:t xml:space="preserve">ir from </w:t>
            </w:r>
            <w:r w:rsidR="00246B60">
              <w:rPr>
                <w:sz w:val="20"/>
                <w:szCs w:val="20"/>
              </w:rPr>
              <w:t>F</w:t>
            </w:r>
            <w:r w:rsidR="000B7923" w:rsidRPr="002B1DFC">
              <w:rPr>
                <w:sz w:val="20"/>
                <w:szCs w:val="20"/>
                <w:lang w:val="uk-UA"/>
              </w:rPr>
              <w:t>acilities</w:t>
            </w:r>
            <w:r w:rsidR="00246B60">
              <w:rPr>
                <w:sz w:val="20"/>
                <w:szCs w:val="20"/>
              </w:rPr>
              <w:t xml:space="preserve"> </w:t>
            </w:r>
            <w:r w:rsidR="000B7923" w:rsidRPr="002B1DFC">
              <w:rPr>
                <w:sz w:val="20"/>
                <w:szCs w:val="20"/>
                <w:lang w:val="uk-UA"/>
              </w:rPr>
              <w:t xml:space="preserve">for the </w:t>
            </w:r>
            <w:r w:rsidR="00246B60">
              <w:rPr>
                <w:sz w:val="20"/>
                <w:szCs w:val="20"/>
              </w:rPr>
              <w:t>M</w:t>
            </w:r>
            <w:r w:rsidR="000B7923" w:rsidRPr="002B1DFC">
              <w:rPr>
                <w:sz w:val="20"/>
                <w:szCs w:val="20"/>
                <w:lang w:val="uk-UA"/>
              </w:rPr>
              <w:t xml:space="preserve">anufacture of </w:t>
            </w:r>
            <w:r w:rsidR="00246B60">
              <w:rPr>
                <w:sz w:val="20"/>
                <w:szCs w:val="20"/>
              </w:rPr>
              <w:t>G</w:t>
            </w:r>
            <w:r w:rsidR="000B7923" w:rsidRPr="002B1DFC">
              <w:rPr>
                <w:sz w:val="20"/>
                <w:szCs w:val="20"/>
                <w:lang w:val="uk-UA"/>
              </w:rPr>
              <w:t xml:space="preserve">lass, </w:t>
            </w:r>
            <w:r w:rsidR="00246B60">
              <w:rPr>
                <w:sz w:val="20"/>
                <w:szCs w:val="20"/>
              </w:rPr>
              <w:t>I</w:t>
            </w:r>
            <w:r w:rsidR="000B7923" w:rsidRPr="002B1DFC">
              <w:rPr>
                <w:sz w:val="20"/>
                <w:szCs w:val="20"/>
                <w:lang w:val="uk-UA"/>
              </w:rPr>
              <w:t xml:space="preserve">ncluding </w:t>
            </w:r>
            <w:r w:rsidR="00246B60">
              <w:rPr>
                <w:sz w:val="20"/>
                <w:szCs w:val="20"/>
              </w:rPr>
              <w:t>G</w:t>
            </w:r>
            <w:r w:rsidR="000B7923" w:rsidRPr="002B1DFC">
              <w:rPr>
                <w:sz w:val="20"/>
                <w:szCs w:val="20"/>
                <w:lang w:val="uk-UA"/>
              </w:rPr>
              <w:t xml:space="preserve">lass </w:t>
            </w:r>
            <w:r w:rsidR="00246B60">
              <w:rPr>
                <w:sz w:val="20"/>
                <w:szCs w:val="20"/>
              </w:rPr>
              <w:t>F</w:t>
            </w:r>
            <w:r w:rsidR="000B7923" w:rsidRPr="002B1DFC">
              <w:rPr>
                <w:sz w:val="20"/>
                <w:szCs w:val="20"/>
                <w:lang w:val="uk-UA"/>
              </w:rPr>
              <w:t xml:space="preserve">iber with a </w:t>
            </w:r>
            <w:r w:rsidR="00246B60">
              <w:rPr>
                <w:sz w:val="20"/>
                <w:szCs w:val="20"/>
              </w:rPr>
              <w:t>M</w:t>
            </w:r>
            <w:r w:rsidR="000B7923" w:rsidRPr="002B1DFC">
              <w:rPr>
                <w:sz w:val="20"/>
                <w:szCs w:val="20"/>
                <w:lang w:val="uk-UA"/>
              </w:rPr>
              <w:t xml:space="preserve">elting </w:t>
            </w:r>
            <w:r w:rsidR="00246B60">
              <w:rPr>
                <w:sz w:val="20"/>
                <w:szCs w:val="20"/>
              </w:rPr>
              <w:t>C</w:t>
            </w:r>
            <w:r w:rsidR="000B7923" w:rsidRPr="002B1DFC">
              <w:rPr>
                <w:sz w:val="20"/>
                <w:szCs w:val="20"/>
                <w:lang w:val="uk-UA"/>
              </w:rPr>
              <w:t xml:space="preserve">apacity </w:t>
            </w:r>
            <w:r w:rsidR="00246B60">
              <w:rPr>
                <w:sz w:val="20"/>
                <w:szCs w:val="20"/>
              </w:rPr>
              <w:t>E</w:t>
            </w:r>
            <w:r w:rsidR="000B7923" w:rsidRPr="002B1DFC">
              <w:rPr>
                <w:sz w:val="20"/>
                <w:szCs w:val="20"/>
                <w:lang w:val="uk-UA"/>
              </w:rPr>
              <w:t xml:space="preserve">xceeding 20 </w:t>
            </w:r>
            <w:r w:rsidR="00246B60">
              <w:rPr>
                <w:sz w:val="20"/>
                <w:szCs w:val="20"/>
              </w:rPr>
              <w:t>T</w:t>
            </w:r>
            <w:r w:rsidR="000B7923" w:rsidRPr="002B1DFC">
              <w:rPr>
                <w:sz w:val="20"/>
                <w:szCs w:val="20"/>
                <w:lang w:val="uk-UA"/>
              </w:rPr>
              <w:t xml:space="preserve">onnes per </w:t>
            </w:r>
            <w:r w:rsidR="00246B60">
              <w:rPr>
                <w:sz w:val="20"/>
                <w:szCs w:val="20"/>
              </w:rPr>
              <w:t>D</w:t>
            </w:r>
            <w:r w:rsidR="000B7923" w:rsidRPr="002B1DFC">
              <w:rPr>
                <w:sz w:val="20"/>
                <w:szCs w:val="20"/>
                <w:lang w:val="uk-UA"/>
              </w:rPr>
              <w:t>ay</w:t>
            </w:r>
            <w:r w:rsidR="00246B60">
              <w:rPr>
                <w:sz w:val="20"/>
                <w:szCs w:val="20"/>
              </w:rPr>
              <w:t>”</w:t>
            </w:r>
          </w:p>
          <w:p w14:paraId="743C5648" w14:textId="77777777" w:rsidR="000B7923" w:rsidRPr="002B1DFC" w:rsidRDefault="000B7923" w:rsidP="00626143">
            <w:pPr>
              <w:rPr>
                <w:sz w:val="20"/>
                <w:szCs w:val="20"/>
                <w:lang w:val="uk-UA"/>
              </w:rPr>
            </w:pPr>
          </w:p>
        </w:tc>
      </w:tr>
      <w:tr w:rsidR="000B7923" w:rsidRPr="002B1DFC" w14:paraId="4C3F6162" w14:textId="77777777">
        <w:tc>
          <w:tcPr>
            <w:tcW w:w="2500" w:type="pct"/>
          </w:tcPr>
          <w:p w14:paraId="71623CB8" w14:textId="77777777" w:rsidR="000B7923" w:rsidRPr="002B1DFC" w:rsidRDefault="000B7923" w:rsidP="00626143">
            <w:pPr>
              <w:rPr>
                <w:b/>
                <w:bCs/>
                <w:sz w:val="20"/>
                <w:szCs w:val="20"/>
                <w:lang w:val="uk-UA"/>
              </w:rPr>
            </w:pPr>
            <w:r w:rsidRPr="002B1DFC">
              <w:rPr>
                <w:sz w:val="20"/>
                <w:szCs w:val="20"/>
                <w:lang w:val="uk-UA"/>
              </w:rPr>
              <w:t>Наказ Мінприроди від 21.12.2012 № 670 «Про затвердження технологічних нормативів допустимих викидів забруднюючих речовин із устаткування (установок) для плавки феросплавів з плавильною потужністю, що перевищує 20 тонн на добу»;</w:t>
            </w:r>
          </w:p>
        </w:tc>
        <w:tc>
          <w:tcPr>
            <w:tcW w:w="2500" w:type="pct"/>
          </w:tcPr>
          <w:p w14:paraId="60C04C63" w14:textId="77777777" w:rsidR="000B7923" w:rsidRPr="0061686D" w:rsidRDefault="00A471C6" w:rsidP="00626143">
            <w:pPr>
              <w:rPr>
                <w:sz w:val="20"/>
                <w:szCs w:val="20"/>
              </w:rPr>
            </w:pPr>
            <w:r>
              <w:rPr>
                <w:sz w:val="20"/>
                <w:szCs w:val="20"/>
              </w:rPr>
              <w:t>MENR Order</w:t>
            </w:r>
            <w:r w:rsidR="000B7923" w:rsidRPr="002B1DFC">
              <w:rPr>
                <w:sz w:val="20"/>
                <w:szCs w:val="20"/>
              </w:rPr>
              <w:t xml:space="preserve"> </w:t>
            </w:r>
            <w:r w:rsidR="000B7923" w:rsidRPr="002B1DFC">
              <w:rPr>
                <w:sz w:val="20"/>
                <w:szCs w:val="20"/>
                <w:lang w:val="uk-UA"/>
              </w:rPr>
              <w:t xml:space="preserve">of </w:t>
            </w:r>
            <w:r w:rsidR="00246B60">
              <w:rPr>
                <w:sz w:val="20"/>
                <w:szCs w:val="20"/>
              </w:rPr>
              <w:t xml:space="preserve">December </w:t>
            </w:r>
            <w:r w:rsidR="000B7923" w:rsidRPr="002B1DFC">
              <w:rPr>
                <w:sz w:val="20"/>
                <w:szCs w:val="20"/>
                <w:lang w:val="uk-UA"/>
              </w:rPr>
              <w:t>21</w:t>
            </w:r>
            <w:r w:rsidR="00246B60">
              <w:rPr>
                <w:sz w:val="20"/>
                <w:szCs w:val="20"/>
              </w:rPr>
              <w:t xml:space="preserve">, </w:t>
            </w:r>
            <w:r w:rsidR="000B7923" w:rsidRPr="002B1DFC">
              <w:rPr>
                <w:sz w:val="20"/>
                <w:szCs w:val="20"/>
                <w:lang w:val="uk-UA"/>
              </w:rPr>
              <w:t>2012</w:t>
            </w:r>
            <w:r w:rsidR="00246B60">
              <w:rPr>
                <w:sz w:val="20"/>
                <w:szCs w:val="20"/>
              </w:rPr>
              <w:t>,</w:t>
            </w:r>
            <w:r w:rsidR="000B7923" w:rsidRPr="002B1DFC">
              <w:rPr>
                <w:sz w:val="20"/>
                <w:szCs w:val="20"/>
                <w:lang w:val="uk-UA"/>
              </w:rPr>
              <w:t xml:space="preserve"> </w:t>
            </w:r>
            <w:r w:rsidR="006B2C60" w:rsidRPr="006B2C60">
              <w:rPr>
                <w:sz w:val="20"/>
                <w:szCs w:val="20"/>
                <w:lang w:val="uk-UA"/>
              </w:rPr>
              <w:t xml:space="preserve">No. </w:t>
            </w:r>
            <w:r w:rsidR="000B7923" w:rsidRPr="002B1DFC">
              <w:rPr>
                <w:sz w:val="20"/>
                <w:szCs w:val="20"/>
                <w:lang w:val="uk-UA"/>
              </w:rPr>
              <w:t xml:space="preserve">670 </w:t>
            </w:r>
            <w:r w:rsidR="002A54E7">
              <w:rPr>
                <w:sz w:val="20"/>
                <w:szCs w:val="20"/>
              </w:rPr>
              <w:t>“</w:t>
            </w:r>
            <w:r w:rsidR="000B7923" w:rsidRPr="002B1DFC">
              <w:rPr>
                <w:sz w:val="20"/>
                <w:szCs w:val="20"/>
                <w:lang w:val="uk-UA"/>
              </w:rPr>
              <w:t xml:space="preserve">On Approval of </w:t>
            </w:r>
            <w:r w:rsidR="002A54E7">
              <w:rPr>
                <w:sz w:val="20"/>
                <w:szCs w:val="20"/>
              </w:rPr>
              <w:t>T</w:t>
            </w:r>
            <w:r w:rsidR="000B7923" w:rsidRPr="002B1DFC">
              <w:rPr>
                <w:sz w:val="20"/>
                <w:szCs w:val="20"/>
                <w:lang w:val="uk-UA"/>
              </w:rPr>
              <w:t xml:space="preserve">echnological </w:t>
            </w:r>
            <w:r w:rsidR="002A54E7">
              <w:rPr>
                <w:sz w:val="20"/>
                <w:szCs w:val="20"/>
              </w:rPr>
              <w:t>N</w:t>
            </w:r>
            <w:r w:rsidR="000B7923" w:rsidRPr="002B1DFC">
              <w:rPr>
                <w:sz w:val="20"/>
                <w:szCs w:val="20"/>
                <w:lang w:val="uk-UA"/>
              </w:rPr>
              <w:t xml:space="preserve">orms of </w:t>
            </w:r>
            <w:r w:rsidR="002A54E7">
              <w:rPr>
                <w:sz w:val="20"/>
                <w:szCs w:val="20"/>
              </w:rPr>
              <w:t>P</w:t>
            </w:r>
            <w:r w:rsidR="000B7923" w:rsidRPr="002B1DFC">
              <w:rPr>
                <w:sz w:val="20"/>
                <w:szCs w:val="20"/>
                <w:lang w:val="uk-UA"/>
              </w:rPr>
              <w:t xml:space="preserve">ermissible </w:t>
            </w:r>
            <w:r w:rsidR="002A54E7">
              <w:rPr>
                <w:sz w:val="20"/>
                <w:szCs w:val="20"/>
              </w:rPr>
              <w:t>P</w:t>
            </w:r>
            <w:r w:rsidR="000B7923" w:rsidRPr="002B1DFC">
              <w:rPr>
                <w:sz w:val="20"/>
                <w:szCs w:val="20"/>
                <w:lang w:val="uk-UA"/>
              </w:rPr>
              <w:t xml:space="preserve">ollutant </w:t>
            </w:r>
            <w:r w:rsidR="002A54E7">
              <w:rPr>
                <w:sz w:val="20"/>
                <w:szCs w:val="20"/>
              </w:rPr>
              <w:t>E</w:t>
            </w:r>
            <w:r w:rsidR="000B7923" w:rsidRPr="002B1DFC">
              <w:rPr>
                <w:sz w:val="20"/>
                <w:szCs w:val="20"/>
                <w:lang w:val="uk-UA"/>
              </w:rPr>
              <w:t xml:space="preserve">missions of </w:t>
            </w:r>
            <w:r w:rsidR="002A54E7">
              <w:rPr>
                <w:sz w:val="20"/>
                <w:szCs w:val="20"/>
              </w:rPr>
              <w:t>E</w:t>
            </w:r>
            <w:r w:rsidR="000B7923" w:rsidRPr="002B1DFC">
              <w:rPr>
                <w:sz w:val="20"/>
                <w:szCs w:val="20"/>
                <w:lang w:val="uk-UA"/>
              </w:rPr>
              <w:t>quipment (</w:t>
            </w:r>
            <w:r w:rsidR="002A54E7">
              <w:rPr>
                <w:sz w:val="20"/>
                <w:szCs w:val="20"/>
              </w:rPr>
              <w:t>I</w:t>
            </w:r>
            <w:r w:rsidR="000B7923" w:rsidRPr="002B1DFC">
              <w:rPr>
                <w:sz w:val="20"/>
                <w:szCs w:val="20"/>
                <w:lang w:val="uk-UA"/>
              </w:rPr>
              <w:t xml:space="preserve">nstallations) for </w:t>
            </w:r>
            <w:r w:rsidR="002A54E7">
              <w:rPr>
                <w:sz w:val="20"/>
                <w:szCs w:val="20"/>
              </w:rPr>
              <w:t>M</w:t>
            </w:r>
            <w:r w:rsidR="000B7923" w:rsidRPr="002B1DFC">
              <w:rPr>
                <w:sz w:val="20"/>
                <w:szCs w:val="20"/>
                <w:lang w:val="uk-UA"/>
              </w:rPr>
              <w:t xml:space="preserve">elting </w:t>
            </w:r>
            <w:r w:rsidR="002A54E7">
              <w:rPr>
                <w:sz w:val="20"/>
                <w:szCs w:val="20"/>
              </w:rPr>
              <w:t>F</w:t>
            </w:r>
            <w:r w:rsidR="000B7923" w:rsidRPr="002B1DFC">
              <w:rPr>
                <w:sz w:val="20"/>
                <w:szCs w:val="20"/>
                <w:lang w:val="uk-UA"/>
              </w:rPr>
              <w:t xml:space="preserve">erroalloy with a </w:t>
            </w:r>
            <w:r w:rsidR="002A54E7">
              <w:rPr>
                <w:sz w:val="20"/>
                <w:szCs w:val="20"/>
              </w:rPr>
              <w:t>M</w:t>
            </w:r>
            <w:r w:rsidR="000B7923" w:rsidRPr="002B1DFC">
              <w:rPr>
                <w:sz w:val="20"/>
                <w:szCs w:val="20"/>
                <w:lang w:val="uk-UA"/>
              </w:rPr>
              <w:t xml:space="preserve">elting </w:t>
            </w:r>
            <w:r w:rsidR="002A54E7">
              <w:rPr>
                <w:sz w:val="20"/>
                <w:szCs w:val="20"/>
              </w:rPr>
              <w:t>C</w:t>
            </w:r>
            <w:r w:rsidR="000B7923" w:rsidRPr="002B1DFC">
              <w:rPr>
                <w:sz w:val="20"/>
                <w:szCs w:val="20"/>
                <w:lang w:val="uk-UA"/>
              </w:rPr>
              <w:t xml:space="preserve">apacity </w:t>
            </w:r>
            <w:r w:rsidR="002A54E7">
              <w:rPr>
                <w:sz w:val="20"/>
                <w:szCs w:val="20"/>
              </w:rPr>
              <w:t>E</w:t>
            </w:r>
            <w:r w:rsidR="000B7923" w:rsidRPr="002B1DFC">
              <w:rPr>
                <w:sz w:val="20"/>
                <w:szCs w:val="20"/>
                <w:lang w:val="uk-UA"/>
              </w:rPr>
              <w:t xml:space="preserve">xceeding 20 </w:t>
            </w:r>
            <w:r w:rsidR="002A54E7">
              <w:rPr>
                <w:sz w:val="20"/>
                <w:szCs w:val="20"/>
              </w:rPr>
              <w:t>T</w:t>
            </w:r>
            <w:r w:rsidR="000B7923" w:rsidRPr="002B1DFC">
              <w:rPr>
                <w:sz w:val="20"/>
                <w:szCs w:val="20"/>
                <w:lang w:val="uk-UA"/>
              </w:rPr>
              <w:t xml:space="preserve">onnes per </w:t>
            </w:r>
            <w:r w:rsidR="002A54E7">
              <w:rPr>
                <w:sz w:val="20"/>
                <w:szCs w:val="20"/>
              </w:rPr>
              <w:t>D</w:t>
            </w:r>
            <w:r w:rsidR="000B7923" w:rsidRPr="002B1DFC">
              <w:rPr>
                <w:sz w:val="20"/>
                <w:szCs w:val="20"/>
                <w:lang w:val="uk-UA"/>
              </w:rPr>
              <w:t>ay</w:t>
            </w:r>
            <w:r w:rsidR="002A54E7">
              <w:rPr>
                <w:sz w:val="20"/>
                <w:szCs w:val="20"/>
              </w:rPr>
              <w:t>”</w:t>
            </w:r>
          </w:p>
        </w:tc>
      </w:tr>
      <w:tr w:rsidR="000B7923" w:rsidRPr="002B1DFC" w14:paraId="1F46E106" w14:textId="77777777">
        <w:tc>
          <w:tcPr>
            <w:tcW w:w="2500" w:type="pct"/>
            <w:shd w:val="clear" w:color="auto" w:fill="DBE5F1"/>
          </w:tcPr>
          <w:p w14:paraId="3687CA43" w14:textId="77777777" w:rsidR="000B7923" w:rsidRPr="002B1DFC" w:rsidRDefault="000B7923" w:rsidP="00626143">
            <w:pPr>
              <w:rPr>
                <w:b/>
                <w:bCs/>
                <w:sz w:val="20"/>
                <w:szCs w:val="20"/>
                <w:vertAlign w:val="subscript"/>
                <w:lang w:val="uk-UA"/>
              </w:rPr>
            </w:pPr>
            <w:r w:rsidRPr="002B1DFC">
              <w:rPr>
                <w:sz w:val="20"/>
                <w:szCs w:val="20"/>
                <w:lang w:val="uk-UA"/>
              </w:rPr>
              <w:t>Наказ Мінприроди від 21.12.2012 № 671 «Про затвердження технологічних нормативів допустимих викидів забруднюючих речовин із устаткування (установок) для випалювання та агломерації металевої руди (включаючи сульфідну руду)».</w:t>
            </w:r>
          </w:p>
        </w:tc>
        <w:tc>
          <w:tcPr>
            <w:tcW w:w="2500" w:type="pct"/>
            <w:shd w:val="clear" w:color="auto" w:fill="DBE5F1"/>
          </w:tcPr>
          <w:p w14:paraId="12674821" w14:textId="77777777" w:rsidR="000B7923" w:rsidRPr="0061686D" w:rsidRDefault="00A471C6" w:rsidP="002A54E7">
            <w:pPr>
              <w:rPr>
                <w:sz w:val="20"/>
                <w:szCs w:val="20"/>
              </w:rPr>
            </w:pPr>
            <w:r>
              <w:rPr>
                <w:sz w:val="20"/>
                <w:szCs w:val="20"/>
              </w:rPr>
              <w:t>MENR Order</w:t>
            </w:r>
            <w:r w:rsidR="000B7923" w:rsidRPr="002B1DFC">
              <w:rPr>
                <w:sz w:val="20"/>
                <w:szCs w:val="20"/>
              </w:rPr>
              <w:t xml:space="preserve"> </w:t>
            </w:r>
            <w:r w:rsidR="000B7923" w:rsidRPr="002B1DFC">
              <w:rPr>
                <w:sz w:val="20"/>
                <w:szCs w:val="20"/>
                <w:lang w:val="uk-UA"/>
              </w:rPr>
              <w:t xml:space="preserve">of </w:t>
            </w:r>
            <w:r w:rsidR="002A54E7">
              <w:rPr>
                <w:sz w:val="20"/>
                <w:szCs w:val="20"/>
              </w:rPr>
              <w:t xml:space="preserve">December </w:t>
            </w:r>
            <w:r w:rsidR="000B7923" w:rsidRPr="002B1DFC">
              <w:rPr>
                <w:sz w:val="20"/>
                <w:szCs w:val="20"/>
                <w:lang w:val="uk-UA"/>
              </w:rPr>
              <w:t>21</w:t>
            </w:r>
            <w:r w:rsidR="002A54E7">
              <w:rPr>
                <w:sz w:val="20"/>
                <w:szCs w:val="20"/>
              </w:rPr>
              <w:t xml:space="preserve">, </w:t>
            </w:r>
            <w:r w:rsidR="000B7923" w:rsidRPr="002B1DFC">
              <w:rPr>
                <w:sz w:val="20"/>
                <w:szCs w:val="20"/>
                <w:lang w:val="uk-UA"/>
              </w:rPr>
              <w:t>2012</w:t>
            </w:r>
            <w:r w:rsidR="002A54E7">
              <w:rPr>
                <w:sz w:val="20"/>
                <w:szCs w:val="20"/>
              </w:rPr>
              <w:t>,</w:t>
            </w:r>
            <w:r w:rsidR="000B7923" w:rsidRPr="002B1DFC">
              <w:rPr>
                <w:sz w:val="20"/>
                <w:szCs w:val="20"/>
                <w:lang w:val="uk-UA"/>
              </w:rPr>
              <w:t xml:space="preserve"> </w:t>
            </w:r>
            <w:r w:rsidR="006B2C60" w:rsidRPr="006B2C60">
              <w:rPr>
                <w:sz w:val="20"/>
                <w:szCs w:val="20"/>
                <w:lang w:val="uk-UA"/>
              </w:rPr>
              <w:t xml:space="preserve">No. </w:t>
            </w:r>
            <w:r w:rsidR="000B7923" w:rsidRPr="002B1DFC">
              <w:rPr>
                <w:sz w:val="20"/>
                <w:szCs w:val="20"/>
                <w:lang w:val="uk-UA"/>
              </w:rPr>
              <w:t xml:space="preserve">671 </w:t>
            </w:r>
            <w:r w:rsidR="002A54E7">
              <w:rPr>
                <w:sz w:val="20"/>
                <w:szCs w:val="20"/>
              </w:rPr>
              <w:t>“</w:t>
            </w:r>
            <w:r w:rsidR="000B7923" w:rsidRPr="002B1DFC">
              <w:rPr>
                <w:sz w:val="20"/>
                <w:szCs w:val="20"/>
                <w:lang w:val="uk-UA"/>
              </w:rPr>
              <w:t xml:space="preserve">On Approval of </w:t>
            </w:r>
            <w:r w:rsidR="002A54E7">
              <w:rPr>
                <w:sz w:val="20"/>
                <w:szCs w:val="20"/>
              </w:rPr>
              <w:t>t</w:t>
            </w:r>
            <w:r w:rsidR="000B7923" w:rsidRPr="002B1DFC">
              <w:rPr>
                <w:sz w:val="20"/>
                <w:szCs w:val="20"/>
                <w:lang w:val="uk-UA"/>
              </w:rPr>
              <w:t xml:space="preserve">echnological </w:t>
            </w:r>
            <w:r w:rsidR="002A54E7">
              <w:rPr>
                <w:sz w:val="20"/>
                <w:szCs w:val="20"/>
              </w:rPr>
              <w:t>S</w:t>
            </w:r>
            <w:r w:rsidR="000B7923" w:rsidRPr="002B1DFC">
              <w:rPr>
                <w:sz w:val="20"/>
                <w:szCs w:val="20"/>
                <w:lang w:val="uk-UA"/>
              </w:rPr>
              <w:t xml:space="preserve">tandards of </w:t>
            </w:r>
            <w:r w:rsidR="002A54E7">
              <w:rPr>
                <w:sz w:val="20"/>
                <w:szCs w:val="20"/>
              </w:rPr>
              <w:t>P</w:t>
            </w:r>
            <w:r w:rsidR="000B7923" w:rsidRPr="002B1DFC">
              <w:rPr>
                <w:sz w:val="20"/>
                <w:szCs w:val="20"/>
                <w:lang w:val="uk-UA"/>
              </w:rPr>
              <w:t xml:space="preserve">ermissible </w:t>
            </w:r>
            <w:r w:rsidR="002A54E7">
              <w:rPr>
                <w:sz w:val="20"/>
                <w:szCs w:val="20"/>
              </w:rPr>
              <w:t>E</w:t>
            </w:r>
            <w:r w:rsidR="000B7923" w:rsidRPr="002B1DFC">
              <w:rPr>
                <w:sz w:val="20"/>
                <w:szCs w:val="20"/>
                <w:lang w:val="uk-UA"/>
              </w:rPr>
              <w:t xml:space="preserve">missions of </w:t>
            </w:r>
            <w:r w:rsidR="002A54E7">
              <w:rPr>
                <w:sz w:val="20"/>
                <w:szCs w:val="20"/>
              </w:rPr>
              <w:t>P</w:t>
            </w:r>
            <w:r w:rsidR="002A54E7" w:rsidRPr="002B1DFC">
              <w:rPr>
                <w:sz w:val="20"/>
                <w:szCs w:val="20"/>
                <w:lang w:val="uk-UA"/>
              </w:rPr>
              <w:t xml:space="preserve">ollutants </w:t>
            </w:r>
            <w:r w:rsidR="000B7923" w:rsidRPr="002B1DFC">
              <w:rPr>
                <w:sz w:val="20"/>
                <w:szCs w:val="20"/>
                <w:lang w:val="uk-UA"/>
              </w:rPr>
              <w:t xml:space="preserve">from </w:t>
            </w:r>
            <w:r w:rsidR="002A54E7">
              <w:rPr>
                <w:sz w:val="20"/>
                <w:szCs w:val="20"/>
              </w:rPr>
              <w:t>F</w:t>
            </w:r>
            <w:r w:rsidR="000B7923" w:rsidRPr="002B1DFC">
              <w:rPr>
                <w:sz w:val="20"/>
                <w:szCs w:val="20"/>
                <w:lang w:val="uk-UA"/>
              </w:rPr>
              <w:t>acilities (</w:t>
            </w:r>
            <w:r w:rsidR="002A54E7">
              <w:rPr>
                <w:sz w:val="20"/>
                <w:szCs w:val="20"/>
              </w:rPr>
              <w:t>P</w:t>
            </w:r>
            <w:r w:rsidR="000B7923" w:rsidRPr="002B1DFC">
              <w:rPr>
                <w:sz w:val="20"/>
                <w:szCs w:val="20"/>
                <w:lang w:val="uk-UA"/>
              </w:rPr>
              <w:t xml:space="preserve">lants) </w:t>
            </w:r>
            <w:r w:rsidR="002A54E7">
              <w:rPr>
                <w:sz w:val="20"/>
                <w:szCs w:val="20"/>
              </w:rPr>
              <w:t>R</w:t>
            </w:r>
            <w:r w:rsidR="000B7923" w:rsidRPr="002B1DFC">
              <w:rPr>
                <w:sz w:val="20"/>
                <w:szCs w:val="20"/>
                <w:lang w:val="uk-UA"/>
              </w:rPr>
              <w:t xml:space="preserve">oasting and </w:t>
            </w:r>
            <w:r w:rsidR="002A54E7">
              <w:rPr>
                <w:sz w:val="20"/>
                <w:szCs w:val="20"/>
              </w:rPr>
              <w:t>S</w:t>
            </w:r>
            <w:r w:rsidR="000B7923" w:rsidRPr="002B1DFC">
              <w:rPr>
                <w:sz w:val="20"/>
                <w:szCs w:val="20"/>
                <w:lang w:val="uk-UA"/>
              </w:rPr>
              <w:t xml:space="preserve">intering </w:t>
            </w:r>
            <w:r w:rsidR="002A54E7">
              <w:rPr>
                <w:sz w:val="20"/>
                <w:szCs w:val="20"/>
              </w:rPr>
              <w:t>M</w:t>
            </w:r>
            <w:r w:rsidR="000B7923" w:rsidRPr="002B1DFC">
              <w:rPr>
                <w:sz w:val="20"/>
                <w:szCs w:val="20"/>
                <w:lang w:val="uk-UA"/>
              </w:rPr>
              <w:t xml:space="preserve">etal </w:t>
            </w:r>
            <w:r w:rsidR="002A54E7">
              <w:rPr>
                <w:sz w:val="20"/>
                <w:szCs w:val="20"/>
              </w:rPr>
              <w:t>O</w:t>
            </w:r>
            <w:r w:rsidR="000B7923" w:rsidRPr="002B1DFC">
              <w:rPr>
                <w:sz w:val="20"/>
                <w:szCs w:val="20"/>
                <w:lang w:val="uk-UA"/>
              </w:rPr>
              <w:t>re (</w:t>
            </w:r>
            <w:r w:rsidR="002A54E7">
              <w:rPr>
                <w:sz w:val="20"/>
                <w:szCs w:val="20"/>
              </w:rPr>
              <w:t>I</w:t>
            </w:r>
            <w:r w:rsidR="000B7923" w:rsidRPr="002B1DFC">
              <w:rPr>
                <w:sz w:val="20"/>
                <w:szCs w:val="20"/>
                <w:lang w:val="uk-UA"/>
              </w:rPr>
              <w:t xml:space="preserve">ncluding </w:t>
            </w:r>
            <w:r w:rsidR="002A54E7">
              <w:rPr>
                <w:sz w:val="20"/>
                <w:szCs w:val="20"/>
              </w:rPr>
              <w:t>S</w:t>
            </w:r>
            <w:r w:rsidR="000B7923" w:rsidRPr="002B1DFC">
              <w:rPr>
                <w:sz w:val="20"/>
                <w:szCs w:val="20"/>
                <w:lang w:val="uk-UA"/>
              </w:rPr>
              <w:t>ul</w:t>
            </w:r>
            <w:r w:rsidR="002A54E7">
              <w:rPr>
                <w:sz w:val="20"/>
                <w:szCs w:val="20"/>
              </w:rPr>
              <w:t>f</w:t>
            </w:r>
            <w:r w:rsidR="000B7923" w:rsidRPr="002B1DFC">
              <w:rPr>
                <w:sz w:val="20"/>
                <w:szCs w:val="20"/>
                <w:lang w:val="uk-UA"/>
              </w:rPr>
              <w:t xml:space="preserve">ide </w:t>
            </w:r>
            <w:r w:rsidR="002A54E7">
              <w:rPr>
                <w:sz w:val="20"/>
                <w:szCs w:val="20"/>
              </w:rPr>
              <w:t>O</w:t>
            </w:r>
            <w:r w:rsidR="000B7923" w:rsidRPr="002B1DFC">
              <w:rPr>
                <w:sz w:val="20"/>
                <w:szCs w:val="20"/>
                <w:lang w:val="uk-UA"/>
              </w:rPr>
              <w:t>re)</w:t>
            </w:r>
            <w:r w:rsidR="002A54E7">
              <w:rPr>
                <w:sz w:val="20"/>
                <w:szCs w:val="20"/>
              </w:rPr>
              <w:t>”</w:t>
            </w:r>
          </w:p>
        </w:tc>
      </w:tr>
    </w:tbl>
    <w:p w14:paraId="72AC3285" w14:textId="05217821" w:rsidR="005C7E41" w:rsidRDefault="000B7923">
      <w:pPr>
        <w:jc w:val="left"/>
        <w:rPr>
          <w:rFonts w:cs="Times New Roman"/>
          <w:b/>
          <w:szCs w:val="20"/>
        </w:rPr>
      </w:pPr>
      <w:r w:rsidRPr="002B1DFC">
        <w:br w:type="page"/>
      </w:r>
    </w:p>
    <w:p w14:paraId="7D335E25" w14:textId="65ABE89D" w:rsidR="000B7923" w:rsidRPr="002B1DFC" w:rsidRDefault="000B7923" w:rsidP="007E2A38">
      <w:pPr>
        <w:pStyle w:val="Caption"/>
        <w:rPr>
          <w:noProof w:val="0"/>
          <w:lang w:val="en-US"/>
        </w:rPr>
      </w:pPr>
      <w:bookmarkStart w:id="169" w:name="_Toc440273990"/>
      <w:r w:rsidRPr="002B1DFC">
        <w:rPr>
          <w:noProof w:val="0"/>
          <w:lang w:val="en-US"/>
        </w:rPr>
        <w:lastRenderedPageBreak/>
        <w:t xml:space="preserve">Annex </w:t>
      </w:r>
      <w:r w:rsidRPr="002B1DFC">
        <w:rPr>
          <w:noProof w:val="0"/>
          <w:lang w:val="en-US"/>
        </w:rPr>
        <w:fldChar w:fldCharType="begin"/>
      </w:r>
      <w:r w:rsidRPr="002B1DFC">
        <w:rPr>
          <w:noProof w:val="0"/>
          <w:lang w:val="en-US"/>
        </w:rPr>
        <w:instrText xml:space="preserve"> SEQ Annex \* ARABIC </w:instrText>
      </w:r>
      <w:r w:rsidRPr="002B1DFC">
        <w:rPr>
          <w:noProof w:val="0"/>
          <w:lang w:val="en-US"/>
        </w:rPr>
        <w:fldChar w:fldCharType="separate"/>
      </w:r>
      <w:r w:rsidR="00356D5F">
        <w:rPr>
          <w:lang w:val="en-US"/>
        </w:rPr>
        <w:t>7</w:t>
      </w:r>
      <w:r w:rsidRPr="002B1DFC">
        <w:rPr>
          <w:noProof w:val="0"/>
          <w:lang w:val="en-US"/>
        </w:rPr>
        <w:fldChar w:fldCharType="end"/>
      </w:r>
      <w:r w:rsidRPr="002B1DFC">
        <w:rPr>
          <w:noProof w:val="0"/>
          <w:lang w:val="en-US"/>
        </w:rPr>
        <w:t>. Examples of Central and Regional Governments</w:t>
      </w:r>
      <w:r w:rsidR="006B2C60">
        <w:rPr>
          <w:noProof w:val="0"/>
          <w:lang w:val="en-US"/>
        </w:rPr>
        <w:t>’</w:t>
      </w:r>
      <w:r w:rsidRPr="002B1DFC">
        <w:rPr>
          <w:noProof w:val="0"/>
          <w:lang w:val="en-US"/>
        </w:rPr>
        <w:t xml:space="preserve"> Roles in Environmental Management</w:t>
      </w:r>
      <w:bookmarkEnd w:id="169"/>
    </w:p>
    <w:p w14:paraId="36AFAFC5" w14:textId="77777777" w:rsidR="000B7923" w:rsidRPr="002B1DFC" w:rsidRDefault="000B7923" w:rsidP="00C27D9E">
      <w:pPr>
        <w:rPr>
          <w:rFonts w:cs="Times New Roman"/>
          <w:b/>
          <w:bCs/>
        </w:rPr>
      </w:pPr>
    </w:p>
    <w:p w14:paraId="0CF6FC00" w14:textId="77777777" w:rsidR="00294A56" w:rsidRPr="00294A56" w:rsidRDefault="00294A56" w:rsidP="009761EB">
      <w:pPr>
        <w:rPr>
          <w:rFonts w:cs="Times New Roman"/>
        </w:rPr>
      </w:pPr>
      <w:r w:rsidRPr="00294A56">
        <w:rPr>
          <w:rFonts w:cs="Times New Roman"/>
          <w:b/>
          <w:bCs/>
        </w:rPr>
        <w:t>Colombia</w:t>
      </w:r>
      <w:r w:rsidRPr="00294A56">
        <w:rPr>
          <w:rFonts w:cs="Times New Roman"/>
        </w:rPr>
        <w:t xml:space="preserve">: The National Environmental System (SINA) in Colombia consists of the Ministry of Environment, Housing and Territorial Development (MAVDT) at the </w:t>
      </w:r>
      <w:r w:rsidRPr="00294A56">
        <w:rPr>
          <w:rFonts w:cs="Times New Roman"/>
          <w:u w:val="single"/>
        </w:rPr>
        <w:t>national level</w:t>
      </w:r>
      <w:r w:rsidRPr="00294A56">
        <w:rPr>
          <w:rFonts w:cs="Times New Roman"/>
        </w:rPr>
        <w:t xml:space="preserve">. The ministry was created by Law </w:t>
      </w:r>
      <w:r w:rsidR="00591FD4">
        <w:rPr>
          <w:rFonts w:cs="Times New Roman"/>
        </w:rPr>
        <w:t>No.</w:t>
      </w:r>
      <w:r w:rsidRPr="00294A56">
        <w:rPr>
          <w:rFonts w:cs="Times New Roman"/>
        </w:rPr>
        <w:t xml:space="preserve"> 99 (1993) to consolidate key environmental management functions dispersed throughout the national government. The MAVDT is responsible for overall national environmental policy formulation and coordination. At </w:t>
      </w:r>
      <w:r w:rsidRPr="00294A56">
        <w:rPr>
          <w:rFonts w:cs="Times New Roman"/>
          <w:u w:val="single"/>
        </w:rPr>
        <w:t>the regional and local levels,</w:t>
      </w:r>
      <w:r w:rsidRPr="00294A56">
        <w:rPr>
          <w:rFonts w:cs="Times New Roman"/>
        </w:rPr>
        <w:t xml:space="preserve"> SINA consists of 33 regional Autonomous Corporations (CARs) and urban environmental authorities (AAUs) responsible for environmental enforcement and water resources development, and research centers responsible for collecting and disseminating environmental data. The decentralization of environmental management to the CARs allowed the financial autonomy and facilitated local stakeholders’ participation in environmenta</w:t>
      </w:r>
      <w:r w:rsidR="008A2ACA">
        <w:rPr>
          <w:rFonts w:cs="Times New Roman"/>
        </w:rPr>
        <w:t>l governance (World Bank 2007)</w:t>
      </w:r>
      <w:r w:rsidR="009761EB">
        <w:rPr>
          <w:rFonts w:cs="Times New Roman"/>
        </w:rPr>
        <w:t>.</w:t>
      </w:r>
      <w:r w:rsidRPr="00294A56">
        <w:rPr>
          <w:rFonts w:cs="Times New Roman"/>
        </w:rPr>
        <w:t xml:space="preserve"> </w:t>
      </w:r>
    </w:p>
    <w:p w14:paraId="7A2E40E5" w14:textId="77777777" w:rsidR="00294A56" w:rsidRDefault="00294A56" w:rsidP="00C27D9E">
      <w:pPr>
        <w:rPr>
          <w:rFonts w:cs="Times New Roman"/>
          <w:b/>
          <w:bCs/>
        </w:rPr>
      </w:pPr>
    </w:p>
    <w:p w14:paraId="5B7C9A89" w14:textId="77777777" w:rsidR="000B7923" w:rsidRPr="002B1DFC" w:rsidRDefault="000B7923" w:rsidP="00C27D9E">
      <w:pPr>
        <w:rPr>
          <w:rFonts w:cs="Times New Roman"/>
        </w:rPr>
      </w:pPr>
      <w:r w:rsidRPr="002B1DFC">
        <w:rPr>
          <w:rFonts w:cs="Times New Roman"/>
          <w:b/>
          <w:bCs/>
        </w:rPr>
        <w:t>Netherlands:</w:t>
      </w:r>
      <w:r w:rsidRPr="002B1DFC">
        <w:rPr>
          <w:rFonts w:cs="Times New Roman"/>
        </w:rPr>
        <w:t xml:space="preserve"> At the </w:t>
      </w:r>
      <w:r w:rsidRPr="002B1DFC">
        <w:rPr>
          <w:rFonts w:cs="Times New Roman"/>
          <w:u w:val="single"/>
        </w:rPr>
        <w:t>central level</w:t>
      </w:r>
      <w:r w:rsidRPr="002B1DFC">
        <w:rPr>
          <w:rFonts w:cs="Times New Roman"/>
        </w:rPr>
        <w:t xml:space="preserve">, the Dutch Ministry of Environment works closely with other ministries and provincial and municipal authorities, among others, to set the national environmental policy and propose national legislation to Parliament. It also develops guidelines (white papers) for municipal and local authorities to formulate policy and regulations within their own jurisdictions. The </w:t>
      </w:r>
      <w:r w:rsidRPr="002B1DFC">
        <w:rPr>
          <w:rFonts w:cs="Times New Roman"/>
          <w:u w:val="single"/>
        </w:rPr>
        <w:t>provincial government</w:t>
      </w:r>
      <w:r w:rsidRPr="002B1DFC">
        <w:rPr>
          <w:rFonts w:cs="Times New Roman"/>
        </w:rPr>
        <w:t xml:space="preserve"> is responsible for translating guidelines into the regional context: develop regional policy and draw up regional zoning plans; granting environmental permits; enforcement of environmental regulations by large companies; stimulate the use of sustainable energy. The </w:t>
      </w:r>
      <w:r w:rsidRPr="002B1DFC">
        <w:rPr>
          <w:rFonts w:cs="Times New Roman"/>
          <w:u w:val="single"/>
        </w:rPr>
        <w:t>municipal government</w:t>
      </w:r>
      <w:r w:rsidRPr="002B1DFC">
        <w:rPr>
          <w:rFonts w:cs="Times New Roman"/>
        </w:rPr>
        <w:t xml:space="preserve"> is responsible and has the financial means to implement the national policy and strategy on environmental management: prepare local regulations and implement and enforce decisions and regulations; water quality and wastewater treatment; preparing regulations for implementing and enforcing the national environmental regulations. </w:t>
      </w:r>
    </w:p>
    <w:p w14:paraId="564151A9" w14:textId="77777777" w:rsidR="000B7923" w:rsidRPr="002B1DFC" w:rsidRDefault="000B7923" w:rsidP="00C27D9E">
      <w:pPr>
        <w:rPr>
          <w:rFonts w:cs="Times New Roman"/>
        </w:rPr>
      </w:pPr>
    </w:p>
    <w:p w14:paraId="22E69CB5" w14:textId="549C1E6E" w:rsidR="000B7923" w:rsidRPr="002B1DFC" w:rsidRDefault="000B7923">
      <w:pPr>
        <w:rPr>
          <w:rFonts w:cs="Times New Roman"/>
        </w:rPr>
      </w:pPr>
      <w:r w:rsidRPr="002B1DFC">
        <w:rPr>
          <w:rFonts w:cs="Times New Roman"/>
          <w:b/>
          <w:bCs/>
        </w:rPr>
        <w:t>Poland</w:t>
      </w:r>
      <w:r w:rsidRPr="002B1DFC">
        <w:rPr>
          <w:rFonts w:cs="Times New Roman"/>
        </w:rPr>
        <w:t xml:space="preserve">: </w:t>
      </w:r>
      <w:r w:rsidR="006B2C60">
        <w:rPr>
          <w:rFonts w:cs="Times New Roman"/>
        </w:rPr>
        <w:t>A</w:t>
      </w:r>
      <w:r w:rsidRPr="002B1DFC">
        <w:rPr>
          <w:rFonts w:cs="Times New Roman"/>
        </w:rPr>
        <w:t>t the n</w:t>
      </w:r>
      <w:r w:rsidRPr="002B1DFC">
        <w:rPr>
          <w:rFonts w:cs="Times New Roman"/>
          <w:u w:val="single"/>
        </w:rPr>
        <w:t>ational level,</w:t>
      </w:r>
      <w:r w:rsidRPr="002B1DFC">
        <w:rPr>
          <w:rFonts w:cs="Times New Roman"/>
          <w:b/>
          <w:bCs/>
          <w:i/>
          <w:iCs/>
        </w:rPr>
        <w:t xml:space="preserve"> </w:t>
      </w:r>
      <w:r w:rsidRPr="002B1DFC">
        <w:rPr>
          <w:rFonts w:cs="Times New Roman"/>
        </w:rPr>
        <w:t xml:space="preserve">the Ministry of Environment is responsible for developing national policies, legislation, and supporting and monitoring policy implementation in almost all environmental areas except land use planning; as well as water administration, policy for forest and mineral resource management. The </w:t>
      </w:r>
      <w:proofErr w:type="spellStart"/>
      <w:r w:rsidRPr="002B1DFC">
        <w:rPr>
          <w:rFonts w:cs="Times New Roman"/>
        </w:rPr>
        <w:t>MoE</w:t>
      </w:r>
      <w:proofErr w:type="spellEnd"/>
      <w:r w:rsidRPr="002B1DFC">
        <w:rPr>
          <w:rFonts w:cs="Times New Roman"/>
        </w:rPr>
        <w:t xml:space="preserve"> is responsible for two specialized organizations, and oversees the operations of the national parks, and of five central administrative authorities including the General Directorate for Environmental Protection (GDEP) and its 16 regional directorates (RDEPs). The GDEP’s main tasks are managing EIA and strategic environmental assessment (SEA) and overseeing the Natura 2000 network. The </w:t>
      </w:r>
      <w:r w:rsidRPr="002B1DFC">
        <w:rPr>
          <w:rFonts w:cs="Times New Roman"/>
          <w:u w:val="single"/>
        </w:rPr>
        <w:t>regional and local authorities</w:t>
      </w:r>
      <w:r w:rsidRPr="002B1DFC">
        <w:rPr>
          <w:rFonts w:cs="Times New Roman"/>
        </w:rPr>
        <w:t xml:space="preserve"> consist of three levels: regions (voivodships)</w:t>
      </w:r>
      <w:r w:rsidR="008A2ACA">
        <w:rPr>
          <w:rFonts w:cs="Times New Roman"/>
        </w:rPr>
        <w:t>,</w:t>
      </w:r>
      <w:r w:rsidRPr="002B1DFC">
        <w:rPr>
          <w:rFonts w:cs="Times New Roman"/>
        </w:rPr>
        <w:t xml:space="preserve"> counties (</w:t>
      </w:r>
      <w:proofErr w:type="spellStart"/>
      <w:r w:rsidRPr="002B1DFC">
        <w:rPr>
          <w:rFonts w:cs="Times New Roman"/>
        </w:rPr>
        <w:t>Powiats</w:t>
      </w:r>
      <w:proofErr w:type="spellEnd"/>
      <w:r w:rsidRPr="002B1DFC">
        <w:rPr>
          <w:rFonts w:cs="Times New Roman"/>
        </w:rPr>
        <w:t>), and municipalities (</w:t>
      </w:r>
      <w:proofErr w:type="spellStart"/>
      <w:r w:rsidRPr="002B1DFC">
        <w:rPr>
          <w:rFonts w:cs="Times New Roman"/>
        </w:rPr>
        <w:t>gminas</w:t>
      </w:r>
      <w:proofErr w:type="spellEnd"/>
      <w:r w:rsidRPr="002B1DFC">
        <w:rPr>
          <w:rFonts w:cs="Times New Roman"/>
        </w:rPr>
        <w:t xml:space="preserve">). The </w:t>
      </w:r>
      <w:r w:rsidRPr="002B1DFC">
        <w:rPr>
          <w:rFonts w:cs="Times New Roman"/>
          <w:u w:val="single"/>
        </w:rPr>
        <w:t>voivodship</w:t>
      </w:r>
      <w:r w:rsidRPr="002B1DFC">
        <w:rPr>
          <w:rFonts w:cs="Times New Roman"/>
          <w:b/>
          <w:bCs/>
        </w:rPr>
        <w:t xml:space="preserve"> </w:t>
      </w:r>
      <w:r w:rsidRPr="002B1DFC">
        <w:rPr>
          <w:rFonts w:cs="Times New Roman"/>
        </w:rPr>
        <w:t xml:space="preserve">Environmental Protection Inspectorates handle routine inspections of large polluters; deal with large generators of waste; and spatial planning and land development. </w:t>
      </w:r>
      <w:r w:rsidRPr="002B1DFC">
        <w:rPr>
          <w:rFonts w:cs="Times New Roman"/>
          <w:u w:val="single"/>
        </w:rPr>
        <w:t>County and municipality government authorities</w:t>
      </w:r>
      <w:r w:rsidRPr="002B1DFC">
        <w:rPr>
          <w:rFonts w:cs="Times New Roman"/>
        </w:rPr>
        <w:t xml:space="preserve"> issue development consents and pollution permits based on installation size; </w:t>
      </w:r>
      <w:r w:rsidRPr="002B1DFC">
        <w:rPr>
          <w:rFonts w:cs="Times New Roman"/>
          <w:u w:val="single"/>
        </w:rPr>
        <w:t>counties</w:t>
      </w:r>
      <w:r w:rsidRPr="002B1DFC">
        <w:rPr>
          <w:rFonts w:cs="Times New Roman"/>
        </w:rPr>
        <w:t xml:space="preserve"> also handle small and medium-sized waste generators; local spatial development plans; and inspecting small and medium-sized installations. </w:t>
      </w:r>
      <w:r w:rsidRPr="002B1DFC">
        <w:rPr>
          <w:rFonts w:cs="Times New Roman"/>
          <w:u w:val="single"/>
        </w:rPr>
        <w:t>Municipalities</w:t>
      </w:r>
      <w:r w:rsidRPr="002B1DFC">
        <w:rPr>
          <w:rFonts w:cs="Times New Roman"/>
        </w:rPr>
        <w:t xml:space="preserve"> are also responsible for municipal waste management; setting policy direction for local development; and in consultation with the local RDEP issuance of EIA decisions. Any disputes in responsibilities between local and regional authorities and the central government are handled by administrative courts. A key challenge for decentralization of responsibilities is insufficient funding from central level to carry out these responsibilities (OECD 2015)</w:t>
      </w:r>
      <w:r w:rsidR="00294A56">
        <w:rPr>
          <w:rFonts w:cs="Times New Roman"/>
        </w:rPr>
        <w:t>.</w:t>
      </w:r>
    </w:p>
    <w:p w14:paraId="51F5B326" w14:textId="19151347" w:rsidR="005C7E41" w:rsidRDefault="000B7923">
      <w:pPr>
        <w:jc w:val="left"/>
        <w:rPr>
          <w:rFonts w:cs="Times New Roman"/>
        </w:rPr>
      </w:pPr>
      <w:r w:rsidRPr="002B1DFC">
        <w:rPr>
          <w:rFonts w:cs="Times New Roman"/>
        </w:rPr>
        <w:br w:type="page"/>
      </w:r>
    </w:p>
    <w:p w14:paraId="04169D34" w14:textId="38BD534F" w:rsidR="000B7923" w:rsidRPr="0061686D" w:rsidRDefault="000B7923" w:rsidP="0061686D">
      <w:pPr>
        <w:spacing w:after="200" w:line="276" w:lineRule="auto"/>
        <w:jc w:val="left"/>
        <w:rPr>
          <w:b/>
        </w:rPr>
      </w:pPr>
      <w:bookmarkStart w:id="170" w:name="_Toc440273991"/>
      <w:r w:rsidRPr="0061686D">
        <w:rPr>
          <w:b/>
        </w:rPr>
        <w:lastRenderedPageBreak/>
        <w:t xml:space="preserve">Annex </w:t>
      </w:r>
      <w:r w:rsidRPr="0061686D">
        <w:rPr>
          <w:b/>
        </w:rPr>
        <w:fldChar w:fldCharType="begin"/>
      </w:r>
      <w:r w:rsidRPr="0061686D">
        <w:rPr>
          <w:b/>
        </w:rPr>
        <w:instrText xml:space="preserve"> SEQ Annex \* ARABIC </w:instrText>
      </w:r>
      <w:r w:rsidRPr="0061686D">
        <w:rPr>
          <w:b/>
        </w:rPr>
        <w:fldChar w:fldCharType="separate"/>
      </w:r>
      <w:r w:rsidR="00356D5F">
        <w:rPr>
          <w:b/>
          <w:noProof/>
        </w:rPr>
        <w:t>8</w:t>
      </w:r>
      <w:r w:rsidRPr="0061686D">
        <w:rPr>
          <w:b/>
        </w:rPr>
        <w:fldChar w:fldCharType="end"/>
      </w:r>
      <w:r w:rsidRPr="0061686D">
        <w:rPr>
          <w:b/>
        </w:rPr>
        <w:t>. List of Objects for which an EIA and SEE are Mandatory</w:t>
      </w:r>
      <w:r w:rsidR="006B2C60" w:rsidRPr="0061686D">
        <w:rPr>
          <w:b/>
        </w:rPr>
        <w:t>,</w:t>
      </w:r>
      <w:r w:rsidRPr="0061686D">
        <w:rPr>
          <w:b/>
        </w:rPr>
        <w:t xml:space="preserve"> as per CMU Decree </w:t>
      </w:r>
      <w:r w:rsidR="00410F52">
        <w:rPr>
          <w:b/>
        </w:rPr>
        <w:t xml:space="preserve">No. </w:t>
      </w:r>
      <w:r w:rsidRPr="0061686D">
        <w:rPr>
          <w:b/>
        </w:rPr>
        <w:t>808</w:t>
      </w:r>
      <w:bookmarkEnd w:id="170"/>
    </w:p>
    <w:p w14:paraId="7299985F" w14:textId="77777777" w:rsidR="00294A56" w:rsidRPr="00294A56" w:rsidRDefault="00294A56" w:rsidP="0061686D"/>
    <w:p w14:paraId="09777578"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T​</w:t>
      </w:r>
      <w:proofErr w:type="spellStart"/>
      <w:r w:rsidRPr="002B1DFC">
        <w:rPr>
          <w:rFonts w:cs="Times New Roman"/>
          <w:sz w:val="20"/>
          <w:szCs w:val="20"/>
        </w:rPr>
        <w:t>hermal</w:t>
      </w:r>
      <w:proofErr w:type="spellEnd"/>
      <w:r w:rsidRPr="002B1DFC">
        <w:rPr>
          <w:rFonts w:cs="Times New Roman"/>
          <w:sz w:val="20"/>
          <w:szCs w:val="20"/>
        </w:rPr>
        <w:t xml:space="preserve"> energy: </w:t>
      </w:r>
      <w:r w:rsidR="008A2ACA">
        <w:rPr>
          <w:rFonts w:cs="Times New Roman"/>
          <w:sz w:val="20"/>
          <w:szCs w:val="20"/>
        </w:rPr>
        <w:t>T</w:t>
      </w:r>
      <w:r w:rsidRPr="002B1DFC">
        <w:rPr>
          <w:rFonts w:cs="Times New Roman"/>
          <w:sz w:val="20"/>
          <w:szCs w:val="20"/>
        </w:rPr>
        <w:t>hermal power plants (TPP); equipment for the production of electricity, steam</w:t>
      </w:r>
      <w:r w:rsidR="008A2ACA">
        <w:rPr>
          <w:rFonts w:cs="Times New Roman"/>
          <w:sz w:val="20"/>
          <w:szCs w:val="20"/>
        </w:rPr>
        <w:t>,</w:t>
      </w:r>
      <w:r w:rsidRPr="002B1DFC">
        <w:rPr>
          <w:rFonts w:cs="Times New Roman"/>
          <w:sz w:val="20"/>
          <w:szCs w:val="20"/>
        </w:rPr>
        <w:t xml:space="preserve"> and hot water heat output of 200 </w:t>
      </w:r>
      <w:r w:rsidR="008A2ACA" w:rsidRPr="002B1DFC">
        <w:rPr>
          <w:rFonts w:cs="Times New Roman"/>
          <w:sz w:val="20"/>
          <w:szCs w:val="20"/>
        </w:rPr>
        <w:t>k</w:t>
      </w:r>
      <w:r w:rsidR="008A2ACA">
        <w:rPr>
          <w:rFonts w:cs="Times New Roman"/>
          <w:sz w:val="20"/>
          <w:szCs w:val="20"/>
        </w:rPr>
        <w:t>W</w:t>
      </w:r>
      <w:r w:rsidR="008A2ACA" w:rsidRPr="002B1DFC">
        <w:rPr>
          <w:rFonts w:cs="Times New Roman"/>
          <w:sz w:val="20"/>
          <w:szCs w:val="20"/>
        </w:rPr>
        <w:t xml:space="preserve"> </w:t>
      </w:r>
      <w:r w:rsidRPr="002B1DFC">
        <w:rPr>
          <w:rFonts w:cs="Times New Roman"/>
          <w:sz w:val="20"/>
          <w:szCs w:val="20"/>
        </w:rPr>
        <w:t>or more using fossil fuels.</w:t>
      </w:r>
    </w:p>
    <w:p w14:paraId="46E220EF"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Hydropower: </w:t>
      </w:r>
      <w:r w:rsidR="008A2ACA">
        <w:rPr>
          <w:rFonts w:cs="Times New Roman"/>
          <w:sz w:val="20"/>
          <w:szCs w:val="20"/>
        </w:rPr>
        <w:t>H</w:t>
      </w:r>
      <w:r w:rsidRPr="002B1DFC">
        <w:rPr>
          <w:rFonts w:cs="Times New Roman"/>
          <w:sz w:val="20"/>
          <w:szCs w:val="20"/>
        </w:rPr>
        <w:t>ydropower on rivers regardless of their power (including small hydropower); pumped storage power plant (PSPP).</w:t>
      </w:r>
    </w:p>
    <w:p w14:paraId="6C164E55"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Nuclear energy and the nuclear industry: </w:t>
      </w:r>
      <w:r w:rsidR="008A2ACA">
        <w:rPr>
          <w:rFonts w:cs="Times New Roman"/>
          <w:sz w:val="20"/>
          <w:szCs w:val="20"/>
        </w:rPr>
        <w:t>N</w:t>
      </w:r>
      <w:r w:rsidRPr="002B1DFC">
        <w:rPr>
          <w:rFonts w:cs="Times New Roman"/>
          <w:sz w:val="20"/>
          <w:szCs w:val="20"/>
        </w:rPr>
        <w:t>uclear installations; facilities designed for radioactive waste; uranium facilities.</w:t>
      </w:r>
    </w:p>
    <w:p w14:paraId="2EC80718"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Production of ferrous and non-ferrous metals (using non-ferrous metals, ores enriched ore or recycled materials, metallurgical, chemical</w:t>
      </w:r>
      <w:r w:rsidR="00781B71">
        <w:rPr>
          <w:rFonts w:cs="Times New Roman"/>
          <w:sz w:val="20"/>
          <w:szCs w:val="20"/>
        </w:rPr>
        <w:t>,</w:t>
      </w:r>
      <w:r w:rsidRPr="002B1DFC">
        <w:rPr>
          <w:rFonts w:cs="Times New Roman"/>
          <w:sz w:val="20"/>
          <w:szCs w:val="20"/>
        </w:rPr>
        <w:t xml:space="preserve"> or electrolytic processes).</w:t>
      </w:r>
    </w:p>
    <w:p w14:paraId="4AC4F311" w14:textId="77777777" w:rsidR="000B7923" w:rsidRPr="002B1DFC" w:rsidRDefault="000B7923" w:rsidP="009561D6">
      <w:pPr>
        <w:pStyle w:val="ListParagraph"/>
        <w:numPr>
          <w:ilvl w:val="1"/>
          <w:numId w:val="4"/>
        </w:numPr>
        <w:ind w:left="288"/>
        <w:rPr>
          <w:rFonts w:cs="Times New Roman"/>
          <w:sz w:val="20"/>
          <w:szCs w:val="20"/>
        </w:rPr>
      </w:pPr>
      <w:r w:rsidRPr="002B1DFC">
        <w:rPr>
          <w:rFonts w:cs="Times New Roman"/>
          <w:sz w:val="20"/>
          <w:szCs w:val="20"/>
        </w:rPr>
        <w:t xml:space="preserve">Items engineering and metalworking, except to companies </w:t>
      </w:r>
      <w:r w:rsidR="008A2ACA">
        <w:rPr>
          <w:rFonts w:cs="Times New Roman"/>
          <w:sz w:val="20"/>
          <w:szCs w:val="20"/>
        </w:rPr>
        <w:t>without</w:t>
      </w:r>
      <w:r w:rsidRPr="002B1DFC">
        <w:rPr>
          <w:rFonts w:cs="Times New Roman"/>
          <w:sz w:val="20"/>
          <w:szCs w:val="20"/>
        </w:rPr>
        <w:t xml:space="preserve"> chemical processing workshops.</w:t>
      </w:r>
    </w:p>
    <w:p w14:paraId="00ADBABB" w14:textId="77777777" w:rsidR="000B7923" w:rsidRPr="002B1DFC" w:rsidRDefault="000B7923" w:rsidP="00D072BB">
      <w:pPr>
        <w:pStyle w:val="ListParagraph"/>
        <w:numPr>
          <w:ilvl w:val="1"/>
          <w:numId w:val="4"/>
        </w:numPr>
        <w:ind w:left="288"/>
        <w:rPr>
          <w:rFonts w:cs="Times New Roman"/>
          <w:sz w:val="20"/>
          <w:szCs w:val="20"/>
        </w:rPr>
      </w:pPr>
      <w:r w:rsidRPr="002B1DFC">
        <w:rPr>
          <w:rFonts w:cs="Times New Roman"/>
          <w:sz w:val="20"/>
          <w:szCs w:val="20"/>
        </w:rPr>
        <w:t xml:space="preserve">Extraction of minerals, except minerals of local importance, </w:t>
      </w:r>
      <w:r w:rsidR="00D072BB">
        <w:rPr>
          <w:rFonts w:cs="Times New Roman"/>
          <w:sz w:val="20"/>
          <w:szCs w:val="20"/>
        </w:rPr>
        <w:t xml:space="preserve">that </w:t>
      </w:r>
      <w:r w:rsidRPr="002B1DFC">
        <w:rPr>
          <w:rFonts w:cs="Times New Roman"/>
          <w:sz w:val="20"/>
          <w:szCs w:val="20"/>
        </w:rPr>
        <w:t>are extracted</w:t>
      </w:r>
      <w:r w:rsidR="008A2ACA">
        <w:rPr>
          <w:rFonts w:cs="Times New Roman"/>
          <w:sz w:val="20"/>
          <w:szCs w:val="20"/>
        </w:rPr>
        <w:t xml:space="preserve"> by</w:t>
      </w:r>
      <w:r w:rsidRPr="002B1DFC">
        <w:rPr>
          <w:rFonts w:cs="Times New Roman"/>
          <w:sz w:val="20"/>
          <w:szCs w:val="20"/>
        </w:rPr>
        <w:t xml:space="preserve"> landowners and land users within their land for commercial and domestic use.</w:t>
      </w:r>
      <w:r w:rsidR="008A2ACA">
        <w:rPr>
          <w:rFonts w:cs="Times New Roman"/>
          <w:sz w:val="20"/>
          <w:szCs w:val="20"/>
        </w:rPr>
        <w:t xml:space="preserve"> </w:t>
      </w:r>
    </w:p>
    <w:p w14:paraId="23E14C76"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Processing of minerals.</w:t>
      </w:r>
    </w:p>
    <w:p w14:paraId="153F0B03"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Production of building materials (cement, asphalt, glass, </w:t>
      </w:r>
      <w:r w:rsidR="008A2ACA">
        <w:rPr>
          <w:rFonts w:cs="Times New Roman"/>
          <w:sz w:val="20"/>
          <w:szCs w:val="20"/>
        </w:rPr>
        <w:t xml:space="preserve">and </w:t>
      </w:r>
      <w:r w:rsidRPr="002B1DFC">
        <w:rPr>
          <w:rFonts w:cs="Times New Roman"/>
          <w:sz w:val="20"/>
          <w:szCs w:val="20"/>
        </w:rPr>
        <w:t>insulation, including extruded polystyrene).</w:t>
      </w:r>
    </w:p>
    <w:p w14:paraId="2E961D4A"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Chemical production (including production of basic chemicals, chemical and biological, biotechnological, pharmaceutical production, the production of crop protection products, their growth regulators, fertilizers, polymers and Polymer materials, nanomaterials production and storage capacity of over 10 tons per year of chemical storage products (basic and consumable stores, storage, databases) regardless of the methods and volume of production, companies from extraction, manufacture and processing of asbestos, asbestos products (asbestos cement production capacity of over 20 thousand. tons a year of friction materials - more than 50 tons per year finished products, other products - more than 200 tons per year).</w:t>
      </w:r>
    </w:p>
    <w:p w14:paraId="4FEE5BA3"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Manufacture, storage, disposal</w:t>
      </w:r>
      <w:r w:rsidR="00C21384">
        <w:rPr>
          <w:rFonts w:cs="Times New Roman"/>
          <w:sz w:val="20"/>
          <w:szCs w:val="20"/>
        </w:rPr>
        <w:t>,</w:t>
      </w:r>
      <w:r w:rsidRPr="002B1DFC">
        <w:rPr>
          <w:rFonts w:cs="Times New Roman"/>
          <w:sz w:val="20"/>
          <w:szCs w:val="20"/>
        </w:rPr>
        <w:t xml:space="preserve"> and destruction of all types of ammunition, explosives</w:t>
      </w:r>
      <w:r w:rsidR="00C21384">
        <w:rPr>
          <w:rFonts w:cs="Times New Roman"/>
          <w:sz w:val="20"/>
          <w:szCs w:val="20"/>
        </w:rPr>
        <w:t>,</w:t>
      </w:r>
      <w:r w:rsidRPr="002B1DFC">
        <w:rPr>
          <w:rFonts w:cs="Times New Roman"/>
          <w:sz w:val="20"/>
          <w:szCs w:val="20"/>
        </w:rPr>
        <w:t xml:space="preserve"> and rocket fuel and other toxic chemicals.</w:t>
      </w:r>
    </w:p>
    <w:p w14:paraId="063E63CF"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Waste management: </w:t>
      </w:r>
      <w:r w:rsidR="008A2ACA">
        <w:rPr>
          <w:rFonts w:cs="Times New Roman"/>
          <w:sz w:val="20"/>
          <w:szCs w:val="20"/>
        </w:rPr>
        <w:t>H</w:t>
      </w:r>
      <w:r w:rsidR="008A2ACA" w:rsidRPr="002B1DFC">
        <w:rPr>
          <w:rFonts w:cs="Times New Roman"/>
          <w:sz w:val="20"/>
          <w:szCs w:val="20"/>
        </w:rPr>
        <w:t xml:space="preserve">azardous </w:t>
      </w:r>
      <w:r w:rsidRPr="002B1DFC">
        <w:rPr>
          <w:rFonts w:cs="Times New Roman"/>
          <w:sz w:val="20"/>
          <w:szCs w:val="20"/>
        </w:rPr>
        <w:t>waste (collection, transportation, sorting, storage, handling, processing, disposal, removal, disposal</w:t>
      </w:r>
      <w:r w:rsidR="00C21384">
        <w:rPr>
          <w:rFonts w:cs="Times New Roman"/>
          <w:sz w:val="20"/>
          <w:szCs w:val="20"/>
        </w:rPr>
        <w:t>,</w:t>
      </w:r>
      <w:r w:rsidRPr="002B1DFC">
        <w:rPr>
          <w:rFonts w:cs="Times New Roman"/>
          <w:sz w:val="20"/>
          <w:szCs w:val="20"/>
        </w:rPr>
        <w:t xml:space="preserve"> and disposal); household waste (treatment, processing, recycling, disposal</w:t>
      </w:r>
      <w:r w:rsidR="00C21384">
        <w:rPr>
          <w:rFonts w:cs="Times New Roman"/>
          <w:sz w:val="20"/>
          <w:szCs w:val="20"/>
        </w:rPr>
        <w:t>,</w:t>
      </w:r>
      <w:r w:rsidRPr="002B1DFC">
        <w:rPr>
          <w:rFonts w:cs="Times New Roman"/>
          <w:sz w:val="20"/>
          <w:szCs w:val="20"/>
        </w:rPr>
        <w:t xml:space="preserve"> and disposal).</w:t>
      </w:r>
    </w:p>
    <w:p w14:paraId="2287A111"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Manufacture of pulp, paper</w:t>
      </w:r>
      <w:r w:rsidR="00C21384">
        <w:rPr>
          <w:rFonts w:cs="Times New Roman"/>
          <w:sz w:val="20"/>
          <w:szCs w:val="20"/>
        </w:rPr>
        <w:t>,</w:t>
      </w:r>
      <w:r w:rsidRPr="002B1DFC">
        <w:rPr>
          <w:rFonts w:cs="Times New Roman"/>
          <w:sz w:val="20"/>
          <w:szCs w:val="20"/>
        </w:rPr>
        <w:t xml:space="preserve"> and board from any material.</w:t>
      </w:r>
    </w:p>
    <w:p w14:paraId="483ACABD"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New construction, reconstruction, restoration, </w:t>
      </w:r>
      <w:r w:rsidR="00C21384">
        <w:rPr>
          <w:rFonts w:cs="Times New Roman"/>
          <w:sz w:val="20"/>
          <w:szCs w:val="20"/>
        </w:rPr>
        <w:t xml:space="preserve">and </w:t>
      </w:r>
      <w:r w:rsidRPr="002B1DFC">
        <w:rPr>
          <w:rFonts w:cs="Times New Roman"/>
          <w:sz w:val="20"/>
          <w:szCs w:val="20"/>
        </w:rPr>
        <w:t>overhaul: railway stations, railways and buildings; underground, subway lines ground as a complex including depot with complex structures maintenance; tramways, suspended lines (cable cars) or similar lines, used for the carriage of passengers, including depot with complex structures maintenance and repair of rolling stock; vehicle parks (trucking companies with complex structures for maintenance and repair); service stations, which include coloring chamber, washing, and those undergoing repair and testing of diesel engines and automotive body repair using the methods of chemical treatment of surface; airports and airfields with basic runway length of 2,100 meters or more; highways, motorways and express roads of state and local significance of all categories with four or more lanes, or realignment and / or widening of existing lanes to four and more subject to continuous lengths of 10 kilometers or more; sea ​​and river ports, piers for loading and unloading (excluding ferry piers); specialized transport terminals; deep-water passages, including the natural river beds, special channels on land and in shallow marine waters; main product pipelines (pipelines for transporting gas, ammonia, oil or chemicals).</w:t>
      </w:r>
    </w:p>
    <w:p w14:paraId="12808C08"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Manufacture of wood (chemical processing of wood, wood-based panels, woodworking production using synthetic resins, </w:t>
      </w:r>
      <w:r w:rsidR="008A2ACA">
        <w:rPr>
          <w:rFonts w:cs="Times New Roman"/>
          <w:sz w:val="20"/>
          <w:szCs w:val="20"/>
        </w:rPr>
        <w:t xml:space="preserve">and </w:t>
      </w:r>
      <w:r w:rsidRPr="002B1DFC">
        <w:rPr>
          <w:rFonts w:cs="Times New Roman"/>
          <w:sz w:val="20"/>
          <w:szCs w:val="20"/>
        </w:rPr>
        <w:t>wood</w:t>
      </w:r>
      <w:r w:rsidR="008A2ACA">
        <w:rPr>
          <w:rFonts w:cs="Times New Roman"/>
          <w:sz w:val="20"/>
          <w:szCs w:val="20"/>
        </w:rPr>
        <w:t>-</w:t>
      </w:r>
      <w:r w:rsidRPr="002B1DFC">
        <w:rPr>
          <w:rFonts w:cs="Times New Roman"/>
          <w:sz w:val="20"/>
          <w:szCs w:val="20"/>
        </w:rPr>
        <w:t>preservation impregnation).</w:t>
      </w:r>
    </w:p>
    <w:p w14:paraId="6888BA70"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New construction, reconstruction, restoration, overhaul: </w:t>
      </w:r>
      <w:r w:rsidR="008A2ACA">
        <w:rPr>
          <w:rFonts w:cs="Times New Roman"/>
          <w:sz w:val="20"/>
          <w:szCs w:val="20"/>
        </w:rPr>
        <w:t>I</w:t>
      </w:r>
      <w:r w:rsidRPr="002B1DFC">
        <w:rPr>
          <w:rFonts w:cs="Times New Roman"/>
          <w:sz w:val="20"/>
          <w:szCs w:val="20"/>
        </w:rPr>
        <w:t>ntake of surface and groundwater for water supply system of settlements, industrial enterprises; Water treatment plants of drinking water; water supply and drainage networks over 1</w:t>
      </w:r>
      <w:r w:rsidR="008A2ACA">
        <w:rPr>
          <w:rFonts w:cs="Times New Roman"/>
          <w:sz w:val="20"/>
          <w:szCs w:val="20"/>
        </w:rPr>
        <w:t>,</w:t>
      </w:r>
      <w:r w:rsidRPr="002B1DFC">
        <w:rPr>
          <w:rFonts w:cs="Times New Roman"/>
          <w:sz w:val="20"/>
          <w:szCs w:val="20"/>
        </w:rPr>
        <w:t>000 mm in diameter; sewage pumping systems for insulated underground aquifers; reverse water use, allocation, processing (preparation) and reset mine, quarry, drainage water; treatment plants, discharge of treated sewage into water bodies; reservoirs.</w:t>
      </w:r>
    </w:p>
    <w:p w14:paraId="606548FB"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Clearing and dredging of </w:t>
      </w:r>
      <w:r w:rsidR="008A2ACA">
        <w:rPr>
          <w:rFonts w:cs="Times New Roman"/>
          <w:sz w:val="20"/>
          <w:szCs w:val="20"/>
        </w:rPr>
        <w:t xml:space="preserve">the </w:t>
      </w:r>
      <w:r w:rsidRPr="002B1DFC">
        <w:rPr>
          <w:rFonts w:cs="Times New Roman"/>
          <w:sz w:val="20"/>
          <w:szCs w:val="20"/>
        </w:rPr>
        <w:t>channel</w:t>
      </w:r>
      <w:r w:rsidR="008A2ACA">
        <w:rPr>
          <w:rFonts w:cs="Times New Roman"/>
          <w:sz w:val="20"/>
          <w:szCs w:val="20"/>
        </w:rPr>
        <w:t>s</w:t>
      </w:r>
      <w:r w:rsidRPr="002B1DFC">
        <w:rPr>
          <w:rFonts w:cs="Times New Roman"/>
          <w:sz w:val="20"/>
          <w:szCs w:val="20"/>
        </w:rPr>
        <w:t xml:space="preserve"> and the bottom of rivers</w:t>
      </w:r>
      <w:r w:rsidR="008A2ACA">
        <w:rPr>
          <w:rFonts w:cs="Times New Roman"/>
          <w:sz w:val="20"/>
          <w:szCs w:val="20"/>
        </w:rPr>
        <w:t>,</w:t>
      </w:r>
      <w:r w:rsidRPr="002B1DFC">
        <w:rPr>
          <w:rFonts w:cs="Times New Roman"/>
          <w:sz w:val="20"/>
          <w:szCs w:val="20"/>
        </w:rPr>
        <w:t xml:space="preserve"> and their coastal protection and stabilization.</w:t>
      </w:r>
    </w:p>
    <w:p w14:paraId="28ADAD69"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Public works that involve the extraction of sand and gravel, laying cables, pipelines and other facilities on the lands of water fund.</w:t>
      </w:r>
    </w:p>
    <w:p w14:paraId="29E26206"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Work on redistribution of runoff between basins.</w:t>
      </w:r>
    </w:p>
    <w:p w14:paraId="6CD74197"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Storage, processing</w:t>
      </w:r>
      <w:r w:rsidR="008A2ACA">
        <w:rPr>
          <w:rFonts w:cs="Times New Roman"/>
          <w:sz w:val="20"/>
          <w:szCs w:val="20"/>
        </w:rPr>
        <w:t>,</w:t>
      </w:r>
      <w:r w:rsidRPr="002B1DFC">
        <w:rPr>
          <w:rFonts w:cs="Times New Roman"/>
          <w:sz w:val="20"/>
          <w:szCs w:val="20"/>
        </w:rPr>
        <w:t xml:space="preserve"> and transportation of hydrocarbons (natural gas, gas shale strata, gas dissolved in oil, gas central-basin type, gas (methane) of coal deposits, condensate, oil, bitumen, oil, liquefied natural gas), as well as technical decisions on gas population and industrial enterprises.</w:t>
      </w:r>
    </w:p>
    <w:p w14:paraId="18FC2DA7"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Oil refineries (excluding undertakings </w:t>
      </w:r>
      <w:r w:rsidR="008A2ACA">
        <w:rPr>
          <w:rFonts w:cs="Times New Roman"/>
          <w:sz w:val="20"/>
          <w:szCs w:val="20"/>
        </w:rPr>
        <w:t xml:space="preserve">for </w:t>
      </w:r>
      <w:r w:rsidRPr="002B1DFC">
        <w:rPr>
          <w:rFonts w:cs="Times New Roman"/>
          <w:sz w:val="20"/>
          <w:szCs w:val="20"/>
        </w:rPr>
        <w:t>manufacturing only lubricants from crude oil) and equipment for the gasification and liquefaction of coal or bituminous shale.</w:t>
      </w:r>
    </w:p>
    <w:p w14:paraId="1D701372"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lastRenderedPageBreak/>
        <w:t xml:space="preserve">Petrol stations and complexes, compressor stations, </w:t>
      </w:r>
      <w:r w:rsidR="008A2ACA">
        <w:rPr>
          <w:rFonts w:cs="Times New Roman"/>
          <w:sz w:val="20"/>
          <w:szCs w:val="20"/>
        </w:rPr>
        <w:t xml:space="preserve">and </w:t>
      </w:r>
      <w:r w:rsidRPr="002B1DFC">
        <w:rPr>
          <w:rFonts w:cs="Times New Roman"/>
          <w:sz w:val="20"/>
          <w:szCs w:val="20"/>
        </w:rPr>
        <w:t>LPG filling stations.</w:t>
      </w:r>
    </w:p>
    <w:p w14:paraId="6FA6C398"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New construction</w:t>
      </w:r>
      <w:r w:rsidR="008A2ACA">
        <w:rPr>
          <w:rFonts w:cs="Times New Roman"/>
          <w:sz w:val="20"/>
          <w:szCs w:val="20"/>
        </w:rPr>
        <w:t xml:space="preserve"> and</w:t>
      </w:r>
      <w:r w:rsidRPr="002B1DFC">
        <w:rPr>
          <w:rFonts w:cs="Times New Roman"/>
          <w:sz w:val="20"/>
          <w:szCs w:val="20"/>
        </w:rPr>
        <w:t xml:space="preserve"> reconstruction of the main waterworks of all kinds.</w:t>
      </w:r>
    </w:p>
    <w:p w14:paraId="6BAA8D7C"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Livestock, poultry</w:t>
      </w:r>
      <w:r w:rsidR="008A2ACA">
        <w:rPr>
          <w:rFonts w:cs="Times New Roman"/>
          <w:sz w:val="20"/>
          <w:szCs w:val="20"/>
        </w:rPr>
        <w:t>,</w:t>
      </w:r>
      <w:r w:rsidRPr="002B1DFC">
        <w:rPr>
          <w:rFonts w:cs="Times New Roman"/>
          <w:sz w:val="20"/>
          <w:szCs w:val="20"/>
        </w:rPr>
        <w:t xml:space="preserve"> and fisheries: </w:t>
      </w:r>
      <w:r w:rsidR="008A2ACA">
        <w:rPr>
          <w:rFonts w:cs="Times New Roman"/>
          <w:sz w:val="20"/>
          <w:szCs w:val="20"/>
        </w:rPr>
        <w:t>L</w:t>
      </w:r>
      <w:r w:rsidRPr="002B1DFC">
        <w:rPr>
          <w:rFonts w:cs="Times New Roman"/>
          <w:sz w:val="20"/>
          <w:szCs w:val="20"/>
        </w:rPr>
        <w:t>ivestock complexes for growing pigs (5</w:t>
      </w:r>
      <w:r w:rsidR="008A2ACA">
        <w:rPr>
          <w:rFonts w:cs="Times New Roman"/>
          <w:sz w:val="20"/>
          <w:szCs w:val="20"/>
        </w:rPr>
        <w:t>,000</w:t>
      </w:r>
      <w:r w:rsidRPr="002B1DFC">
        <w:rPr>
          <w:rFonts w:cs="Times New Roman"/>
          <w:sz w:val="20"/>
          <w:szCs w:val="20"/>
        </w:rPr>
        <w:t xml:space="preserve"> and more), cattle (2</w:t>
      </w:r>
      <w:r w:rsidR="008A2ACA">
        <w:rPr>
          <w:rFonts w:cs="Times New Roman"/>
          <w:sz w:val="20"/>
          <w:szCs w:val="20"/>
        </w:rPr>
        <w:t>,000</w:t>
      </w:r>
      <w:r w:rsidRPr="002B1DFC">
        <w:rPr>
          <w:rFonts w:cs="Times New Roman"/>
          <w:sz w:val="20"/>
          <w:szCs w:val="20"/>
        </w:rPr>
        <w:t xml:space="preserve"> and more), fur animals (3</w:t>
      </w:r>
      <w:r w:rsidR="008A2ACA">
        <w:rPr>
          <w:rFonts w:cs="Times New Roman"/>
          <w:sz w:val="20"/>
          <w:szCs w:val="20"/>
        </w:rPr>
        <w:t>,000</w:t>
      </w:r>
      <w:r w:rsidRPr="002B1DFC">
        <w:rPr>
          <w:rFonts w:cs="Times New Roman"/>
          <w:sz w:val="20"/>
          <w:szCs w:val="20"/>
        </w:rPr>
        <w:t xml:space="preserve"> and more), birds (60</w:t>
      </w:r>
      <w:r w:rsidR="008A2ACA">
        <w:rPr>
          <w:rFonts w:cs="Times New Roman"/>
          <w:sz w:val="20"/>
          <w:szCs w:val="20"/>
        </w:rPr>
        <w:t>,000</w:t>
      </w:r>
      <w:r w:rsidRPr="002B1DFC">
        <w:rPr>
          <w:rFonts w:cs="Times New Roman"/>
          <w:sz w:val="20"/>
          <w:szCs w:val="20"/>
        </w:rPr>
        <w:t xml:space="preserve"> laying hens and </w:t>
      </w:r>
      <w:r w:rsidR="008A2ACA">
        <w:rPr>
          <w:rFonts w:cs="Times New Roman"/>
          <w:sz w:val="20"/>
          <w:szCs w:val="20"/>
        </w:rPr>
        <w:t>more, or</w:t>
      </w:r>
      <w:r w:rsidRPr="002B1DFC">
        <w:rPr>
          <w:rFonts w:cs="Times New Roman"/>
          <w:sz w:val="20"/>
          <w:szCs w:val="20"/>
        </w:rPr>
        <w:t xml:space="preserve"> 85</w:t>
      </w:r>
      <w:r w:rsidR="008A2ACA">
        <w:rPr>
          <w:rFonts w:cs="Times New Roman"/>
          <w:sz w:val="20"/>
          <w:szCs w:val="20"/>
        </w:rPr>
        <w:t>,000</w:t>
      </w:r>
      <w:r w:rsidRPr="002B1DFC">
        <w:rPr>
          <w:rFonts w:cs="Times New Roman"/>
          <w:sz w:val="20"/>
          <w:szCs w:val="20"/>
        </w:rPr>
        <w:t xml:space="preserve"> chickens and more); meat processing and meat processing companies; in production (installation) of the processing and disposal of animal waste, including poultry farming, </w:t>
      </w:r>
      <w:r w:rsidR="008A2ACA">
        <w:rPr>
          <w:rFonts w:cs="Times New Roman"/>
          <w:sz w:val="20"/>
          <w:szCs w:val="20"/>
        </w:rPr>
        <w:t xml:space="preserve">and </w:t>
      </w:r>
      <w:r w:rsidRPr="002B1DFC">
        <w:rPr>
          <w:rFonts w:cs="Times New Roman"/>
          <w:sz w:val="20"/>
          <w:szCs w:val="20"/>
        </w:rPr>
        <w:t xml:space="preserve">fish culture; </w:t>
      </w:r>
      <w:r w:rsidR="008A2ACA">
        <w:rPr>
          <w:rFonts w:cs="Times New Roman"/>
          <w:sz w:val="20"/>
          <w:szCs w:val="20"/>
        </w:rPr>
        <w:t xml:space="preserve">and the </w:t>
      </w:r>
      <w:r w:rsidRPr="002B1DFC">
        <w:rPr>
          <w:rFonts w:cs="Times New Roman"/>
          <w:sz w:val="20"/>
          <w:szCs w:val="20"/>
        </w:rPr>
        <w:t>operation of leather</w:t>
      </w:r>
      <w:r w:rsidR="008A2ACA">
        <w:rPr>
          <w:rFonts w:cs="Times New Roman"/>
          <w:sz w:val="20"/>
          <w:szCs w:val="20"/>
        </w:rPr>
        <w:t xml:space="preserve"> tanneries</w:t>
      </w:r>
      <w:r w:rsidRPr="002B1DFC">
        <w:rPr>
          <w:rFonts w:cs="Times New Roman"/>
          <w:sz w:val="20"/>
          <w:szCs w:val="20"/>
        </w:rPr>
        <w:t>.</w:t>
      </w:r>
    </w:p>
    <w:p w14:paraId="0902C436"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Manufacturing in the light industry, which provides dyeing and processing chemicals.</w:t>
      </w:r>
    </w:p>
    <w:p w14:paraId="4A2E1053"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Production of carbon and </w:t>
      </w:r>
      <w:proofErr w:type="spellStart"/>
      <w:r w:rsidRPr="002B1DFC">
        <w:rPr>
          <w:rFonts w:cs="Times New Roman"/>
          <w:sz w:val="20"/>
          <w:szCs w:val="20"/>
        </w:rPr>
        <w:t>electrographite</w:t>
      </w:r>
      <w:proofErr w:type="spellEnd"/>
      <w:r w:rsidRPr="002B1DFC">
        <w:rPr>
          <w:rFonts w:cs="Times New Roman"/>
          <w:sz w:val="20"/>
          <w:szCs w:val="20"/>
        </w:rPr>
        <w:t>.</w:t>
      </w:r>
    </w:p>
    <w:p w14:paraId="64352FA5"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Radio objects (radio transmitting, radio and TV, radar stations, digital radio relay stations, </w:t>
      </w:r>
      <w:r w:rsidR="008A2ACA">
        <w:rPr>
          <w:rFonts w:cs="Times New Roman"/>
          <w:sz w:val="20"/>
          <w:szCs w:val="20"/>
        </w:rPr>
        <w:t xml:space="preserve">and </w:t>
      </w:r>
      <w:r w:rsidRPr="002B1DFC">
        <w:rPr>
          <w:rFonts w:cs="Times New Roman"/>
          <w:sz w:val="20"/>
          <w:szCs w:val="20"/>
        </w:rPr>
        <w:t>base stations of cellular communication).</w:t>
      </w:r>
    </w:p>
    <w:p w14:paraId="6771B191"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Power lines (air</w:t>
      </w:r>
      <w:r w:rsidR="008A2ACA">
        <w:rPr>
          <w:rFonts w:cs="Times New Roman"/>
          <w:sz w:val="20"/>
          <w:szCs w:val="20"/>
        </w:rPr>
        <w:t xml:space="preserve"> and</w:t>
      </w:r>
      <w:r w:rsidRPr="002B1DFC">
        <w:rPr>
          <w:rFonts w:cs="Times New Roman"/>
          <w:sz w:val="20"/>
          <w:szCs w:val="20"/>
        </w:rPr>
        <w:t xml:space="preserve"> cable) and substations with voltage of 330 kW or more.</w:t>
      </w:r>
    </w:p>
    <w:p w14:paraId="0FB605B5"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Installations for surface treatment of metals, wood, plastics using organic solvents, in particular for dressing, printing, coating, degreasing, waterproofing, sizing, painting, cleaning</w:t>
      </w:r>
      <w:r w:rsidR="008A2ACA">
        <w:rPr>
          <w:rFonts w:cs="Times New Roman"/>
          <w:sz w:val="20"/>
          <w:szCs w:val="20"/>
        </w:rPr>
        <w:t>,</w:t>
      </w:r>
      <w:r w:rsidRPr="002B1DFC">
        <w:rPr>
          <w:rFonts w:cs="Times New Roman"/>
          <w:sz w:val="20"/>
          <w:szCs w:val="20"/>
        </w:rPr>
        <w:t xml:space="preserve"> or saturation.</w:t>
      </w:r>
    </w:p>
    <w:p w14:paraId="5505B829"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Cutting down </w:t>
      </w:r>
      <w:r w:rsidR="008A2ACA">
        <w:rPr>
          <w:rFonts w:cs="Times New Roman"/>
          <w:sz w:val="20"/>
          <w:szCs w:val="20"/>
        </w:rPr>
        <w:t>of</w:t>
      </w:r>
      <w:r w:rsidR="008A2ACA" w:rsidRPr="002B1DFC">
        <w:rPr>
          <w:rFonts w:cs="Times New Roman"/>
          <w:sz w:val="20"/>
          <w:szCs w:val="20"/>
        </w:rPr>
        <w:t xml:space="preserve"> </w:t>
      </w:r>
      <w:r w:rsidRPr="002B1DFC">
        <w:rPr>
          <w:rFonts w:cs="Times New Roman"/>
          <w:sz w:val="20"/>
          <w:szCs w:val="20"/>
        </w:rPr>
        <w:t>tree-shrub vegetation (except cutting associated with forestry) in an area of ​​over 0.12 hectares.</w:t>
      </w:r>
    </w:p>
    <w:p w14:paraId="5776DAB4"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New construction of economic activity (excluding forestry) in security zones of territories and objects </w:t>
      </w:r>
      <w:r w:rsidR="008A2ACA">
        <w:rPr>
          <w:rFonts w:cs="Times New Roman"/>
          <w:sz w:val="20"/>
          <w:szCs w:val="20"/>
        </w:rPr>
        <w:t xml:space="preserve">of </w:t>
      </w:r>
      <w:r w:rsidRPr="002B1DFC">
        <w:rPr>
          <w:rFonts w:cs="Times New Roman"/>
          <w:sz w:val="20"/>
          <w:szCs w:val="20"/>
        </w:rPr>
        <w:t xml:space="preserve">natural reserve fund, in areas adjacent to water protection zones, coastal strips of water objects, </w:t>
      </w:r>
      <w:r w:rsidR="008A2ACA">
        <w:rPr>
          <w:rFonts w:cs="Times New Roman"/>
          <w:sz w:val="20"/>
          <w:szCs w:val="20"/>
        </w:rPr>
        <w:t xml:space="preserve">and </w:t>
      </w:r>
      <w:r w:rsidRPr="002B1DFC">
        <w:rPr>
          <w:rFonts w:cs="Times New Roman"/>
          <w:sz w:val="20"/>
          <w:szCs w:val="20"/>
        </w:rPr>
        <w:t>sanitary protection zones.</w:t>
      </w:r>
    </w:p>
    <w:p w14:paraId="05B1151E"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 xml:space="preserve">Genetically engineering activity, </w:t>
      </w:r>
      <w:r w:rsidR="008A2ACA">
        <w:rPr>
          <w:rFonts w:cs="Times New Roman"/>
          <w:sz w:val="20"/>
          <w:szCs w:val="20"/>
        </w:rPr>
        <w:t xml:space="preserve">and </w:t>
      </w:r>
      <w:r w:rsidRPr="002B1DFC">
        <w:rPr>
          <w:rFonts w:cs="Times New Roman"/>
          <w:sz w:val="20"/>
          <w:szCs w:val="20"/>
        </w:rPr>
        <w:t>putting into circulation of genetically modified organisms and products produced with their use (in open and closed systems).</w:t>
      </w:r>
    </w:p>
    <w:p w14:paraId="7583DEAF" w14:textId="77777777" w:rsidR="000B7923" w:rsidRPr="002B1DFC" w:rsidRDefault="000B7923" w:rsidP="00E80283">
      <w:pPr>
        <w:pStyle w:val="ListParagraph"/>
        <w:numPr>
          <w:ilvl w:val="1"/>
          <w:numId w:val="4"/>
        </w:numPr>
        <w:ind w:left="288"/>
        <w:rPr>
          <w:rFonts w:cs="Times New Roman"/>
          <w:sz w:val="20"/>
          <w:szCs w:val="20"/>
        </w:rPr>
      </w:pPr>
      <w:r w:rsidRPr="002B1DFC">
        <w:rPr>
          <w:rFonts w:cs="Times New Roman"/>
          <w:sz w:val="20"/>
          <w:szCs w:val="20"/>
        </w:rPr>
        <w:t>Introduction of alien species of fauna and flora.</w:t>
      </w:r>
    </w:p>
    <w:p w14:paraId="5F02E804" w14:textId="77777777" w:rsidR="000B7923" w:rsidRPr="002B1DFC" w:rsidRDefault="000B7923" w:rsidP="00E80283">
      <w:pPr>
        <w:pStyle w:val="ListParagraph"/>
        <w:numPr>
          <w:ilvl w:val="1"/>
          <w:numId w:val="4"/>
        </w:numPr>
        <w:ind w:left="288"/>
        <w:jc w:val="left"/>
        <w:rPr>
          <w:rFonts w:cs="Times New Roman"/>
        </w:rPr>
      </w:pPr>
      <w:r w:rsidRPr="002B1DFC">
        <w:rPr>
          <w:rFonts w:cs="Times New Roman"/>
          <w:sz w:val="20"/>
          <w:szCs w:val="20"/>
        </w:rPr>
        <w:t>Production of microbiological products.</w:t>
      </w:r>
    </w:p>
    <w:p w14:paraId="0D8BD8D1" w14:textId="77777777" w:rsidR="000B7923" w:rsidRPr="0061686D" w:rsidRDefault="000B7923" w:rsidP="0061686D">
      <w:pPr>
        <w:spacing w:after="200" w:line="276" w:lineRule="auto"/>
        <w:jc w:val="left"/>
        <w:rPr>
          <w:b/>
        </w:rPr>
      </w:pPr>
      <w:r w:rsidRPr="002B1DFC">
        <w:br w:type="page"/>
      </w:r>
      <w:bookmarkStart w:id="171" w:name="_Toc440273992"/>
      <w:r w:rsidRPr="0061686D">
        <w:rPr>
          <w:b/>
        </w:rPr>
        <w:lastRenderedPageBreak/>
        <w:t xml:space="preserve">Annex </w:t>
      </w:r>
      <w:r w:rsidRPr="0061686D">
        <w:rPr>
          <w:b/>
        </w:rPr>
        <w:fldChar w:fldCharType="begin"/>
      </w:r>
      <w:r w:rsidRPr="0061686D">
        <w:rPr>
          <w:b/>
        </w:rPr>
        <w:instrText xml:space="preserve"> SEQ Annex \* ARABIC </w:instrText>
      </w:r>
      <w:r w:rsidRPr="0061686D">
        <w:rPr>
          <w:b/>
        </w:rPr>
        <w:fldChar w:fldCharType="separate"/>
      </w:r>
      <w:r w:rsidR="00356D5F">
        <w:rPr>
          <w:b/>
          <w:noProof/>
        </w:rPr>
        <w:t>9</w:t>
      </w:r>
      <w:r w:rsidRPr="0061686D">
        <w:rPr>
          <w:b/>
        </w:rPr>
        <w:fldChar w:fldCharType="end"/>
      </w:r>
      <w:r w:rsidRPr="0061686D">
        <w:rPr>
          <w:b/>
        </w:rPr>
        <w:t>. Overview of EIA Procedure and Ecological Expertise Process by MENR</w:t>
      </w:r>
      <w:bookmarkEnd w:id="171"/>
      <w:r w:rsidRPr="0061686D">
        <w:rPr>
          <w:b/>
        </w:rPr>
        <w:t xml:space="preserve"> </w:t>
      </w:r>
    </w:p>
    <w:p w14:paraId="49098AF7" w14:textId="77777777" w:rsidR="000B7923" w:rsidRPr="0061686D" w:rsidRDefault="000B7923" w:rsidP="006A4F56">
      <w:pPr>
        <w:rPr>
          <w:b/>
        </w:rPr>
      </w:pPr>
      <w:r w:rsidRPr="0061686D">
        <w:rPr>
          <w:b/>
        </w:rPr>
        <w:t>Figure</w:t>
      </w:r>
      <w:r w:rsidR="006B2C60" w:rsidRPr="0061686D">
        <w:rPr>
          <w:b/>
        </w:rPr>
        <w:t xml:space="preserve"> A9.</w:t>
      </w:r>
      <w:r w:rsidRPr="0061686D">
        <w:rPr>
          <w:b/>
        </w:rPr>
        <w:t>1. EIA Procedure</w:t>
      </w:r>
    </w:p>
    <w:p w14:paraId="0E24F2AF" w14:textId="77777777" w:rsidR="000B7923" w:rsidRPr="002B1DFC" w:rsidRDefault="00BE4288" w:rsidP="006A4F56">
      <w:pPr>
        <w:rPr>
          <w:rFonts w:cs="Times New Roman"/>
        </w:rPr>
      </w:pPr>
      <w:r w:rsidRPr="002B1DFC">
        <w:rPr>
          <w:noProof/>
        </w:rPr>
        <mc:AlternateContent>
          <mc:Choice Requires="wps">
            <w:drawing>
              <wp:anchor distT="0" distB="0" distL="114300" distR="114300" simplePos="0" relativeHeight="251662336" behindDoc="0" locked="1" layoutInCell="1" allowOverlap="1" wp14:anchorId="5D66D62D" wp14:editId="4D336938">
                <wp:simplePos x="0" y="0"/>
                <wp:positionH relativeFrom="column">
                  <wp:posOffset>1828800</wp:posOffset>
                </wp:positionH>
                <wp:positionV relativeFrom="paragraph">
                  <wp:posOffset>106045</wp:posOffset>
                </wp:positionV>
                <wp:extent cx="1600200" cy="458470"/>
                <wp:effectExtent l="9525" t="10795" r="9525" b="6985"/>
                <wp:wrapNone/>
                <wp:docPr id="6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8470"/>
                        </a:xfrm>
                        <a:prstGeom prst="rect">
                          <a:avLst/>
                        </a:prstGeom>
                        <a:solidFill>
                          <a:srgbClr val="FFFFFF"/>
                        </a:solidFill>
                        <a:ln w="6350">
                          <a:solidFill>
                            <a:srgbClr val="000000"/>
                          </a:solidFill>
                          <a:miter lim="800000"/>
                          <a:headEnd/>
                          <a:tailEnd/>
                        </a:ln>
                      </wps:spPr>
                      <wps:txbx>
                        <w:txbxContent>
                          <w:p w14:paraId="64D4EE2E" w14:textId="77777777" w:rsidR="007E7DF5" w:rsidRPr="00EA7C61" w:rsidRDefault="007E7DF5" w:rsidP="006A4F56">
                            <w:pPr>
                              <w:jc w:val="center"/>
                              <w:rPr>
                                <w:sz w:val="16"/>
                                <w:szCs w:val="16"/>
                              </w:rPr>
                            </w:pPr>
                            <w:r>
                              <w:rPr>
                                <w:sz w:val="16"/>
                                <w:szCs w:val="16"/>
                              </w:rPr>
                              <w:t xml:space="preserve">If project of national importance / impact extends beyond oblast border </w:t>
                            </w:r>
                            <w:r w:rsidRPr="00A109B5">
                              <w:rPr>
                                <w:sz w:val="16"/>
                                <w:szCs w:val="16"/>
                              </w:rPr>
                              <w:sym w:font="Wingdings" w:char="F0E0"/>
                            </w:r>
                            <w:r>
                              <w:rPr>
                                <w:sz w:val="16"/>
                                <w:szCs w:val="16"/>
                              </w:rPr>
                              <w:t xml:space="preserve"> SEE conducted by MENR / additional SEE is required by MENR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6D62D" id="Text Box 101" o:spid="_x0000_s1055" type="#_x0000_t202" style="position:absolute;left:0;text-align:left;margin-left:2in;margin-top:8.35pt;width:126pt;height:3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" strokeweight=".5pt">
                <v:textbox inset="0,0,0,0">
                  <w:txbxContent>
                    <w:p w14:paraId="64D4EE2E" w14:textId="77777777" w:rsidR="007E7DF5" w:rsidRPr="00EA7C61" w:rsidRDefault="007E7DF5" w:rsidP="006A4F56">
                      <w:pPr>
                        <w:jc w:val="center"/>
                        <w:rPr>
                          <w:sz w:val="16"/>
                          <w:szCs w:val="16"/>
                        </w:rPr>
                      </w:pPr>
                      <w:r>
                        <w:rPr>
                          <w:sz w:val="16"/>
                          <w:szCs w:val="16"/>
                        </w:rPr>
                        <w:t xml:space="preserve">If project of national importance / impact extends beyond oblast border </w:t>
                      </w:r>
                      <w:r w:rsidRPr="00A109B5">
                        <w:rPr>
                          <w:sz w:val="16"/>
                          <w:szCs w:val="16"/>
                        </w:rPr>
                        <w:sym w:font="Wingdings" w:char="F0E0"/>
                      </w:r>
                      <w:r>
                        <w:rPr>
                          <w:sz w:val="16"/>
                          <w:szCs w:val="16"/>
                        </w:rPr>
                        <w:t xml:space="preserve"> SEE conducted by MENR / additional SEE is required by MENR</w:t>
                      </w:r>
                    </w:p>
                  </w:txbxContent>
                </v:textbox>
                <w10:anchorlock/>
              </v:shape>
            </w:pict>
          </mc:Fallback>
        </mc:AlternateContent>
      </w:r>
      <w:r w:rsidRPr="002B1DFC">
        <w:rPr>
          <w:noProof/>
        </w:rPr>
        <mc:AlternateContent>
          <mc:Choice Requires="wps">
            <w:drawing>
              <wp:anchor distT="0" distB="0" distL="114300" distR="114300" simplePos="0" relativeHeight="251645952" behindDoc="0" locked="1" layoutInCell="1" allowOverlap="1" wp14:anchorId="48586043" wp14:editId="0171B8CB">
                <wp:simplePos x="0" y="0"/>
                <wp:positionH relativeFrom="column">
                  <wp:posOffset>0</wp:posOffset>
                </wp:positionH>
                <wp:positionV relativeFrom="paragraph">
                  <wp:posOffset>104775</wp:posOffset>
                </wp:positionV>
                <wp:extent cx="1600200" cy="458470"/>
                <wp:effectExtent l="9525" t="9525" r="9525" b="8255"/>
                <wp:wrapNone/>
                <wp:docPr id="6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8470"/>
                        </a:xfrm>
                        <a:prstGeom prst="rect">
                          <a:avLst/>
                        </a:prstGeom>
                        <a:solidFill>
                          <a:srgbClr val="FFFFFF"/>
                        </a:solidFill>
                        <a:ln w="6350">
                          <a:solidFill>
                            <a:srgbClr val="000000"/>
                          </a:solidFill>
                          <a:miter lim="800000"/>
                          <a:headEnd/>
                          <a:tailEnd/>
                        </a:ln>
                      </wps:spPr>
                      <wps:txbx>
                        <w:txbxContent>
                          <w:p w14:paraId="5C425955" w14:textId="044850B5" w:rsidR="007E7DF5" w:rsidRPr="00EA7C61" w:rsidRDefault="007E7DF5" w:rsidP="00E82514">
                            <w:pPr>
                              <w:jc w:val="center"/>
                              <w:rPr>
                                <w:sz w:val="16"/>
                                <w:szCs w:val="16"/>
                              </w:rPr>
                            </w:pPr>
                            <w:r>
                              <w:rPr>
                                <w:sz w:val="16"/>
                                <w:szCs w:val="16"/>
                              </w:rPr>
                              <w:t>Developer files application (announcement of intent) with local authorities / oblast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86043" id="Text Box 82" o:spid="_x0000_s1056" type="#_x0000_t202" style="position:absolute;left:0;text-align:left;margin-left:0;margin-top:8.25pt;width:126pt;height:3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" strokeweight=".5pt">
                <v:textbox inset="0,0,0,0">
                  <w:txbxContent>
                    <w:p w14:paraId="5C425955" w14:textId="044850B5" w:rsidR="007E7DF5" w:rsidRPr="00EA7C61" w:rsidRDefault="007E7DF5" w:rsidP="00E82514">
                      <w:pPr>
                        <w:jc w:val="center"/>
                        <w:rPr>
                          <w:sz w:val="16"/>
                          <w:szCs w:val="16"/>
                        </w:rPr>
                      </w:pPr>
                      <w:r>
                        <w:rPr>
                          <w:sz w:val="16"/>
                          <w:szCs w:val="16"/>
                        </w:rPr>
                        <w:t>Developer files application (announcement of intent) with local authorities / oblast</w:t>
                      </w:r>
                    </w:p>
                  </w:txbxContent>
                </v:textbox>
                <w10:anchorlock/>
              </v:shape>
            </w:pict>
          </mc:Fallback>
        </mc:AlternateContent>
      </w:r>
    </w:p>
    <w:p w14:paraId="3A7EEBF5" w14:textId="77777777" w:rsidR="000B7923" w:rsidRPr="002B1DFC" w:rsidRDefault="000B7923" w:rsidP="006A4F56">
      <w:pPr>
        <w:rPr>
          <w:rFonts w:cs="Times New Roman"/>
        </w:rPr>
      </w:pPr>
    </w:p>
    <w:p w14:paraId="322EDB50" w14:textId="77777777" w:rsidR="000B7923" w:rsidRPr="0061686D" w:rsidRDefault="00BE4288" w:rsidP="0061686D">
      <w:pPr>
        <w:spacing w:after="200" w:line="276" w:lineRule="auto"/>
        <w:jc w:val="left"/>
        <w:rPr>
          <w:b/>
        </w:rPr>
      </w:pPr>
      <w:r w:rsidRPr="002B1DFC">
        <w:rPr>
          <w:noProof/>
        </w:rPr>
        <mc:AlternateContent>
          <mc:Choice Requires="wps">
            <w:drawing>
              <wp:anchor distT="0" distB="0" distL="114300" distR="114300" simplePos="0" relativeHeight="251665408" behindDoc="0" locked="1" layoutInCell="1" allowOverlap="1" wp14:anchorId="02CAFE0B" wp14:editId="4080AB9D">
                <wp:simplePos x="0" y="0"/>
                <wp:positionH relativeFrom="column">
                  <wp:posOffset>2057400</wp:posOffset>
                </wp:positionH>
                <wp:positionV relativeFrom="paragraph">
                  <wp:posOffset>1384935</wp:posOffset>
                </wp:positionV>
                <wp:extent cx="1600200" cy="457835"/>
                <wp:effectExtent l="9525" t="13335" r="9525" b="5080"/>
                <wp:wrapNone/>
                <wp:docPr id="6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6350">
                          <a:solidFill>
                            <a:srgbClr val="000000"/>
                          </a:solidFill>
                          <a:miter lim="800000"/>
                          <a:headEnd/>
                          <a:tailEnd/>
                        </a:ln>
                      </wps:spPr>
                      <wps:txbx>
                        <w:txbxContent>
                          <w:p w14:paraId="151FA584" w14:textId="77777777" w:rsidR="007E7DF5" w:rsidRPr="00EA7C61" w:rsidRDefault="007E7DF5" w:rsidP="006A4F56">
                            <w:pPr>
                              <w:jc w:val="center"/>
                              <w:rPr>
                                <w:sz w:val="16"/>
                                <w:szCs w:val="16"/>
                              </w:rPr>
                            </w:pPr>
                            <w:r>
                              <w:rPr>
                                <w:sz w:val="16"/>
                                <w:szCs w:val="16"/>
                              </w:rPr>
                              <w:t>Public hearings are held only when considered necessary</w:t>
                            </w:r>
                          </w:p>
                        </w:txbxContent>
                      </wps:txbx>
                      <wps:bodyPr rot="0" vert="horz" wrap="square" lIns="45720" tIns="0" rIns="4572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CAFE0B" id="Text Box 104" o:spid="_x0000_s1057" type="#_x0000_t202" style="position:absolute;margin-left:162pt;margin-top:109.05pt;width:126pt;height:3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" strokeweight=".5pt">
                <v:textbox inset="3.6pt,0,3.6pt,0">
                  <w:txbxContent>
                    <w:p w14:paraId="151FA584" w14:textId="77777777" w:rsidR="007E7DF5" w:rsidRPr="00EA7C61" w:rsidRDefault="007E7DF5" w:rsidP="006A4F56">
                      <w:pPr>
                        <w:jc w:val="center"/>
                        <w:rPr>
                          <w:sz w:val="16"/>
                          <w:szCs w:val="16"/>
                        </w:rPr>
                      </w:pPr>
                      <w:r>
                        <w:rPr>
                          <w:sz w:val="16"/>
                          <w:szCs w:val="16"/>
                        </w:rPr>
                        <w:t>Public hearings are held only when considered necessary</w:t>
                      </w:r>
                    </w:p>
                  </w:txbxContent>
                </v:textbox>
                <w10:anchorlock/>
              </v:shape>
            </w:pict>
          </mc:Fallback>
        </mc:AlternateContent>
      </w:r>
      <w:r w:rsidRPr="002B1DFC">
        <w:rPr>
          <w:noProof/>
        </w:rPr>
        <mc:AlternateContent>
          <mc:Choice Requires="wps">
            <w:drawing>
              <wp:anchor distT="0" distB="0" distL="114300" distR="114300" simplePos="0" relativeHeight="251664384" behindDoc="0" locked="1" layoutInCell="1" allowOverlap="1" wp14:anchorId="23446D2E" wp14:editId="131D3F5A">
                <wp:simplePos x="0" y="0"/>
                <wp:positionH relativeFrom="column">
                  <wp:posOffset>1828800</wp:posOffset>
                </wp:positionH>
                <wp:positionV relativeFrom="paragraph">
                  <wp:posOffset>470535</wp:posOffset>
                </wp:positionV>
                <wp:extent cx="114300" cy="2171700"/>
                <wp:effectExtent l="9525" t="13335" r="9525" b="5715"/>
                <wp:wrapNone/>
                <wp:docPr id="65" name="Right Brac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171700"/>
                        </a:xfrm>
                        <a:prstGeom prst="rightBrace">
                          <a:avLst>
                            <a:gd name="adj1" fmla="val 8356"/>
                            <a:gd name="adj2" fmla="val 50000"/>
                          </a:avLst>
                        </a:prstGeom>
                        <a:noFill/>
                        <a:ln w="9525">
                          <a:solidFill>
                            <a:srgbClr val="4579B8"/>
                          </a:solidFill>
                          <a:prstDash val="lgDashDot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45F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3" o:spid="_x0000_s1026" type="#_x0000_t88" style="position:absolute;margin-left:2in;margin-top:37.05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" adj="95" strokecolor="#4579b8">
                <v:stroke dashstyle="longDashDotDot"/>
                <w10:anchorlock/>
              </v:shape>
            </w:pict>
          </mc:Fallback>
        </mc:AlternateContent>
      </w:r>
      <w:r w:rsidRPr="002B1DFC">
        <w:rPr>
          <w:noProof/>
        </w:rPr>
        <mc:AlternateContent>
          <mc:Choice Requires="wps">
            <w:drawing>
              <wp:anchor distT="0" distB="0" distL="114300" distR="114300" simplePos="0" relativeHeight="251663360" behindDoc="0" locked="1" layoutInCell="1" allowOverlap="1" wp14:anchorId="641417AA" wp14:editId="71DCC8E5">
                <wp:simplePos x="0" y="0"/>
                <wp:positionH relativeFrom="column">
                  <wp:posOffset>1828800</wp:posOffset>
                </wp:positionH>
                <wp:positionV relativeFrom="paragraph">
                  <wp:posOffset>3241675</wp:posOffset>
                </wp:positionV>
                <wp:extent cx="1600200" cy="457835"/>
                <wp:effectExtent l="9525" t="12700" r="9525" b="5715"/>
                <wp:wrapNone/>
                <wp:docPr id="6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6350">
                          <a:solidFill>
                            <a:srgbClr val="000000"/>
                          </a:solidFill>
                          <a:miter lim="800000"/>
                          <a:headEnd/>
                          <a:tailEnd/>
                        </a:ln>
                      </wps:spPr>
                      <wps:txbx>
                        <w:txbxContent>
                          <w:p w14:paraId="563D04FA" w14:textId="77777777" w:rsidR="007E7DF5" w:rsidRDefault="007E7DF5" w:rsidP="006A4F56">
                            <w:pPr>
                              <w:jc w:val="center"/>
                              <w:rPr>
                                <w:sz w:val="16"/>
                                <w:szCs w:val="16"/>
                              </w:rPr>
                            </w:pPr>
                            <w:r>
                              <w:rPr>
                                <w:sz w:val="16"/>
                                <w:szCs w:val="16"/>
                              </w:rPr>
                              <w:t>If negative:</w:t>
                            </w:r>
                          </w:p>
                          <w:p w14:paraId="7DF4C974" w14:textId="77777777" w:rsidR="007E7DF5" w:rsidRPr="00EA7C61" w:rsidRDefault="007E7DF5" w:rsidP="006A4F56">
                            <w:pPr>
                              <w:jc w:val="center"/>
                              <w:rPr>
                                <w:sz w:val="16"/>
                                <w:szCs w:val="16"/>
                              </w:rPr>
                            </w:pPr>
                            <w:r>
                              <w:rPr>
                                <w:sz w:val="16"/>
                                <w:szCs w:val="16"/>
                              </w:rPr>
                              <w:t>Developer carries out additional work for supplementary State EE</w:t>
                            </w:r>
                          </w:p>
                        </w:txbxContent>
                      </wps:txbx>
                      <wps:bodyPr rot="0" vert="horz" wrap="square" lIns="45720" tIns="0" rIns="4572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1417AA" id="Text Box 102" o:spid="_x0000_s1058" type="#_x0000_t202" style="position:absolute;margin-left:2in;margin-top:255.25pt;width:126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" strokeweight=".5pt">
                <v:textbox inset="3.6pt,0,3.6pt,0">
                  <w:txbxContent>
                    <w:p w14:paraId="563D04FA" w14:textId="77777777" w:rsidR="007E7DF5" w:rsidRDefault="007E7DF5" w:rsidP="006A4F56">
                      <w:pPr>
                        <w:jc w:val="center"/>
                        <w:rPr>
                          <w:sz w:val="16"/>
                          <w:szCs w:val="16"/>
                        </w:rPr>
                      </w:pPr>
                      <w:r>
                        <w:rPr>
                          <w:sz w:val="16"/>
                          <w:szCs w:val="16"/>
                        </w:rPr>
                        <w:t>If negative:</w:t>
                      </w:r>
                    </w:p>
                    <w:p w14:paraId="7DF4C974" w14:textId="77777777" w:rsidR="007E7DF5" w:rsidRPr="00EA7C61" w:rsidRDefault="007E7DF5" w:rsidP="006A4F56">
                      <w:pPr>
                        <w:jc w:val="center"/>
                        <w:rPr>
                          <w:sz w:val="16"/>
                          <w:szCs w:val="16"/>
                        </w:rPr>
                      </w:pPr>
                      <w:r>
                        <w:rPr>
                          <w:sz w:val="16"/>
                          <w:szCs w:val="16"/>
                        </w:rPr>
                        <w:t>Developer carries out additional work for supplementary State EE</w:t>
                      </w:r>
                    </w:p>
                  </w:txbxContent>
                </v:textbox>
                <w10:anchorlock/>
              </v:shape>
            </w:pict>
          </mc:Fallback>
        </mc:AlternateContent>
      </w:r>
      <w:r w:rsidRPr="002B1DFC">
        <w:rPr>
          <w:noProof/>
        </w:rPr>
        <mc:AlternateContent>
          <mc:Choice Requires="wps">
            <w:drawing>
              <wp:anchor distT="0" distB="0" distL="114300" distR="114300" simplePos="0" relativeHeight="251651072" behindDoc="0" locked="1" layoutInCell="1" allowOverlap="1" wp14:anchorId="3E13E7DC" wp14:editId="1CB2C7B4">
                <wp:simplePos x="0" y="0"/>
                <wp:positionH relativeFrom="column">
                  <wp:posOffset>1600200</wp:posOffset>
                </wp:positionH>
                <wp:positionV relativeFrom="paragraph">
                  <wp:posOffset>3444240</wp:posOffset>
                </wp:positionV>
                <wp:extent cx="228600" cy="0"/>
                <wp:effectExtent l="9525" t="53340" r="19050" b="60960"/>
                <wp:wrapNone/>
                <wp:docPr id="63"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B5E42" id="_x0000_t32" coordsize="21600,21600" o:spt="32" o:oned="t" path="m,l21600,21600e" filled="f">
                <v:path arrowok="t" fillok="f" o:connecttype="none"/>
                <o:lock v:ext="edit" shapetype="t"/>
              </v:shapetype>
              <v:shape id="Straight Arrow Connector 90" o:spid="_x0000_s1026" type="#_x0000_t32" style="position:absolute;margin-left:126pt;margin-top:271.2pt;width:1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" strokecolor="#4579b8">
                <v:stroke endarrow="block"/>
                <w10:anchorlock/>
              </v:shape>
            </w:pict>
          </mc:Fallback>
        </mc:AlternateContent>
      </w:r>
      <w:r w:rsidRPr="002B1DFC">
        <w:rPr>
          <w:noProof/>
        </w:rPr>
        <mc:AlternateContent>
          <mc:Choice Requires="wps">
            <w:drawing>
              <wp:anchor distT="0" distB="0" distL="114300" distR="114300" simplePos="0" relativeHeight="251660288" behindDoc="0" locked="1" layoutInCell="1" allowOverlap="1" wp14:anchorId="11A403A2" wp14:editId="5C2C1D04">
                <wp:simplePos x="0" y="0"/>
                <wp:positionH relativeFrom="column">
                  <wp:posOffset>0</wp:posOffset>
                </wp:positionH>
                <wp:positionV relativeFrom="paragraph">
                  <wp:posOffset>4617720</wp:posOffset>
                </wp:positionV>
                <wp:extent cx="1600200" cy="457835"/>
                <wp:effectExtent l="9525" t="7620" r="9525" b="10795"/>
                <wp:wrapNone/>
                <wp:docPr id="6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6350">
                          <a:solidFill>
                            <a:srgbClr val="000000"/>
                          </a:solidFill>
                          <a:miter lim="800000"/>
                          <a:headEnd/>
                          <a:tailEnd/>
                        </a:ln>
                      </wps:spPr>
                      <wps:txbx>
                        <w:txbxContent>
                          <w:p w14:paraId="08E533B9" w14:textId="77777777" w:rsidR="007E7DF5" w:rsidRPr="00EA7C61" w:rsidRDefault="007E7DF5" w:rsidP="006A4F56">
                            <w:pPr>
                              <w:jc w:val="center"/>
                              <w:rPr>
                                <w:sz w:val="16"/>
                                <w:szCs w:val="16"/>
                              </w:rPr>
                            </w:pPr>
                            <w:r>
                              <w:rPr>
                                <w:sz w:val="16"/>
                                <w:szCs w:val="16"/>
                              </w:rPr>
                              <w:t>Upon completion, special commission confirms project is according to requirements</w:t>
                            </w:r>
                          </w:p>
                        </w:txbxContent>
                      </wps:txbx>
                      <wps:bodyPr rot="0" vert="horz" wrap="square" lIns="45720" tIns="0" rIns="4572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A403A2" id="Text Box 99" o:spid="_x0000_s1059" type="#_x0000_t202" style="position:absolute;margin-left:0;margin-top:363.6pt;width:126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" strokeweight=".5pt">
                <v:textbox inset="3.6pt,0,3.6pt,0">
                  <w:txbxContent>
                    <w:p w14:paraId="08E533B9" w14:textId="77777777" w:rsidR="007E7DF5" w:rsidRPr="00EA7C61" w:rsidRDefault="007E7DF5" w:rsidP="006A4F56">
                      <w:pPr>
                        <w:jc w:val="center"/>
                        <w:rPr>
                          <w:sz w:val="16"/>
                          <w:szCs w:val="16"/>
                        </w:rPr>
                      </w:pPr>
                      <w:r>
                        <w:rPr>
                          <w:sz w:val="16"/>
                          <w:szCs w:val="16"/>
                        </w:rPr>
                        <w:t>Upon completion, special commission confirms project is according to requirements</w:t>
                      </w:r>
                    </w:p>
                  </w:txbxContent>
                </v:textbox>
                <w10:anchorlock/>
              </v:shape>
            </w:pict>
          </mc:Fallback>
        </mc:AlternateContent>
      </w:r>
      <w:r w:rsidRPr="002B1DFC">
        <w:rPr>
          <w:noProof/>
        </w:rPr>
        <mc:AlternateContent>
          <mc:Choice Requires="wps">
            <w:drawing>
              <wp:anchor distT="0" distB="0" distL="114300" distR="114300" simplePos="0" relativeHeight="251661312" behindDoc="0" locked="1" layoutInCell="1" allowOverlap="1" wp14:anchorId="23620104" wp14:editId="01CDB2C6">
                <wp:simplePos x="0" y="0"/>
                <wp:positionH relativeFrom="column">
                  <wp:posOffset>690880</wp:posOffset>
                </wp:positionH>
                <wp:positionV relativeFrom="paragraph">
                  <wp:posOffset>4387850</wp:posOffset>
                </wp:positionV>
                <wp:extent cx="0" cy="227965"/>
                <wp:effectExtent l="52705" t="6350" r="61595" b="22860"/>
                <wp:wrapNone/>
                <wp:docPr id="61"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96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DA1D1" id="Straight Arrow Connector 100" o:spid="_x0000_s1026" type="#_x0000_t32" style="position:absolute;margin-left:54.4pt;margin-top:345.5pt;width:0;height:17.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" strokecolor="#4579b8">
                <v:stroke endarrow="block"/>
                <w10:anchorlock/>
              </v:shape>
            </w:pict>
          </mc:Fallback>
        </mc:AlternateContent>
      </w:r>
      <w:r w:rsidRPr="002B1DFC">
        <w:rPr>
          <w:noProof/>
        </w:rPr>
        <mc:AlternateContent>
          <mc:Choice Requires="wps">
            <w:drawing>
              <wp:anchor distT="0" distB="0" distL="114300" distR="114300" simplePos="0" relativeHeight="251659264" behindDoc="0" locked="1" layoutInCell="1" allowOverlap="1" wp14:anchorId="4B5011DF" wp14:editId="59CA7DD7">
                <wp:simplePos x="0" y="0"/>
                <wp:positionH relativeFrom="column">
                  <wp:posOffset>5715</wp:posOffset>
                </wp:positionH>
                <wp:positionV relativeFrom="paragraph">
                  <wp:posOffset>3928110</wp:posOffset>
                </wp:positionV>
                <wp:extent cx="1600200" cy="457835"/>
                <wp:effectExtent l="5715" t="13335" r="13335" b="5080"/>
                <wp:wrapNone/>
                <wp:docPr id="6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6350">
                          <a:solidFill>
                            <a:srgbClr val="000000"/>
                          </a:solidFill>
                          <a:miter lim="800000"/>
                          <a:headEnd/>
                          <a:tailEnd/>
                        </a:ln>
                      </wps:spPr>
                      <wps:txbx>
                        <w:txbxContent>
                          <w:p w14:paraId="36AB8712" w14:textId="77777777" w:rsidR="007E7DF5" w:rsidRDefault="007E7DF5" w:rsidP="006A4F56">
                            <w:pPr>
                              <w:jc w:val="center"/>
                              <w:rPr>
                                <w:sz w:val="16"/>
                                <w:szCs w:val="16"/>
                              </w:rPr>
                            </w:pPr>
                            <w:r>
                              <w:rPr>
                                <w:sz w:val="16"/>
                                <w:szCs w:val="16"/>
                              </w:rPr>
                              <w:t>If positive:</w:t>
                            </w:r>
                          </w:p>
                          <w:p w14:paraId="6D697BE1" w14:textId="77777777" w:rsidR="007E7DF5" w:rsidRPr="00EA7C61" w:rsidRDefault="007E7DF5" w:rsidP="006A4F56">
                            <w:pPr>
                              <w:jc w:val="center"/>
                              <w:rPr>
                                <w:sz w:val="16"/>
                                <w:szCs w:val="16"/>
                              </w:rPr>
                            </w:pPr>
                            <w:r>
                              <w:rPr>
                                <w:sz w:val="16"/>
                                <w:szCs w:val="16"/>
                              </w:rPr>
                              <w:t>Project implementation</w:t>
                            </w:r>
                          </w:p>
                        </w:txbxContent>
                      </wps:txbx>
                      <wps:bodyPr rot="0" vert="horz" wrap="square" lIns="45720" tIns="0" rIns="4572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5011DF" id="Text Box 98" o:spid="_x0000_s1060" type="#_x0000_t202" style="position:absolute;margin-left:.45pt;margin-top:309.3pt;width:126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" strokeweight=".5pt">
                <v:textbox inset="3.6pt,0,3.6pt,0">
                  <w:txbxContent>
                    <w:p w14:paraId="36AB8712" w14:textId="77777777" w:rsidR="007E7DF5" w:rsidRDefault="007E7DF5" w:rsidP="006A4F56">
                      <w:pPr>
                        <w:jc w:val="center"/>
                        <w:rPr>
                          <w:sz w:val="16"/>
                          <w:szCs w:val="16"/>
                        </w:rPr>
                      </w:pPr>
                      <w:r>
                        <w:rPr>
                          <w:sz w:val="16"/>
                          <w:szCs w:val="16"/>
                        </w:rPr>
                        <w:t>If positive:</w:t>
                      </w:r>
                    </w:p>
                    <w:p w14:paraId="6D697BE1" w14:textId="77777777" w:rsidR="007E7DF5" w:rsidRPr="00EA7C61" w:rsidRDefault="007E7DF5" w:rsidP="006A4F56">
                      <w:pPr>
                        <w:jc w:val="center"/>
                        <w:rPr>
                          <w:sz w:val="16"/>
                          <w:szCs w:val="16"/>
                        </w:rPr>
                      </w:pPr>
                      <w:r>
                        <w:rPr>
                          <w:sz w:val="16"/>
                          <w:szCs w:val="16"/>
                        </w:rPr>
                        <w:t>Project implementation</w:t>
                      </w:r>
                    </w:p>
                  </w:txbxContent>
                </v:textbox>
                <w10:anchorlock/>
              </v:shape>
            </w:pict>
          </mc:Fallback>
        </mc:AlternateContent>
      </w:r>
      <w:r w:rsidRPr="002B1DFC">
        <w:rPr>
          <w:noProof/>
        </w:rPr>
        <mc:AlternateContent>
          <mc:Choice Requires="wps">
            <w:drawing>
              <wp:anchor distT="0" distB="0" distL="114300" distR="114300" simplePos="0" relativeHeight="251658240" behindDoc="0" locked="1" layoutInCell="1" allowOverlap="1" wp14:anchorId="484A8C2E" wp14:editId="6EF089D7">
                <wp:simplePos x="0" y="0"/>
                <wp:positionH relativeFrom="column">
                  <wp:posOffset>685165</wp:posOffset>
                </wp:positionH>
                <wp:positionV relativeFrom="paragraph">
                  <wp:posOffset>3699510</wp:posOffset>
                </wp:positionV>
                <wp:extent cx="0" cy="227965"/>
                <wp:effectExtent l="56515" t="13335" r="57785" b="15875"/>
                <wp:wrapNone/>
                <wp:docPr id="59"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96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D70C7" id="Straight Arrow Connector 88" o:spid="_x0000_s1026" type="#_x0000_t32" style="position:absolute;margin-left:53.95pt;margin-top:291.3pt;width:0;height:17.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" strokecolor="#4579b8">
                <v:stroke endarrow="block"/>
                <w10:anchorlock/>
              </v:shape>
            </w:pict>
          </mc:Fallback>
        </mc:AlternateContent>
      </w:r>
      <w:r w:rsidRPr="002B1DFC">
        <w:rPr>
          <w:noProof/>
        </w:rPr>
        <mc:AlternateContent>
          <mc:Choice Requires="wps">
            <w:drawing>
              <wp:anchor distT="0" distB="0" distL="114300" distR="114300" simplePos="0" relativeHeight="251653120" behindDoc="0" locked="1" layoutInCell="1" allowOverlap="1" wp14:anchorId="1CE4E1BD" wp14:editId="13B4C10A">
                <wp:simplePos x="0" y="0"/>
                <wp:positionH relativeFrom="column">
                  <wp:posOffset>0</wp:posOffset>
                </wp:positionH>
                <wp:positionV relativeFrom="paragraph">
                  <wp:posOffset>3241040</wp:posOffset>
                </wp:positionV>
                <wp:extent cx="1600200" cy="457835"/>
                <wp:effectExtent l="9525" t="12065" r="9525" b="6350"/>
                <wp:wrapNone/>
                <wp:docPr id="5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6350">
                          <a:solidFill>
                            <a:srgbClr val="000000"/>
                          </a:solidFill>
                          <a:miter lim="800000"/>
                          <a:headEnd/>
                          <a:tailEnd/>
                        </a:ln>
                      </wps:spPr>
                      <wps:txbx>
                        <w:txbxContent>
                          <w:p w14:paraId="0E0FDDF5" w14:textId="654CF510" w:rsidR="007E7DF5" w:rsidRPr="00EA7C61" w:rsidRDefault="007E7DF5" w:rsidP="00E82514">
                            <w:pPr>
                              <w:jc w:val="center"/>
                              <w:rPr>
                                <w:sz w:val="16"/>
                                <w:szCs w:val="16"/>
                              </w:rPr>
                            </w:pPr>
                            <w:r>
                              <w:rPr>
                                <w:sz w:val="16"/>
                                <w:szCs w:val="16"/>
                              </w:rPr>
                              <w:t>Announcement of environmental consequences sent to local services for conclusions and agreement on alternative</w:t>
                            </w:r>
                          </w:p>
                        </w:txbxContent>
                      </wps:txbx>
                      <wps:bodyPr rot="0" vert="horz" wrap="square" lIns="45720" tIns="0" rIns="4572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E4E1BD" id="Text Box 93" o:spid="_x0000_s1061" type="#_x0000_t202" style="position:absolute;margin-left:0;margin-top:255.2pt;width:126pt;height:3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" strokeweight=".5pt">
                <v:textbox inset="3.6pt,0,3.6pt,0">
                  <w:txbxContent>
                    <w:p w14:paraId="0E0FDDF5" w14:textId="654CF510" w:rsidR="007E7DF5" w:rsidRPr="00EA7C61" w:rsidRDefault="007E7DF5" w:rsidP="00E82514">
                      <w:pPr>
                        <w:jc w:val="center"/>
                        <w:rPr>
                          <w:sz w:val="16"/>
                          <w:szCs w:val="16"/>
                        </w:rPr>
                      </w:pPr>
                      <w:r>
                        <w:rPr>
                          <w:sz w:val="16"/>
                          <w:szCs w:val="16"/>
                        </w:rPr>
                        <w:t>Announcement of environmental consequences sent to local services for conclusions and agreement on alternative</w:t>
                      </w:r>
                    </w:p>
                  </w:txbxContent>
                </v:textbox>
                <w10:anchorlock/>
              </v:shape>
            </w:pict>
          </mc:Fallback>
        </mc:AlternateContent>
      </w:r>
      <w:r w:rsidRPr="002B1DFC">
        <w:rPr>
          <w:noProof/>
        </w:rPr>
        <mc:AlternateContent>
          <mc:Choice Requires="wps">
            <w:drawing>
              <wp:anchor distT="0" distB="0" distL="114300" distR="114300" simplePos="0" relativeHeight="251657216" behindDoc="0" locked="1" layoutInCell="1" allowOverlap="1" wp14:anchorId="185E6B03" wp14:editId="793C056A">
                <wp:simplePos x="0" y="0"/>
                <wp:positionH relativeFrom="column">
                  <wp:posOffset>685800</wp:posOffset>
                </wp:positionH>
                <wp:positionV relativeFrom="paragraph">
                  <wp:posOffset>3003550</wp:posOffset>
                </wp:positionV>
                <wp:extent cx="0" cy="230505"/>
                <wp:effectExtent l="57150" t="12700" r="57150" b="23495"/>
                <wp:wrapNone/>
                <wp:docPr id="5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0C4A2" id="Straight Arrow Connector 97" o:spid="_x0000_s1026" type="#_x0000_t32" style="position:absolute;margin-left:54pt;margin-top:236.5pt;width:0;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" strokecolor="#4579b8">
                <v:stroke endarrow="block"/>
                <w10:anchorlock/>
              </v:shape>
            </w:pict>
          </mc:Fallback>
        </mc:AlternateContent>
      </w:r>
      <w:r w:rsidRPr="002B1DFC">
        <w:rPr>
          <w:noProof/>
        </w:rPr>
        <mc:AlternateContent>
          <mc:Choice Requires="wps">
            <w:drawing>
              <wp:anchor distT="0" distB="0" distL="114300" distR="114300" simplePos="0" relativeHeight="251652096" behindDoc="0" locked="1" layoutInCell="1" allowOverlap="1" wp14:anchorId="0EA89D9C" wp14:editId="75B324F0">
                <wp:simplePos x="0" y="0"/>
                <wp:positionH relativeFrom="column">
                  <wp:posOffset>8890</wp:posOffset>
                </wp:positionH>
                <wp:positionV relativeFrom="paragraph">
                  <wp:posOffset>2546350</wp:posOffset>
                </wp:positionV>
                <wp:extent cx="1600200" cy="457835"/>
                <wp:effectExtent l="8890" t="12700" r="10160" b="5715"/>
                <wp:wrapNone/>
                <wp:docPr id="5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6350">
                          <a:solidFill>
                            <a:srgbClr val="000000"/>
                          </a:solidFill>
                          <a:miter lim="800000"/>
                          <a:headEnd/>
                          <a:tailEnd/>
                        </a:ln>
                      </wps:spPr>
                      <wps:txbx>
                        <w:txbxContent>
                          <w:p w14:paraId="745E1382" w14:textId="77777777" w:rsidR="007E7DF5" w:rsidRPr="00EA7C61" w:rsidRDefault="007E7DF5" w:rsidP="006A4F56">
                            <w:pPr>
                              <w:jc w:val="center"/>
                              <w:rPr>
                                <w:sz w:val="16"/>
                                <w:szCs w:val="16"/>
                              </w:rPr>
                            </w:pPr>
                            <w:r>
                              <w:rPr>
                                <w:sz w:val="16"/>
                                <w:szCs w:val="16"/>
                              </w:rPr>
                              <w:t>Developer draws up terms of reference (TOR)</w:t>
                            </w:r>
                          </w:p>
                        </w:txbxContent>
                      </wps:txbx>
                      <wps:bodyPr rot="0" vert="horz" wrap="square" lIns="45720" tIns="0" rIns="4572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A89D9C" id="Text Box 91" o:spid="_x0000_s1062" type="#_x0000_t202" style="position:absolute;margin-left:.7pt;margin-top:200.5pt;width:126pt;height:3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" strokeweight=".5pt">
                <v:textbox inset="3.6pt,0,3.6pt,0">
                  <w:txbxContent>
                    <w:p w14:paraId="745E1382" w14:textId="77777777" w:rsidR="007E7DF5" w:rsidRPr="00EA7C61" w:rsidRDefault="007E7DF5" w:rsidP="006A4F56">
                      <w:pPr>
                        <w:jc w:val="center"/>
                        <w:rPr>
                          <w:sz w:val="16"/>
                          <w:szCs w:val="16"/>
                        </w:rPr>
                      </w:pPr>
                      <w:r>
                        <w:rPr>
                          <w:sz w:val="16"/>
                          <w:szCs w:val="16"/>
                        </w:rPr>
                        <w:t>Developer draws up terms of reference (TOR)</w:t>
                      </w:r>
                    </w:p>
                  </w:txbxContent>
                </v:textbox>
                <w10:anchorlock/>
              </v:shape>
            </w:pict>
          </mc:Fallback>
        </mc:AlternateContent>
      </w:r>
      <w:r w:rsidRPr="002B1DFC">
        <w:rPr>
          <w:noProof/>
        </w:rPr>
        <mc:AlternateContent>
          <mc:Choice Requires="wps">
            <w:drawing>
              <wp:anchor distT="0" distB="0" distL="114300" distR="114300" simplePos="0" relativeHeight="251656192" behindDoc="0" locked="1" layoutInCell="1" allowOverlap="1" wp14:anchorId="749CFF06" wp14:editId="45F0827D">
                <wp:simplePos x="0" y="0"/>
                <wp:positionH relativeFrom="column">
                  <wp:posOffset>687070</wp:posOffset>
                </wp:positionH>
                <wp:positionV relativeFrom="paragraph">
                  <wp:posOffset>2319020</wp:posOffset>
                </wp:positionV>
                <wp:extent cx="0" cy="230505"/>
                <wp:effectExtent l="58420" t="13970" r="55880" b="22225"/>
                <wp:wrapNone/>
                <wp:docPr id="55"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85F43" id="Straight Arrow Connector 96" o:spid="_x0000_s1026" type="#_x0000_t32" style="position:absolute;margin-left:54.1pt;margin-top:182.6pt;width:0;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" strokecolor="#4579b8">
                <v:stroke endarrow="block"/>
                <w10:anchorlock/>
              </v:shape>
            </w:pict>
          </mc:Fallback>
        </mc:AlternateContent>
      </w:r>
      <w:r w:rsidRPr="002B1DFC">
        <w:rPr>
          <w:noProof/>
        </w:rPr>
        <mc:AlternateContent>
          <mc:Choice Requires="wps">
            <w:drawing>
              <wp:anchor distT="0" distB="0" distL="114300" distR="114300" simplePos="0" relativeHeight="251649024" behindDoc="0" locked="1" layoutInCell="1" allowOverlap="1" wp14:anchorId="36CAD23F" wp14:editId="1DF096C0">
                <wp:simplePos x="0" y="0"/>
                <wp:positionH relativeFrom="column">
                  <wp:posOffset>6350</wp:posOffset>
                </wp:positionH>
                <wp:positionV relativeFrom="paragraph">
                  <wp:posOffset>1858010</wp:posOffset>
                </wp:positionV>
                <wp:extent cx="1600200" cy="457835"/>
                <wp:effectExtent l="6350" t="10160" r="12700" b="8255"/>
                <wp:wrapNone/>
                <wp:docPr id="5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6350">
                          <a:solidFill>
                            <a:srgbClr val="000000"/>
                          </a:solidFill>
                          <a:miter lim="800000"/>
                          <a:headEnd/>
                          <a:tailEnd/>
                        </a:ln>
                      </wps:spPr>
                      <wps:txbx>
                        <w:txbxContent>
                          <w:p w14:paraId="478E6204" w14:textId="77777777" w:rsidR="007E7DF5" w:rsidRDefault="007E7DF5" w:rsidP="006A4F56">
                            <w:pPr>
                              <w:jc w:val="center"/>
                              <w:rPr>
                                <w:sz w:val="16"/>
                                <w:szCs w:val="16"/>
                              </w:rPr>
                            </w:pPr>
                            <w:r>
                              <w:rPr>
                                <w:sz w:val="16"/>
                                <w:szCs w:val="16"/>
                              </w:rPr>
                              <w:t>Head of oblast confirms decision</w:t>
                            </w:r>
                          </w:p>
                          <w:p w14:paraId="3C531E4D" w14:textId="77777777" w:rsidR="007E7DF5" w:rsidRPr="00EA7C61" w:rsidRDefault="007E7DF5" w:rsidP="006A4F56">
                            <w:pPr>
                              <w:jc w:val="center"/>
                              <w:rPr>
                                <w:sz w:val="16"/>
                                <w:szCs w:val="16"/>
                              </w:rPr>
                            </w:pPr>
                            <w:proofErr w:type="gramStart"/>
                            <w:r>
                              <w:rPr>
                                <w:sz w:val="16"/>
                                <w:szCs w:val="16"/>
                              </w:rPr>
                              <w:t>of</w:t>
                            </w:r>
                            <w:proofErr w:type="gramEnd"/>
                            <w:r>
                              <w:rPr>
                                <w:sz w:val="16"/>
                                <w:szCs w:val="16"/>
                              </w:rPr>
                              <w:t xml:space="preserve"> special commission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CAD23F" id="Text Box 86" o:spid="_x0000_s1063" type="#_x0000_t202" style="position:absolute;margin-left:.5pt;margin-top:146.3pt;width:126pt;height:3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" strokeweight=".5pt">
                <v:textbox inset="0,0,0,0">
                  <w:txbxContent>
                    <w:p w14:paraId="478E6204" w14:textId="77777777" w:rsidR="007E7DF5" w:rsidRDefault="007E7DF5" w:rsidP="006A4F56">
                      <w:pPr>
                        <w:jc w:val="center"/>
                        <w:rPr>
                          <w:sz w:val="16"/>
                          <w:szCs w:val="16"/>
                        </w:rPr>
                      </w:pPr>
                      <w:r>
                        <w:rPr>
                          <w:sz w:val="16"/>
                          <w:szCs w:val="16"/>
                        </w:rPr>
                        <w:t>Head of oblast confirms decision</w:t>
                      </w:r>
                    </w:p>
                    <w:p w14:paraId="3C531E4D" w14:textId="77777777" w:rsidR="007E7DF5" w:rsidRPr="00EA7C61" w:rsidRDefault="007E7DF5" w:rsidP="006A4F56">
                      <w:pPr>
                        <w:jc w:val="center"/>
                        <w:rPr>
                          <w:sz w:val="16"/>
                          <w:szCs w:val="16"/>
                        </w:rPr>
                      </w:pPr>
                      <w:r>
                        <w:rPr>
                          <w:sz w:val="16"/>
                          <w:szCs w:val="16"/>
                        </w:rPr>
                        <w:t xml:space="preserve">of special commission </w:t>
                      </w:r>
                    </w:p>
                  </w:txbxContent>
                </v:textbox>
                <w10:anchorlock/>
              </v:shape>
            </w:pict>
          </mc:Fallback>
        </mc:AlternateContent>
      </w:r>
      <w:r w:rsidRPr="002B1DFC">
        <w:rPr>
          <w:noProof/>
        </w:rPr>
        <mc:AlternateContent>
          <mc:Choice Requires="wps">
            <w:drawing>
              <wp:anchor distT="0" distB="0" distL="114300" distR="114300" simplePos="0" relativeHeight="251655168" behindDoc="0" locked="1" layoutInCell="1" allowOverlap="1" wp14:anchorId="31D411C0" wp14:editId="2FB9CFF6">
                <wp:simplePos x="0" y="0"/>
                <wp:positionH relativeFrom="column">
                  <wp:posOffset>691515</wp:posOffset>
                </wp:positionH>
                <wp:positionV relativeFrom="paragraph">
                  <wp:posOffset>1624965</wp:posOffset>
                </wp:positionV>
                <wp:extent cx="0" cy="230505"/>
                <wp:effectExtent l="53340" t="5715" r="60960" b="20955"/>
                <wp:wrapNone/>
                <wp:docPr id="53"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A443C" id="Straight Arrow Connector 95" o:spid="_x0000_s1026" type="#_x0000_t32" style="position:absolute;margin-left:54.45pt;margin-top:127.95pt;width:0;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" strokecolor="#4579b8">
                <v:stroke endarrow="block"/>
                <w10:anchorlock/>
              </v:shape>
            </w:pict>
          </mc:Fallback>
        </mc:AlternateContent>
      </w:r>
      <w:r w:rsidRPr="002B1DFC">
        <w:rPr>
          <w:noProof/>
        </w:rPr>
        <mc:AlternateContent>
          <mc:Choice Requires="wps">
            <w:drawing>
              <wp:anchor distT="0" distB="0" distL="114300" distR="114300" simplePos="0" relativeHeight="251648000" behindDoc="0" locked="1" layoutInCell="1" allowOverlap="1" wp14:anchorId="066BE8B6" wp14:editId="74CB4782">
                <wp:simplePos x="0" y="0"/>
                <wp:positionH relativeFrom="column">
                  <wp:posOffset>-2540</wp:posOffset>
                </wp:positionH>
                <wp:positionV relativeFrom="paragraph">
                  <wp:posOffset>1169670</wp:posOffset>
                </wp:positionV>
                <wp:extent cx="1600200" cy="457835"/>
                <wp:effectExtent l="6985" t="7620" r="12065" b="10795"/>
                <wp:wrapNone/>
                <wp:docPr id="5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6350">
                          <a:solidFill>
                            <a:srgbClr val="000000"/>
                          </a:solidFill>
                          <a:miter lim="800000"/>
                          <a:headEnd/>
                          <a:tailEnd/>
                        </a:ln>
                      </wps:spPr>
                      <wps:txbx>
                        <w:txbxContent>
                          <w:p w14:paraId="2E3F40F1" w14:textId="77777777" w:rsidR="007E7DF5" w:rsidRPr="00EA7C61" w:rsidRDefault="007E7DF5" w:rsidP="006A4F56">
                            <w:pPr>
                              <w:jc w:val="center"/>
                              <w:rPr>
                                <w:sz w:val="16"/>
                                <w:szCs w:val="16"/>
                              </w:rPr>
                            </w:pPr>
                            <w:r>
                              <w:rPr>
                                <w:sz w:val="16"/>
                                <w:szCs w:val="16"/>
                              </w:rPr>
                              <w:t>Special commission decides if and where the project may start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BE8B6" id="Text Box 85" o:spid="_x0000_s1064" type="#_x0000_t202" style="position:absolute;margin-left:-.2pt;margin-top:92.1pt;width:126pt;height:3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" strokeweight=".5pt">
                <v:textbox inset="0,0,0,0">
                  <w:txbxContent>
                    <w:p w14:paraId="2E3F40F1" w14:textId="77777777" w:rsidR="007E7DF5" w:rsidRPr="00EA7C61" w:rsidRDefault="007E7DF5" w:rsidP="006A4F56">
                      <w:pPr>
                        <w:jc w:val="center"/>
                        <w:rPr>
                          <w:sz w:val="16"/>
                          <w:szCs w:val="16"/>
                        </w:rPr>
                      </w:pPr>
                      <w:r>
                        <w:rPr>
                          <w:sz w:val="16"/>
                          <w:szCs w:val="16"/>
                        </w:rPr>
                        <w:t>Special commission decides if and where the project may start</w:t>
                      </w:r>
                    </w:p>
                  </w:txbxContent>
                </v:textbox>
                <w10:anchorlock/>
              </v:shape>
            </w:pict>
          </mc:Fallback>
        </mc:AlternateContent>
      </w:r>
      <w:r w:rsidRPr="002B1DFC">
        <w:rPr>
          <w:noProof/>
        </w:rPr>
        <mc:AlternateContent>
          <mc:Choice Requires="wps">
            <w:drawing>
              <wp:anchor distT="0" distB="0" distL="114300" distR="114300" simplePos="0" relativeHeight="251654144" behindDoc="0" locked="1" layoutInCell="1" allowOverlap="1" wp14:anchorId="35834BAD" wp14:editId="08FAF2A9">
                <wp:simplePos x="0" y="0"/>
                <wp:positionH relativeFrom="column">
                  <wp:posOffset>691515</wp:posOffset>
                </wp:positionH>
                <wp:positionV relativeFrom="paragraph">
                  <wp:posOffset>926465</wp:posOffset>
                </wp:positionV>
                <wp:extent cx="0" cy="230505"/>
                <wp:effectExtent l="53340" t="12065" r="60960" b="14605"/>
                <wp:wrapNone/>
                <wp:docPr id="51"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3C98F" id="Straight Arrow Connector 94" o:spid="_x0000_s1026" type="#_x0000_t32" style="position:absolute;margin-left:54.45pt;margin-top:72.95pt;width:0;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" strokecolor="#4579b8">
                <v:stroke endarrow="block"/>
                <w10:anchorlock/>
              </v:shape>
            </w:pict>
          </mc:Fallback>
        </mc:AlternateContent>
      </w:r>
      <w:r w:rsidRPr="002B1DFC">
        <w:rPr>
          <w:noProof/>
        </w:rPr>
        <mc:AlternateContent>
          <mc:Choice Requires="wps">
            <w:drawing>
              <wp:anchor distT="0" distB="0" distL="114300" distR="114300" simplePos="0" relativeHeight="251650048" behindDoc="0" locked="1" layoutInCell="1" allowOverlap="1" wp14:anchorId="1E3BE376" wp14:editId="7A91E3D4">
                <wp:simplePos x="0" y="0"/>
                <wp:positionH relativeFrom="column">
                  <wp:posOffset>685800</wp:posOffset>
                </wp:positionH>
                <wp:positionV relativeFrom="paragraph">
                  <wp:posOffset>236855</wp:posOffset>
                </wp:positionV>
                <wp:extent cx="0" cy="230505"/>
                <wp:effectExtent l="57150" t="8255" r="57150" b="18415"/>
                <wp:wrapNone/>
                <wp:docPr id="50"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14F5A" id="Straight Arrow Connector 89" o:spid="_x0000_s1026" type="#_x0000_t32" style="position:absolute;margin-left:54pt;margin-top:18.65pt;width:0;height:1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" strokecolor="#4579b8">
                <v:stroke endarrow="block"/>
                <w10:anchorlock/>
              </v:shape>
            </w:pict>
          </mc:Fallback>
        </mc:AlternateContent>
      </w:r>
      <w:r w:rsidRPr="002B1DFC">
        <w:rPr>
          <w:noProof/>
        </w:rPr>
        <mc:AlternateContent>
          <mc:Choice Requires="wps">
            <w:drawing>
              <wp:anchor distT="0" distB="0" distL="114300" distR="114300" simplePos="0" relativeHeight="251646976" behindDoc="0" locked="1" layoutInCell="1" allowOverlap="1" wp14:anchorId="49DE4489" wp14:editId="6EF813CF">
                <wp:simplePos x="0" y="0"/>
                <wp:positionH relativeFrom="column">
                  <wp:posOffset>8890</wp:posOffset>
                </wp:positionH>
                <wp:positionV relativeFrom="paragraph">
                  <wp:posOffset>467995</wp:posOffset>
                </wp:positionV>
                <wp:extent cx="1600200" cy="458470"/>
                <wp:effectExtent l="8890" t="10795" r="10160" b="6985"/>
                <wp:wrapNone/>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8470"/>
                        </a:xfrm>
                        <a:prstGeom prst="rect">
                          <a:avLst/>
                        </a:prstGeom>
                        <a:solidFill>
                          <a:srgbClr val="FFFFFF"/>
                        </a:solidFill>
                        <a:ln w="6350">
                          <a:solidFill>
                            <a:srgbClr val="000000"/>
                          </a:solidFill>
                          <a:miter lim="800000"/>
                          <a:headEnd/>
                          <a:tailEnd/>
                        </a:ln>
                      </wps:spPr>
                      <wps:txbx>
                        <w:txbxContent>
                          <w:p w14:paraId="01FA4EB2" w14:textId="77777777" w:rsidR="007E7DF5" w:rsidRDefault="007E7DF5" w:rsidP="006A4F56">
                            <w:pPr>
                              <w:jc w:val="center"/>
                              <w:rPr>
                                <w:sz w:val="16"/>
                                <w:szCs w:val="16"/>
                              </w:rPr>
                            </w:pPr>
                            <w:r>
                              <w:rPr>
                                <w:sz w:val="16"/>
                                <w:szCs w:val="16"/>
                              </w:rPr>
                              <w:t xml:space="preserve">Local authorities establish </w:t>
                            </w:r>
                          </w:p>
                          <w:p w14:paraId="7AA9AB32" w14:textId="77777777" w:rsidR="007E7DF5" w:rsidRPr="00EA7C61" w:rsidRDefault="007E7DF5" w:rsidP="006A4F56">
                            <w:pPr>
                              <w:jc w:val="center"/>
                              <w:rPr>
                                <w:sz w:val="16"/>
                                <w:szCs w:val="16"/>
                              </w:rPr>
                            </w:pPr>
                            <w:proofErr w:type="gramStart"/>
                            <w:r>
                              <w:rPr>
                                <w:sz w:val="16"/>
                                <w:szCs w:val="16"/>
                              </w:rPr>
                              <w:t>a</w:t>
                            </w:r>
                            <w:proofErr w:type="gramEnd"/>
                            <w:r>
                              <w:rPr>
                                <w:sz w:val="16"/>
                                <w:szCs w:val="16"/>
                              </w:rPr>
                              <w:t xml:space="preserve"> special commission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DE4489" id="Text Box 84" o:spid="_x0000_s1065" type="#_x0000_t202" style="position:absolute;margin-left:.7pt;margin-top:36.85pt;width:126pt;height:3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" strokeweight=".5pt">
                <v:textbox inset="0,0,0,0">
                  <w:txbxContent>
                    <w:p w14:paraId="01FA4EB2" w14:textId="77777777" w:rsidR="007E7DF5" w:rsidRDefault="007E7DF5" w:rsidP="006A4F56">
                      <w:pPr>
                        <w:jc w:val="center"/>
                        <w:rPr>
                          <w:sz w:val="16"/>
                          <w:szCs w:val="16"/>
                        </w:rPr>
                      </w:pPr>
                      <w:r>
                        <w:rPr>
                          <w:sz w:val="16"/>
                          <w:szCs w:val="16"/>
                        </w:rPr>
                        <w:t xml:space="preserve">Local authorities establish </w:t>
                      </w:r>
                    </w:p>
                    <w:p w14:paraId="7AA9AB32" w14:textId="77777777" w:rsidR="007E7DF5" w:rsidRPr="00EA7C61" w:rsidRDefault="007E7DF5" w:rsidP="006A4F56">
                      <w:pPr>
                        <w:jc w:val="center"/>
                        <w:rPr>
                          <w:sz w:val="16"/>
                          <w:szCs w:val="16"/>
                        </w:rPr>
                      </w:pPr>
                      <w:r>
                        <w:rPr>
                          <w:sz w:val="16"/>
                          <w:szCs w:val="16"/>
                        </w:rPr>
                        <w:t>a special commission</w:t>
                      </w:r>
                    </w:p>
                  </w:txbxContent>
                </v:textbox>
                <w10:anchorlock/>
              </v:shape>
            </w:pict>
          </mc:Fallback>
        </mc:AlternateContent>
      </w:r>
      <w:r w:rsidR="000B7923" w:rsidRPr="002B1DFC">
        <w:rPr>
          <w:rFonts w:cs="Times New Roman"/>
        </w:rPr>
        <w:br w:type="page"/>
      </w:r>
      <w:r w:rsidR="000B7923" w:rsidRPr="0061686D">
        <w:rPr>
          <w:b/>
        </w:rPr>
        <w:lastRenderedPageBreak/>
        <w:t>Figure</w:t>
      </w:r>
      <w:r w:rsidR="006B2C60" w:rsidRPr="0061686D">
        <w:rPr>
          <w:b/>
        </w:rPr>
        <w:t xml:space="preserve"> A9.</w:t>
      </w:r>
      <w:r w:rsidR="000B7923" w:rsidRPr="0061686D">
        <w:rPr>
          <w:b/>
        </w:rPr>
        <w:t>2. EIA Review Process by MENR</w:t>
      </w:r>
    </w:p>
    <w:p w14:paraId="4AA06693" w14:textId="77777777" w:rsidR="000B7923" w:rsidRPr="002B1DFC" w:rsidRDefault="000B7923" w:rsidP="006A4F56"/>
    <w:p w14:paraId="068BFF6E" w14:textId="77777777" w:rsidR="000B7923" w:rsidRPr="00417A81" w:rsidRDefault="00BE4288" w:rsidP="006A4F56">
      <w:pPr>
        <w:spacing w:line="276" w:lineRule="auto"/>
        <w:jc w:val="left"/>
        <w:rPr>
          <w:rFonts w:cs="Times New Roman"/>
          <w:color w:val="000000" w:themeColor="text1"/>
        </w:rPr>
      </w:pPr>
      <w:r w:rsidRPr="00417A81">
        <w:rPr>
          <w:rFonts w:cs="Times New Roman"/>
          <w:noProof/>
          <w:color w:val="000000" w:themeColor="text1"/>
        </w:rPr>
        <mc:AlternateContent>
          <mc:Choice Requires="wpg">
            <w:drawing>
              <wp:inline distT="0" distB="0" distL="0" distR="0" wp14:anchorId="3E1CD673" wp14:editId="735BC321">
                <wp:extent cx="4253865" cy="6515100"/>
                <wp:effectExtent l="9525" t="9525" r="13335" b="9525"/>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865" cy="6515100"/>
                          <a:chOff x="4254" y="1429"/>
                          <a:chExt cx="6699" cy="10260"/>
                        </a:xfrm>
                      </wpg:grpSpPr>
                      <wps:wsp>
                        <wps:cNvPr id="11" name="Text Box 3"/>
                        <wps:cNvSpPr txBox="1">
                          <a:spLocks noChangeArrowheads="1"/>
                        </wps:cNvSpPr>
                        <wps:spPr bwMode="auto">
                          <a:xfrm>
                            <a:off x="4254" y="1429"/>
                            <a:ext cx="3120" cy="720"/>
                          </a:xfrm>
                          <a:prstGeom prst="rect">
                            <a:avLst/>
                          </a:prstGeom>
                          <a:solidFill>
                            <a:srgbClr val="FFFFFF"/>
                          </a:solidFill>
                          <a:ln w="9525">
                            <a:solidFill>
                              <a:srgbClr val="000000"/>
                            </a:solidFill>
                            <a:miter lim="800000"/>
                            <a:headEnd/>
                            <a:tailEnd/>
                          </a:ln>
                        </wps:spPr>
                        <wps:txbx>
                          <w:txbxContent>
                            <w:p w14:paraId="2540D62F" w14:textId="722AE5DA" w:rsidR="007E7DF5" w:rsidRDefault="007E7DF5" w:rsidP="006A4F56">
                              <w:pPr>
                                <w:jc w:val="center"/>
                                <w:rPr>
                                  <w:sz w:val="16"/>
                                  <w:szCs w:val="16"/>
                                </w:rPr>
                              </w:pPr>
                              <w:r w:rsidRPr="00A47BFC">
                                <w:rPr>
                                  <w:sz w:val="16"/>
                                  <w:szCs w:val="16"/>
                                </w:rPr>
                                <w:t>Project proponent submits</w:t>
                              </w:r>
                              <w:r>
                                <w:rPr>
                                  <w:sz w:val="16"/>
                                  <w:szCs w:val="16"/>
                                </w:rPr>
                                <w:t xml:space="preserve"> registration cover letter and EIA documentation</w:t>
                              </w:r>
                            </w:p>
                            <w:p w14:paraId="436584DE" w14:textId="77777777" w:rsidR="007E7DF5" w:rsidRPr="00A47BFC" w:rsidRDefault="007E7DF5" w:rsidP="006A4F56">
                              <w:pPr>
                                <w:jc w:val="center"/>
                                <w:rPr>
                                  <w:sz w:val="16"/>
                                  <w:szCs w:val="16"/>
                                </w:rPr>
                              </w:pPr>
                              <w:proofErr w:type="gramStart"/>
                              <w:r>
                                <w:rPr>
                                  <w:sz w:val="16"/>
                                  <w:szCs w:val="16"/>
                                </w:rPr>
                                <w:t>to</w:t>
                              </w:r>
                              <w:proofErr w:type="gramEnd"/>
                              <w:r>
                                <w:rPr>
                                  <w:sz w:val="16"/>
                                  <w:szCs w:val="16"/>
                                </w:rPr>
                                <w:t xml:space="preserve"> state EE</w:t>
                              </w:r>
                            </w:p>
                          </w:txbxContent>
                        </wps:txbx>
                        <wps:bodyPr rot="0" vert="horz" wrap="square" lIns="91440" tIns="45720" rIns="91440" bIns="45720" anchor="t" anchorCtr="0" upright="1">
                          <a:noAutofit/>
                        </wps:bodyPr>
                      </wps:wsp>
                      <wps:wsp>
                        <wps:cNvPr id="15" name="AutoShape 4"/>
                        <wps:cNvCnPr>
                          <a:cxnSpLocks noChangeShapeType="1"/>
                        </wps:cNvCnPr>
                        <wps:spPr bwMode="auto">
                          <a:xfrm>
                            <a:off x="5814" y="2149"/>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5"/>
                        <wps:cNvSpPr txBox="1">
                          <a:spLocks noChangeArrowheads="1"/>
                        </wps:cNvSpPr>
                        <wps:spPr bwMode="auto">
                          <a:xfrm>
                            <a:off x="4254" y="2525"/>
                            <a:ext cx="3120" cy="720"/>
                          </a:xfrm>
                          <a:prstGeom prst="rect">
                            <a:avLst/>
                          </a:prstGeom>
                          <a:solidFill>
                            <a:srgbClr val="FFFFFF"/>
                          </a:solidFill>
                          <a:ln w="9525">
                            <a:solidFill>
                              <a:srgbClr val="000000"/>
                            </a:solidFill>
                            <a:miter lim="800000"/>
                            <a:headEnd/>
                            <a:tailEnd/>
                          </a:ln>
                        </wps:spPr>
                        <wps:txbx>
                          <w:txbxContent>
                            <w:p w14:paraId="2C325A72" w14:textId="6B62BD97" w:rsidR="007E7DF5" w:rsidRDefault="007E7DF5" w:rsidP="006A4F56">
                              <w:pPr>
                                <w:jc w:val="center"/>
                                <w:rPr>
                                  <w:sz w:val="16"/>
                                  <w:szCs w:val="16"/>
                                </w:rPr>
                              </w:pPr>
                              <w:r>
                                <w:rPr>
                                  <w:sz w:val="16"/>
                                  <w:szCs w:val="16"/>
                                </w:rPr>
                                <w:t>D</w:t>
                              </w:r>
                              <w:r w:rsidRPr="00311933">
                                <w:rPr>
                                  <w:sz w:val="16"/>
                                  <w:szCs w:val="16"/>
                                </w:rPr>
                                <w:t>epartment of documentary support</w:t>
                              </w:r>
                              <w:r>
                                <w:rPr>
                                  <w:sz w:val="16"/>
                                  <w:szCs w:val="16"/>
                                </w:rPr>
                                <w:t xml:space="preserve"> (DDS)</w:t>
                              </w:r>
                              <w:r w:rsidRPr="00311933">
                                <w:rPr>
                                  <w:sz w:val="16"/>
                                  <w:szCs w:val="16"/>
                                </w:rPr>
                                <w:t xml:space="preserve"> </w:t>
                              </w:r>
                              <w:r>
                                <w:rPr>
                                  <w:sz w:val="16"/>
                                  <w:szCs w:val="16"/>
                                </w:rPr>
                                <w:t xml:space="preserve">transfers documents to EE </w:t>
                              </w:r>
                            </w:p>
                            <w:p w14:paraId="22C498DD" w14:textId="77777777" w:rsidR="007E7DF5" w:rsidRPr="00A47BFC" w:rsidRDefault="007E7DF5" w:rsidP="006A4F56">
                              <w:pPr>
                                <w:jc w:val="center"/>
                                <w:rPr>
                                  <w:sz w:val="16"/>
                                  <w:szCs w:val="16"/>
                                </w:rPr>
                              </w:pPr>
                              <w:proofErr w:type="gramStart"/>
                              <w:r>
                                <w:rPr>
                                  <w:sz w:val="16"/>
                                  <w:szCs w:val="16"/>
                                </w:rPr>
                                <w:t>department</w:t>
                              </w:r>
                              <w:proofErr w:type="gramEnd"/>
                              <w:r>
                                <w:rPr>
                                  <w:sz w:val="16"/>
                                  <w:szCs w:val="16"/>
                                </w:rPr>
                                <w:t xml:space="preserve"> (EED)</w:t>
                              </w:r>
                            </w:p>
                          </w:txbxContent>
                        </wps:txbx>
                        <wps:bodyPr rot="0" vert="horz" wrap="square" lIns="91440" tIns="45720" rIns="91440" bIns="45720" anchor="t" anchorCtr="0" upright="1">
                          <a:noAutofit/>
                        </wps:bodyPr>
                      </wps:wsp>
                      <wps:wsp>
                        <wps:cNvPr id="18" name="Text Box 6"/>
                        <wps:cNvSpPr txBox="1">
                          <a:spLocks noChangeArrowheads="1"/>
                        </wps:cNvSpPr>
                        <wps:spPr bwMode="auto">
                          <a:xfrm>
                            <a:off x="4254" y="3463"/>
                            <a:ext cx="3120" cy="720"/>
                          </a:xfrm>
                          <a:prstGeom prst="rect">
                            <a:avLst/>
                          </a:prstGeom>
                          <a:solidFill>
                            <a:srgbClr val="FFFFFF"/>
                          </a:solidFill>
                          <a:ln w="9525">
                            <a:solidFill>
                              <a:srgbClr val="000000"/>
                            </a:solidFill>
                            <a:miter lim="800000"/>
                            <a:headEnd/>
                            <a:tailEnd/>
                          </a:ln>
                        </wps:spPr>
                        <wps:txbx>
                          <w:txbxContent>
                            <w:p w14:paraId="22F4D228" w14:textId="77777777" w:rsidR="007E7DF5" w:rsidRPr="00A47BFC" w:rsidRDefault="007E7DF5" w:rsidP="0061686D">
                              <w:pPr>
                                <w:jc w:val="center"/>
                                <w:rPr>
                                  <w:sz w:val="16"/>
                                  <w:szCs w:val="16"/>
                                </w:rPr>
                              </w:pPr>
                              <w:r>
                                <w:rPr>
                                  <w:sz w:val="16"/>
                                  <w:szCs w:val="16"/>
                                </w:rPr>
                                <w:t>EED carries out preliminary review of received materials for completeness</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7833" y="3463"/>
                            <a:ext cx="3120" cy="720"/>
                          </a:xfrm>
                          <a:prstGeom prst="rect">
                            <a:avLst/>
                          </a:prstGeom>
                          <a:solidFill>
                            <a:srgbClr val="FFFFFF"/>
                          </a:solidFill>
                          <a:ln w="9525">
                            <a:solidFill>
                              <a:srgbClr val="000000"/>
                            </a:solidFill>
                            <a:miter lim="800000"/>
                            <a:headEnd/>
                            <a:tailEnd/>
                          </a:ln>
                        </wps:spPr>
                        <wps:txbx>
                          <w:txbxContent>
                            <w:p w14:paraId="1A01C24F" w14:textId="77777777" w:rsidR="007E7DF5" w:rsidRDefault="007E7DF5" w:rsidP="0061686D">
                              <w:pPr>
                                <w:jc w:val="center"/>
                                <w:rPr>
                                  <w:sz w:val="16"/>
                                  <w:szCs w:val="16"/>
                                </w:rPr>
                              </w:pPr>
                              <w:r>
                                <w:rPr>
                                  <w:sz w:val="16"/>
                                  <w:szCs w:val="16"/>
                                </w:rPr>
                                <w:t>If not complete:</w:t>
                              </w:r>
                            </w:p>
                            <w:p w14:paraId="50881E8D" w14:textId="77777777" w:rsidR="007E7DF5" w:rsidRPr="00A47BFC" w:rsidRDefault="007E7DF5" w:rsidP="0061686D">
                              <w:pPr>
                                <w:jc w:val="center"/>
                                <w:rPr>
                                  <w:sz w:val="16"/>
                                  <w:szCs w:val="16"/>
                                </w:rPr>
                              </w:pPr>
                              <w:r>
                                <w:rPr>
                                  <w:sz w:val="16"/>
                                  <w:szCs w:val="16"/>
                                </w:rPr>
                                <w:t>Materials returned for revision</w:t>
                              </w:r>
                            </w:p>
                          </w:txbxContent>
                        </wps:txbx>
                        <wps:bodyPr rot="0" vert="horz" wrap="square" lIns="91440" tIns="45720" rIns="91440" bIns="45720" anchor="t" anchorCtr="0" upright="1">
                          <a:noAutofit/>
                        </wps:bodyPr>
                      </wps:wsp>
                      <wps:wsp>
                        <wps:cNvPr id="20" name="Text Box 8"/>
                        <wps:cNvSpPr txBox="1">
                          <a:spLocks noChangeArrowheads="1"/>
                        </wps:cNvSpPr>
                        <wps:spPr bwMode="auto">
                          <a:xfrm>
                            <a:off x="4254" y="4401"/>
                            <a:ext cx="3120" cy="720"/>
                          </a:xfrm>
                          <a:prstGeom prst="rect">
                            <a:avLst/>
                          </a:prstGeom>
                          <a:solidFill>
                            <a:srgbClr val="FFFFFF"/>
                          </a:solidFill>
                          <a:ln w="9525">
                            <a:solidFill>
                              <a:srgbClr val="000000"/>
                            </a:solidFill>
                            <a:miter lim="800000"/>
                            <a:headEnd/>
                            <a:tailEnd/>
                          </a:ln>
                        </wps:spPr>
                        <wps:txbx>
                          <w:txbxContent>
                            <w:p w14:paraId="1B19A6B9" w14:textId="77777777" w:rsidR="007E7DF5" w:rsidRDefault="007E7DF5" w:rsidP="0061686D">
                              <w:pPr>
                                <w:jc w:val="center"/>
                                <w:rPr>
                                  <w:sz w:val="16"/>
                                  <w:szCs w:val="16"/>
                                </w:rPr>
                              </w:pPr>
                              <w:r w:rsidRPr="00C9553F">
                                <w:rPr>
                                  <w:sz w:val="16"/>
                                  <w:szCs w:val="16"/>
                                </w:rPr>
                                <w:t>If complete:</w:t>
                              </w:r>
                            </w:p>
                            <w:p w14:paraId="421DBFDA" w14:textId="0723712A" w:rsidR="007E7DF5" w:rsidRDefault="007E7DF5" w:rsidP="0061686D">
                              <w:pPr>
                                <w:jc w:val="center"/>
                                <w:rPr>
                                  <w:sz w:val="16"/>
                                  <w:szCs w:val="16"/>
                                </w:rPr>
                              </w:pPr>
                              <w:r w:rsidRPr="00C9553F">
                                <w:rPr>
                                  <w:sz w:val="16"/>
                                  <w:szCs w:val="16"/>
                                </w:rPr>
                                <w:t>EED transfers application to DDS</w:t>
                              </w:r>
                            </w:p>
                            <w:p w14:paraId="0A55F454" w14:textId="77777777" w:rsidR="007E7DF5" w:rsidRPr="00C9553F" w:rsidRDefault="007E7DF5" w:rsidP="0061686D">
                              <w:pPr>
                                <w:jc w:val="center"/>
                                <w:rPr>
                                  <w:sz w:val="16"/>
                                  <w:szCs w:val="16"/>
                                </w:rPr>
                              </w:pPr>
                              <w:proofErr w:type="gramStart"/>
                              <w:r w:rsidRPr="00C9553F">
                                <w:rPr>
                                  <w:sz w:val="16"/>
                                  <w:szCs w:val="16"/>
                                </w:rPr>
                                <w:t>for</w:t>
                              </w:r>
                              <w:proofErr w:type="gramEnd"/>
                              <w:r w:rsidRPr="00C9553F">
                                <w:rPr>
                                  <w:sz w:val="16"/>
                                  <w:szCs w:val="16"/>
                                </w:rPr>
                                <w:t xml:space="preserve"> posting on MENR </w:t>
                              </w:r>
                              <w:r>
                                <w:rPr>
                                  <w:sz w:val="16"/>
                                  <w:szCs w:val="16"/>
                                </w:rPr>
                                <w:t>Web site</w:t>
                              </w:r>
                            </w:p>
                          </w:txbxContent>
                        </wps:txbx>
                        <wps:bodyPr rot="0" vert="horz" wrap="square" lIns="91440" tIns="45720" rIns="91440" bIns="45720" anchor="t" anchorCtr="0" upright="1">
                          <a:noAutofit/>
                        </wps:bodyPr>
                      </wps:wsp>
                      <wps:wsp>
                        <wps:cNvPr id="21" name="Text Box 9"/>
                        <wps:cNvSpPr txBox="1">
                          <a:spLocks noChangeArrowheads="1"/>
                        </wps:cNvSpPr>
                        <wps:spPr bwMode="auto">
                          <a:xfrm>
                            <a:off x="4254" y="5339"/>
                            <a:ext cx="3120" cy="720"/>
                          </a:xfrm>
                          <a:prstGeom prst="rect">
                            <a:avLst/>
                          </a:prstGeom>
                          <a:solidFill>
                            <a:srgbClr val="FFFFFF"/>
                          </a:solidFill>
                          <a:ln w="9525">
                            <a:solidFill>
                              <a:srgbClr val="000000"/>
                            </a:solidFill>
                            <a:miter lim="800000"/>
                            <a:headEnd/>
                            <a:tailEnd/>
                          </a:ln>
                        </wps:spPr>
                        <wps:txbx>
                          <w:txbxContent>
                            <w:p w14:paraId="50693702" w14:textId="583A6F00" w:rsidR="007E7DF5" w:rsidRDefault="007E7DF5" w:rsidP="0061686D">
                              <w:pPr>
                                <w:jc w:val="center"/>
                                <w:rPr>
                                  <w:sz w:val="16"/>
                                  <w:szCs w:val="16"/>
                                </w:rPr>
                              </w:pPr>
                              <w:r>
                                <w:rPr>
                                  <w:sz w:val="16"/>
                                  <w:szCs w:val="16"/>
                                </w:rPr>
                                <w:t>DDS posts application for SEE</w:t>
                              </w:r>
                            </w:p>
                            <w:p w14:paraId="6F702D07" w14:textId="77777777" w:rsidR="007E7DF5" w:rsidRPr="00311933" w:rsidRDefault="007E7DF5" w:rsidP="0061686D">
                              <w:pPr>
                                <w:jc w:val="center"/>
                                <w:rPr>
                                  <w:sz w:val="16"/>
                                  <w:szCs w:val="16"/>
                                </w:rPr>
                              </w:pPr>
                              <w:proofErr w:type="gramStart"/>
                              <w:r>
                                <w:rPr>
                                  <w:sz w:val="16"/>
                                  <w:szCs w:val="16"/>
                                </w:rPr>
                                <w:t>on</w:t>
                              </w:r>
                              <w:proofErr w:type="gramEnd"/>
                              <w:r>
                                <w:rPr>
                                  <w:sz w:val="16"/>
                                  <w:szCs w:val="16"/>
                                </w:rPr>
                                <w:t xml:space="preserve"> MENR Web site</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4254" y="6278"/>
                            <a:ext cx="3120" cy="720"/>
                          </a:xfrm>
                          <a:prstGeom prst="rect">
                            <a:avLst/>
                          </a:prstGeom>
                          <a:solidFill>
                            <a:srgbClr val="FFFFFF"/>
                          </a:solidFill>
                          <a:ln w="9525">
                            <a:solidFill>
                              <a:srgbClr val="000000"/>
                            </a:solidFill>
                            <a:miter lim="800000"/>
                            <a:headEnd/>
                            <a:tailEnd/>
                          </a:ln>
                        </wps:spPr>
                        <wps:txbx>
                          <w:txbxContent>
                            <w:p w14:paraId="65EB3E11" w14:textId="77777777" w:rsidR="007E7DF5" w:rsidRPr="00311933" w:rsidRDefault="007E7DF5" w:rsidP="00F046A2">
                              <w:pPr>
                                <w:jc w:val="center"/>
                                <w:rPr>
                                  <w:sz w:val="16"/>
                                  <w:szCs w:val="16"/>
                                </w:rPr>
                              </w:pPr>
                              <w:r>
                                <w:rPr>
                                  <w:sz w:val="16"/>
                                  <w:szCs w:val="16"/>
                                </w:rPr>
                                <w:t>EED prepares SEE Conclusion</w:t>
                              </w:r>
                            </w:p>
                          </w:txbxContent>
                        </wps:txbx>
                        <wps:bodyPr rot="0" vert="horz" wrap="square" lIns="91440" tIns="45720" rIns="91440" bIns="45720" anchor="t" anchorCtr="0" upright="1">
                          <a:noAutofit/>
                        </wps:bodyPr>
                      </wps:wsp>
                      <wps:wsp>
                        <wps:cNvPr id="23" name="Text Box 11"/>
                        <wps:cNvSpPr txBox="1">
                          <a:spLocks noChangeArrowheads="1"/>
                        </wps:cNvSpPr>
                        <wps:spPr bwMode="auto">
                          <a:xfrm>
                            <a:off x="4254" y="7216"/>
                            <a:ext cx="3120" cy="720"/>
                          </a:xfrm>
                          <a:prstGeom prst="rect">
                            <a:avLst/>
                          </a:prstGeom>
                          <a:solidFill>
                            <a:srgbClr val="FFFFFF"/>
                          </a:solidFill>
                          <a:ln w="9525">
                            <a:solidFill>
                              <a:srgbClr val="000000"/>
                            </a:solidFill>
                            <a:miter lim="800000"/>
                            <a:headEnd/>
                            <a:tailEnd/>
                          </a:ln>
                        </wps:spPr>
                        <wps:txbx>
                          <w:txbxContent>
                            <w:p w14:paraId="2F682E6D" w14:textId="77777777" w:rsidR="007E7DF5" w:rsidRPr="00311933" w:rsidRDefault="007E7DF5" w:rsidP="00F046A2">
                              <w:pPr>
                                <w:jc w:val="center"/>
                                <w:rPr>
                                  <w:sz w:val="16"/>
                                  <w:szCs w:val="16"/>
                                </w:rPr>
                              </w:pPr>
                              <w:r>
                                <w:rPr>
                                  <w:sz w:val="16"/>
                                  <w:szCs w:val="16"/>
                                </w:rPr>
                                <w:t>Head of EED signs SEE Conclusion</w:t>
                              </w:r>
                            </w:p>
                          </w:txbxContent>
                        </wps:txbx>
                        <wps:bodyPr rot="0" vert="horz" wrap="square" lIns="91440" tIns="45720" rIns="91440" bIns="45720" anchor="t" anchorCtr="0" upright="1">
                          <a:noAutofit/>
                        </wps:bodyPr>
                      </wps:wsp>
                      <wps:wsp>
                        <wps:cNvPr id="24" name="Text Box 12"/>
                        <wps:cNvSpPr txBox="1">
                          <a:spLocks noChangeArrowheads="1"/>
                        </wps:cNvSpPr>
                        <wps:spPr bwMode="auto">
                          <a:xfrm>
                            <a:off x="4254" y="8154"/>
                            <a:ext cx="3120" cy="720"/>
                          </a:xfrm>
                          <a:prstGeom prst="rect">
                            <a:avLst/>
                          </a:prstGeom>
                          <a:solidFill>
                            <a:srgbClr val="FFFFFF"/>
                          </a:solidFill>
                          <a:ln w="9525">
                            <a:solidFill>
                              <a:srgbClr val="000000"/>
                            </a:solidFill>
                            <a:miter lim="800000"/>
                            <a:headEnd/>
                            <a:tailEnd/>
                          </a:ln>
                        </wps:spPr>
                        <wps:txbx>
                          <w:txbxContent>
                            <w:p w14:paraId="3B68CE68" w14:textId="77777777" w:rsidR="007E7DF5" w:rsidRPr="00311933" w:rsidRDefault="007E7DF5" w:rsidP="00F046A2">
                              <w:pPr>
                                <w:jc w:val="center"/>
                                <w:rPr>
                                  <w:sz w:val="16"/>
                                  <w:szCs w:val="16"/>
                                </w:rPr>
                              </w:pPr>
                              <w:r>
                                <w:rPr>
                                  <w:sz w:val="16"/>
                                  <w:szCs w:val="16"/>
                                </w:rPr>
                                <w:t>DDS registers SEE Conclusion</w:t>
                              </w:r>
                            </w:p>
                          </w:txbxContent>
                        </wps:txbx>
                        <wps:bodyPr rot="0" vert="horz" wrap="square" lIns="91440" tIns="45720" rIns="91440" bIns="45720" anchor="t" anchorCtr="0" upright="1">
                          <a:noAutofit/>
                        </wps:bodyPr>
                      </wps:wsp>
                      <wps:wsp>
                        <wps:cNvPr id="25" name="Text Box 13"/>
                        <wps:cNvSpPr txBox="1">
                          <a:spLocks noChangeArrowheads="1"/>
                        </wps:cNvSpPr>
                        <wps:spPr bwMode="auto">
                          <a:xfrm>
                            <a:off x="4254" y="9092"/>
                            <a:ext cx="3120" cy="720"/>
                          </a:xfrm>
                          <a:prstGeom prst="rect">
                            <a:avLst/>
                          </a:prstGeom>
                          <a:solidFill>
                            <a:srgbClr val="FFFFFF"/>
                          </a:solidFill>
                          <a:ln w="9525">
                            <a:solidFill>
                              <a:srgbClr val="000000"/>
                            </a:solidFill>
                            <a:miter lim="800000"/>
                            <a:headEnd/>
                            <a:tailEnd/>
                          </a:ln>
                        </wps:spPr>
                        <wps:txbx>
                          <w:txbxContent>
                            <w:p w14:paraId="64E54FD6" w14:textId="77777777" w:rsidR="007E7DF5" w:rsidRPr="00311933" w:rsidRDefault="007E7DF5" w:rsidP="006A4F56">
                              <w:pPr>
                                <w:jc w:val="center"/>
                                <w:rPr>
                                  <w:sz w:val="16"/>
                                  <w:szCs w:val="16"/>
                                </w:rPr>
                              </w:pPr>
                              <w:r>
                                <w:rPr>
                                  <w:sz w:val="16"/>
                                  <w:szCs w:val="16"/>
                                </w:rPr>
                                <w:t xml:space="preserve">EED transfers SEE Conclusion to DDS </w:t>
                              </w:r>
                            </w:p>
                          </w:txbxContent>
                        </wps:txbx>
                        <wps:bodyPr rot="0" vert="horz" wrap="square" lIns="91440" tIns="45720" rIns="91440" bIns="45720" anchor="t" anchorCtr="0" upright="1">
                          <a:noAutofit/>
                        </wps:bodyPr>
                      </wps:wsp>
                      <wps:wsp>
                        <wps:cNvPr id="26" name="Text Box 14"/>
                        <wps:cNvSpPr txBox="1">
                          <a:spLocks noChangeArrowheads="1"/>
                        </wps:cNvSpPr>
                        <wps:spPr bwMode="auto">
                          <a:xfrm>
                            <a:off x="4254" y="10030"/>
                            <a:ext cx="3120" cy="720"/>
                          </a:xfrm>
                          <a:prstGeom prst="rect">
                            <a:avLst/>
                          </a:prstGeom>
                          <a:solidFill>
                            <a:srgbClr val="FFFFFF"/>
                          </a:solidFill>
                          <a:ln w="9525">
                            <a:solidFill>
                              <a:srgbClr val="000000"/>
                            </a:solidFill>
                            <a:miter lim="800000"/>
                            <a:headEnd/>
                            <a:tailEnd/>
                          </a:ln>
                        </wps:spPr>
                        <wps:txbx>
                          <w:txbxContent>
                            <w:p w14:paraId="1CA2CA0D" w14:textId="77777777" w:rsidR="007E7DF5" w:rsidRDefault="007E7DF5" w:rsidP="00F046A2">
                              <w:pPr>
                                <w:jc w:val="center"/>
                                <w:rPr>
                                  <w:sz w:val="16"/>
                                  <w:szCs w:val="16"/>
                                </w:rPr>
                              </w:pPr>
                              <w:r>
                                <w:rPr>
                                  <w:sz w:val="16"/>
                                  <w:szCs w:val="16"/>
                                </w:rPr>
                                <w:t>DDS posts SEE</w:t>
                              </w:r>
                              <w:r w:rsidRPr="00311933">
                                <w:rPr>
                                  <w:sz w:val="16"/>
                                  <w:szCs w:val="16"/>
                                </w:rPr>
                                <w:t xml:space="preserve"> conclusion</w:t>
                              </w:r>
                            </w:p>
                            <w:p w14:paraId="2C2E0654" w14:textId="77777777" w:rsidR="007E7DF5" w:rsidRPr="00311933" w:rsidRDefault="007E7DF5" w:rsidP="00F046A2">
                              <w:pPr>
                                <w:jc w:val="center"/>
                                <w:rPr>
                                  <w:sz w:val="16"/>
                                  <w:szCs w:val="16"/>
                                </w:rPr>
                              </w:pPr>
                              <w:proofErr w:type="gramStart"/>
                              <w:r w:rsidRPr="00311933">
                                <w:rPr>
                                  <w:sz w:val="16"/>
                                  <w:szCs w:val="16"/>
                                </w:rPr>
                                <w:t>on</w:t>
                              </w:r>
                              <w:proofErr w:type="gramEnd"/>
                              <w:r w:rsidRPr="00311933">
                                <w:rPr>
                                  <w:sz w:val="16"/>
                                  <w:szCs w:val="16"/>
                                </w:rPr>
                                <w:t xml:space="preserve"> </w:t>
                              </w:r>
                              <w:r>
                                <w:rPr>
                                  <w:sz w:val="16"/>
                                  <w:szCs w:val="16"/>
                                </w:rPr>
                                <w:t>MENR Web site</w:t>
                              </w:r>
                            </w:p>
                          </w:txbxContent>
                        </wps:txbx>
                        <wps:bodyPr rot="0" vert="horz" wrap="square" lIns="91440" tIns="45720" rIns="91440" bIns="45720" anchor="t" anchorCtr="0" upright="1">
                          <a:noAutofit/>
                        </wps:bodyPr>
                      </wps:wsp>
                      <wps:wsp>
                        <wps:cNvPr id="27" name="Text Box 15"/>
                        <wps:cNvSpPr txBox="1">
                          <a:spLocks noChangeArrowheads="1"/>
                        </wps:cNvSpPr>
                        <wps:spPr bwMode="auto">
                          <a:xfrm>
                            <a:off x="4254" y="10969"/>
                            <a:ext cx="3120" cy="720"/>
                          </a:xfrm>
                          <a:prstGeom prst="rect">
                            <a:avLst/>
                          </a:prstGeom>
                          <a:solidFill>
                            <a:srgbClr val="FFFFFF"/>
                          </a:solidFill>
                          <a:ln w="9525">
                            <a:solidFill>
                              <a:srgbClr val="000000"/>
                            </a:solidFill>
                            <a:miter lim="800000"/>
                            <a:headEnd/>
                            <a:tailEnd/>
                          </a:ln>
                        </wps:spPr>
                        <wps:txbx>
                          <w:txbxContent>
                            <w:p w14:paraId="5A334CA6" w14:textId="77777777" w:rsidR="007E7DF5" w:rsidRDefault="007E7DF5" w:rsidP="00F046A2">
                              <w:pPr>
                                <w:jc w:val="center"/>
                                <w:rPr>
                                  <w:sz w:val="16"/>
                                  <w:szCs w:val="16"/>
                                </w:rPr>
                              </w:pPr>
                              <w:r>
                                <w:rPr>
                                  <w:sz w:val="16"/>
                                  <w:szCs w:val="16"/>
                                </w:rPr>
                                <w:t xml:space="preserve">SEE department issues SEE </w:t>
                              </w:r>
                              <w:r w:rsidRPr="00311933">
                                <w:rPr>
                                  <w:sz w:val="16"/>
                                  <w:szCs w:val="16"/>
                                </w:rPr>
                                <w:t>conclusion</w:t>
                              </w:r>
                            </w:p>
                            <w:p w14:paraId="7D106786" w14:textId="77777777" w:rsidR="007E7DF5" w:rsidRPr="00311933" w:rsidRDefault="007E7DF5" w:rsidP="00F046A2">
                              <w:pPr>
                                <w:jc w:val="center"/>
                                <w:rPr>
                                  <w:sz w:val="16"/>
                                  <w:szCs w:val="16"/>
                                </w:rPr>
                              </w:pPr>
                              <w:proofErr w:type="gramStart"/>
                              <w:r w:rsidRPr="00311933">
                                <w:rPr>
                                  <w:sz w:val="16"/>
                                  <w:szCs w:val="16"/>
                                </w:rPr>
                                <w:t>to</w:t>
                              </w:r>
                              <w:proofErr w:type="gramEnd"/>
                              <w:r w:rsidRPr="00311933">
                                <w:rPr>
                                  <w:sz w:val="16"/>
                                  <w:szCs w:val="16"/>
                                </w:rPr>
                                <w:t xml:space="preserve"> applicant </w:t>
                              </w:r>
                              <w:r>
                                <w:rPr>
                                  <w:sz w:val="16"/>
                                  <w:szCs w:val="16"/>
                                </w:rPr>
                                <w:t>/ their representative</w:t>
                              </w:r>
                            </w:p>
                          </w:txbxContent>
                        </wps:txbx>
                        <wps:bodyPr rot="0" vert="horz" wrap="square" lIns="91440" tIns="45720" rIns="91440" bIns="45720" anchor="t" anchorCtr="0" upright="1">
                          <a:noAutofit/>
                        </wps:bodyPr>
                      </wps:wsp>
                      <wps:wsp>
                        <wps:cNvPr id="28" name="AutoShape 16"/>
                        <wps:cNvCnPr>
                          <a:cxnSpLocks noChangeShapeType="1"/>
                        </wps:cNvCnPr>
                        <wps:spPr bwMode="auto">
                          <a:xfrm>
                            <a:off x="5814" y="3245"/>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a:off x="5814" y="418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8"/>
                        <wps:cNvCnPr>
                          <a:cxnSpLocks noChangeShapeType="1"/>
                        </wps:cNvCnPr>
                        <wps:spPr bwMode="auto">
                          <a:xfrm>
                            <a:off x="5814" y="5121"/>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CnPr>
                          <a:cxnSpLocks noChangeShapeType="1"/>
                        </wps:cNvCnPr>
                        <wps:spPr bwMode="auto">
                          <a:xfrm>
                            <a:off x="5814" y="6060"/>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
                        <wps:cNvCnPr>
                          <a:cxnSpLocks noChangeShapeType="1"/>
                        </wps:cNvCnPr>
                        <wps:spPr bwMode="auto">
                          <a:xfrm>
                            <a:off x="5814" y="7009"/>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5814" y="7936"/>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2"/>
                        <wps:cNvCnPr>
                          <a:cxnSpLocks noChangeShapeType="1"/>
                        </wps:cNvCnPr>
                        <wps:spPr bwMode="auto">
                          <a:xfrm>
                            <a:off x="5814" y="8874"/>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3"/>
                        <wps:cNvCnPr>
                          <a:cxnSpLocks noChangeShapeType="1"/>
                        </wps:cNvCnPr>
                        <wps:spPr bwMode="auto">
                          <a:xfrm>
                            <a:off x="5814" y="9812"/>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4"/>
                        <wps:cNvCnPr>
                          <a:cxnSpLocks noChangeShapeType="1"/>
                        </wps:cNvCnPr>
                        <wps:spPr bwMode="auto">
                          <a:xfrm>
                            <a:off x="5814" y="10750"/>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25"/>
                        <wps:cNvSpPr txBox="1">
                          <a:spLocks noChangeArrowheads="1"/>
                        </wps:cNvSpPr>
                        <wps:spPr bwMode="auto">
                          <a:xfrm>
                            <a:off x="5214" y="2149"/>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C77B6" w14:textId="77777777" w:rsidR="007E7DF5" w:rsidRPr="00566836" w:rsidRDefault="007E7DF5" w:rsidP="006A4F56">
                              <w:pPr>
                                <w:rPr>
                                  <w:sz w:val="12"/>
                                  <w:szCs w:val="12"/>
                                </w:rPr>
                              </w:pPr>
                              <w:r w:rsidRPr="00566836">
                                <w:rPr>
                                  <w:sz w:val="10"/>
                                  <w:szCs w:val="10"/>
                                </w:rPr>
                                <w:t>1 day</w:t>
                              </w:r>
                            </w:p>
                          </w:txbxContent>
                        </wps:txbx>
                        <wps:bodyPr rot="0" vert="horz" wrap="square" lIns="91440" tIns="45720" rIns="91440" bIns="45720" anchor="t" anchorCtr="0" upright="1">
                          <a:noAutofit/>
                        </wps:bodyPr>
                      </wps:wsp>
                      <wps:wsp>
                        <wps:cNvPr id="38" name="Text Box 26"/>
                        <wps:cNvSpPr txBox="1">
                          <a:spLocks noChangeArrowheads="1"/>
                        </wps:cNvSpPr>
                        <wps:spPr bwMode="auto">
                          <a:xfrm>
                            <a:off x="4470" y="3219"/>
                            <a:ext cx="144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6729" w14:textId="77777777" w:rsidR="007E7DF5" w:rsidRPr="00566836" w:rsidRDefault="007E7DF5" w:rsidP="006A4F56">
                              <w:pPr>
                                <w:rPr>
                                  <w:sz w:val="12"/>
                                  <w:szCs w:val="12"/>
                                </w:rPr>
                              </w:pPr>
                              <w:r>
                                <w:rPr>
                                  <w:sz w:val="10"/>
                                  <w:szCs w:val="10"/>
                                </w:rPr>
                                <w:t>As documents are received</w:t>
                              </w:r>
                            </w:p>
                          </w:txbxContent>
                        </wps:txbx>
                        <wps:bodyPr rot="0" vert="horz" wrap="square" lIns="91440" tIns="45720" rIns="91440" bIns="45720" anchor="t" anchorCtr="0" upright="1">
                          <a:noAutofit/>
                        </wps:bodyPr>
                      </wps:wsp>
                      <wps:wsp>
                        <wps:cNvPr id="39" name="Text Box 27"/>
                        <wps:cNvSpPr txBox="1">
                          <a:spLocks noChangeArrowheads="1"/>
                        </wps:cNvSpPr>
                        <wps:spPr bwMode="auto">
                          <a:xfrm>
                            <a:off x="5352" y="4171"/>
                            <a:ext cx="600"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A4B6" w14:textId="77777777" w:rsidR="007E7DF5" w:rsidRPr="00566836" w:rsidRDefault="007E7DF5" w:rsidP="006A4F56">
                              <w:pPr>
                                <w:rPr>
                                  <w:sz w:val="12"/>
                                  <w:szCs w:val="12"/>
                                </w:rPr>
                              </w:pPr>
                              <w:r w:rsidRPr="00566836">
                                <w:rPr>
                                  <w:sz w:val="10"/>
                                  <w:szCs w:val="10"/>
                                </w:rPr>
                                <w:t>1 day</w:t>
                              </w:r>
                            </w:p>
                          </w:txbxContent>
                        </wps:txbx>
                        <wps:bodyPr rot="0" vert="horz" wrap="square" lIns="91440" tIns="45720" rIns="91440" bIns="45720" anchor="t" anchorCtr="0" upright="1">
                          <a:noAutofit/>
                        </wps:bodyPr>
                      </wps:wsp>
                      <wps:wsp>
                        <wps:cNvPr id="40" name="Text Box 28"/>
                        <wps:cNvSpPr txBox="1">
                          <a:spLocks noChangeArrowheads="1"/>
                        </wps:cNvSpPr>
                        <wps:spPr bwMode="auto">
                          <a:xfrm>
                            <a:off x="7380" y="3633"/>
                            <a:ext cx="483"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97E7" w14:textId="77777777" w:rsidR="007E7DF5" w:rsidRPr="00566836" w:rsidRDefault="007E7DF5" w:rsidP="006A4F56">
                              <w:pPr>
                                <w:rPr>
                                  <w:sz w:val="12"/>
                                  <w:szCs w:val="12"/>
                                </w:rPr>
                              </w:pPr>
                              <w:r>
                                <w:rPr>
                                  <w:sz w:val="10"/>
                                  <w:szCs w:val="10"/>
                                </w:rPr>
                                <w:t>10 days</w:t>
                              </w:r>
                            </w:p>
                          </w:txbxContent>
                        </wps:txbx>
                        <wps:bodyPr rot="0" vert="horz" wrap="square" lIns="91440" tIns="45720" rIns="91440" bIns="45720" anchor="t" anchorCtr="0" upright="1">
                          <a:noAutofit/>
                        </wps:bodyPr>
                      </wps:wsp>
                      <wps:wsp>
                        <wps:cNvPr id="41" name="Text Box 29"/>
                        <wps:cNvSpPr txBox="1">
                          <a:spLocks noChangeArrowheads="1"/>
                        </wps:cNvSpPr>
                        <wps:spPr bwMode="auto">
                          <a:xfrm>
                            <a:off x="5337" y="5105"/>
                            <a:ext cx="600"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E848A" w14:textId="77777777" w:rsidR="007E7DF5" w:rsidRPr="00566836" w:rsidRDefault="007E7DF5" w:rsidP="006A4F56">
                              <w:pPr>
                                <w:rPr>
                                  <w:sz w:val="12"/>
                                  <w:szCs w:val="12"/>
                                </w:rPr>
                              </w:pPr>
                              <w:r>
                                <w:rPr>
                                  <w:sz w:val="10"/>
                                  <w:szCs w:val="10"/>
                                </w:rPr>
                                <w:t>2</w:t>
                              </w:r>
                              <w:r w:rsidRPr="00566836">
                                <w:rPr>
                                  <w:sz w:val="10"/>
                                  <w:szCs w:val="10"/>
                                </w:rPr>
                                <w:t xml:space="preserve"> day</w:t>
                              </w:r>
                              <w:r>
                                <w:rPr>
                                  <w:sz w:val="10"/>
                                  <w:szCs w:val="10"/>
                                </w:rPr>
                                <w:t>s</w:t>
                              </w:r>
                            </w:p>
                          </w:txbxContent>
                        </wps:txbx>
                        <wps:bodyPr rot="0" vert="horz" wrap="square" lIns="91440" tIns="45720" rIns="91440" bIns="45720" anchor="t" anchorCtr="0" upright="1">
                          <a:noAutofit/>
                        </wps:bodyPr>
                      </wps:wsp>
                      <wps:wsp>
                        <wps:cNvPr id="42" name="Text Box 30"/>
                        <wps:cNvSpPr txBox="1">
                          <a:spLocks noChangeArrowheads="1"/>
                        </wps:cNvSpPr>
                        <wps:spPr bwMode="auto">
                          <a:xfrm>
                            <a:off x="4568" y="5993"/>
                            <a:ext cx="2812"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21F2" w14:textId="77777777" w:rsidR="007E7DF5" w:rsidRPr="00566836" w:rsidRDefault="007E7DF5" w:rsidP="006A4F56">
                              <w:pPr>
                                <w:rPr>
                                  <w:sz w:val="12"/>
                                  <w:szCs w:val="12"/>
                                </w:rPr>
                              </w:pPr>
                              <w:r>
                                <w:rPr>
                                  <w:sz w:val="10"/>
                                  <w:szCs w:val="10"/>
                                </w:rPr>
                                <w:t>35 – 110 days from date of registration with MENR</w:t>
                              </w:r>
                            </w:p>
                          </w:txbxContent>
                        </wps:txbx>
                        <wps:bodyPr rot="0" vert="horz" wrap="square" lIns="91440" tIns="45720" rIns="91440" bIns="45720" anchor="t" anchorCtr="0" upright="1">
                          <a:noAutofit/>
                        </wps:bodyPr>
                      </wps:wsp>
                      <wps:wsp>
                        <wps:cNvPr id="43" name="Text Box 31"/>
                        <wps:cNvSpPr txBox="1">
                          <a:spLocks noChangeArrowheads="1"/>
                        </wps:cNvSpPr>
                        <wps:spPr bwMode="auto">
                          <a:xfrm>
                            <a:off x="5277" y="6973"/>
                            <a:ext cx="594"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751B" w14:textId="77777777" w:rsidR="007E7DF5" w:rsidRPr="00566836" w:rsidRDefault="007E7DF5" w:rsidP="006A4F56">
                              <w:pPr>
                                <w:rPr>
                                  <w:sz w:val="12"/>
                                  <w:szCs w:val="12"/>
                                </w:rPr>
                              </w:pPr>
                              <w:r>
                                <w:rPr>
                                  <w:sz w:val="10"/>
                                  <w:szCs w:val="10"/>
                                </w:rPr>
                                <w:t>3 days</w:t>
                              </w:r>
                            </w:p>
                          </w:txbxContent>
                        </wps:txbx>
                        <wps:bodyPr rot="0" vert="horz" wrap="square" lIns="91440" tIns="45720" rIns="91440" bIns="45720" anchor="t" anchorCtr="0" upright="1">
                          <a:noAutofit/>
                        </wps:bodyPr>
                      </wps:wsp>
                      <wps:wsp>
                        <wps:cNvPr id="44" name="Text Box 32"/>
                        <wps:cNvSpPr txBox="1">
                          <a:spLocks noChangeArrowheads="1"/>
                        </wps:cNvSpPr>
                        <wps:spPr bwMode="auto">
                          <a:xfrm>
                            <a:off x="5329" y="7897"/>
                            <a:ext cx="594"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9CAF" w14:textId="77777777" w:rsidR="007E7DF5" w:rsidRPr="00566836" w:rsidRDefault="007E7DF5" w:rsidP="006A4F56">
                              <w:pPr>
                                <w:rPr>
                                  <w:sz w:val="12"/>
                                  <w:szCs w:val="12"/>
                                </w:rPr>
                              </w:pPr>
                              <w:r>
                                <w:rPr>
                                  <w:sz w:val="10"/>
                                  <w:szCs w:val="10"/>
                                </w:rPr>
                                <w:t>1 day</w:t>
                              </w:r>
                            </w:p>
                          </w:txbxContent>
                        </wps:txbx>
                        <wps:bodyPr rot="0" vert="horz" wrap="square" lIns="91440" tIns="45720" rIns="91440" bIns="45720" anchor="t" anchorCtr="0" upright="1">
                          <a:noAutofit/>
                        </wps:bodyPr>
                      </wps:wsp>
                      <wps:wsp>
                        <wps:cNvPr id="45" name="AutoShape 33"/>
                        <wps:cNvCnPr>
                          <a:cxnSpLocks noChangeShapeType="1"/>
                        </wps:cNvCnPr>
                        <wps:spPr bwMode="auto">
                          <a:xfrm>
                            <a:off x="7374" y="3808"/>
                            <a:ext cx="4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34"/>
                        <wps:cNvSpPr txBox="1">
                          <a:spLocks noChangeArrowheads="1"/>
                        </wps:cNvSpPr>
                        <wps:spPr bwMode="auto">
                          <a:xfrm>
                            <a:off x="5307" y="9790"/>
                            <a:ext cx="594"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15FE7" w14:textId="77777777" w:rsidR="007E7DF5" w:rsidRPr="00566836" w:rsidRDefault="007E7DF5" w:rsidP="006A4F56">
                              <w:pPr>
                                <w:rPr>
                                  <w:sz w:val="12"/>
                                  <w:szCs w:val="12"/>
                                </w:rPr>
                              </w:pPr>
                              <w:r>
                                <w:rPr>
                                  <w:sz w:val="10"/>
                                  <w:szCs w:val="10"/>
                                </w:rPr>
                                <w:t>2 days</w:t>
                              </w:r>
                            </w:p>
                          </w:txbxContent>
                        </wps:txbx>
                        <wps:bodyPr rot="0" vert="horz" wrap="square" lIns="91440" tIns="45720" rIns="91440" bIns="45720" anchor="t" anchorCtr="0" upright="1">
                          <a:noAutofit/>
                        </wps:bodyPr>
                      </wps:wsp>
                      <wps:wsp>
                        <wps:cNvPr id="47" name="Text Box 35"/>
                        <wps:cNvSpPr txBox="1">
                          <a:spLocks noChangeArrowheads="1"/>
                        </wps:cNvSpPr>
                        <wps:spPr bwMode="auto">
                          <a:xfrm>
                            <a:off x="4609" y="10750"/>
                            <a:ext cx="1762"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54958" w14:textId="77777777" w:rsidR="007E7DF5" w:rsidRPr="00566836" w:rsidRDefault="007E7DF5" w:rsidP="006A4F56">
                              <w:pPr>
                                <w:rPr>
                                  <w:sz w:val="12"/>
                                  <w:szCs w:val="12"/>
                                </w:rPr>
                              </w:pPr>
                              <w:r>
                                <w:rPr>
                                  <w:sz w:val="10"/>
                                  <w:szCs w:val="10"/>
                                </w:rPr>
                                <w:t>Upon Applicant request</w:t>
                              </w:r>
                            </w:p>
                          </w:txbxContent>
                        </wps:txbx>
                        <wps:bodyPr rot="0" vert="horz" wrap="square" lIns="91440" tIns="45720" rIns="91440" bIns="45720" anchor="t" anchorCtr="0" upright="1">
                          <a:noAutofit/>
                        </wps:bodyPr>
                      </wps:wsp>
                      <wps:wsp>
                        <wps:cNvPr id="48" name="Text Box 36"/>
                        <wps:cNvSpPr txBox="1">
                          <a:spLocks noChangeArrowheads="1"/>
                        </wps:cNvSpPr>
                        <wps:spPr bwMode="auto">
                          <a:xfrm>
                            <a:off x="5220" y="8874"/>
                            <a:ext cx="594"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AB576" w14:textId="77777777" w:rsidR="007E7DF5" w:rsidRPr="00566836" w:rsidRDefault="007E7DF5" w:rsidP="006A4F56">
                              <w:pPr>
                                <w:rPr>
                                  <w:sz w:val="12"/>
                                  <w:szCs w:val="12"/>
                                </w:rPr>
                              </w:pPr>
                              <w:r>
                                <w:rPr>
                                  <w:sz w:val="10"/>
                                  <w:szCs w:val="10"/>
                                </w:rPr>
                                <w:t>1 day</w:t>
                              </w:r>
                            </w:p>
                          </w:txbxContent>
                        </wps:txbx>
                        <wps:bodyPr rot="0" vert="horz" wrap="square" lIns="91440" tIns="45720" rIns="91440" bIns="45720" anchor="t" anchorCtr="0" upright="1">
                          <a:noAutofit/>
                        </wps:bodyPr>
                      </wps:wsp>
                    </wpg:wgp>
                  </a:graphicData>
                </a:graphic>
              </wp:inline>
            </w:drawing>
          </mc:Choice>
          <mc:Fallback>
            <w:pict>
              <v:group w14:anchorId="3E1CD673" id="Group 27" o:spid="_x0000_s1066" style="width:334.95pt;height:513pt;mso-position-horizontal-relative:char;mso-position-vertical-relative:line" coordorigin="4254,1429" coordsize="6699,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">
                <v:shape id="Text Box 3" o:spid="_x0000_s1067" type="#_x0000_t202" style="position:absolute;left:4254;top:1429;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2540D62F" w14:textId="722AE5DA" w:rsidR="007E7DF5" w:rsidRDefault="007E7DF5" w:rsidP="006A4F56">
                        <w:pPr>
                          <w:jc w:val="center"/>
                          <w:rPr>
                            <w:sz w:val="16"/>
                            <w:szCs w:val="16"/>
                          </w:rPr>
                        </w:pPr>
                        <w:r w:rsidRPr="00A47BFC">
                          <w:rPr>
                            <w:sz w:val="16"/>
                            <w:szCs w:val="16"/>
                          </w:rPr>
                          <w:t>Project proponent submits</w:t>
                        </w:r>
                        <w:r>
                          <w:rPr>
                            <w:sz w:val="16"/>
                            <w:szCs w:val="16"/>
                          </w:rPr>
                          <w:t xml:space="preserve"> registration cover letter and EIA documentation</w:t>
                        </w:r>
                      </w:p>
                      <w:p w14:paraId="436584DE" w14:textId="77777777" w:rsidR="007E7DF5" w:rsidRPr="00A47BFC" w:rsidRDefault="007E7DF5" w:rsidP="006A4F56">
                        <w:pPr>
                          <w:jc w:val="center"/>
                          <w:rPr>
                            <w:sz w:val="16"/>
                            <w:szCs w:val="16"/>
                          </w:rPr>
                        </w:pPr>
                        <w:r>
                          <w:rPr>
                            <w:sz w:val="16"/>
                            <w:szCs w:val="16"/>
                          </w:rPr>
                          <w:t>to state EE</w:t>
                        </w:r>
                      </w:p>
                    </w:txbxContent>
                  </v:textbox>
                </v:shape>
                <v:shapetype id="_x0000_t32" coordsize="21600,21600" o:spt="32" o:oned="t" path="m,l21600,21600e" filled="f">
                  <v:path arrowok="t" fillok="f" o:connecttype="none"/>
                  <o:lock v:ext="edit" shapetype="t"/>
                </v:shapetype>
                <v:shape id="AutoShape 4" o:spid="_x0000_s1068" type="#_x0000_t32" style="position:absolute;left:5814;top:2149;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5" o:spid="_x0000_s1069" type="#_x0000_t202" style="position:absolute;left:4254;top:2525;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2C325A72" w14:textId="6B62BD97" w:rsidR="007E7DF5" w:rsidRDefault="007E7DF5" w:rsidP="006A4F56">
                        <w:pPr>
                          <w:jc w:val="center"/>
                          <w:rPr>
                            <w:sz w:val="16"/>
                            <w:szCs w:val="16"/>
                          </w:rPr>
                        </w:pPr>
                        <w:r>
                          <w:rPr>
                            <w:sz w:val="16"/>
                            <w:szCs w:val="16"/>
                          </w:rPr>
                          <w:t>D</w:t>
                        </w:r>
                        <w:r w:rsidRPr="00311933">
                          <w:rPr>
                            <w:sz w:val="16"/>
                            <w:szCs w:val="16"/>
                          </w:rPr>
                          <w:t>epartment of documentary support</w:t>
                        </w:r>
                        <w:r>
                          <w:rPr>
                            <w:sz w:val="16"/>
                            <w:szCs w:val="16"/>
                          </w:rPr>
                          <w:t xml:space="preserve"> (DDS)</w:t>
                        </w:r>
                        <w:r w:rsidRPr="00311933">
                          <w:rPr>
                            <w:sz w:val="16"/>
                            <w:szCs w:val="16"/>
                          </w:rPr>
                          <w:t xml:space="preserve"> </w:t>
                        </w:r>
                        <w:r>
                          <w:rPr>
                            <w:sz w:val="16"/>
                            <w:szCs w:val="16"/>
                          </w:rPr>
                          <w:t xml:space="preserve">transfers documents to EE </w:t>
                        </w:r>
                      </w:p>
                      <w:p w14:paraId="22C498DD" w14:textId="77777777" w:rsidR="007E7DF5" w:rsidRPr="00A47BFC" w:rsidRDefault="007E7DF5" w:rsidP="006A4F56">
                        <w:pPr>
                          <w:jc w:val="center"/>
                          <w:rPr>
                            <w:sz w:val="16"/>
                            <w:szCs w:val="16"/>
                          </w:rPr>
                        </w:pPr>
                        <w:r>
                          <w:rPr>
                            <w:sz w:val="16"/>
                            <w:szCs w:val="16"/>
                          </w:rPr>
                          <w:t>department (EED)</w:t>
                        </w:r>
                      </w:p>
                    </w:txbxContent>
                  </v:textbox>
                </v:shape>
                <v:shape id="Text Box 6" o:spid="_x0000_s1070" type="#_x0000_t202" style="position:absolute;left:4254;top:3463;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22F4D228" w14:textId="77777777" w:rsidR="007E7DF5" w:rsidRPr="00A47BFC" w:rsidRDefault="007E7DF5" w:rsidP="0061686D">
                        <w:pPr>
                          <w:jc w:val="center"/>
                          <w:rPr>
                            <w:sz w:val="16"/>
                            <w:szCs w:val="16"/>
                          </w:rPr>
                        </w:pPr>
                        <w:r>
                          <w:rPr>
                            <w:sz w:val="16"/>
                            <w:szCs w:val="16"/>
                          </w:rPr>
                          <w:t>EED carries out preliminary review of received materials for completeness</w:t>
                        </w:r>
                      </w:p>
                    </w:txbxContent>
                  </v:textbox>
                </v:shape>
                <v:shape id="Text Box 7" o:spid="_x0000_s1071" type="#_x0000_t202" style="position:absolute;left:7833;top:3463;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1A01C24F" w14:textId="77777777" w:rsidR="007E7DF5" w:rsidRDefault="007E7DF5" w:rsidP="0061686D">
                        <w:pPr>
                          <w:jc w:val="center"/>
                          <w:rPr>
                            <w:sz w:val="16"/>
                            <w:szCs w:val="16"/>
                          </w:rPr>
                        </w:pPr>
                        <w:r>
                          <w:rPr>
                            <w:sz w:val="16"/>
                            <w:szCs w:val="16"/>
                          </w:rPr>
                          <w:t>If not complete:</w:t>
                        </w:r>
                      </w:p>
                      <w:p w14:paraId="50881E8D" w14:textId="77777777" w:rsidR="007E7DF5" w:rsidRPr="00A47BFC" w:rsidRDefault="007E7DF5" w:rsidP="0061686D">
                        <w:pPr>
                          <w:jc w:val="center"/>
                          <w:rPr>
                            <w:sz w:val="16"/>
                            <w:szCs w:val="16"/>
                          </w:rPr>
                        </w:pPr>
                        <w:r>
                          <w:rPr>
                            <w:sz w:val="16"/>
                            <w:szCs w:val="16"/>
                          </w:rPr>
                          <w:t>Materials returned for revision</w:t>
                        </w:r>
                      </w:p>
                    </w:txbxContent>
                  </v:textbox>
                </v:shape>
                <v:shape id="Text Box 8" o:spid="_x0000_s1072" type="#_x0000_t202" style="position:absolute;left:4254;top:4401;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1B19A6B9" w14:textId="77777777" w:rsidR="007E7DF5" w:rsidRDefault="007E7DF5" w:rsidP="0061686D">
                        <w:pPr>
                          <w:jc w:val="center"/>
                          <w:rPr>
                            <w:sz w:val="16"/>
                            <w:szCs w:val="16"/>
                          </w:rPr>
                        </w:pPr>
                        <w:r w:rsidRPr="00C9553F">
                          <w:rPr>
                            <w:sz w:val="16"/>
                            <w:szCs w:val="16"/>
                          </w:rPr>
                          <w:t>If complete:</w:t>
                        </w:r>
                      </w:p>
                      <w:p w14:paraId="421DBFDA" w14:textId="0723712A" w:rsidR="007E7DF5" w:rsidRDefault="007E7DF5" w:rsidP="0061686D">
                        <w:pPr>
                          <w:jc w:val="center"/>
                          <w:rPr>
                            <w:sz w:val="16"/>
                            <w:szCs w:val="16"/>
                          </w:rPr>
                        </w:pPr>
                        <w:r w:rsidRPr="00C9553F">
                          <w:rPr>
                            <w:sz w:val="16"/>
                            <w:szCs w:val="16"/>
                          </w:rPr>
                          <w:t>EED transfers application to DDS</w:t>
                        </w:r>
                      </w:p>
                      <w:p w14:paraId="0A55F454" w14:textId="77777777" w:rsidR="007E7DF5" w:rsidRPr="00C9553F" w:rsidRDefault="007E7DF5" w:rsidP="0061686D">
                        <w:pPr>
                          <w:jc w:val="center"/>
                          <w:rPr>
                            <w:sz w:val="16"/>
                            <w:szCs w:val="16"/>
                          </w:rPr>
                        </w:pPr>
                        <w:r w:rsidRPr="00C9553F">
                          <w:rPr>
                            <w:sz w:val="16"/>
                            <w:szCs w:val="16"/>
                          </w:rPr>
                          <w:t xml:space="preserve">for posting on MENR </w:t>
                        </w:r>
                        <w:r>
                          <w:rPr>
                            <w:sz w:val="16"/>
                            <w:szCs w:val="16"/>
                          </w:rPr>
                          <w:t>Web site</w:t>
                        </w:r>
                      </w:p>
                    </w:txbxContent>
                  </v:textbox>
                </v:shape>
                <v:shape id="Text Box 9" o:spid="_x0000_s1073" type="#_x0000_t202" style="position:absolute;left:4254;top:5339;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50693702" w14:textId="583A6F00" w:rsidR="007E7DF5" w:rsidRDefault="007E7DF5" w:rsidP="0061686D">
                        <w:pPr>
                          <w:jc w:val="center"/>
                          <w:rPr>
                            <w:sz w:val="16"/>
                            <w:szCs w:val="16"/>
                          </w:rPr>
                        </w:pPr>
                        <w:r>
                          <w:rPr>
                            <w:sz w:val="16"/>
                            <w:szCs w:val="16"/>
                          </w:rPr>
                          <w:t>DDS posts application for SEE</w:t>
                        </w:r>
                      </w:p>
                      <w:p w14:paraId="6F702D07" w14:textId="77777777" w:rsidR="007E7DF5" w:rsidRPr="00311933" w:rsidRDefault="007E7DF5" w:rsidP="0061686D">
                        <w:pPr>
                          <w:jc w:val="center"/>
                          <w:rPr>
                            <w:sz w:val="16"/>
                            <w:szCs w:val="16"/>
                          </w:rPr>
                        </w:pPr>
                        <w:r>
                          <w:rPr>
                            <w:sz w:val="16"/>
                            <w:szCs w:val="16"/>
                          </w:rPr>
                          <w:t>on MENR Web site</w:t>
                        </w:r>
                      </w:p>
                    </w:txbxContent>
                  </v:textbox>
                </v:shape>
                <v:shape id="Text Box 10" o:spid="_x0000_s1074" type="#_x0000_t202" style="position:absolute;left:4254;top:6278;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65EB3E11" w14:textId="77777777" w:rsidR="007E7DF5" w:rsidRPr="00311933" w:rsidRDefault="007E7DF5" w:rsidP="00F046A2">
                        <w:pPr>
                          <w:jc w:val="center"/>
                          <w:rPr>
                            <w:sz w:val="16"/>
                            <w:szCs w:val="16"/>
                          </w:rPr>
                        </w:pPr>
                        <w:r>
                          <w:rPr>
                            <w:sz w:val="16"/>
                            <w:szCs w:val="16"/>
                          </w:rPr>
                          <w:t>EED prepares SEE Conclusion</w:t>
                        </w:r>
                      </w:p>
                    </w:txbxContent>
                  </v:textbox>
                </v:shape>
                <v:shape id="Text Box 11" o:spid="_x0000_s1075" type="#_x0000_t202" style="position:absolute;left:4254;top:7216;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2F682E6D" w14:textId="77777777" w:rsidR="007E7DF5" w:rsidRPr="00311933" w:rsidRDefault="007E7DF5" w:rsidP="00F046A2">
                        <w:pPr>
                          <w:jc w:val="center"/>
                          <w:rPr>
                            <w:sz w:val="16"/>
                            <w:szCs w:val="16"/>
                          </w:rPr>
                        </w:pPr>
                        <w:r>
                          <w:rPr>
                            <w:sz w:val="16"/>
                            <w:szCs w:val="16"/>
                          </w:rPr>
                          <w:t>Head of EED signs SEE Conclusion</w:t>
                        </w:r>
                      </w:p>
                    </w:txbxContent>
                  </v:textbox>
                </v:shape>
                <v:shape id="Text Box 12" o:spid="_x0000_s1076" type="#_x0000_t202" style="position:absolute;left:4254;top:8154;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3B68CE68" w14:textId="77777777" w:rsidR="007E7DF5" w:rsidRPr="00311933" w:rsidRDefault="007E7DF5" w:rsidP="00F046A2">
                        <w:pPr>
                          <w:jc w:val="center"/>
                          <w:rPr>
                            <w:sz w:val="16"/>
                            <w:szCs w:val="16"/>
                          </w:rPr>
                        </w:pPr>
                        <w:r>
                          <w:rPr>
                            <w:sz w:val="16"/>
                            <w:szCs w:val="16"/>
                          </w:rPr>
                          <w:t>DDS registers SEE Conclusion</w:t>
                        </w:r>
                      </w:p>
                    </w:txbxContent>
                  </v:textbox>
                </v:shape>
                <v:shape id="Text Box 13" o:spid="_x0000_s1077" type="#_x0000_t202" style="position:absolute;left:4254;top:9092;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14:paraId="64E54FD6" w14:textId="77777777" w:rsidR="007E7DF5" w:rsidRPr="00311933" w:rsidRDefault="007E7DF5" w:rsidP="006A4F56">
                        <w:pPr>
                          <w:jc w:val="center"/>
                          <w:rPr>
                            <w:sz w:val="16"/>
                            <w:szCs w:val="16"/>
                          </w:rPr>
                        </w:pPr>
                        <w:r>
                          <w:rPr>
                            <w:sz w:val="16"/>
                            <w:szCs w:val="16"/>
                          </w:rPr>
                          <w:t xml:space="preserve">EED transfers SEE Conclusion to DDS </w:t>
                        </w:r>
                      </w:p>
                    </w:txbxContent>
                  </v:textbox>
                </v:shape>
                <v:shape id="Text Box 14" o:spid="_x0000_s1078" type="#_x0000_t202" style="position:absolute;left:4254;top:10030;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1CA2CA0D" w14:textId="77777777" w:rsidR="007E7DF5" w:rsidRDefault="007E7DF5" w:rsidP="00F046A2">
                        <w:pPr>
                          <w:jc w:val="center"/>
                          <w:rPr>
                            <w:sz w:val="16"/>
                            <w:szCs w:val="16"/>
                          </w:rPr>
                        </w:pPr>
                        <w:r>
                          <w:rPr>
                            <w:sz w:val="16"/>
                            <w:szCs w:val="16"/>
                          </w:rPr>
                          <w:t>DDS posts SEE</w:t>
                        </w:r>
                        <w:r w:rsidRPr="00311933">
                          <w:rPr>
                            <w:sz w:val="16"/>
                            <w:szCs w:val="16"/>
                          </w:rPr>
                          <w:t xml:space="preserve"> conclusion</w:t>
                        </w:r>
                      </w:p>
                      <w:p w14:paraId="2C2E0654" w14:textId="77777777" w:rsidR="007E7DF5" w:rsidRPr="00311933" w:rsidRDefault="007E7DF5" w:rsidP="00F046A2">
                        <w:pPr>
                          <w:jc w:val="center"/>
                          <w:rPr>
                            <w:sz w:val="16"/>
                            <w:szCs w:val="16"/>
                          </w:rPr>
                        </w:pPr>
                        <w:r w:rsidRPr="00311933">
                          <w:rPr>
                            <w:sz w:val="16"/>
                            <w:szCs w:val="16"/>
                          </w:rPr>
                          <w:t xml:space="preserve">on </w:t>
                        </w:r>
                        <w:r>
                          <w:rPr>
                            <w:sz w:val="16"/>
                            <w:szCs w:val="16"/>
                          </w:rPr>
                          <w:t>MENR Web site</w:t>
                        </w:r>
                      </w:p>
                    </w:txbxContent>
                  </v:textbox>
                </v:shape>
                <v:shape id="Text Box 15" o:spid="_x0000_s1079" type="#_x0000_t202" style="position:absolute;left:4254;top:10969;width:3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14:paraId="5A334CA6" w14:textId="77777777" w:rsidR="007E7DF5" w:rsidRDefault="007E7DF5" w:rsidP="00F046A2">
                        <w:pPr>
                          <w:jc w:val="center"/>
                          <w:rPr>
                            <w:sz w:val="16"/>
                            <w:szCs w:val="16"/>
                          </w:rPr>
                        </w:pPr>
                        <w:r>
                          <w:rPr>
                            <w:sz w:val="16"/>
                            <w:szCs w:val="16"/>
                          </w:rPr>
                          <w:t xml:space="preserve">SEE department issues SEE </w:t>
                        </w:r>
                        <w:r w:rsidRPr="00311933">
                          <w:rPr>
                            <w:sz w:val="16"/>
                            <w:szCs w:val="16"/>
                          </w:rPr>
                          <w:t>conclusion</w:t>
                        </w:r>
                      </w:p>
                      <w:p w14:paraId="7D106786" w14:textId="77777777" w:rsidR="007E7DF5" w:rsidRPr="00311933" w:rsidRDefault="007E7DF5" w:rsidP="00F046A2">
                        <w:pPr>
                          <w:jc w:val="center"/>
                          <w:rPr>
                            <w:sz w:val="16"/>
                            <w:szCs w:val="16"/>
                          </w:rPr>
                        </w:pPr>
                        <w:r w:rsidRPr="00311933">
                          <w:rPr>
                            <w:sz w:val="16"/>
                            <w:szCs w:val="16"/>
                          </w:rPr>
                          <w:t xml:space="preserve">to applicant </w:t>
                        </w:r>
                        <w:r>
                          <w:rPr>
                            <w:sz w:val="16"/>
                            <w:szCs w:val="16"/>
                          </w:rPr>
                          <w:t>/ their representative</w:t>
                        </w:r>
                      </w:p>
                    </w:txbxContent>
                  </v:textbox>
                </v:shape>
                <v:shape id="AutoShape 16" o:spid="_x0000_s1080" type="#_x0000_t32" style="position:absolute;left:5814;top:3245;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7" o:spid="_x0000_s1081" type="#_x0000_t32" style="position:absolute;left:5814;top:418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8" o:spid="_x0000_s1082" type="#_x0000_t32" style="position:absolute;left:5814;top:5121;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9" o:spid="_x0000_s1083" type="#_x0000_t32" style="position:absolute;left:5814;top:6060;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0" o:spid="_x0000_s1084" type="#_x0000_t32" style="position:absolute;left:5814;top:7009;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1" o:spid="_x0000_s1085" type="#_x0000_t32" style="position:absolute;left:5814;top:7936;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2" o:spid="_x0000_s1086" type="#_x0000_t32" style="position:absolute;left:5814;top:8874;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3" o:spid="_x0000_s1087" type="#_x0000_t32" style="position:absolute;left:5814;top:9812;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4" o:spid="_x0000_s1088" type="#_x0000_t32" style="position:absolute;left:5814;top:10750;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Text Box 25" o:spid="_x0000_s1089" type="#_x0000_t202" style="position:absolute;left:5214;top:2149;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05AC77B6" w14:textId="77777777" w:rsidR="007E7DF5" w:rsidRPr="00566836" w:rsidRDefault="007E7DF5" w:rsidP="006A4F56">
                        <w:pPr>
                          <w:rPr>
                            <w:sz w:val="12"/>
                            <w:szCs w:val="12"/>
                          </w:rPr>
                        </w:pPr>
                        <w:r w:rsidRPr="00566836">
                          <w:rPr>
                            <w:sz w:val="10"/>
                            <w:szCs w:val="10"/>
                          </w:rPr>
                          <w:t>1 day</w:t>
                        </w:r>
                      </w:p>
                    </w:txbxContent>
                  </v:textbox>
                </v:shape>
                <v:shape id="Text Box 26" o:spid="_x0000_s1090" type="#_x0000_t202" style="position:absolute;left:4470;top:3219;width:144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7AC66729" w14:textId="77777777" w:rsidR="007E7DF5" w:rsidRPr="00566836" w:rsidRDefault="007E7DF5" w:rsidP="006A4F56">
                        <w:pPr>
                          <w:rPr>
                            <w:sz w:val="12"/>
                            <w:szCs w:val="12"/>
                          </w:rPr>
                        </w:pPr>
                        <w:r>
                          <w:rPr>
                            <w:sz w:val="10"/>
                            <w:szCs w:val="10"/>
                          </w:rPr>
                          <w:t>As documents are received</w:t>
                        </w:r>
                      </w:p>
                    </w:txbxContent>
                  </v:textbox>
                </v:shape>
                <v:shape id="Text Box 27" o:spid="_x0000_s1091" type="#_x0000_t202" style="position:absolute;left:5352;top:4171;width:6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00FEA4B6" w14:textId="77777777" w:rsidR="007E7DF5" w:rsidRPr="00566836" w:rsidRDefault="007E7DF5" w:rsidP="006A4F56">
                        <w:pPr>
                          <w:rPr>
                            <w:sz w:val="12"/>
                            <w:szCs w:val="12"/>
                          </w:rPr>
                        </w:pPr>
                        <w:r w:rsidRPr="00566836">
                          <w:rPr>
                            <w:sz w:val="10"/>
                            <w:szCs w:val="10"/>
                          </w:rPr>
                          <w:t>1 day</w:t>
                        </w:r>
                      </w:p>
                    </w:txbxContent>
                  </v:textbox>
                </v:shape>
                <v:shape id="Text Box 28" o:spid="_x0000_s1092" type="#_x0000_t202" style="position:absolute;left:7380;top:3633;width:48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0CE397E7" w14:textId="77777777" w:rsidR="007E7DF5" w:rsidRPr="00566836" w:rsidRDefault="007E7DF5" w:rsidP="006A4F56">
                        <w:pPr>
                          <w:rPr>
                            <w:sz w:val="12"/>
                            <w:szCs w:val="12"/>
                          </w:rPr>
                        </w:pPr>
                        <w:r>
                          <w:rPr>
                            <w:sz w:val="10"/>
                            <w:szCs w:val="10"/>
                          </w:rPr>
                          <w:t>10 days</w:t>
                        </w:r>
                      </w:p>
                    </w:txbxContent>
                  </v:textbox>
                </v:shape>
                <v:shape id="Text Box 29" o:spid="_x0000_s1093" type="#_x0000_t202" style="position:absolute;left:5337;top:5105;width:6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4DBE848A" w14:textId="77777777" w:rsidR="007E7DF5" w:rsidRPr="00566836" w:rsidRDefault="007E7DF5" w:rsidP="006A4F56">
                        <w:pPr>
                          <w:rPr>
                            <w:sz w:val="12"/>
                            <w:szCs w:val="12"/>
                          </w:rPr>
                        </w:pPr>
                        <w:r>
                          <w:rPr>
                            <w:sz w:val="10"/>
                            <w:szCs w:val="10"/>
                          </w:rPr>
                          <w:t>2</w:t>
                        </w:r>
                        <w:r w:rsidRPr="00566836">
                          <w:rPr>
                            <w:sz w:val="10"/>
                            <w:szCs w:val="10"/>
                          </w:rPr>
                          <w:t xml:space="preserve"> day</w:t>
                        </w:r>
                        <w:r>
                          <w:rPr>
                            <w:sz w:val="10"/>
                            <w:szCs w:val="10"/>
                          </w:rPr>
                          <w:t>s</w:t>
                        </w:r>
                      </w:p>
                    </w:txbxContent>
                  </v:textbox>
                </v:shape>
                <v:shape id="Text Box 30" o:spid="_x0000_s1094" type="#_x0000_t202" style="position:absolute;left:4568;top:5993;width:2812;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1CFE21F2" w14:textId="77777777" w:rsidR="007E7DF5" w:rsidRPr="00566836" w:rsidRDefault="007E7DF5" w:rsidP="006A4F56">
                        <w:pPr>
                          <w:rPr>
                            <w:sz w:val="12"/>
                            <w:szCs w:val="12"/>
                          </w:rPr>
                        </w:pPr>
                        <w:r>
                          <w:rPr>
                            <w:sz w:val="10"/>
                            <w:szCs w:val="10"/>
                          </w:rPr>
                          <w:t>35 – 110 days from date of registration with MENR</w:t>
                        </w:r>
                      </w:p>
                    </w:txbxContent>
                  </v:textbox>
                </v:shape>
                <v:shape id="Text Box 31" o:spid="_x0000_s1095" type="#_x0000_t202" style="position:absolute;left:5277;top:6973;width:594;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412F751B" w14:textId="77777777" w:rsidR="007E7DF5" w:rsidRPr="00566836" w:rsidRDefault="007E7DF5" w:rsidP="006A4F56">
                        <w:pPr>
                          <w:rPr>
                            <w:sz w:val="12"/>
                            <w:szCs w:val="12"/>
                          </w:rPr>
                        </w:pPr>
                        <w:r>
                          <w:rPr>
                            <w:sz w:val="10"/>
                            <w:szCs w:val="10"/>
                          </w:rPr>
                          <w:t>3 days</w:t>
                        </w:r>
                      </w:p>
                    </w:txbxContent>
                  </v:textbox>
                </v:shape>
                <v:shape id="Text Box 32" o:spid="_x0000_s1096" type="#_x0000_t202" style="position:absolute;left:5329;top:7897;width:594;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726C9CAF" w14:textId="77777777" w:rsidR="007E7DF5" w:rsidRPr="00566836" w:rsidRDefault="007E7DF5" w:rsidP="006A4F56">
                        <w:pPr>
                          <w:rPr>
                            <w:sz w:val="12"/>
                            <w:szCs w:val="12"/>
                          </w:rPr>
                        </w:pPr>
                        <w:r>
                          <w:rPr>
                            <w:sz w:val="10"/>
                            <w:szCs w:val="10"/>
                          </w:rPr>
                          <w:t>1 day</w:t>
                        </w:r>
                      </w:p>
                    </w:txbxContent>
                  </v:textbox>
                </v:shape>
                <v:shape id="AutoShape 33" o:spid="_x0000_s1097" type="#_x0000_t32" style="position:absolute;left:7374;top:3808;width:4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Text Box 34" o:spid="_x0000_s1098" type="#_x0000_t202" style="position:absolute;left:5307;top:9790;width:594;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34615FE7" w14:textId="77777777" w:rsidR="007E7DF5" w:rsidRPr="00566836" w:rsidRDefault="007E7DF5" w:rsidP="006A4F56">
                        <w:pPr>
                          <w:rPr>
                            <w:sz w:val="12"/>
                            <w:szCs w:val="12"/>
                          </w:rPr>
                        </w:pPr>
                        <w:r>
                          <w:rPr>
                            <w:sz w:val="10"/>
                            <w:szCs w:val="10"/>
                          </w:rPr>
                          <w:t>2 days</w:t>
                        </w:r>
                      </w:p>
                    </w:txbxContent>
                  </v:textbox>
                </v:shape>
                <v:shape id="Text Box 35" o:spid="_x0000_s1099" type="#_x0000_t202" style="position:absolute;left:4609;top:10750;width:1762;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6CC54958" w14:textId="77777777" w:rsidR="007E7DF5" w:rsidRPr="00566836" w:rsidRDefault="007E7DF5" w:rsidP="006A4F56">
                        <w:pPr>
                          <w:rPr>
                            <w:sz w:val="12"/>
                            <w:szCs w:val="12"/>
                          </w:rPr>
                        </w:pPr>
                        <w:r>
                          <w:rPr>
                            <w:sz w:val="10"/>
                            <w:szCs w:val="10"/>
                          </w:rPr>
                          <w:t>Upon Applicant request</w:t>
                        </w:r>
                      </w:p>
                    </w:txbxContent>
                  </v:textbox>
                </v:shape>
                <v:shape id="Text Box 36" o:spid="_x0000_s1100" type="#_x0000_t202" style="position:absolute;left:5220;top:8874;width:594;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57CAB576" w14:textId="77777777" w:rsidR="007E7DF5" w:rsidRPr="00566836" w:rsidRDefault="007E7DF5" w:rsidP="006A4F56">
                        <w:pPr>
                          <w:rPr>
                            <w:sz w:val="12"/>
                            <w:szCs w:val="12"/>
                          </w:rPr>
                        </w:pPr>
                        <w:r>
                          <w:rPr>
                            <w:sz w:val="10"/>
                            <w:szCs w:val="10"/>
                          </w:rPr>
                          <w:t>1 day</w:t>
                        </w:r>
                      </w:p>
                    </w:txbxContent>
                  </v:textbox>
                </v:shape>
                <w10:anchorlock/>
              </v:group>
            </w:pict>
          </mc:Fallback>
        </mc:AlternateContent>
      </w:r>
    </w:p>
    <w:p w14:paraId="43D2D343" w14:textId="77777777" w:rsidR="000B7923" w:rsidRPr="00417A81" w:rsidRDefault="000B7923">
      <w:pPr>
        <w:spacing w:after="200" w:line="276" w:lineRule="auto"/>
        <w:jc w:val="left"/>
        <w:rPr>
          <w:rFonts w:cs="Times New Roman"/>
          <w:color w:val="000000" w:themeColor="text1"/>
        </w:rPr>
      </w:pPr>
    </w:p>
    <w:p w14:paraId="09FF82F1" w14:textId="77777777" w:rsidR="00B52773" w:rsidRPr="00417A81" w:rsidRDefault="00B52773">
      <w:pPr>
        <w:spacing w:after="200" w:line="276" w:lineRule="auto"/>
        <w:jc w:val="left"/>
        <w:rPr>
          <w:rFonts w:cs="Times New Roman"/>
          <w:color w:val="000000" w:themeColor="text1"/>
        </w:rPr>
      </w:pPr>
    </w:p>
    <w:sectPr w:rsidR="00B52773" w:rsidRPr="00417A81" w:rsidSect="007D498E">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8294" w14:textId="77777777" w:rsidR="001E7F51" w:rsidRDefault="001E7F51" w:rsidP="007E3222">
      <w:r>
        <w:separator/>
      </w:r>
    </w:p>
  </w:endnote>
  <w:endnote w:type="continuationSeparator" w:id="0">
    <w:p w14:paraId="11D74458" w14:textId="77777777" w:rsidR="001E7F51" w:rsidRDefault="001E7F51" w:rsidP="007E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EEA75" w14:textId="77777777" w:rsidR="007E7DF5" w:rsidRDefault="007E7DF5">
    <w:pPr>
      <w:pStyle w:val="Footer"/>
      <w:jc w:val="right"/>
    </w:pPr>
    <w:r>
      <w:fldChar w:fldCharType="begin"/>
    </w:r>
    <w:r>
      <w:instrText xml:space="preserve"> PAGE   \* MERGEFORMAT </w:instrText>
    </w:r>
    <w:r>
      <w:fldChar w:fldCharType="separate"/>
    </w:r>
    <w:r w:rsidR="00C16940">
      <w:rPr>
        <w:noProof/>
      </w:rPr>
      <w:t>vi</w:t>
    </w:r>
    <w:r>
      <w:fldChar w:fldCharType="end"/>
    </w:r>
  </w:p>
  <w:p w14:paraId="39C55F2C" w14:textId="77777777" w:rsidR="007E7DF5" w:rsidRDefault="007E7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C383" w14:textId="77777777" w:rsidR="007E7DF5" w:rsidRDefault="007E7DF5">
    <w:pPr>
      <w:pStyle w:val="Footer"/>
      <w:jc w:val="right"/>
    </w:pPr>
    <w:r>
      <w:fldChar w:fldCharType="begin"/>
    </w:r>
    <w:r>
      <w:instrText xml:space="preserve"> PAGE   \* MERGEFORMAT </w:instrText>
    </w:r>
    <w:r>
      <w:fldChar w:fldCharType="separate"/>
    </w:r>
    <w:r w:rsidR="00C16940">
      <w:rPr>
        <w:noProof/>
      </w:rPr>
      <w:t>17</w:t>
    </w:r>
    <w:r>
      <w:fldChar w:fldCharType="end"/>
    </w:r>
  </w:p>
  <w:p w14:paraId="1E635355" w14:textId="77777777" w:rsidR="007E7DF5" w:rsidRDefault="007E7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A71EE" w14:textId="77777777" w:rsidR="007E7DF5" w:rsidRDefault="007E7DF5">
    <w:pPr>
      <w:pStyle w:val="Footer"/>
      <w:jc w:val="right"/>
    </w:pPr>
    <w:r>
      <w:fldChar w:fldCharType="begin"/>
    </w:r>
    <w:r>
      <w:instrText xml:space="preserve"> PAGE   \* MERGEFORMAT </w:instrText>
    </w:r>
    <w:r>
      <w:fldChar w:fldCharType="separate"/>
    </w:r>
    <w:r w:rsidR="00C16940">
      <w:rPr>
        <w:noProof/>
      </w:rPr>
      <w:t>95</w:t>
    </w:r>
    <w:r>
      <w:fldChar w:fldCharType="end"/>
    </w:r>
  </w:p>
  <w:p w14:paraId="46C18A2F" w14:textId="77777777" w:rsidR="007E7DF5" w:rsidRDefault="007E7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937BC" w14:textId="77777777" w:rsidR="001E7F51" w:rsidRDefault="001E7F51" w:rsidP="007E3222">
      <w:r>
        <w:separator/>
      </w:r>
    </w:p>
  </w:footnote>
  <w:footnote w:type="continuationSeparator" w:id="0">
    <w:p w14:paraId="743624BC" w14:textId="77777777" w:rsidR="001E7F51" w:rsidRDefault="001E7F51" w:rsidP="007E3222">
      <w:r>
        <w:continuationSeparator/>
      </w:r>
    </w:p>
  </w:footnote>
  <w:footnote w:id="1">
    <w:p w14:paraId="169E76D8" w14:textId="77777777" w:rsidR="007E7DF5" w:rsidRDefault="007E7DF5" w:rsidP="00F14946">
      <w:pPr>
        <w:pStyle w:val="FootnoteText"/>
      </w:pPr>
      <w:r w:rsidRPr="004E3024">
        <w:rPr>
          <w:rStyle w:val="FootnoteReference"/>
        </w:rPr>
        <w:footnoteRef/>
      </w:r>
      <w:r w:rsidRPr="004E3024">
        <w:rPr>
          <w:rFonts w:cs="Times New Roman"/>
        </w:rPr>
        <w:t xml:space="preserve"> EU </w:t>
      </w:r>
      <w:r>
        <w:rPr>
          <w:rFonts w:cs="Times New Roman"/>
        </w:rPr>
        <w:t>P</w:t>
      </w:r>
      <w:r w:rsidRPr="004E3024">
        <w:rPr>
          <w:rFonts w:cs="Times New Roman"/>
        </w:rPr>
        <w:t>roject “Air Quality Governance</w:t>
      </w:r>
      <w:r>
        <w:rPr>
          <w:rFonts w:cs="Times New Roman"/>
        </w:rPr>
        <w:t>.</w:t>
      </w:r>
      <w:r w:rsidRPr="004E3024">
        <w:rPr>
          <w:rFonts w:cs="Times New Roman"/>
        </w:rPr>
        <w:t>” http://airgovernance.eu</w:t>
      </w:r>
    </w:p>
  </w:footnote>
  <w:footnote w:id="2">
    <w:p w14:paraId="5841FD81" w14:textId="77777777" w:rsidR="007E7DF5" w:rsidRDefault="007E7DF5" w:rsidP="003F03B0">
      <w:pPr>
        <w:pStyle w:val="FootnoteText"/>
      </w:pPr>
      <w:r w:rsidRPr="004E3024">
        <w:rPr>
          <w:rStyle w:val="FootnoteReference"/>
        </w:rPr>
        <w:footnoteRef/>
      </w:r>
      <w:r w:rsidRPr="004E3024">
        <w:rPr>
          <w:rFonts w:cs="Times New Roman"/>
        </w:rPr>
        <w:t xml:space="preserve"> </w:t>
      </w:r>
      <w:r>
        <w:rPr>
          <w:rFonts w:cs="Times New Roman"/>
        </w:rPr>
        <w:t>MENR (Ministry of Ecology and Natural Resources).</w:t>
      </w:r>
      <w:r w:rsidRPr="004E3024">
        <w:rPr>
          <w:rFonts w:cs="Times New Roman"/>
        </w:rPr>
        <w:t xml:space="preserve"> www.menr.gov.ua</w:t>
      </w:r>
    </w:p>
  </w:footnote>
  <w:footnote w:id="3">
    <w:p w14:paraId="07167A18" w14:textId="62D0476F" w:rsidR="007E7DF5" w:rsidRDefault="007E7DF5" w:rsidP="005C2F51">
      <w:pPr>
        <w:pStyle w:val="FootnoteText"/>
      </w:pPr>
      <w:r>
        <w:rPr>
          <w:rStyle w:val="FootnoteReference"/>
          <w:rFonts w:cs="Arial"/>
        </w:rPr>
        <w:footnoteRef/>
      </w:r>
      <w:r w:rsidRPr="00740CFA">
        <w:rPr>
          <w:lang w:val="ru-RU"/>
        </w:rPr>
        <w:t xml:space="preserve"> </w:t>
      </w:r>
      <w:r w:rsidRPr="00740CFA">
        <w:rPr>
          <w:lang w:val="ru-RU"/>
        </w:rPr>
        <w:t xml:space="preserve">Закон України «Про охорону навколишнього природного середовища»; Закон України « основні засади здійснення державного нагляду (контролю) у сфері господарської діяльності»; постанова КМУ від 19.03.2008 № 212; постанова КМУ від 11.07. № 956; Положення про державну екологічну інспекцію в Автономній Республіці Крим, областях, містах Києві та Севастополі затверджене наказом Мінекоресурсів України 04.11.2011 № 429 зареєстроване в Міністерстві юстиції України від 25.11.2011 № 1347/20085. </w:t>
      </w:r>
      <w:r>
        <w:t>Sector</w:t>
      </w:r>
      <w:r w:rsidRPr="00740CFA">
        <w:rPr>
          <w:lang w:val="ru-RU"/>
        </w:rPr>
        <w:t xml:space="preserve"> </w:t>
      </w:r>
      <w:r>
        <w:t>specific</w:t>
      </w:r>
      <w:r w:rsidRPr="00740CFA">
        <w:rPr>
          <w:lang w:val="ru-RU"/>
        </w:rPr>
        <w:t xml:space="preserve"> </w:t>
      </w:r>
      <w:r>
        <w:t>legislation</w:t>
      </w:r>
      <w:r w:rsidRPr="00740CFA">
        <w:rPr>
          <w:lang w:val="ru-RU"/>
        </w:rPr>
        <w:t>: Лист Головного державного інспектора України з ОНПС від 28.01.2013 № 2/1-8-113 «Щодо оптимізації контролю за забезпеченням утилізації використаної тари та пакувальних матеріалів», Розпорядження Держекоінспекції України від 09.01.2013 № 1 «Щодо здійснення державного нагляду (контролю) у сфері поводження з відпрацьованими мастилами (оливами), використаними оліями та харчовими жирами», Лист Головного державного інспектора України з ОНПС від 28.01.2013 № 2/1-8-113 «Щодо оптимізації контролю за забезпеченням утилізації використаної тари та пакувальних матеріалів».</w:t>
      </w:r>
    </w:p>
  </w:footnote>
  <w:footnote w:id="4">
    <w:p w14:paraId="0456B02E" w14:textId="77777777" w:rsidR="007E7DF5" w:rsidRDefault="007E7DF5" w:rsidP="00E83690">
      <w:pPr>
        <w:pStyle w:val="FootnoteText"/>
      </w:pPr>
      <w:r w:rsidRPr="004E3024">
        <w:rPr>
          <w:rStyle w:val="FootnoteReference"/>
        </w:rPr>
        <w:footnoteRef/>
      </w:r>
      <w:r w:rsidRPr="004E3024">
        <w:rPr>
          <w:rFonts w:cs="Times New Roman"/>
        </w:rPr>
        <w:t xml:space="preserve"> </w:t>
      </w:r>
      <w:r>
        <w:rPr>
          <w:rFonts w:cs="Times New Roman"/>
        </w:rPr>
        <w:t>MENR.</w:t>
      </w:r>
      <w:r w:rsidRPr="004E3024">
        <w:rPr>
          <w:rFonts w:cs="Times New Roman"/>
        </w:rPr>
        <w:t xml:space="preserve"> www.menr.gov.ua</w:t>
      </w:r>
    </w:p>
  </w:footnote>
  <w:footnote w:id="5">
    <w:p w14:paraId="0CB196CD" w14:textId="77777777" w:rsidR="007E7DF5" w:rsidRDefault="007E7DF5" w:rsidP="00E83690">
      <w:pPr>
        <w:pStyle w:val="FootnoteText"/>
      </w:pPr>
      <w:r w:rsidRPr="004E3024">
        <w:rPr>
          <w:rStyle w:val="FootnoteReference"/>
        </w:rPr>
        <w:footnoteRef/>
      </w:r>
      <w:r w:rsidRPr="004E3024">
        <w:rPr>
          <w:rFonts w:cs="Times New Roman"/>
        </w:rPr>
        <w:t xml:space="preserve"> Decree of the President of Ukraine of </w:t>
      </w:r>
      <w:r>
        <w:rPr>
          <w:rFonts w:cs="Times New Roman"/>
        </w:rPr>
        <w:t xml:space="preserve">June 4, </w:t>
      </w:r>
      <w:r w:rsidRPr="004E3024">
        <w:rPr>
          <w:rFonts w:cs="Times New Roman"/>
        </w:rPr>
        <w:t>2011</w:t>
      </w:r>
      <w:r>
        <w:rPr>
          <w:rFonts w:cs="Times New Roman"/>
        </w:rPr>
        <w:t>,</w:t>
      </w:r>
      <w:r w:rsidRPr="004E3024">
        <w:rPr>
          <w:rFonts w:cs="Times New Roman"/>
        </w:rPr>
        <w:t xml:space="preserve"> </w:t>
      </w:r>
      <w:r>
        <w:rPr>
          <w:rFonts w:cs="Times New Roman"/>
        </w:rPr>
        <w:t>No.</w:t>
      </w:r>
      <w:r w:rsidRPr="004E3024">
        <w:rPr>
          <w:rFonts w:cs="Times New Roman"/>
        </w:rPr>
        <w:t xml:space="preserve"> 400/2011 </w:t>
      </w:r>
      <w:r>
        <w:rPr>
          <w:rFonts w:cs="Times New Roman"/>
        </w:rPr>
        <w:t>“</w:t>
      </w:r>
      <w:r w:rsidRPr="004E3024">
        <w:rPr>
          <w:rFonts w:cs="Times New Roman"/>
        </w:rPr>
        <w:t>On Regulation on the State Sanitary and Epidemiological Service of Ukraine.</w:t>
      </w:r>
      <w:r>
        <w:rPr>
          <w:rFonts w:cs="Times New Roman"/>
        </w:rPr>
        <w:t>”</w:t>
      </w:r>
      <w:r w:rsidRPr="004E3024">
        <w:rPr>
          <w:rFonts w:cs="Times New Roman"/>
        </w:rPr>
        <w:t xml:space="preserve"> </w:t>
      </w:r>
    </w:p>
  </w:footnote>
  <w:footnote w:id="6">
    <w:p w14:paraId="13F2F1E5" w14:textId="77777777" w:rsidR="007E7DF5" w:rsidRDefault="007E7DF5" w:rsidP="00E83690">
      <w:pPr>
        <w:pStyle w:val="FootnoteText"/>
      </w:pPr>
      <w:r w:rsidRPr="004E3024">
        <w:rPr>
          <w:rStyle w:val="FootnoteReference"/>
        </w:rPr>
        <w:footnoteRef/>
      </w:r>
      <w:r w:rsidRPr="004E3024">
        <w:rPr>
          <w:rFonts w:cs="Times New Roman"/>
        </w:rPr>
        <w:t xml:space="preserve"> Decree of the Cabinet of Ministers of Ukraine of </w:t>
      </w:r>
      <w:r>
        <w:rPr>
          <w:rFonts w:cs="Times New Roman"/>
        </w:rPr>
        <w:t xml:space="preserve">March 30, </w:t>
      </w:r>
      <w:r w:rsidRPr="004E3024">
        <w:rPr>
          <w:rFonts w:cs="Times New Roman"/>
        </w:rPr>
        <w:t>1998</w:t>
      </w:r>
      <w:r>
        <w:rPr>
          <w:rFonts w:cs="Times New Roman"/>
        </w:rPr>
        <w:t>, No.</w:t>
      </w:r>
      <w:r w:rsidRPr="004E3024">
        <w:rPr>
          <w:rFonts w:cs="Times New Roman"/>
        </w:rPr>
        <w:t xml:space="preserve"> 391 </w:t>
      </w:r>
      <w:r>
        <w:rPr>
          <w:rFonts w:cs="Times New Roman"/>
        </w:rPr>
        <w:t>“</w:t>
      </w:r>
      <w:r w:rsidRPr="004E3024">
        <w:rPr>
          <w:rFonts w:cs="Times New Roman"/>
        </w:rPr>
        <w:t xml:space="preserve">On </w:t>
      </w:r>
      <w:r>
        <w:rPr>
          <w:rFonts w:cs="Times New Roman"/>
        </w:rPr>
        <w:t>A</w:t>
      </w:r>
      <w:r w:rsidRPr="004E3024">
        <w:rPr>
          <w:rFonts w:cs="Times New Roman"/>
        </w:rPr>
        <w:t xml:space="preserve">pproval of the </w:t>
      </w:r>
      <w:r>
        <w:rPr>
          <w:rFonts w:cs="Times New Roman"/>
        </w:rPr>
        <w:t>S</w:t>
      </w:r>
      <w:r w:rsidRPr="004E3024">
        <w:rPr>
          <w:rFonts w:cs="Times New Roman"/>
        </w:rPr>
        <w:t xml:space="preserve">tate </w:t>
      </w:r>
      <w:r>
        <w:rPr>
          <w:rFonts w:cs="Times New Roman"/>
        </w:rPr>
        <w:t>S</w:t>
      </w:r>
      <w:r w:rsidRPr="004E3024">
        <w:rPr>
          <w:rFonts w:cs="Times New Roman"/>
        </w:rPr>
        <w:t xml:space="preserve">ystem of </w:t>
      </w:r>
      <w:r>
        <w:rPr>
          <w:rFonts w:cs="Times New Roman"/>
        </w:rPr>
        <w:t>E</w:t>
      </w:r>
      <w:r w:rsidRPr="004E3024">
        <w:rPr>
          <w:rFonts w:cs="Times New Roman"/>
        </w:rPr>
        <w:t xml:space="preserve">nvironmental </w:t>
      </w:r>
      <w:r>
        <w:rPr>
          <w:rFonts w:cs="Times New Roman"/>
        </w:rPr>
        <w:t>M</w:t>
      </w:r>
      <w:r w:rsidRPr="004E3024">
        <w:rPr>
          <w:rFonts w:cs="Times New Roman"/>
        </w:rPr>
        <w:t>onitoring.</w:t>
      </w:r>
      <w:r>
        <w:rPr>
          <w:rFonts w:cs="Times New Roman"/>
        </w:rPr>
        <w:t>”</w:t>
      </w:r>
      <w:r w:rsidRPr="004E3024">
        <w:rPr>
          <w:rFonts w:cs="Times New Roman"/>
        </w:rPr>
        <w:t xml:space="preserve"> </w:t>
      </w:r>
    </w:p>
  </w:footnote>
  <w:footnote w:id="7">
    <w:p w14:paraId="6A36933D" w14:textId="77777777" w:rsidR="007E7DF5" w:rsidRDefault="007E7DF5" w:rsidP="00E83690">
      <w:pPr>
        <w:pStyle w:val="FootnoteText"/>
      </w:pPr>
      <w:r w:rsidRPr="004E3024">
        <w:rPr>
          <w:rStyle w:val="FootnoteReference"/>
        </w:rPr>
        <w:footnoteRef/>
      </w:r>
      <w:r w:rsidRPr="004E3024">
        <w:rPr>
          <w:rFonts w:cs="Times New Roman"/>
        </w:rPr>
        <w:t xml:space="preserve"> </w:t>
      </w:r>
      <w:r>
        <w:rPr>
          <w:rFonts w:cs="Times New Roman"/>
        </w:rPr>
        <w:t>MENR.</w:t>
      </w:r>
      <w:r w:rsidRPr="004E3024">
        <w:rPr>
          <w:rFonts w:cs="Times New Roman"/>
        </w:rPr>
        <w:t xml:space="preserve"> www.menr.gov.ua</w:t>
      </w:r>
    </w:p>
  </w:footnote>
  <w:footnote w:id="8">
    <w:p w14:paraId="4ABB7C14" w14:textId="77777777" w:rsidR="007E7DF5" w:rsidRDefault="007E7DF5" w:rsidP="00E83690">
      <w:pPr>
        <w:pStyle w:val="FootnoteText"/>
      </w:pPr>
      <w:r w:rsidRPr="004E3024">
        <w:rPr>
          <w:rStyle w:val="FootnoteReference"/>
        </w:rPr>
        <w:footnoteRef/>
      </w:r>
      <w:r w:rsidRPr="004E3024">
        <w:rPr>
          <w:rFonts w:cs="Times New Roman"/>
        </w:rPr>
        <w:t xml:space="preserve"> </w:t>
      </w:r>
      <w:r>
        <w:rPr>
          <w:rFonts w:cs="Times New Roman"/>
        </w:rPr>
        <w:t>MENR.</w:t>
      </w:r>
      <w:r w:rsidRPr="004E3024">
        <w:rPr>
          <w:rFonts w:cs="Times New Roman"/>
        </w:rPr>
        <w:t xml:space="preserve"> www.menr.gov.ua</w:t>
      </w:r>
    </w:p>
  </w:footnote>
  <w:footnote w:id="9">
    <w:p w14:paraId="1593DAD8" w14:textId="77777777" w:rsidR="007E7DF5" w:rsidRDefault="007E7DF5" w:rsidP="00E83690">
      <w:pPr>
        <w:pStyle w:val="FootnoteText"/>
      </w:pPr>
      <w:r w:rsidRPr="004E3024">
        <w:rPr>
          <w:rStyle w:val="FootnoteReference"/>
        </w:rPr>
        <w:footnoteRef/>
      </w:r>
      <w:r w:rsidRPr="004E3024">
        <w:rPr>
          <w:rFonts w:cs="Times New Roman"/>
        </w:rPr>
        <w:t xml:space="preserve"> </w:t>
      </w:r>
      <w:r>
        <w:rPr>
          <w:rFonts w:cs="Times New Roman"/>
        </w:rPr>
        <w:t>MENR.</w:t>
      </w:r>
      <w:r w:rsidRPr="004E3024">
        <w:rPr>
          <w:rFonts w:cs="Times New Roman"/>
        </w:rPr>
        <w:t xml:space="preserve"> www.menr.gov.ua</w:t>
      </w:r>
    </w:p>
  </w:footnote>
  <w:footnote w:id="10">
    <w:p w14:paraId="643F4032" w14:textId="77777777" w:rsidR="007E7DF5" w:rsidRDefault="007E7DF5" w:rsidP="00E83690">
      <w:pPr>
        <w:pStyle w:val="FootnoteText"/>
      </w:pPr>
      <w:r w:rsidRPr="004E3024">
        <w:rPr>
          <w:rStyle w:val="FootnoteReference"/>
        </w:rPr>
        <w:footnoteRef/>
      </w:r>
      <w:r w:rsidRPr="004E3024">
        <w:rPr>
          <w:rFonts w:cs="Times New Roman"/>
        </w:rPr>
        <w:t xml:space="preserve"> MENR. 2013. </w:t>
      </w:r>
      <w:r w:rsidRPr="00F046A2">
        <w:rPr>
          <w:rFonts w:cs="Times New Roman"/>
          <w:i/>
        </w:rPr>
        <w:t xml:space="preserve">National Report on the State of Environment in Ukraine in 2012. </w:t>
      </w:r>
      <w:r>
        <w:rPr>
          <w:rFonts w:cs="Times New Roman"/>
        </w:rPr>
        <w:t xml:space="preserve">p. </w:t>
      </w:r>
      <w:r w:rsidRPr="004E3024">
        <w:rPr>
          <w:rFonts w:cs="Times New Roman"/>
        </w:rPr>
        <w:t>416.</w:t>
      </w:r>
    </w:p>
  </w:footnote>
  <w:footnote w:id="11">
    <w:p w14:paraId="698EB30D" w14:textId="77777777" w:rsidR="007E7DF5" w:rsidRDefault="007E7DF5" w:rsidP="00E83690">
      <w:pPr>
        <w:pStyle w:val="FootnoteText"/>
      </w:pPr>
      <w:r w:rsidRPr="004E3024">
        <w:rPr>
          <w:rStyle w:val="FootnoteReference"/>
        </w:rPr>
        <w:footnoteRef/>
      </w:r>
      <w:r w:rsidRPr="004E3024">
        <w:rPr>
          <w:rFonts w:cs="Times New Roman"/>
        </w:rPr>
        <w:t xml:space="preserve"> </w:t>
      </w:r>
      <w:r>
        <w:rPr>
          <w:rFonts w:cs="Times New Roman"/>
        </w:rPr>
        <w:t>MENR.</w:t>
      </w:r>
      <w:r w:rsidRPr="004E3024">
        <w:rPr>
          <w:rFonts w:cs="Times New Roman"/>
        </w:rPr>
        <w:t xml:space="preserve"> www.menr.gov.ua</w:t>
      </w:r>
    </w:p>
  </w:footnote>
  <w:footnote w:id="12">
    <w:p w14:paraId="2277E15A" w14:textId="77777777" w:rsidR="007E7DF5" w:rsidRDefault="007E7DF5" w:rsidP="00E83690">
      <w:pPr>
        <w:pStyle w:val="FootnoteText"/>
      </w:pPr>
      <w:r w:rsidRPr="004E3024">
        <w:rPr>
          <w:rStyle w:val="FootnoteReference"/>
        </w:rPr>
        <w:footnoteRef/>
      </w:r>
      <w:r w:rsidRPr="004E3024">
        <w:rPr>
          <w:rFonts w:cs="Times New Roman"/>
        </w:rPr>
        <w:t xml:space="preserve"> Decree of the Cabinet of Ministers of Ukraine of </w:t>
      </w:r>
      <w:r>
        <w:rPr>
          <w:rFonts w:cs="Times New Roman"/>
        </w:rPr>
        <w:t xml:space="preserve">August 13, </w:t>
      </w:r>
      <w:r w:rsidRPr="004E3024">
        <w:rPr>
          <w:rFonts w:cs="Times New Roman"/>
        </w:rPr>
        <w:t>2014</w:t>
      </w:r>
      <w:r>
        <w:rPr>
          <w:rFonts w:cs="Times New Roman"/>
        </w:rPr>
        <w:t>, No.</w:t>
      </w:r>
      <w:r w:rsidRPr="004E3024">
        <w:rPr>
          <w:rFonts w:cs="Times New Roman"/>
        </w:rPr>
        <w:t xml:space="preserve"> 408 </w:t>
      </w:r>
      <w:r>
        <w:rPr>
          <w:rFonts w:cs="Times New Roman"/>
        </w:rPr>
        <w:t>“</w:t>
      </w:r>
      <w:r w:rsidRPr="004E3024">
        <w:rPr>
          <w:rFonts w:cs="Times New Roman"/>
        </w:rPr>
        <w:t xml:space="preserve">Introduction of </w:t>
      </w:r>
      <w:r>
        <w:rPr>
          <w:rFonts w:cs="Times New Roman"/>
        </w:rPr>
        <w:t>L</w:t>
      </w:r>
      <w:r w:rsidRPr="004E3024">
        <w:rPr>
          <w:rFonts w:cs="Times New Roman"/>
        </w:rPr>
        <w:t>imitations on Implementation of Inspections by State Inspection and other Supervisory Authorities.</w:t>
      </w:r>
      <w:r>
        <w:rPr>
          <w:rFonts w:cs="Times New Roman"/>
        </w:rPr>
        <w:t>”</w:t>
      </w:r>
      <w:r w:rsidRPr="004E3024">
        <w:rPr>
          <w:rFonts w:cs="Times New Roman"/>
        </w:rPr>
        <w:t xml:space="preserve"> </w:t>
      </w:r>
    </w:p>
  </w:footnote>
  <w:footnote w:id="13">
    <w:p w14:paraId="6C0CF530" w14:textId="77777777" w:rsidR="007E7DF5" w:rsidRDefault="007E7DF5" w:rsidP="00E83690">
      <w:pPr>
        <w:pStyle w:val="FootnoteText"/>
      </w:pPr>
      <w:r w:rsidRPr="004E3024">
        <w:rPr>
          <w:rStyle w:val="FootnoteReference"/>
        </w:rPr>
        <w:footnoteRef/>
      </w:r>
      <w:r w:rsidRPr="004E3024">
        <w:rPr>
          <w:rFonts w:cs="Times New Roman"/>
        </w:rPr>
        <w:t xml:space="preserve"> Law of Ukraine of </w:t>
      </w:r>
      <w:r>
        <w:rPr>
          <w:rFonts w:cs="Times New Roman"/>
        </w:rPr>
        <w:t xml:space="preserve">December 28, </w:t>
      </w:r>
      <w:r w:rsidRPr="004E3024">
        <w:rPr>
          <w:rFonts w:cs="Times New Roman"/>
        </w:rPr>
        <w:t>2014</w:t>
      </w:r>
      <w:r>
        <w:rPr>
          <w:rFonts w:cs="Times New Roman"/>
        </w:rPr>
        <w:t xml:space="preserve"> No.</w:t>
      </w:r>
      <w:r w:rsidRPr="004E3024">
        <w:rPr>
          <w:rFonts w:cs="Times New Roman"/>
        </w:rPr>
        <w:t xml:space="preserve"> 76-VIII </w:t>
      </w:r>
      <w:r>
        <w:rPr>
          <w:rFonts w:cs="Times New Roman"/>
        </w:rPr>
        <w:t>“</w:t>
      </w:r>
      <w:r w:rsidRPr="004E3024">
        <w:rPr>
          <w:rFonts w:cs="Times New Roman"/>
        </w:rPr>
        <w:t xml:space="preserve">On </w:t>
      </w:r>
      <w:r>
        <w:rPr>
          <w:rFonts w:cs="Times New Roman"/>
        </w:rPr>
        <w:t>A</w:t>
      </w:r>
      <w:r w:rsidRPr="004E3024">
        <w:rPr>
          <w:rFonts w:cs="Times New Roman"/>
        </w:rPr>
        <w:t xml:space="preserve">mendments to and </w:t>
      </w:r>
      <w:r>
        <w:rPr>
          <w:rFonts w:cs="Times New Roman"/>
        </w:rPr>
        <w:t>T</w:t>
      </w:r>
      <w:r w:rsidRPr="004E3024">
        <w:rPr>
          <w:rFonts w:cs="Times New Roman"/>
        </w:rPr>
        <w:t xml:space="preserve">ermination of </w:t>
      </w:r>
      <w:r>
        <w:rPr>
          <w:rFonts w:cs="Times New Roman"/>
        </w:rPr>
        <w:t>V</w:t>
      </w:r>
      <w:r w:rsidRPr="004E3024">
        <w:rPr>
          <w:rFonts w:cs="Times New Roman"/>
        </w:rPr>
        <w:t xml:space="preserve">alidity of </w:t>
      </w:r>
      <w:r>
        <w:rPr>
          <w:rFonts w:cs="Times New Roman"/>
        </w:rPr>
        <w:t>S</w:t>
      </w:r>
      <w:r w:rsidRPr="004E3024">
        <w:rPr>
          <w:rFonts w:cs="Times New Roman"/>
        </w:rPr>
        <w:t xml:space="preserve">ome </w:t>
      </w:r>
      <w:r>
        <w:rPr>
          <w:rFonts w:cs="Times New Roman"/>
        </w:rPr>
        <w:t>L</w:t>
      </w:r>
      <w:r w:rsidRPr="004E3024">
        <w:rPr>
          <w:rFonts w:cs="Times New Roman"/>
        </w:rPr>
        <w:t xml:space="preserve">egislative </w:t>
      </w:r>
      <w:r>
        <w:rPr>
          <w:rFonts w:cs="Times New Roman"/>
        </w:rPr>
        <w:t>A</w:t>
      </w:r>
      <w:r w:rsidRPr="004E3024">
        <w:rPr>
          <w:rFonts w:cs="Times New Roman"/>
        </w:rPr>
        <w:t>cts of Ukraine</w:t>
      </w:r>
      <w:r>
        <w:rPr>
          <w:rFonts w:cs="Times New Roman"/>
        </w:rPr>
        <w:t>.”</w:t>
      </w:r>
      <w:r w:rsidRPr="004E3024">
        <w:rPr>
          <w:rFonts w:cs="Times New Roman"/>
        </w:rPr>
        <w:t xml:space="preserve"> </w:t>
      </w:r>
    </w:p>
  </w:footnote>
  <w:footnote w:id="14">
    <w:p w14:paraId="482714D1" w14:textId="77777777" w:rsidR="007E7DF5" w:rsidRDefault="007E7DF5" w:rsidP="00E83690">
      <w:pPr>
        <w:pStyle w:val="FootnoteText"/>
      </w:pPr>
      <w:r w:rsidRPr="004E3024">
        <w:rPr>
          <w:rStyle w:val="FootnoteReference"/>
        </w:rPr>
        <w:footnoteRef/>
      </w:r>
      <w:r w:rsidRPr="004E3024">
        <w:rPr>
          <w:rFonts w:cs="Times New Roman"/>
        </w:rPr>
        <w:t xml:space="preserve"> Information Analytical Center (IAC)</w:t>
      </w:r>
      <w:r>
        <w:rPr>
          <w:rFonts w:cs="Times New Roman"/>
        </w:rPr>
        <w:t>.</w:t>
      </w:r>
      <w:r w:rsidRPr="004E3024">
        <w:rPr>
          <w:rFonts w:cs="Times New Roman"/>
        </w:rPr>
        <w:t xml:space="preserve"> www.ecobank.org.ua</w:t>
      </w:r>
    </w:p>
  </w:footnote>
  <w:footnote w:id="15">
    <w:p w14:paraId="1E5682CD" w14:textId="77777777" w:rsidR="007E7DF5" w:rsidRDefault="007E7DF5" w:rsidP="00B52D46">
      <w:pPr>
        <w:pStyle w:val="FootnoteText"/>
      </w:pPr>
      <w:r>
        <w:rPr>
          <w:rStyle w:val="FootnoteReference"/>
          <w:rFonts w:cs="Arial"/>
        </w:rPr>
        <w:footnoteRef/>
      </w:r>
      <w:r w:rsidRPr="00740CFA">
        <w:rPr>
          <w:lang w:val="ru-RU"/>
        </w:rPr>
        <w:t xml:space="preserve"> </w:t>
      </w:r>
      <w:r>
        <w:t>I</w:t>
      </w:r>
      <w:r w:rsidRPr="00740CFA">
        <w:rPr>
          <w:lang w:val="ru-RU"/>
        </w:rPr>
        <w:t>нженерно-будівельне проектування в частині забезпечення безпеки життя і здоров'я людини, захисту навколишнього середовища.</w:t>
      </w:r>
    </w:p>
  </w:footnote>
  <w:footnote w:id="16">
    <w:p w14:paraId="77E4A306" w14:textId="77777777" w:rsidR="007E7DF5" w:rsidRDefault="007E7DF5" w:rsidP="00E112B7">
      <w:pPr>
        <w:pStyle w:val="FootnoteText"/>
      </w:pPr>
      <w:r>
        <w:rPr>
          <w:rStyle w:val="FootnoteReference"/>
          <w:rFonts w:cs="Arial"/>
        </w:rPr>
        <w:footnoteRef/>
      </w:r>
      <w:r w:rsidRPr="00740CFA">
        <w:rPr>
          <w:lang w:val="ru-RU"/>
        </w:rPr>
        <w:t xml:space="preserve"> </w:t>
      </w:r>
      <w:r w:rsidRPr="00740CFA">
        <w:rPr>
          <w:lang w:val="ru-RU"/>
        </w:rPr>
        <w:t xml:space="preserve">Всеукраїнський </w:t>
      </w:r>
      <w:r w:rsidRPr="00740CFA">
        <w:rPr>
          <w:lang w:val="ru-RU"/>
        </w:rPr>
        <w:t xml:space="preserve">центр ліцензування та сертифікації будівництва, </w:t>
      </w:r>
      <w:r w:rsidR="00C16940">
        <w:fldChar w:fldCharType="begin"/>
      </w:r>
      <w:r w:rsidR="00C16940">
        <w:instrText xml:space="preserve"> HYPERLINK "http://minregion.info" </w:instrText>
      </w:r>
      <w:r w:rsidR="00C16940">
        <w:fldChar w:fldCharType="separate"/>
      </w:r>
      <w:r w:rsidRPr="00A72702">
        <w:rPr>
          <w:rStyle w:val="Hyperlink"/>
          <w:rFonts w:cs="Arial"/>
          <w:color w:val="auto"/>
          <w:u w:val="none"/>
        </w:rPr>
        <w:t>http</w:t>
      </w:r>
      <w:r w:rsidRPr="00A72702">
        <w:rPr>
          <w:rStyle w:val="Hyperlink"/>
          <w:rFonts w:cs="Arial"/>
          <w:color w:val="auto"/>
          <w:u w:val="none"/>
          <w:lang w:val="ru-RU"/>
        </w:rPr>
        <w:t>://</w:t>
      </w:r>
      <w:proofErr w:type="spellStart"/>
      <w:r w:rsidRPr="00A72702">
        <w:rPr>
          <w:rStyle w:val="Hyperlink"/>
          <w:rFonts w:cs="Arial"/>
          <w:color w:val="auto"/>
          <w:u w:val="none"/>
        </w:rPr>
        <w:t>minregion</w:t>
      </w:r>
      <w:proofErr w:type="spellEnd"/>
      <w:r w:rsidRPr="00A72702">
        <w:rPr>
          <w:rStyle w:val="Hyperlink"/>
          <w:rFonts w:cs="Arial"/>
          <w:color w:val="auto"/>
          <w:u w:val="none"/>
          <w:lang w:val="ru-RU"/>
        </w:rPr>
        <w:t>.</w:t>
      </w:r>
      <w:r w:rsidRPr="00A72702">
        <w:rPr>
          <w:rStyle w:val="Hyperlink"/>
          <w:rFonts w:cs="Arial"/>
          <w:color w:val="auto"/>
          <w:u w:val="none"/>
        </w:rPr>
        <w:t>info</w:t>
      </w:r>
      <w:r w:rsidR="00C16940">
        <w:rPr>
          <w:rStyle w:val="Hyperlink"/>
          <w:rFonts w:cs="Arial"/>
          <w:color w:val="auto"/>
          <w:u w:val="none"/>
        </w:rPr>
        <w:fldChar w:fldCharType="end"/>
      </w:r>
      <w:r w:rsidRPr="00740CFA">
        <w:rPr>
          <w:lang w:val="ru-RU"/>
        </w:rPr>
        <w:t xml:space="preserve"> </w:t>
      </w:r>
    </w:p>
  </w:footnote>
  <w:footnote w:id="17">
    <w:p w14:paraId="194F11FF" w14:textId="77777777" w:rsidR="007E7DF5" w:rsidRDefault="007E7DF5" w:rsidP="00D37C27">
      <w:pPr>
        <w:pStyle w:val="FootnoteText"/>
      </w:pPr>
      <w:r>
        <w:rPr>
          <w:rStyle w:val="FootnoteReference"/>
          <w:rFonts w:cs="Arial"/>
        </w:rPr>
        <w:footnoteRef/>
      </w:r>
      <w:r>
        <w:t xml:space="preserve"> </w:t>
      </w:r>
      <w:proofErr w:type="spellStart"/>
      <w:r>
        <w:t>P</w:t>
      </w:r>
      <w:r w:rsidRPr="00BF5161">
        <w:rPr>
          <w:rFonts w:cs="Times New Roman"/>
          <w:i/>
        </w:rPr>
        <w:t>rykladna</w:t>
      </w:r>
      <w:proofErr w:type="spellEnd"/>
      <w:r w:rsidRPr="00BF5161">
        <w:rPr>
          <w:rFonts w:cs="Times New Roman"/>
          <w:i/>
        </w:rPr>
        <w:t xml:space="preserve"> </w:t>
      </w:r>
      <w:proofErr w:type="spellStart"/>
      <w:r w:rsidRPr="00BF5161">
        <w:rPr>
          <w:rFonts w:cs="Times New Roman"/>
          <w:i/>
        </w:rPr>
        <w:t>ekologija</w:t>
      </w:r>
      <w:proofErr w:type="spellEnd"/>
      <w:r w:rsidRPr="00BF5161">
        <w:rPr>
          <w:rFonts w:cs="Times New Roman"/>
          <w:i/>
        </w:rPr>
        <w:t xml:space="preserve"> ta </w:t>
      </w:r>
      <w:proofErr w:type="spellStart"/>
      <w:r w:rsidRPr="00BF5161">
        <w:rPr>
          <w:rFonts w:cs="Times New Roman"/>
          <w:i/>
        </w:rPr>
        <w:t>zbalansovane</w:t>
      </w:r>
      <w:proofErr w:type="spellEnd"/>
      <w:r w:rsidRPr="00BF5161">
        <w:rPr>
          <w:rFonts w:cs="Times New Roman"/>
          <w:i/>
        </w:rPr>
        <w:t xml:space="preserve"> </w:t>
      </w:r>
      <w:proofErr w:type="spellStart"/>
      <w:r w:rsidRPr="00BF5161">
        <w:rPr>
          <w:rFonts w:cs="Times New Roman"/>
          <w:i/>
        </w:rPr>
        <w:t>pryrodokorystuvannia</w:t>
      </w:r>
      <w:proofErr w:type="spellEnd"/>
      <w:r w:rsidRPr="00BF5161">
        <w:rPr>
          <w:rFonts w:cs="Times New Roman"/>
          <w:i/>
        </w:rPr>
        <w:t xml:space="preserve"> (</w:t>
      </w:r>
      <w:proofErr w:type="spellStart"/>
      <w:r w:rsidRPr="00BF5161">
        <w:rPr>
          <w:rFonts w:cs="Times New Roman"/>
          <w:i/>
        </w:rPr>
        <w:t>za</w:t>
      </w:r>
      <w:proofErr w:type="spellEnd"/>
      <w:r w:rsidRPr="00BF5161">
        <w:rPr>
          <w:rFonts w:cs="Times New Roman"/>
          <w:i/>
        </w:rPr>
        <w:t xml:space="preserve"> </w:t>
      </w:r>
      <w:proofErr w:type="spellStart"/>
      <w:r w:rsidRPr="00BF5161">
        <w:rPr>
          <w:rFonts w:cs="Times New Roman"/>
          <w:i/>
        </w:rPr>
        <w:t>galuziamy</w:t>
      </w:r>
      <w:proofErr w:type="spellEnd"/>
      <w:r w:rsidRPr="00BF5161">
        <w:rPr>
          <w:rFonts w:cs="Times New Roman"/>
          <w:i/>
        </w:rPr>
        <w:t>)</w:t>
      </w:r>
      <w:r>
        <w:rPr>
          <w:rFonts w:cs="Times New Roman"/>
          <w:i/>
        </w:rPr>
        <w:t>.</w:t>
      </w:r>
    </w:p>
  </w:footnote>
  <w:footnote w:id="18">
    <w:p w14:paraId="09721E02" w14:textId="77777777" w:rsidR="007E7DF5" w:rsidRPr="00A72702" w:rsidRDefault="007E7DF5">
      <w:pPr>
        <w:pStyle w:val="FootnoteText"/>
      </w:pPr>
      <w:r w:rsidRPr="009732EC">
        <w:rPr>
          <w:rStyle w:val="FootnoteReference"/>
          <w:rFonts w:cs="Arial"/>
        </w:rPr>
        <w:footnoteRef/>
      </w:r>
      <w:r w:rsidRPr="00740CFA">
        <w:rPr>
          <w:lang w:val="ru-RU"/>
        </w:rPr>
        <w:t xml:space="preserve"> </w:t>
      </w:r>
      <w:r w:rsidRPr="00740CFA">
        <w:rPr>
          <w:rFonts w:cs="Times New Roman"/>
          <w:lang w:val="ru-RU"/>
        </w:rPr>
        <w:t>Державна екологічна академія післядипломної освіти та управління</w:t>
      </w:r>
      <w:r>
        <w:rPr>
          <w:rFonts w:cs="Times New Roman"/>
        </w:rPr>
        <w:t>.</w:t>
      </w:r>
    </w:p>
  </w:footnote>
  <w:footnote w:id="19">
    <w:p w14:paraId="79F5F94E" w14:textId="77777777" w:rsidR="007E7DF5" w:rsidRDefault="007E7DF5" w:rsidP="005C4ECB">
      <w:pPr>
        <w:pStyle w:val="FootnoteText"/>
      </w:pPr>
      <w:r w:rsidRPr="004E3024">
        <w:rPr>
          <w:rStyle w:val="FootnoteReference"/>
        </w:rPr>
        <w:footnoteRef/>
      </w:r>
      <w:r w:rsidRPr="004E3024">
        <w:rPr>
          <w:rFonts w:cs="Times New Roman"/>
        </w:rPr>
        <w:t xml:space="preserve"> USAID </w:t>
      </w:r>
      <w:r>
        <w:rPr>
          <w:rFonts w:cs="Times New Roman"/>
        </w:rPr>
        <w:t>P</w:t>
      </w:r>
      <w:r w:rsidRPr="004E3024">
        <w:rPr>
          <w:rFonts w:cs="Times New Roman"/>
        </w:rPr>
        <w:t>roject “The Public-Private Partnership Development Program (P3DP)</w:t>
      </w:r>
      <w:r>
        <w:rPr>
          <w:rFonts w:cs="Times New Roman"/>
        </w:rPr>
        <w:t>.</w:t>
      </w:r>
      <w:r w:rsidRPr="004E3024">
        <w:rPr>
          <w:rFonts w:cs="Times New Roman"/>
        </w:rPr>
        <w:t>” http://ppp-ukraine.org</w:t>
      </w:r>
    </w:p>
  </w:footnote>
  <w:footnote w:id="20">
    <w:p w14:paraId="6C6A2995" w14:textId="77777777" w:rsidR="007E7DF5" w:rsidRDefault="007E7DF5" w:rsidP="00E942A0">
      <w:pPr>
        <w:pStyle w:val="FootnoteText"/>
      </w:pPr>
      <w:r w:rsidRPr="004E3024">
        <w:rPr>
          <w:rStyle w:val="FootnoteReference"/>
        </w:rPr>
        <w:footnoteRef/>
      </w:r>
      <w:r>
        <w:rPr>
          <w:rFonts w:cs="Times New Roman"/>
        </w:rPr>
        <w:t xml:space="preserve"> </w:t>
      </w:r>
      <w:r w:rsidRPr="004E3024">
        <w:rPr>
          <w:rFonts w:cs="Times New Roman"/>
        </w:rPr>
        <w:t xml:space="preserve">UNIDO &amp; UNEP </w:t>
      </w:r>
      <w:r>
        <w:rPr>
          <w:rFonts w:cs="Times New Roman"/>
        </w:rPr>
        <w:t>P</w:t>
      </w:r>
      <w:r w:rsidRPr="004E3024">
        <w:rPr>
          <w:rFonts w:cs="Times New Roman"/>
        </w:rPr>
        <w:t>roject “Support Resource Efficient and Cleaner Production Center (RECPC)</w:t>
      </w:r>
      <w:r>
        <w:rPr>
          <w:rFonts w:cs="Times New Roman"/>
        </w:rPr>
        <w:t>.</w:t>
      </w:r>
      <w:r w:rsidRPr="004E3024">
        <w:rPr>
          <w:rFonts w:cs="Times New Roman"/>
        </w:rPr>
        <w:t xml:space="preserve">” </w:t>
      </w:r>
      <w:hyperlink r:id="rId1" w:history="1">
        <w:r w:rsidRPr="00A72702">
          <w:rPr>
            <w:rStyle w:val="Hyperlink"/>
            <w:color w:val="auto"/>
            <w:u w:val="none"/>
          </w:rPr>
          <w:t>http://www.recpc.kpi.ua</w:t>
        </w:r>
      </w:hyperlink>
      <w:r w:rsidRPr="004E3024">
        <w:rPr>
          <w:rFonts w:cs="Times New Roman"/>
        </w:rPr>
        <w:t xml:space="preserve"> </w:t>
      </w:r>
    </w:p>
  </w:footnote>
  <w:footnote w:id="21">
    <w:p w14:paraId="3FCA29E5" w14:textId="77777777" w:rsidR="007E7DF5" w:rsidRDefault="007E7DF5" w:rsidP="0097635F">
      <w:pPr>
        <w:pStyle w:val="FootnoteText"/>
      </w:pPr>
      <w:r w:rsidRPr="004E3024">
        <w:rPr>
          <w:rStyle w:val="FootnoteReference"/>
        </w:rPr>
        <w:footnoteRef/>
      </w:r>
      <w:r w:rsidRPr="004E3024">
        <w:rPr>
          <w:rFonts w:cs="Times New Roman"/>
        </w:rPr>
        <w:t xml:space="preserve"> The</w:t>
      </w:r>
      <w:r>
        <w:rPr>
          <w:rFonts w:cs="Times New Roman"/>
        </w:rPr>
        <w:t xml:space="preserve"> survey item regarding</w:t>
      </w:r>
      <w:r w:rsidRPr="004E3024">
        <w:rPr>
          <w:rFonts w:cs="Times New Roman"/>
        </w:rPr>
        <w:t xml:space="preserve"> Judicial Independence </w:t>
      </w:r>
      <w:r>
        <w:rPr>
          <w:rFonts w:cs="Times New Roman"/>
        </w:rPr>
        <w:t>presented the following</w:t>
      </w:r>
      <w:r w:rsidRPr="004E3024">
        <w:rPr>
          <w:rFonts w:cs="Times New Roman"/>
        </w:rPr>
        <w:t xml:space="preserve"> question: “In your country, to what extent is the judiciary independent from influences of members of government, citizens, or firms? [1 = heavily influenced; 7 = entirely independent]” | 2013–14 weighted average</w:t>
      </w:r>
      <w:r>
        <w:rPr>
          <w:rFonts w:cs="Times New Roman"/>
        </w:rPr>
        <w:t>.</w:t>
      </w:r>
      <w:r w:rsidRPr="004E3024">
        <w:rPr>
          <w:rFonts w:cs="Times New Roman"/>
        </w:rPr>
        <w:t xml:space="preserve"> Source: World Economic Forum, Executive Opinion Survey.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A7A"/>
    <w:multiLevelType w:val="hybridMultilevel"/>
    <w:tmpl w:val="78DAE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3A44AF"/>
    <w:multiLevelType w:val="hybridMultilevel"/>
    <w:tmpl w:val="F2E25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B20"/>
    <w:multiLevelType w:val="hybridMultilevel"/>
    <w:tmpl w:val="2A1E2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F552D"/>
    <w:multiLevelType w:val="hybridMultilevel"/>
    <w:tmpl w:val="AFDC00C6"/>
    <w:lvl w:ilvl="0" w:tplc="4D563074">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4" w15:restartNumberingAfterBreak="0">
    <w:nsid w:val="04C1137A"/>
    <w:multiLevelType w:val="hybridMultilevel"/>
    <w:tmpl w:val="FB04850E"/>
    <w:lvl w:ilvl="0" w:tplc="04090019">
      <w:start w:val="1"/>
      <w:numFmt w:val="lowerLetter"/>
      <w:lvlText w:val="%1."/>
      <w:lvlJc w:val="left"/>
      <w:pPr>
        <w:ind w:left="720" w:hanging="360"/>
      </w:pPr>
      <w:rPr>
        <w:rFonts w:cs="Times New Roman" w:hint="default"/>
      </w:rPr>
    </w:lvl>
    <w:lvl w:ilvl="1" w:tplc="4D563074">
      <w:start w:val="1"/>
      <w:numFmt w:val="decimal"/>
      <w:lvlText w:val="%2)"/>
      <w:lvlJc w:val="left"/>
      <w:pPr>
        <w:ind w:left="1440" w:hanging="360"/>
      </w:pPr>
      <w:rPr>
        <w:rFonts w:cs="Times New Roman" w:hint="default"/>
      </w:rPr>
    </w:lvl>
    <w:lvl w:ilvl="2" w:tplc="04090019">
      <w:start w:val="1"/>
      <w:numFmt w:val="lowerLetter"/>
      <w:lvlText w:val="%3."/>
      <w:lvlJc w:val="lef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06120D86"/>
    <w:multiLevelType w:val="hybridMultilevel"/>
    <w:tmpl w:val="FB04850E"/>
    <w:lvl w:ilvl="0" w:tplc="04090019">
      <w:start w:val="1"/>
      <w:numFmt w:val="lowerLetter"/>
      <w:lvlText w:val="%1."/>
      <w:lvlJc w:val="left"/>
      <w:pPr>
        <w:ind w:left="720" w:hanging="360"/>
      </w:pPr>
      <w:rPr>
        <w:rFonts w:cs="Times New Roman" w:hint="default"/>
      </w:rPr>
    </w:lvl>
    <w:lvl w:ilvl="1" w:tplc="4D563074">
      <w:start w:val="1"/>
      <w:numFmt w:val="decimal"/>
      <w:lvlText w:val="%2)"/>
      <w:lvlJc w:val="left"/>
      <w:pPr>
        <w:ind w:left="1440" w:hanging="360"/>
      </w:pPr>
      <w:rPr>
        <w:rFonts w:cs="Times New Roman" w:hint="default"/>
      </w:rPr>
    </w:lvl>
    <w:lvl w:ilvl="2" w:tplc="04090019">
      <w:start w:val="1"/>
      <w:numFmt w:val="lowerLetter"/>
      <w:lvlText w:val="%3."/>
      <w:lvlJc w:val="lef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09AB1492"/>
    <w:multiLevelType w:val="hybridMultilevel"/>
    <w:tmpl w:val="7084E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C56801"/>
    <w:multiLevelType w:val="hybridMultilevel"/>
    <w:tmpl w:val="8700A4C8"/>
    <w:lvl w:ilvl="0" w:tplc="FFFFFFFF">
      <w:start w:val="1"/>
      <w:numFmt w:val="decimal"/>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BDC2460"/>
    <w:multiLevelType w:val="hybridMultilevel"/>
    <w:tmpl w:val="F2E2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8101A"/>
    <w:multiLevelType w:val="hybridMultilevel"/>
    <w:tmpl w:val="C6BC90F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0EC84EF2"/>
    <w:multiLevelType w:val="hybridMultilevel"/>
    <w:tmpl w:val="8700A4C8"/>
    <w:lvl w:ilvl="0" w:tplc="FFFFFFFF">
      <w:start w:val="1"/>
      <w:numFmt w:val="decimal"/>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F346FF1"/>
    <w:multiLevelType w:val="hybridMultilevel"/>
    <w:tmpl w:val="95824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1290741"/>
    <w:multiLevelType w:val="hybridMultilevel"/>
    <w:tmpl w:val="F5FE9C7E"/>
    <w:lvl w:ilvl="0" w:tplc="0422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D0E21"/>
    <w:multiLevelType w:val="hybridMultilevel"/>
    <w:tmpl w:val="9374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F9721B"/>
    <w:multiLevelType w:val="hybridMultilevel"/>
    <w:tmpl w:val="B96860BC"/>
    <w:lvl w:ilvl="0" w:tplc="0422000F">
      <w:start w:val="1"/>
      <w:numFmt w:val="decimal"/>
      <w:lvlText w:val="%1."/>
      <w:lvlJc w:val="left"/>
      <w:pPr>
        <w:ind w:left="360" w:hanging="360"/>
      </w:pPr>
      <w:rPr>
        <w:rFonts w:cs="Times New Roman" w:hint="default"/>
      </w:rPr>
    </w:lvl>
    <w:lvl w:ilvl="1" w:tplc="9570638C">
      <w:start w:val="1"/>
      <w:numFmt w:val="lowerRoman"/>
      <w:lvlText w:val="(%2)"/>
      <w:lvlJc w:val="left"/>
      <w:pPr>
        <w:ind w:left="1440" w:hanging="720"/>
      </w:pPr>
      <w:rPr>
        <w:rFonts w:cs="Times New Roman" w:hint="default"/>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5" w15:restartNumberingAfterBreak="0">
    <w:nsid w:val="18A65064"/>
    <w:multiLevelType w:val="hybridMultilevel"/>
    <w:tmpl w:val="7084E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18760E"/>
    <w:multiLevelType w:val="hybridMultilevel"/>
    <w:tmpl w:val="A1E20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91D274C"/>
    <w:multiLevelType w:val="hybridMultilevel"/>
    <w:tmpl w:val="229AAF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D3A6636"/>
    <w:multiLevelType w:val="hybridMultilevel"/>
    <w:tmpl w:val="E8908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DC673D8"/>
    <w:multiLevelType w:val="hybridMultilevel"/>
    <w:tmpl w:val="F2E2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C03BD1"/>
    <w:multiLevelType w:val="hybridMultilevel"/>
    <w:tmpl w:val="7084E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102016"/>
    <w:multiLevelType w:val="hybridMultilevel"/>
    <w:tmpl w:val="8700A4C8"/>
    <w:lvl w:ilvl="0" w:tplc="FFFFFFFF">
      <w:start w:val="1"/>
      <w:numFmt w:val="decimal"/>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1171AFC"/>
    <w:multiLevelType w:val="hybridMultilevel"/>
    <w:tmpl w:val="F1D8986E"/>
    <w:lvl w:ilvl="0" w:tplc="0409000F">
      <w:start w:val="1"/>
      <w:numFmt w:val="decimal"/>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23" w15:restartNumberingAfterBreak="0">
    <w:nsid w:val="224F5E27"/>
    <w:multiLevelType w:val="hybridMultilevel"/>
    <w:tmpl w:val="F2E2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C57E25"/>
    <w:multiLevelType w:val="hybridMultilevel"/>
    <w:tmpl w:val="666A6F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3F818F3"/>
    <w:multiLevelType w:val="hybridMultilevel"/>
    <w:tmpl w:val="BB0C4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5252692"/>
    <w:multiLevelType w:val="hybridMultilevel"/>
    <w:tmpl w:val="ABE4E872"/>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280803C4"/>
    <w:multiLevelType w:val="hybridMultilevel"/>
    <w:tmpl w:val="30B06098"/>
    <w:lvl w:ilvl="0" w:tplc="39F4CE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89E5D47"/>
    <w:multiLevelType w:val="hybridMultilevel"/>
    <w:tmpl w:val="68C27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D766B7"/>
    <w:multiLevelType w:val="hybridMultilevel"/>
    <w:tmpl w:val="7084E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E2D3F41"/>
    <w:multiLevelType w:val="hybridMultilevel"/>
    <w:tmpl w:val="DFD465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03D56B3"/>
    <w:multiLevelType w:val="hybridMultilevel"/>
    <w:tmpl w:val="D30C1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30A14A0D"/>
    <w:multiLevelType w:val="hybridMultilevel"/>
    <w:tmpl w:val="F2E2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29368C"/>
    <w:multiLevelType w:val="hybridMultilevel"/>
    <w:tmpl w:val="8700A4C8"/>
    <w:lvl w:ilvl="0" w:tplc="FFFFFFFF">
      <w:start w:val="1"/>
      <w:numFmt w:val="decimal"/>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34A60E74"/>
    <w:multiLevelType w:val="hybridMultilevel"/>
    <w:tmpl w:val="30B06098"/>
    <w:lvl w:ilvl="0" w:tplc="39F4C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A623B9"/>
    <w:multiLevelType w:val="hybridMultilevel"/>
    <w:tmpl w:val="6442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747D67"/>
    <w:multiLevelType w:val="hybridMultilevel"/>
    <w:tmpl w:val="2852416C"/>
    <w:lvl w:ilvl="0" w:tplc="0422000F">
      <w:start w:val="1"/>
      <w:numFmt w:val="decimal"/>
      <w:lvlText w:val="%1."/>
      <w:lvlJc w:val="left"/>
      <w:pPr>
        <w:ind w:left="360"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7" w15:restartNumberingAfterBreak="0">
    <w:nsid w:val="3C570EB4"/>
    <w:multiLevelType w:val="hybridMultilevel"/>
    <w:tmpl w:val="74F68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C880074"/>
    <w:multiLevelType w:val="hybridMultilevel"/>
    <w:tmpl w:val="8700A4C8"/>
    <w:lvl w:ilvl="0" w:tplc="FFFFFFFF">
      <w:start w:val="1"/>
      <w:numFmt w:val="decimal"/>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3E477A8C"/>
    <w:multiLevelType w:val="hybridMultilevel"/>
    <w:tmpl w:val="F5FE9C7E"/>
    <w:lvl w:ilvl="0" w:tplc="0422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282E18"/>
    <w:multiLevelType w:val="hybridMultilevel"/>
    <w:tmpl w:val="3F0AED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06764F9"/>
    <w:multiLevelType w:val="hybridMultilevel"/>
    <w:tmpl w:val="FB04850E"/>
    <w:lvl w:ilvl="0" w:tplc="04090019">
      <w:start w:val="1"/>
      <w:numFmt w:val="lowerLetter"/>
      <w:lvlText w:val="%1."/>
      <w:lvlJc w:val="left"/>
      <w:pPr>
        <w:ind w:left="720" w:hanging="360"/>
      </w:pPr>
      <w:rPr>
        <w:rFonts w:cs="Times New Roman" w:hint="default"/>
      </w:rPr>
    </w:lvl>
    <w:lvl w:ilvl="1" w:tplc="4D563074">
      <w:start w:val="1"/>
      <w:numFmt w:val="decimal"/>
      <w:lvlText w:val="%2)"/>
      <w:lvlJc w:val="left"/>
      <w:pPr>
        <w:ind w:left="1440" w:hanging="360"/>
      </w:pPr>
      <w:rPr>
        <w:rFonts w:cs="Times New Roman" w:hint="default"/>
      </w:rPr>
    </w:lvl>
    <w:lvl w:ilvl="2" w:tplc="04090019">
      <w:start w:val="1"/>
      <w:numFmt w:val="lowerLetter"/>
      <w:lvlText w:val="%3."/>
      <w:lvlJc w:val="lef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2" w15:restartNumberingAfterBreak="0">
    <w:nsid w:val="40AB3068"/>
    <w:multiLevelType w:val="hybridMultilevel"/>
    <w:tmpl w:val="92484868"/>
    <w:lvl w:ilvl="0" w:tplc="4282DA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3B1EF2"/>
    <w:multiLevelType w:val="hybridMultilevel"/>
    <w:tmpl w:val="C034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7F4A5E"/>
    <w:multiLevelType w:val="hybridMultilevel"/>
    <w:tmpl w:val="87009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42980E23"/>
    <w:multiLevelType w:val="hybridMultilevel"/>
    <w:tmpl w:val="7084E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2A32E88"/>
    <w:multiLevelType w:val="hybridMultilevel"/>
    <w:tmpl w:val="FB04850E"/>
    <w:lvl w:ilvl="0" w:tplc="04090019">
      <w:start w:val="1"/>
      <w:numFmt w:val="lowerLetter"/>
      <w:lvlText w:val="%1."/>
      <w:lvlJc w:val="left"/>
      <w:pPr>
        <w:ind w:left="720" w:hanging="360"/>
      </w:pPr>
      <w:rPr>
        <w:rFonts w:cs="Times New Roman" w:hint="default"/>
      </w:rPr>
    </w:lvl>
    <w:lvl w:ilvl="1" w:tplc="4D563074">
      <w:start w:val="1"/>
      <w:numFmt w:val="decimal"/>
      <w:lvlText w:val="%2)"/>
      <w:lvlJc w:val="left"/>
      <w:pPr>
        <w:ind w:left="1440" w:hanging="360"/>
      </w:pPr>
      <w:rPr>
        <w:rFonts w:cs="Times New Roman" w:hint="default"/>
      </w:rPr>
    </w:lvl>
    <w:lvl w:ilvl="2" w:tplc="04090019">
      <w:start w:val="1"/>
      <w:numFmt w:val="lowerLetter"/>
      <w:lvlText w:val="%3."/>
      <w:lvlJc w:val="lef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7" w15:restartNumberingAfterBreak="0">
    <w:nsid w:val="44177670"/>
    <w:multiLevelType w:val="hybridMultilevel"/>
    <w:tmpl w:val="351826F2"/>
    <w:lvl w:ilvl="0" w:tplc="EFA88B36">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4585462D"/>
    <w:multiLevelType w:val="multilevel"/>
    <w:tmpl w:val="978EAD28"/>
    <w:lvl w:ilvl="0">
      <w:start w:val="1"/>
      <w:numFmt w:val="decimal"/>
      <w:pStyle w:val="Heading1"/>
      <w:lvlText w:val="%1."/>
      <w:lvlJc w:val="left"/>
      <w:pPr>
        <w:tabs>
          <w:tab w:val="num" w:pos="900"/>
        </w:tabs>
        <w:ind w:left="180"/>
      </w:pPr>
      <w:rPr>
        <w:rFonts w:ascii="Times New Roman Bold" w:hAnsi="Times New Roman Bold" w:cs="Times New Roman" w:hint="default"/>
        <w:b/>
        <w:i w:val="0"/>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45F459E7"/>
    <w:multiLevelType w:val="hybridMultilevel"/>
    <w:tmpl w:val="E26CF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65C6ECE"/>
    <w:multiLevelType w:val="multilevel"/>
    <w:tmpl w:val="1B587904"/>
    <w:lvl w:ilvl="0">
      <w:start w:val="1"/>
      <w:numFmt w:val="decimal"/>
      <w:pStyle w:val="m"/>
      <w:lvlText w:val="%1."/>
      <w:lvlJc w:val="left"/>
      <w:pPr>
        <w:tabs>
          <w:tab w:val="num" w:pos="720"/>
        </w:tabs>
      </w:pPr>
      <w:rPr>
        <w:rFonts w:cs="Times New Roman" w:hint="default"/>
        <w:b w:val="0"/>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48507A7D"/>
    <w:multiLevelType w:val="hybridMultilevel"/>
    <w:tmpl w:val="2A1E2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9224ECC"/>
    <w:multiLevelType w:val="hybridMultilevel"/>
    <w:tmpl w:val="76F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B55475"/>
    <w:multiLevelType w:val="hybridMultilevel"/>
    <w:tmpl w:val="904E8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4B1C3680"/>
    <w:multiLevelType w:val="hybridMultilevel"/>
    <w:tmpl w:val="1A94F9BC"/>
    <w:lvl w:ilvl="0" w:tplc="04090003">
      <w:start w:val="1"/>
      <w:numFmt w:val="bullet"/>
      <w:lvlText w:val="o"/>
      <w:lvlJc w:val="left"/>
      <w:pPr>
        <w:ind w:left="720" w:hanging="360"/>
      </w:pPr>
      <w:rPr>
        <w:rFonts w:ascii="Courier New" w:hAnsi="Courier New"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5" w15:restartNumberingAfterBreak="0">
    <w:nsid w:val="4FA660BF"/>
    <w:multiLevelType w:val="hybridMultilevel"/>
    <w:tmpl w:val="7856D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50505BEC"/>
    <w:multiLevelType w:val="hybridMultilevel"/>
    <w:tmpl w:val="1632DC12"/>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7" w15:restartNumberingAfterBreak="0">
    <w:nsid w:val="53AD6465"/>
    <w:multiLevelType w:val="hybridMultilevel"/>
    <w:tmpl w:val="A03E0DFA"/>
    <w:lvl w:ilvl="0" w:tplc="4282DA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775A8A"/>
    <w:multiLevelType w:val="hybridMultilevel"/>
    <w:tmpl w:val="3E104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87E318E"/>
    <w:multiLevelType w:val="hybridMultilevel"/>
    <w:tmpl w:val="8700A4C8"/>
    <w:lvl w:ilvl="0" w:tplc="FFFFFFFF">
      <w:start w:val="1"/>
      <w:numFmt w:val="decimal"/>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59BD73C7"/>
    <w:multiLevelType w:val="hybridMultilevel"/>
    <w:tmpl w:val="666A6F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C6263A6"/>
    <w:multiLevelType w:val="hybridMultilevel"/>
    <w:tmpl w:val="22B834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60A14D20"/>
    <w:multiLevelType w:val="hybridMultilevel"/>
    <w:tmpl w:val="21D69A36"/>
    <w:lvl w:ilvl="0" w:tplc="0409001B">
      <w:start w:val="1"/>
      <w:numFmt w:val="lowerRoman"/>
      <w:lvlText w:val="%1."/>
      <w:lvlJc w:val="right"/>
      <w:pPr>
        <w:ind w:left="630" w:hanging="360"/>
      </w:pPr>
      <w:rPr>
        <w:rFonts w:cs="Times New Roman" w:hint="default"/>
      </w:rPr>
    </w:lvl>
    <w:lvl w:ilvl="1" w:tplc="9570638C">
      <w:start w:val="1"/>
      <w:numFmt w:val="lowerRoman"/>
      <w:lvlText w:val="(%2)"/>
      <w:lvlJc w:val="left"/>
      <w:pPr>
        <w:ind w:left="1710" w:hanging="720"/>
      </w:pPr>
      <w:rPr>
        <w:rFonts w:cs="Times New Roman" w:hint="default"/>
      </w:rPr>
    </w:lvl>
    <w:lvl w:ilvl="2" w:tplc="0422001B">
      <w:start w:val="1"/>
      <w:numFmt w:val="lowerRoman"/>
      <w:lvlText w:val="%3."/>
      <w:lvlJc w:val="right"/>
      <w:pPr>
        <w:ind w:left="2070" w:hanging="180"/>
      </w:pPr>
      <w:rPr>
        <w:rFonts w:cs="Times New Roman"/>
      </w:rPr>
    </w:lvl>
    <w:lvl w:ilvl="3" w:tplc="0422000F">
      <w:start w:val="1"/>
      <w:numFmt w:val="decimal"/>
      <w:lvlText w:val="%4."/>
      <w:lvlJc w:val="left"/>
      <w:pPr>
        <w:ind w:left="2790" w:hanging="360"/>
      </w:pPr>
      <w:rPr>
        <w:rFonts w:cs="Times New Roman"/>
      </w:rPr>
    </w:lvl>
    <w:lvl w:ilvl="4" w:tplc="04220019">
      <w:start w:val="1"/>
      <w:numFmt w:val="lowerLetter"/>
      <w:lvlText w:val="%5."/>
      <w:lvlJc w:val="left"/>
      <w:pPr>
        <w:ind w:left="3510" w:hanging="360"/>
      </w:pPr>
      <w:rPr>
        <w:rFonts w:cs="Times New Roman"/>
      </w:rPr>
    </w:lvl>
    <w:lvl w:ilvl="5" w:tplc="0422001B">
      <w:start w:val="1"/>
      <w:numFmt w:val="lowerRoman"/>
      <w:lvlText w:val="%6."/>
      <w:lvlJc w:val="right"/>
      <w:pPr>
        <w:ind w:left="4230" w:hanging="180"/>
      </w:pPr>
      <w:rPr>
        <w:rFonts w:cs="Times New Roman"/>
      </w:rPr>
    </w:lvl>
    <w:lvl w:ilvl="6" w:tplc="0422000F">
      <w:start w:val="1"/>
      <w:numFmt w:val="decimal"/>
      <w:lvlText w:val="%7."/>
      <w:lvlJc w:val="left"/>
      <w:pPr>
        <w:ind w:left="4950" w:hanging="360"/>
      </w:pPr>
      <w:rPr>
        <w:rFonts w:cs="Times New Roman"/>
      </w:rPr>
    </w:lvl>
    <w:lvl w:ilvl="7" w:tplc="04220019">
      <w:start w:val="1"/>
      <w:numFmt w:val="lowerLetter"/>
      <w:lvlText w:val="%8."/>
      <w:lvlJc w:val="left"/>
      <w:pPr>
        <w:ind w:left="5670" w:hanging="360"/>
      </w:pPr>
      <w:rPr>
        <w:rFonts w:cs="Times New Roman"/>
      </w:rPr>
    </w:lvl>
    <w:lvl w:ilvl="8" w:tplc="0422001B">
      <w:start w:val="1"/>
      <w:numFmt w:val="lowerRoman"/>
      <w:lvlText w:val="%9."/>
      <w:lvlJc w:val="right"/>
      <w:pPr>
        <w:ind w:left="6390" w:hanging="180"/>
      </w:pPr>
      <w:rPr>
        <w:rFonts w:cs="Times New Roman"/>
      </w:rPr>
    </w:lvl>
  </w:abstractNum>
  <w:abstractNum w:abstractNumId="63" w15:restartNumberingAfterBreak="0">
    <w:nsid w:val="67CE2364"/>
    <w:multiLevelType w:val="hybridMultilevel"/>
    <w:tmpl w:val="F6FEF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69105921"/>
    <w:multiLevelType w:val="hybridMultilevel"/>
    <w:tmpl w:val="37229AEE"/>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5" w15:restartNumberingAfterBreak="0">
    <w:nsid w:val="6A922393"/>
    <w:multiLevelType w:val="hybridMultilevel"/>
    <w:tmpl w:val="26645036"/>
    <w:lvl w:ilvl="0" w:tplc="04090019">
      <w:start w:val="1"/>
      <w:numFmt w:val="lowerLetter"/>
      <w:lvlText w:val="%1."/>
      <w:lvlJc w:val="left"/>
      <w:pPr>
        <w:ind w:left="720" w:hanging="360"/>
      </w:pPr>
      <w:rPr>
        <w:rFonts w:cs="Times New Roman" w:hint="default"/>
      </w:rPr>
    </w:lvl>
    <w:lvl w:ilvl="1" w:tplc="89D08712">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6FD469D9"/>
    <w:multiLevelType w:val="hybridMultilevel"/>
    <w:tmpl w:val="0B423CEA"/>
    <w:lvl w:ilvl="0" w:tplc="4282DA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473439"/>
    <w:multiLevelType w:val="hybridMultilevel"/>
    <w:tmpl w:val="F2E2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B309B9"/>
    <w:multiLevelType w:val="hybridMultilevel"/>
    <w:tmpl w:val="68C27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7F283B"/>
    <w:multiLevelType w:val="hybridMultilevel"/>
    <w:tmpl w:val="3E7EF252"/>
    <w:lvl w:ilvl="0" w:tplc="4282DA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4B64C58"/>
    <w:multiLevelType w:val="hybridMultilevel"/>
    <w:tmpl w:val="FB04850E"/>
    <w:lvl w:ilvl="0" w:tplc="04090019">
      <w:start w:val="1"/>
      <w:numFmt w:val="lowerLetter"/>
      <w:lvlText w:val="%1."/>
      <w:lvlJc w:val="left"/>
      <w:pPr>
        <w:ind w:left="720" w:hanging="360"/>
      </w:pPr>
      <w:rPr>
        <w:rFonts w:cs="Times New Roman" w:hint="default"/>
      </w:rPr>
    </w:lvl>
    <w:lvl w:ilvl="1" w:tplc="4D563074">
      <w:start w:val="1"/>
      <w:numFmt w:val="decimal"/>
      <w:lvlText w:val="%2)"/>
      <w:lvlJc w:val="left"/>
      <w:pPr>
        <w:ind w:left="1440" w:hanging="360"/>
      </w:pPr>
      <w:rPr>
        <w:rFonts w:cs="Times New Roman" w:hint="default"/>
      </w:rPr>
    </w:lvl>
    <w:lvl w:ilvl="2" w:tplc="04090019">
      <w:start w:val="1"/>
      <w:numFmt w:val="lowerLetter"/>
      <w:lvlText w:val="%3."/>
      <w:lvlJc w:val="lef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1" w15:restartNumberingAfterBreak="0">
    <w:nsid w:val="76AA2D8D"/>
    <w:multiLevelType w:val="hybridMultilevel"/>
    <w:tmpl w:val="5CBA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7FA7888"/>
    <w:multiLevelType w:val="hybridMultilevel"/>
    <w:tmpl w:val="87A2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F926FA8">
      <w:start w:val="33"/>
      <w:numFmt w:val="bullet"/>
      <w:lvlText w:val="•"/>
      <w:lvlJc w:val="left"/>
      <w:pPr>
        <w:ind w:left="2160" w:hanging="360"/>
      </w:pPr>
      <w:rPr>
        <w:rFonts w:ascii="Times New Roman" w:eastAsia="Times New Roman" w:hAnsi="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88F5D53"/>
    <w:multiLevelType w:val="hybridMultilevel"/>
    <w:tmpl w:val="185498DE"/>
    <w:lvl w:ilvl="0" w:tplc="0422000F">
      <w:start w:val="1"/>
      <w:numFmt w:val="decimal"/>
      <w:lvlText w:val="%1."/>
      <w:lvlJc w:val="left"/>
      <w:pPr>
        <w:ind w:left="360" w:hanging="360"/>
      </w:pPr>
      <w:rPr>
        <w:rFonts w:cs="Times New Roman" w:hint="default"/>
      </w:rPr>
    </w:lvl>
    <w:lvl w:ilvl="1" w:tplc="0409000F">
      <w:start w:val="1"/>
      <w:numFmt w:val="decimal"/>
      <w:lvlText w:val="%2."/>
      <w:lvlJc w:val="left"/>
      <w:pPr>
        <w:ind w:left="1440" w:hanging="720"/>
      </w:pPr>
      <w:rPr>
        <w:rFonts w:hint="default"/>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74" w15:restartNumberingAfterBreak="0">
    <w:nsid w:val="78AF3137"/>
    <w:multiLevelType w:val="hybridMultilevel"/>
    <w:tmpl w:val="8700A4C8"/>
    <w:lvl w:ilvl="0" w:tplc="FFFFFFFF">
      <w:start w:val="1"/>
      <w:numFmt w:val="decimal"/>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15:restartNumberingAfterBreak="0">
    <w:nsid w:val="79243881"/>
    <w:multiLevelType w:val="hybridMultilevel"/>
    <w:tmpl w:val="B5EC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A6760B"/>
    <w:multiLevelType w:val="hybridMultilevel"/>
    <w:tmpl w:val="B4C8D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DCB3196"/>
    <w:multiLevelType w:val="hybridMultilevel"/>
    <w:tmpl w:val="F730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ED0F9F"/>
    <w:multiLevelType w:val="hybridMultilevel"/>
    <w:tmpl w:val="04D6F732"/>
    <w:lvl w:ilvl="0" w:tplc="1EC4A63E">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50"/>
  </w:num>
  <w:num w:numId="2">
    <w:abstractNumId w:val="48"/>
  </w:num>
  <w:num w:numId="3">
    <w:abstractNumId w:val="72"/>
  </w:num>
  <w:num w:numId="4">
    <w:abstractNumId w:val="65"/>
  </w:num>
  <w:num w:numId="5">
    <w:abstractNumId w:val="36"/>
  </w:num>
  <w:num w:numId="6">
    <w:abstractNumId w:val="14"/>
  </w:num>
  <w:num w:numId="7">
    <w:abstractNumId w:val="49"/>
  </w:num>
  <w:num w:numId="8">
    <w:abstractNumId w:val="78"/>
  </w:num>
  <w:num w:numId="9">
    <w:abstractNumId w:val="46"/>
  </w:num>
  <w:num w:numId="10">
    <w:abstractNumId w:val="56"/>
  </w:num>
  <w:num w:numId="11">
    <w:abstractNumId w:val="64"/>
  </w:num>
  <w:num w:numId="12">
    <w:abstractNumId w:val="44"/>
  </w:num>
  <w:num w:numId="13">
    <w:abstractNumId w:val="30"/>
  </w:num>
  <w:num w:numId="14">
    <w:abstractNumId w:val="71"/>
  </w:num>
  <w:num w:numId="15">
    <w:abstractNumId w:val="9"/>
  </w:num>
  <w:num w:numId="16">
    <w:abstractNumId w:val="40"/>
  </w:num>
  <w:num w:numId="17">
    <w:abstractNumId w:val="61"/>
  </w:num>
  <w:num w:numId="18">
    <w:abstractNumId w:val="16"/>
  </w:num>
  <w:num w:numId="19">
    <w:abstractNumId w:val="0"/>
  </w:num>
  <w:num w:numId="20">
    <w:abstractNumId w:val="63"/>
  </w:num>
  <w:num w:numId="21">
    <w:abstractNumId w:val="53"/>
  </w:num>
  <w:num w:numId="22">
    <w:abstractNumId w:val="54"/>
  </w:num>
  <w:num w:numId="23">
    <w:abstractNumId w:val="13"/>
  </w:num>
  <w:num w:numId="24">
    <w:abstractNumId w:val="11"/>
  </w:num>
  <w:num w:numId="25">
    <w:abstractNumId w:val="55"/>
  </w:num>
  <w:num w:numId="26">
    <w:abstractNumId w:val="62"/>
  </w:num>
  <w:num w:numId="27">
    <w:abstractNumId w:val="31"/>
  </w:num>
  <w:num w:numId="28">
    <w:abstractNumId w:val="26"/>
  </w:num>
  <w:num w:numId="29">
    <w:abstractNumId w:val="25"/>
  </w:num>
  <w:num w:numId="30">
    <w:abstractNumId w:val="37"/>
  </w:num>
  <w:num w:numId="31">
    <w:abstractNumId w:val="4"/>
  </w:num>
  <w:num w:numId="32">
    <w:abstractNumId w:val="41"/>
  </w:num>
  <w:num w:numId="33">
    <w:abstractNumId w:val="70"/>
  </w:num>
  <w:num w:numId="34">
    <w:abstractNumId w:val="5"/>
  </w:num>
  <w:num w:numId="35">
    <w:abstractNumId w:val="3"/>
  </w:num>
  <w:num w:numId="36">
    <w:abstractNumId w:val="22"/>
  </w:num>
  <w:num w:numId="37">
    <w:abstractNumId w:val="76"/>
  </w:num>
  <w:num w:numId="38">
    <w:abstractNumId w:val="17"/>
  </w:num>
  <w:num w:numId="39">
    <w:abstractNumId w:val="18"/>
  </w:num>
  <w:num w:numId="40">
    <w:abstractNumId w:val="10"/>
  </w:num>
  <w:num w:numId="41">
    <w:abstractNumId w:val="47"/>
  </w:num>
  <w:num w:numId="42">
    <w:abstractNumId w:val="35"/>
  </w:num>
  <w:num w:numId="43">
    <w:abstractNumId w:val="60"/>
  </w:num>
  <w:num w:numId="44">
    <w:abstractNumId w:val="73"/>
  </w:num>
  <w:num w:numId="45">
    <w:abstractNumId w:val="2"/>
  </w:num>
  <w:num w:numId="46">
    <w:abstractNumId w:val="51"/>
  </w:num>
  <w:num w:numId="47">
    <w:abstractNumId w:val="68"/>
  </w:num>
  <w:num w:numId="48">
    <w:abstractNumId w:val="12"/>
  </w:num>
  <w:num w:numId="49">
    <w:abstractNumId w:val="32"/>
  </w:num>
  <w:num w:numId="50">
    <w:abstractNumId w:val="24"/>
  </w:num>
  <w:num w:numId="51">
    <w:abstractNumId w:val="23"/>
  </w:num>
  <w:num w:numId="52">
    <w:abstractNumId w:val="8"/>
  </w:num>
  <w:num w:numId="53">
    <w:abstractNumId w:val="67"/>
  </w:num>
  <w:num w:numId="54">
    <w:abstractNumId w:val="19"/>
  </w:num>
  <w:num w:numId="55">
    <w:abstractNumId w:val="1"/>
  </w:num>
  <w:num w:numId="56">
    <w:abstractNumId w:val="66"/>
  </w:num>
  <w:num w:numId="57">
    <w:abstractNumId w:val="69"/>
  </w:num>
  <w:num w:numId="58">
    <w:abstractNumId w:val="42"/>
  </w:num>
  <w:num w:numId="59">
    <w:abstractNumId w:val="57"/>
  </w:num>
  <w:num w:numId="60">
    <w:abstractNumId w:val="7"/>
  </w:num>
  <w:num w:numId="61">
    <w:abstractNumId w:val="74"/>
  </w:num>
  <w:num w:numId="62">
    <w:abstractNumId w:val="66"/>
  </w:num>
  <w:num w:numId="63">
    <w:abstractNumId w:val="75"/>
  </w:num>
  <w:num w:numId="64">
    <w:abstractNumId w:val="58"/>
  </w:num>
  <w:num w:numId="65">
    <w:abstractNumId w:val="21"/>
  </w:num>
  <w:num w:numId="66">
    <w:abstractNumId w:val="43"/>
  </w:num>
  <w:num w:numId="67">
    <w:abstractNumId w:val="34"/>
  </w:num>
  <w:num w:numId="68">
    <w:abstractNumId w:val="27"/>
  </w:num>
  <w:num w:numId="69">
    <w:abstractNumId w:val="39"/>
  </w:num>
  <w:num w:numId="70">
    <w:abstractNumId w:val="29"/>
  </w:num>
  <w:num w:numId="71">
    <w:abstractNumId w:val="6"/>
  </w:num>
  <w:num w:numId="72">
    <w:abstractNumId w:val="45"/>
  </w:num>
  <w:num w:numId="73">
    <w:abstractNumId w:val="15"/>
  </w:num>
  <w:num w:numId="74">
    <w:abstractNumId w:val="28"/>
  </w:num>
  <w:num w:numId="75">
    <w:abstractNumId w:val="20"/>
  </w:num>
  <w:num w:numId="76">
    <w:abstractNumId w:val="33"/>
  </w:num>
  <w:num w:numId="77">
    <w:abstractNumId w:val="59"/>
  </w:num>
  <w:num w:numId="78">
    <w:abstractNumId w:val="38"/>
  </w:num>
  <w:num w:numId="79">
    <w:abstractNumId w:val="52"/>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51"/>
    <w:rsid w:val="00000B3B"/>
    <w:rsid w:val="0000132B"/>
    <w:rsid w:val="000027B1"/>
    <w:rsid w:val="00002B1F"/>
    <w:rsid w:val="00002B51"/>
    <w:rsid w:val="00003BEE"/>
    <w:rsid w:val="00003F65"/>
    <w:rsid w:val="00005BB7"/>
    <w:rsid w:val="00007196"/>
    <w:rsid w:val="000078F4"/>
    <w:rsid w:val="00011A32"/>
    <w:rsid w:val="00011F41"/>
    <w:rsid w:val="000122D9"/>
    <w:rsid w:val="0001238E"/>
    <w:rsid w:val="00012CE0"/>
    <w:rsid w:val="0001457B"/>
    <w:rsid w:val="0001534C"/>
    <w:rsid w:val="00015C94"/>
    <w:rsid w:val="00015E76"/>
    <w:rsid w:val="00016328"/>
    <w:rsid w:val="00016BBB"/>
    <w:rsid w:val="00017171"/>
    <w:rsid w:val="00017BAA"/>
    <w:rsid w:val="00020392"/>
    <w:rsid w:val="000203B5"/>
    <w:rsid w:val="00020CE6"/>
    <w:rsid w:val="00022AAD"/>
    <w:rsid w:val="00022E81"/>
    <w:rsid w:val="0002441F"/>
    <w:rsid w:val="00024F32"/>
    <w:rsid w:val="00025964"/>
    <w:rsid w:val="0002690C"/>
    <w:rsid w:val="000275B6"/>
    <w:rsid w:val="00030876"/>
    <w:rsid w:val="00031374"/>
    <w:rsid w:val="000316E9"/>
    <w:rsid w:val="00032188"/>
    <w:rsid w:val="000325FB"/>
    <w:rsid w:val="00033903"/>
    <w:rsid w:val="00033EF7"/>
    <w:rsid w:val="00034420"/>
    <w:rsid w:val="00034490"/>
    <w:rsid w:val="00040BE8"/>
    <w:rsid w:val="00040CD8"/>
    <w:rsid w:val="00040E28"/>
    <w:rsid w:val="0004204A"/>
    <w:rsid w:val="000428BD"/>
    <w:rsid w:val="00042DC0"/>
    <w:rsid w:val="00043A74"/>
    <w:rsid w:val="00043F8B"/>
    <w:rsid w:val="000440B0"/>
    <w:rsid w:val="000468FE"/>
    <w:rsid w:val="00046AF7"/>
    <w:rsid w:val="00047298"/>
    <w:rsid w:val="000474FE"/>
    <w:rsid w:val="0004756F"/>
    <w:rsid w:val="00050FC8"/>
    <w:rsid w:val="000515DB"/>
    <w:rsid w:val="00052919"/>
    <w:rsid w:val="00052D43"/>
    <w:rsid w:val="00054FCF"/>
    <w:rsid w:val="00057879"/>
    <w:rsid w:val="00057D9C"/>
    <w:rsid w:val="00060A27"/>
    <w:rsid w:val="0006125E"/>
    <w:rsid w:val="000623BF"/>
    <w:rsid w:val="000624DB"/>
    <w:rsid w:val="0006387D"/>
    <w:rsid w:val="00063C09"/>
    <w:rsid w:val="000646F1"/>
    <w:rsid w:val="00064715"/>
    <w:rsid w:val="00065490"/>
    <w:rsid w:val="00066541"/>
    <w:rsid w:val="000675AF"/>
    <w:rsid w:val="00070F1C"/>
    <w:rsid w:val="00071853"/>
    <w:rsid w:val="00071D37"/>
    <w:rsid w:val="00074425"/>
    <w:rsid w:val="00074714"/>
    <w:rsid w:val="000747AD"/>
    <w:rsid w:val="00074ABA"/>
    <w:rsid w:val="00074B95"/>
    <w:rsid w:val="0007515A"/>
    <w:rsid w:val="00075160"/>
    <w:rsid w:val="00075F96"/>
    <w:rsid w:val="00076172"/>
    <w:rsid w:val="000768EA"/>
    <w:rsid w:val="000802BB"/>
    <w:rsid w:val="0008103D"/>
    <w:rsid w:val="000814C3"/>
    <w:rsid w:val="00082825"/>
    <w:rsid w:val="00082891"/>
    <w:rsid w:val="00082CFB"/>
    <w:rsid w:val="0008443A"/>
    <w:rsid w:val="00087212"/>
    <w:rsid w:val="00091564"/>
    <w:rsid w:val="00091A2C"/>
    <w:rsid w:val="00091D85"/>
    <w:rsid w:val="00091EC7"/>
    <w:rsid w:val="00091FDB"/>
    <w:rsid w:val="000939F7"/>
    <w:rsid w:val="000946D5"/>
    <w:rsid w:val="00095658"/>
    <w:rsid w:val="00095E20"/>
    <w:rsid w:val="00095E90"/>
    <w:rsid w:val="0009735D"/>
    <w:rsid w:val="0009765F"/>
    <w:rsid w:val="000A06A1"/>
    <w:rsid w:val="000A09FD"/>
    <w:rsid w:val="000A31D4"/>
    <w:rsid w:val="000A31E0"/>
    <w:rsid w:val="000A49D6"/>
    <w:rsid w:val="000A5AF6"/>
    <w:rsid w:val="000A5C3E"/>
    <w:rsid w:val="000A6288"/>
    <w:rsid w:val="000A7B7D"/>
    <w:rsid w:val="000A7D7C"/>
    <w:rsid w:val="000A7E4B"/>
    <w:rsid w:val="000A7FB7"/>
    <w:rsid w:val="000B15D2"/>
    <w:rsid w:val="000B16BD"/>
    <w:rsid w:val="000B2323"/>
    <w:rsid w:val="000B26BC"/>
    <w:rsid w:val="000B2A29"/>
    <w:rsid w:val="000B30CA"/>
    <w:rsid w:val="000B33A6"/>
    <w:rsid w:val="000B39D2"/>
    <w:rsid w:val="000B3B8A"/>
    <w:rsid w:val="000B52DA"/>
    <w:rsid w:val="000B5375"/>
    <w:rsid w:val="000B5F3F"/>
    <w:rsid w:val="000B6DA0"/>
    <w:rsid w:val="000B7923"/>
    <w:rsid w:val="000B7D86"/>
    <w:rsid w:val="000C02A8"/>
    <w:rsid w:val="000C0334"/>
    <w:rsid w:val="000C1534"/>
    <w:rsid w:val="000C42A0"/>
    <w:rsid w:val="000C4DDF"/>
    <w:rsid w:val="000C4F18"/>
    <w:rsid w:val="000C54BF"/>
    <w:rsid w:val="000C6D82"/>
    <w:rsid w:val="000C7247"/>
    <w:rsid w:val="000D0D69"/>
    <w:rsid w:val="000D2178"/>
    <w:rsid w:val="000D2471"/>
    <w:rsid w:val="000D2787"/>
    <w:rsid w:val="000D422F"/>
    <w:rsid w:val="000D4505"/>
    <w:rsid w:val="000D45C7"/>
    <w:rsid w:val="000D5EC5"/>
    <w:rsid w:val="000D5F54"/>
    <w:rsid w:val="000D6073"/>
    <w:rsid w:val="000D6447"/>
    <w:rsid w:val="000D6B10"/>
    <w:rsid w:val="000E0915"/>
    <w:rsid w:val="000E1AAE"/>
    <w:rsid w:val="000E25C0"/>
    <w:rsid w:val="000E3E02"/>
    <w:rsid w:val="000E4163"/>
    <w:rsid w:val="000E6B7A"/>
    <w:rsid w:val="000E744B"/>
    <w:rsid w:val="000E7E44"/>
    <w:rsid w:val="000F048E"/>
    <w:rsid w:val="000F05D8"/>
    <w:rsid w:val="000F078D"/>
    <w:rsid w:val="000F1305"/>
    <w:rsid w:val="000F1EBD"/>
    <w:rsid w:val="000F209E"/>
    <w:rsid w:val="000F2147"/>
    <w:rsid w:val="000F26F9"/>
    <w:rsid w:val="000F2CA0"/>
    <w:rsid w:val="000F31C2"/>
    <w:rsid w:val="000F39F9"/>
    <w:rsid w:val="000F46FC"/>
    <w:rsid w:val="000F4738"/>
    <w:rsid w:val="000F49DE"/>
    <w:rsid w:val="000F5206"/>
    <w:rsid w:val="000F5544"/>
    <w:rsid w:val="000F65EC"/>
    <w:rsid w:val="000F6B0F"/>
    <w:rsid w:val="000F6DDD"/>
    <w:rsid w:val="000F77C1"/>
    <w:rsid w:val="000F7F43"/>
    <w:rsid w:val="00100345"/>
    <w:rsid w:val="00100815"/>
    <w:rsid w:val="00100F8B"/>
    <w:rsid w:val="0010159E"/>
    <w:rsid w:val="00101C30"/>
    <w:rsid w:val="00104133"/>
    <w:rsid w:val="001055EF"/>
    <w:rsid w:val="001057BD"/>
    <w:rsid w:val="001059A3"/>
    <w:rsid w:val="00105D45"/>
    <w:rsid w:val="00106198"/>
    <w:rsid w:val="001069AA"/>
    <w:rsid w:val="00106E25"/>
    <w:rsid w:val="001071BF"/>
    <w:rsid w:val="0010787B"/>
    <w:rsid w:val="001104BD"/>
    <w:rsid w:val="00110D89"/>
    <w:rsid w:val="0011195F"/>
    <w:rsid w:val="00111D56"/>
    <w:rsid w:val="00113603"/>
    <w:rsid w:val="00113BB8"/>
    <w:rsid w:val="00113F24"/>
    <w:rsid w:val="00114795"/>
    <w:rsid w:val="00114D00"/>
    <w:rsid w:val="00115B9F"/>
    <w:rsid w:val="00115FC5"/>
    <w:rsid w:val="001160D1"/>
    <w:rsid w:val="001174A2"/>
    <w:rsid w:val="00117B8B"/>
    <w:rsid w:val="00117FA2"/>
    <w:rsid w:val="00121561"/>
    <w:rsid w:val="00123882"/>
    <w:rsid w:val="00125558"/>
    <w:rsid w:val="00125E2D"/>
    <w:rsid w:val="0012712B"/>
    <w:rsid w:val="0012722F"/>
    <w:rsid w:val="00127436"/>
    <w:rsid w:val="00127B76"/>
    <w:rsid w:val="00131F22"/>
    <w:rsid w:val="00133637"/>
    <w:rsid w:val="0013420E"/>
    <w:rsid w:val="00134988"/>
    <w:rsid w:val="001353D7"/>
    <w:rsid w:val="00135EE8"/>
    <w:rsid w:val="00136C82"/>
    <w:rsid w:val="00136D7F"/>
    <w:rsid w:val="0013711B"/>
    <w:rsid w:val="00137808"/>
    <w:rsid w:val="00137914"/>
    <w:rsid w:val="00140349"/>
    <w:rsid w:val="00140845"/>
    <w:rsid w:val="001415D4"/>
    <w:rsid w:val="0014179D"/>
    <w:rsid w:val="00142883"/>
    <w:rsid w:val="00143975"/>
    <w:rsid w:val="00143BDD"/>
    <w:rsid w:val="001453B0"/>
    <w:rsid w:val="00145BD4"/>
    <w:rsid w:val="00145C65"/>
    <w:rsid w:val="001460C9"/>
    <w:rsid w:val="001461FB"/>
    <w:rsid w:val="00146A60"/>
    <w:rsid w:val="0014711D"/>
    <w:rsid w:val="00147590"/>
    <w:rsid w:val="0014759F"/>
    <w:rsid w:val="00147937"/>
    <w:rsid w:val="0015163B"/>
    <w:rsid w:val="00151EC6"/>
    <w:rsid w:val="001523EE"/>
    <w:rsid w:val="00152867"/>
    <w:rsid w:val="001546C8"/>
    <w:rsid w:val="00154DC0"/>
    <w:rsid w:val="001557B4"/>
    <w:rsid w:val="00157709"/>
    <w:rsid w:val="001611E0"/>
    <w:rsid w:val="00161423"/>
    <w:rsid w:val="001614A6"/>
    <w:rsid w:val="00162832"/>
    <w:rsid w:val="00164606"/>
    <w:rsid w:val="00164C22"/>
    <w:rsid w:val="001668E8"/>
    <w:rsid w:val="00166B8A"/>
    <w:rsid w:val="001671D4"/>
    <w:rsid w:val="00167578"/>
    <w:rsid w:val="0017016A"/>
    <w:rsid w:val="00170999"/>
    <w:rsid w:val="00170C1D"/>
    <w:rsid w:val="00172B56"/>
    <w:rsid w:val="001763AE"/>
    <w:rsid w:val="00176AF3"/>
    <w:rsid w:val="00176AF6"/>
    <w:rsid w:val="00176E32"/>
    <w:rsid w:val="001770F7"/>
    <w:rsid w:val="00180897"/>
    <w:rsid w:val="00181805"/>
    <w:rsid w:val="001826FB"/>
    <w:rsid w:val="00183A7A"/>
    <w:rsid w:val="00185AF6"/>
    <w:rsid w:val="00185FB9"/>
    <w:rsid w:val="001860D0"/>
    <w:rsid w:val="00186B47"/>
    <w:rsid w:val="00187A2A"/>
    <w:rsid w:val="00190F76"/>
    <w:rsid w:val="0019202A"/>
    <w:rsid w:val="0019296E"/>
    <w:rsid w:val="00193241"/>
    <w:rsid w:val="0019476C"/>
    <w:rsid w:val="00194848"/>
    <w:rsid w:val="001963EC"/>
    <w:rsid w:val="001A0908"/>
    <w:rsid w:val="001A4219"/>
    <w:rsid w:val="001A4586"/>
    <w:rsid w:val="001A51E0"/>
    <w:rsid w:val="001A5522"/>
    <w:rsid w:val="001A5930"/>
    <w:rsid w:val="001A64D3"/>
    <w:rsid w:val="001A64F0"/>
    <w:rsid w:val="001A6FDD"/>
    <w:rsid w:val="001A7203"/>
    <w:rsid w:val="001A7608"/>
    <w:rsid w:val="001A7823"/>
    <w:rsid w:val="001B0C4E"/>
    <w:rsid w:val="001B0F53"/>
    <w:rsid w:val="001B0FBE"/>
    <w:rsid w:val="001B1715"/>
    <w:rsid w:val="001B31AC"/>
    <w:rsid w:val="001B37E8"/>
    <w:rsid w:val="001B3C85"/>
    <w:rsid w:val="001B3CAE"/>
    <w:rsid w:val="001B3E9A"/>
    <w:rsid w:val="001B5642"/>
    <w:rsid w:val="001B56DF"/>
    <w:rsid w:val="001B5C7F"/>
    <w:rsid w:val="001B5D84"/>
    <w:rsid w:val="001B6F4B"/>
    <w:rsid w:val="001B7067"/>
    <w:rsid w:val="001B7BCA"/>
    <w:rsid w:val="001C03B5"/>
    <w:rsid w:val="001C129A"/>
    <w:rsid w:val="001C3E10"/>
    <w:rsid w:val="001C436F"/>
    <w:rsid w:val="001C59EB"/>
    <w:rsid w:val="001C6D4E"/>
    <w:rsid w:val="001C7681"/>
    <w:rsid w:val="001D0B66"/>
    <w:rsid w:val="001D1233"/>
    <w:rsid w:val="001D1C3E"/>
    <w:rsid w:val="001D3BC4"/>
    <w:rsid w:val="001D4708"/>
    <w:rsid w:val="001D5B4D"/>
    <w:rsid w:val="001D7953"/>
    <w:rsid w:val="001E0700"/>
    <w:rsid w:val="001E14B1"/>
    <w:rsid w:val="001E166D"/>
    <w:rsid w:val="001E285F"/>
    <w:rsid w:val="001E291F"/>
    <w:rsid w:val="001E2BFB"/>
    <w:rsid w:val="001E3C8B"/>
    <w:rsid w:val="001E436C"/>
    <w:rsid w:val="001E573D"/>
    <w:rsid w:val="001E6699"/>
    <w:rsid w:val="001E6D3C"/>
    <w:rsid w:val="001E7F51"/>
    <w:rsid w:val="001F00BD"/>
    <w:rsid w:val="001F0A0C"/>
    <w:rsid w:val="001F0EDB"/>
    <w:rsid w:val="001F1E96"/>
    <w:rsid w:val="001F258F"/>
    <w:rsid w:val="001F25A5"/>
    <w:rsid w:val="001F2F45"/>
    <w:rsid w:val="001F4076"/>
    <w:rsid w:val="001F4DB6"/>
    <w:rsid w:val="001F630D"/>
    <w:rsid w:val="001F72E1"/>
    <w:rsid w:val="0020064A"/>
    <w:rsid w:val="002017CB"/>
    <w:rsid w:val="0020284E"/>
    <w:rsid w:val="0020397D"/>
    <w:rsid w:val="00204D96"/>
    <w:rsid w:val="002062F4"/>
    <w:rsid w:val="002069D2"/>
    <w:rsid w:val="00206A4F"/>
    <w:rsid w:val="002074F6"/>
    <w:rsid w:val="00211563"/>
    <w:rsid w:val="00212209"/>
    <w:rsid w:val="00212A71"/>
    <w:rsid w:val="002133C5"/>
    <w:rsid w:val="002137DD"/>
    <w:rsid w:val="0021459B"/>
    <w:rsid w:val="0021594C"/>
    <w:rsid w:val="00216887"/>
    <w:rsid w:val="00217296"/>
    <w:rsid w:val="002179CC"/>
    <w:rsid w:val="00217A50"/>
    <w:rsid w:val="002202A5"/>
    <w:rsid w:val="002215A1"/>
    <w:rsid w:val="002219A8"/>
    <w:rsid w:val="00222692"/>
    <w:rsid w:val="00222A86"/>
    <w:rsid w:val="002230A0"/>
    <w:rsid w:val="0022345E"/>
    <w:rsid w:val="00223473"/>
    <w:rsid w:val="00223577"/>
    <w:rsid w:val="00223BD8"/>
    <w:rsid w:val="00224E01"/>
    <w:rsid w:val="00224F2A"/>
    <w:rsid w:val="00225AA5"/>
    <w:rsid w:val="00226592"/>
    <w:rsid w:val="00226B88"/>
    <w:rsid w:val="00227FA4"/>
    <w:rsid w:val="002305CD"/>
    <w:rsid w:val="0023067A"/>
    <w:rsid w:val="00230D78"/>
    <w:rsid w:val="00230FB5"/>
    <w:rsid w:val="00231369"/>
    <w:rsid w:val="002316C4"/>
    <w:rsid w:val="00232A74"/>
    <w:rsid w:val="00233D56"/>
    <w:rsid w:val="0023409E"/>
    <w:rsid w:val="00234B29"/>
    <w:rsid w:val="002366B1"/>
    <w:rsid w:val="0024017D"/>
    <w:rsid w:val="0024064A"/>
    <w:rsid w:val="00240C4B"/>
    <w:rsid w:val="002410B6"/>
    <w:rsid w:val="00242D2C"/>
    <w:rsid w:val="00243EAB"/>
    <w:rsid w:val="00245957"/>
    <w:rsid w:val="002465A2"/>
    <w:rsid w:val="002469C3"/>
    <w:rsid w:val="00246B60"/>
    <w:rsid w:val="00246E7B"/>
    <w:rsid w:val="00247652"/>
    <w:rsid w:val="00247BB1"/>
    <w:rsid w:val="00247D69"/>
    <w:rsid w:val="00247E59"/>
    <w:rsid w:val="0025080C"/>
    <w:rsid w:val="002508E8"/>
    <w:rsid w:val="00250962"/>
    <w:rsid w:val="00251CCF"/>
    <w:rsid w:val="00252152"/>
    <w:rsid w:val="002522B9"/>
    <w:rsid w:val="0025379A"/>
    <w:rsid w:val="0025445B"/>
    <w:rsid w:val="002562D6"/>
    <w:rsid w:val="002578F7"/>
    <w:rsid w:val="00257C2A"/>
    <w:rsid w:val="0026085A"/>
    <w:rsid w:val="00261AAB"/>
    <w:rsid w:val="00262218"/>
    <w:rsid w:val="002632BD"/>
    <w:rsid w:val="00263F1A"/>
    <w:rsid w:val="002648AB"/>
    <w:rsid w:val="002655C6"/>
    <w:rsid w:val="00265D96"/>
    <w:rsid w:val="00265DF2"/>
    <w:rsid w:val="00267208"/>
    <w:rsid w:val="00267C0B"/>
    <w:rsid w:val="0027187C"/>
    <w:rsid w:val="00272711"/>
    <w:rsid w:val="002727FA"/>
    <w:rsid w:val="00274EA1"/>
    <w:rsid w:val="002755F1"/>
    <w:rsid w:val="002755FA"/>
    <w:rsid w:val="00275744"/>
    <w:rsid w:val="00275839"/>
    <w:rsid w:val="00276586"/>
    <w:rsid w:val="00276CFB"/>
    <w:rsid w:val="0028084C"/>
    <w:rsid w:val="00280CD1"/>
    <w:rsid w:val="0028219D"/>
    <w:rsid w:val="0028418C"/>
    <w:rsid w:val="002846D4"/>
    <w:rsid w:val="002858CF"/>
    <w:rsid w:val="00285C82"/>
    <w:rsid w:val="002862B4"/>
    <w:rsid w:val="002903C5"/>
    <w:rsid w:val="00290A33"/>
    <w:rsid w:val="002921E8"/>
    <w:rsid w:val="0029220E"/>
    <w:rsid w:val="002923BC"/>
    <w:rsid w:val="00294331"/>
    <w:rsid w:val="002949EB"/>
    <w:rsid w:val="00294A56"/>
    <w:rsid w:val="00294BDC"/>
    <w:rsid w:val="00295824"/>
    <w:rsid w:val="002969B6"/>
    <w:rsid w:val="0029722A"/>
    <w:rsid w:val="002A0551"/>
    <w:rsid w:val="002A1F06"/>
    <w:rsid w:val="002A3383"/>
    <w:rsid w:val="002A33D6"/>
    <w:rsid w:val="002A3424"/>
    <w:rsid w:val="002A43E8"/>
    <w:rsid w:val="002A491A"/>
    <w:rsid w:val="002A49A5"/>
    <w:rsid w:val="002A4E52"/>
    <w:rsid w:val="002A549C"/>
    <w:rsid w:val="002A54E7"/>
    <w:rsid w:val="002A56BE"/>
    <w:rsid w:val="002A6814"/>
    <w:rsid w:val="002A6EBE"/>
    <w:rsid w:val="002B0F11"/>
    <w:rsid w:val="002B1250"/>
    <w:rsid w:val="002B1DFC"/>
    <w:rsid w:val="002B2BF2"/>
    <w:rsid w:val="002B319F"/>
    <w:rsid w:val="002B327E"/>
    <w:rsid w:val="002B3F29"/>
    <w:rsid w:val="002B4792"/>
    <w:rsid w:val="002B5E8E"/>
    <w:rsid w:val="002B6C36"/>
    <w:rsid w:val="002C45DA"/>
    <w:rsid w:val="002D207F"/>
    <w:rsid w:val="002D240D"/>
    <w:rsid w:val="002D26E6"/>
    <w:rsid w:val="002D381F"/>
    <w:rsid w:val="002D45DA"/>
    <w:rsid w:val="002D511B"/>
    <w:rsid w:val="002D6A8A"/>
    <w:rsid w:val="002D72C0"/>
    <w:rsid w:val="002D72FD"/>
    <w:rsid w:val="002D7697"/>
    <w:rsid w:val="002E1A78"/>
    <w:rsid w:val="002E29C9"/>
    <w:rsid w:val="002E2B2D"/>
    <w:rsid w:val="002E3861"/>
    <w:rsid w:val="002E3985"/>
    <w:rsid w:val="002E3A71"/>
    <w:rsid w:val="002E4831"/>
    <w:rsid w:val="002E5F25"/>
    <w:rsid w:val="002E60CD"/>
    <w:rsid w:val="002E688A"/>
    <w:rsid w:val="002E6C05"/>
    <w:rsid w:val="002E6D74"/>
    <w:rsid w:val="002E709D"/>
    <w:rsid w:val="002E744A"/>
    <w:rsid w:val="002F69C5"/>
    <w:rsid w:val="002F7500"/>
    <w:rsid w:val="00301C08"/>
    <w:rsid w:val="00301EDD"/>
    <w:rsid w:val="00303164"/>
    <w:rsid w:val="003031CA"/>
    <w:rsid w:val="00303734"/>
    <w:rsid w:val="00303876"/>
    <w:rsid w:val="003053EC"/>
    <w:rsid w:val="00305A59"/>
    <w:rsid w:val="00306E0C"/>
    <w:rsid w:val="00307F88"/>
    <w:rsid w:val="003107BE"/>
    <w:rsid w:val="003108C9"/>
    <w:rsid w:val="00310B2C"/>
    <w:rsid w:val="003118E5"/>
    <w:rsid w:val="00311933"/>
    <w:rsid w:val="00312673"/>
    <w:rsid w:val="003131EA"/>
    <w:rsid w:val="0031367E"/>
    <w:rsid w:val="003136E0"/>
    <w:rsid w:val="00313B84"/>
    <w:rsid w:val="00315823"/>
    <w:rsid w:val="003169C5"/>
    <w:rsid w:val="00316A95"/>
    <w:rsid w:val="00317FD1"/>
    <w:rsid w:val="00320A3B"/>
    <w:rsid w:val="00321201"/>
    <w:rsid w:val="0032156B"/>
    <w:rsid w:val="00324228"/>
    <w:rsid w:val="00325278"/>
    <w:rsid w:val="003258BA"/>
    <w:rsid w:val="00325B63"/>
    <w:rsid w:val="00326982"/>
    <w:rsid w:val="00326E32"/>
    <w:rsid w:val="00330476"/>
    <w:rsid w:val="0033059C"/>
    <w:rsid w:val="003305A4"/>
    <w:rsid w:val="003319D6"/>
    <w:rsid w:val="003342C7"/>
    <w:rsid w:val="00334AF1"/>
    <w:rsid w:val="00334BE5"/>
    <w:rsid w:val="003360F2"/>
    <w:rsid w:val="00336318"/>
    <w:rsid w:val="00336C58"/>
    <w:rsid w:val="00336CDA"/>
    <w:rsid w:val="003379B7"/>
    <w:rsid w:val="003411A3"/>
    <w:rsid w:val="00341202"/>
    <w:rsid w:val="003429AA"/>
    <w:rsid w:val="003439CA"/>
    <w:rsid w:val="00343F83"/>
    <w:rsid w:val="00346236"/>
    <w:rsid w:val="00346254"/>
    <w:rsid w:val="0034647E"/>
    <w:rsid w:val="00347ECF"/>
    <w:rsid w:val="00347F03"/>
    <w:rsid w:val="00350715"/>
    <w:rsid w:val="003510AA"/>
    <w:rsid w:val="00351483"/>
    <w:rsid w:val="00351566"/>
    <w:rsid w:val="00351AA7"/>
    <w:rsid w:val="00351C0C"/>
    <w:rsid w:val="00351D3C"/>
    <w:rsid w:val="003525FB"/>
    <w:rsid w:val="00353BB9"/>
    <w:rsid w:val="00355BA2"/>
    <w:rsid w:val="00356D5F"/>
    <w:rsid w:val="003573A9"/>
    <w:rsid w:val="003617D8"/>
    <w:rsid w:val="00361CAA"/>
    <w:rsid w:val="00362A8C"/>
    <w:rsid w:val="003638C6"/>
    <w:rsid w:val="003646F0"/>
    <w:rsid w:val="00364CC9"/>
    <w:rsid w:val="003651C2"/>
    <w:rsid w:val="0036568F"/>
    <w:rsid w:val="00365CF0"/>
    <w:rsid w:val="00366D8D"/>
    <w:rsid w:val="003678C2"/>
    <w:rsid w:val="003678EB"/>
    <w:rsid w:val="00370632"/>
    <w:rsid w:val="003717B5"/>
    <w:rsid w:val="00371AF7"/>
    <w:rsid w:val="00372B68"/>
    <w:rsid w:val="003738BD"/>
    <w:rsid w:val="00373AC0"/>
    <w:rsid w:val="00373ADE"/>
    <w:rsid w:val="00373B61"/>
    <w:rsid w:val="00374007"/>
    <w:rsid w:val="00374995"/>
    <w:rsid w:val="00375A4D"/>
    <w:rsid w:val="00376F50"/>
    <w:rsid w:val="003772BB"/>
    <w:rsid w:val="003808DF"/>
    <w:rsid w:val="00380D7D"/>
    <w:rsid w:val="00381745"/>
    <w:rsid w:val="00382B1D"/>
    <w:rsid w:val="00384CA5"/>
    <w:rsid w:val="00385737"/>
    <w:rsid w:val="00386DC4"/>
    <w:rsid w:val="003876D9"/>
    <w:rsid w:val="00387F2E"/>
    <w:rsid w:val="00390495"/>
    <w:rsid w:val="003913D2"/>
    <w:rsid w:val="00392215"/>
    <w:rsid w:val="00393761"/>
    <w:rsid w:val="003937E7"/>
    <w:rsid w:val="003948AB"/>
    <w:rsid w:val="00395538"/>
    <w:rsid w:val="00395E5C"/>
    <w:rsid w:val="00396001"/>
    <w:rsid w:val="0039708E"/>
    <w:rsid w:val="00397FFA"/>
    <w:rsid w:val="003A0786"/>
    <w:rsid w:val="003A1E2C"/>
    <w:rsid w:val="003A3B4E"/>
    <w:rsid w:val="003A3C23"/>
    <w:rsid w:val="003A3FE4"/>
    <w:rsid w:val="003A4202"/>
    <w:rsid w:val="003A4733"/>
    <w:rsid w:val="003A582A"/>
    <w:rsid w:val="003A69CA"/>
    <w:rsid w:val="003A71B0"/>
    <w:rsid w:val="003A778E"/>
    <w:rsid w:val="003A79DD"/>
    <w:rsid w:val="003A7FD2"/>
    <w:rsid w:val="003B0057"/>
    <w:rsid w:val="003B1031"/>
    <w:rsid w:val="003B2A71"/>
    <w:rsid w:val="003B392D"/>
    <w:rsid w:val="003B3BC8"/>
    <w:rsid w:val="003B5FA2"/>
    <w:rsid w:val="003B67CE"/>
    <w:rsid w:val="003C132F"/>
    <w:rsid w:val="003C226B"/>
    <w:rsid w:val="003C3671"/>
    <w:rsid w:val="003C4176"/>
    <w:rsid w:val="003C48D1"/>
    <w:rsid w:val="003C59ED"/>
    <w:rsid w:val="003C6A41"/>
    <w:rsid w:val="003C6E32"/>
    <w:rsid w:val="003C741C"/>
    <w:rsid w:val="003D024C"/>
    <w:rsid w:val="003D0533"/>
    <w:rsid w:val="003D096A"/>
    <w:rsid w:val="003D1563"/>
    <w:rsid w:val="003D16B7"/>
    <w:rsid w:val="003D25A9"/>
    <w:rsid w:val="003D2FB9"/>
    <w:rsid w:val="003D482E"/>
    <w:rsid w:val="003D49A9"/>
    <w:rsid w:val="003D5E65"/>
    <w:rsid w:val="003D6697"/>
    <w:rsid w:val="003D7FF4"/>
    <w:rsid w:val="003E0EDD"/>
    <w:rsid w:val="003E149A"/>
    <w:rsid w:val="003E18DC"/>
    <w:rsid w:val="003E2BA8"/>
    <w:rsid w:val="003E3AC9"/>
    <w:rsid w:val="003E4129"/>
    <w:rsid w:val="003E55E3"/>
    <w:rsid w:val="003E70D8"/>
    <w:rsid w:val="003E7423"/>
    <w:rsid w:val="003E7475"/>
    <w:rsid w:val="003F03B0"/>
    <w:rsid w:val="003F05C8"/>
    <w:rsid w:val="003F0B09"/>
    <w:rsid w:val="003F1E40"/>
    <w:rsid w:val="003F1EA5"/>
    <w:rsid w:val="003F21BF"/>
    <w:rsid w:val="003F266F"/>
    <w:rsid w:val="003F5EA7"/>
    <w:rsid w:val="003F6263"/>
    <w:rsid w:val="003F7A85"/>
    <w:rsid w:val="00400263"/>
    <w:rsid w:val="00400A9A"/>
    <w:rsid w:val="0040160A"/>
    <w:rsid w:val="0040174D"/>
    <w:rsid w:val="00401B42"/>
    <w:rsid w:val="004025AA"/>
    <w:rsid w:val="0040301A"/>
    <w:rsid w:val="00403663"/>
    <w:rsid w:val="0040369F"/>
    <w:rsid w:val="00404147"/>
    <w:rsid w:val="00404C2C"/>
    <w:rsid w:val="00407F71"/>
    <w:rsid w:val="0041052C"/>
    <w:rsid w:val="00410F52"/>
    <w:rsid w:val="004118DB"/>
    <w:rsid w:val="0041197D"/>
    <w:rsid w:val="004129F0"/>
    <w:rsid w:val="00413B7C"/>
    <w:rsid w:val="00414A8E"/>
    <w:rsid w:val="00415290"/>
    <w:rsid w:val="004153EC"/>
    <w:rsid w:val="00417A81"/>
    <w:rsid w:val="00420784"/>
    <w:rsid w:val="0042175A"/>
    <w:rsid w:val="00421849"/>
    <w:rsid w:val="00421D09"/>
    <w:rsid w:val="00422690"/>
    <w:rsid w:val="004227D9"/>
    <w:rsid w:val="004232B0"/>
    <w:rsid w:val="00423347"/>
    <w:rsid w:val="00423639"/>
    <w:rsid w:val="00423D23"/>
    <w:rsid w:val="00424520"/>
    <w:rsid w:val="00424682"/>
    <w:rsid w:val="004256F3"/>
    <w:rsid w:val="0042688D"/>
    <w:rsid w:val="00430782"/>
    <w:rsid w:val="0043203A"/>
    <w:rsid w:val="00432E10"/>
    <w:rsid w:val="004335C2"/>
    <w:rsid w:val="004340C3"/>
    <w:rsid w:val="00434ACC"/>
    <w:rsid w:val="004365F7"/>
    <w:rsid w:val="004368ED"/>
    <w:rsid w:val="00437416"/>
    <w:rsid w:val="00437685"/>
    <w:rsid w:val="00437F45"/>
    <w:rsid w:val="00440217"/>
    <w:rsid w:val="004422A1"/>
    <w:rsid w:val="0044379C"/>
    <w:rsid w:val="00444294"/>
    <w:rsid w:val="004442B8"/>
    <w:rsid w:val="00444F50"/>
    <w:rsid w:val="0044506F"/>
    <w:rsid w:val="0044511B"/>
    <w:rsid w:val="00445B5F"/>
    <w:rsid w:val="00446241"/>
    <w:rsid w:val="00451092"/>
    <w:rsid w:val="004524A7"/>
    <w:rsid w:val="00452840"/>
    <w:rsid w:val="00452C91"/>
    <w:rsid w:val="004536BE"/>
    <w:rsid w:val="004548DB"/>
    <w:rsid w:val="0045497E"/>
    <w:rsid w:val="00454B0B"/>
    <w:rsid w:val="0045614B"/>
    <w:rsid w:val="00456B30"/>
    <w:rsid w:val="00457E1F"/>
    <w:rsid w:val="00457F91"/>
    <w:rsid w:val="00460ED1"/>
    <w:rsid w:val="004619D8"/>
    <w:rsid w:val="0046248F"/>
    <w:rsid w:val="004629A5"/>
    <w:rsid w:val="00463C7F"/>
    <w:rsid w:val="00464C68"/>
    <w:rsid w:val="00465C84"/>
    <w:rsid w:val="00467062"/>
    <w:rsid w:val="004673B8"/>
    <w:rsid w:val="00467DA3"/>
    <w:rsid w:val="00470855"/>
    <w:rsid w:val="0047098A"/>
    <w:rsid w:val="00471170"/>
    <w:rsid w:val="00471618"/>
    <w:rsid w:val="00471C88"/>
    <w:rsid w:val="00472EE8"/>
    <w:rsid w:val="00474A0C"/>
    <w:rsid w:val="00475986"/>
    <w:rsid w:val="00475E53"/>
    <w:rsid w:val="00476887"/>
    <w:rsid w:val="00476B58"/>
    <w:rsid w:val="004800BE"/>
    <w:rsid w:val="004803EF"/>
    <w:rsid w:val="00481516"/>
    <w:rsid w:val="0048392C"/>
    <w:rsid w:val="00483D95"/>
    <w:rsid w:val="0048479E"/>
    <w:rsid w:val="00484E00"/>
    <w:rsid w:val="00486C33"/>
    <w:rsid w:val="00490277"/>
    <w:rsid w:val="00491866"/>
    <w:rsid w:val="00492C1A"/>
    <w:rsid w:val="00493C26"/>
    <w:rsid w:val="004947F6"/>
    <w:rsid w:val="00495033"/>
    <w:rsid w:val="004950D0"/>
    <w:rsid w:val="004952AE"/>
    <w:rsid w:val="00495EE6"/>
    <w:rsid w:val="00496126"/>
    <w:rsid w:val="004962BB"/>
    <w:rsid w:val="00496E62"/>
    <w:rsid w:val="00497740"/>
    <w:rsid w:val="00497B85"/>
    <w:rsid w:val="004A0301"/>
    <w:rsid w:val="004A2FE1"/>
    <w:rsid w:val="004A510E"/>
    <w:rsid w:val="004A6AAF"/>
    <w:rsid w:val="004A6BEE"/>
    <w:rsid w:val="004A7EAB"/>
    <w:rsid w:val="004B0280"/>
    <w:rsid w:val="004B160C"/>
    <w:rsid w:val="004B273A"/>
    <w:rsid w:val="004B2CAA"/>
    <w:rsid w:val="004B2D2B"/>
    <w:rsid w:val="004B2EB2"/>
    <w:rsid w:val="004B32D7"/>
    <w:rsid w:val="004B335E"/>
    <w:rsid w:val="004B3BA7"/>
    <w:rsid w:val="004B3BE4"/>
    <w:rsid w:val="004B3F1A"/>
    <w:rsid w:val="004B57C7"/>
    <w:rsid w:val="004B60FE"/>
    <w:rsid w:val="004B64D9"/>
    <w:rsid w:val="004B7B32"/>
    <w:rsid w:val="004B7C88"/>
    <w:rsid w:val="004C1362"/>
    <w:rsid w:val="004C1FA1"/>
    <w:rsid w:val="004C2471"/>
    <w:rsid w:val="004C3393"/>
    <w:rsid w:val="004C3604"/>
    <w:rsid w:val="004C399F"/>
    <w:rsid w:val="004C4257"/>
    <w:rsid w:val="004C4573"/>
    <w:rsid w:val="004C4DA9"/>
    <w:rsid w:val="004C5AC2"/>
    <w:rsid w:val="004C61BB"/>
    <w:rsid w:val="004C6A9B"/>
    <w:rsid w:val="004C70AA"/>
    <w:rsid w:val="004D0397"/>
    <w:rsid w:val="004D14D1"/>
    <w:rsid w:val="004D1B2F"/>
    <w:rsid w:val="004D1DC4"/>
    <w:rsid w:val="004D2FDA"/>
    <w:rsid w:val="004D3ED7"/>
    <w:rsid w:val="004D4461"/>
    <w:rsid w:val="004D5BED"/>
    <w:rsid w:val="004D617D"/>
    <w:rsid w:val="004D6A7A"/>
    <w:rsid w:val="004D6C4C"/>
    <w:rsid w:val="004E022F"/>
    <w:rsid w:val="004E101B"/>
    <w:rsid w:val="004E130C"/>
    <w:rsid w:val="004E3024"/>
    <w:rsid w:val="004E4D79"/>
    <w:rsid w:val="004E58E1"/>
    <w:rsid w:val="004E6351"/>
    <w:rsid w:val="004E6650"/>
    <w:rsid w:val="004E69B2"/>
    <w:rsid w:val="004E6B34"/>
    <w:rsid w:val="004E71BD"/>
    <w:rsid w:val="004F2001"/>
    <w:rsid w:val="004F46A1"/>
    <w:rsid w:val="004F49EF"/>
    <w:rsid w:val="004F58EC"/>
    <w:rsid w:val="004F770A"/>
    <w:rsid w:val="004F7720"/>
    <w:rsid w:val="004F7802"/>
    <w:rsid w:val="0050007C"/>
    <w:rsid w:val="005015B6"/>
    <w:rsid w:val="00501EDC"/>
    <w:rsid w:val="0050273B"/>
    <w:rsid w:val="00502F0B"/>
    <w:rsid w:val="00503245"/>
    <w:rsid w:val="005033DA"/>
    <w:rsid w:val="00503CF6"/>
    <w:rsid w:val="00504510"/>
    <w:rsid w:val="005060F5"/>
    <w:rsid w:val="00507216"/>
    <w:rsid w:val="00507A5B"/>
    <w:rsid w:val="00510E5D"/>
    <w:rsid w:val="00511F1F"/>
    <w:rsid w:val="00512658"/>
    <w:rsid w:val="00514355"/>
    <w:rsid w:val="00514876"/>
    <w:rsid w:val="00514BF6"/>
    <w:rsid w:val="00517B25"/>
    <w:rsid w:val="00520824"/>
    <w:rsid w:val="00520B6D"/>
    <w:rsid w:val="00520F94"/>
    <w:rsid w:val="00521662"/>
    <w:rsid w:val="00521A8B"/>
    <w:rsid w:val="00521CDE"/>
    <w:rsid w:val="00522FA3"/>
    <w:rsid w:val="00523EFA"/>
    <w:rsid w:val="00523FB5"/>
    <w:rsid w:val="005243E1"/>
    <w:rsid w:val="005248EB"/>
    <w:rsid w:val="00525D64"/>
    <w:rsid w:val="00525DCE"/>
    <w:rsid w:val="0052626C"/>
    <w:rsid w:val="00526F4E"/>
    <w:rsid w:val="00526FB9"/>
    <w:rsid w:val="0052709D"/>
    <w:rsid w:val="005277E7"/>
    <w:rsid w:val="0053042E"/>
    <w:rsid w:val="0053084B"/>
    <w:rsid w:val="00530C2A"/>
    <w:rsid w:val="00531054"/>
    <w:rsid w:val="005322FA"/>
    <w:rsid w:val="00532506"/>
    <w:rsid w:val="00532BE8"/>
    <w:rsid w:val="005340A8"/>
    <w:rsid w:val="005340D4"/>
    <w:rsid w:val="00534D2C"/>
    <w:rsid w:val="0053554B"/>
    <w:rsid w:val="00540276"/>
    <w:rsid w:val="00540E69"/>
    <w:rsid w:val="00540F7A"/>
    <w:rsid w:val="0054193D"/>
    <w:rsid w:val="00541A23"/>
    <w:rsid w:val="0054366C"/>
    <w:rsid w:val="005443E5"/>
    <w:rsid w:val="00544433"/>
    <w:rsid w:val="00544775"/>
    <w:rsid w:val="0054531D"/>
    <w:rsid w:val="005453B4"/>
    <w:rsid w:val="00545EC4"/>
    <w:rsid w:val="005460A3"/>
    <w:rsid w:val="00546AC2"/>
    <w:rsid w:val="00547EFA"/>
    <w:rsid w:val="00553B5F"/>
    <w:rsid w:val="00553FB6"/>
    <w:rsid w:val="00554245"/>
    <w:rsid w:val="0055458F"/>
    <w:rsid w:val="00554FB3"/>
    <w:rsid w:val="005550CB"/>
    <w:rsid w:val="0055551D"/>
    <w:rsid w:val="00557254"/>
    <w:rsid w:val="005577A8"/>
    <w:rsid w:val="0056033A"/>
    <w:rsid w:val="005608F5"/>
    <w:rsid w:val="00560FD8"/>
    <w:rsid w:val="00561320"/>
    <w:rsid w:val="005613BE"/>
    <w:rsid w:val="00561593"/>
    <w:rsid w:val="00561B4D"/>
    <w:rsid w:val="005626D9"/>
    <w:rsid w:val="005628B8"/>
    <w:rsid w:val="0056398F"/>
    <w:rsid w:val="00565211"/>
    <w:rsid w:val="0056590D"/>
    <w:rsid w:val="0056635E"/>
    <w:rsid w:val="0056645A"/>
    <w:rsid w:val="00566836"/>
    <w:rsid w:val="00566D37"/>
    <w:rsid w:val="005670AD"/>
    <w:rsid w:val="0057058F"/>
    <w:rsid w:val="00570981"/>
    <w:rsid w:val="00570C14"/>
    <w:rsid w:val="0057112E"/>
    <w:rsid w:val="00571647"/>
    <w:rsid w:val="0057187B"/>
    <w:rsid w:val="005725F6"/>
    <w:rsid w:val="0057277E"/>
    <w:rsid w:val="00572DA5"/>
    <w:rsid w:val="00573A45"/>
    <w:rsid w:val="00574181"/>
    <w:rsid w:val="00574C9D"/>
    <w:rsid w:val="0057571F"/>
    <w:rsid w:val="00575907"/>
    <w:rsid w:val="00576CBE"/>
    <w:rsid w:val="005773A3"/>
    <w:rsid w:val="005774DB"/>
    <w:rsid w:val="0057764E"/>
    <w:rsid w:val="005846A4"/>
    <w:rsid w:val="005850C1"/>
    <w:rsid w:val="005850DE"/>
    <w:rsid w:val="005858C4"/>
    <w:rsid w:val="0059008C"/>
    <w:rsid w:val="005907E3"/>
    <w:rsid w:val="005916B4"/>
    <w:rsid w:val="00591FD4"/>
    <w:rsid w:val="00592B25"/>
    <w:rsid w:val="00592DEC"/>
    <w:rsid w:val="00592FC1"/>
    <w:rsid w:val="0059336D"/>
    <w:rsid w:val="00593F45"/>
    <w:rsid w:val="0059486B"/>
    <w:rsid w:val="00594A06"/>
    <w:rsid w:val="005979E8"/>
    <w:rsid w:val="005A01C2"/>
    <w:rsid w:val="005A0807"/>
    <w:rsid w:val="005A0BA2"/>
    <w:rsid w:val="005A0C25"/>
    <w:rsid w:val="005A1195"/>
    <w:rsid w:val="005A1F63"/>
    <w:rsid w:val="005A22C4"/>
    <w:rsid w:val="005A27B5"/>
    <w:rsid w:val="005A319D"/>
    <w:rsid w:val="005A5324"/>
    <w:rsid w:val="005A59D6"/>
    <w:rsid w:val="005A754E"/>
    <w:rsid w:val="005B0307"/>
    <w:rsid w:val="005B329A"/>
    <w:rsid w:val="005B32E9"/>
    <w:rsid w:val="005B4B63"/>
    <w:rsid w:val="005B4F91"/>
    <w:rsid w:val="005B638B"/>
    <w:rsid w:val="005B7CA6"/>
    <w:rsid w:val="005C020E"/>
    <w:rsid w:val="005C0252"/>
    <w:rsid w:val="005C02F9"/>
    <w:rsid w:val="005C092C"/>
    <w:rsid w:val="005C0996"/>
    <w:rsid w:val="005C213B"/>
    <w:rsid w:val="005C2264"/>
    <w:rsid w:val="005C26EA"/>
    <w:rsid w:val="005C2F51"/>
    <w:rsid w:val="005C30F9"/>
    <w:rsid w:val="005C3E0B"/>
    <w:rsid w:val="005C4849"/>
    <w:rsid w:val="005C4E4D"/>
    <w:rsid w:val="005C4ECB"/>
    <w:rsid w:val="005C5159"/>
    <w:rsid w:val="005C558A"/>
    <w:rsid w:val="005C6936"/>
    <w:rsid w:val="005C6E03"/>
    <w:rsid w:val="005C7E41"/>
    <w:rsid w:val="005D115B"/>
    <w:rsid w:val="005D168B"/>
    <w:rsid w:val="005D2063"/>
    <w:rsid w:val="005D294C"/>
    <w:rsid w:val="005D39AF"/>
    <w:rsid w:val="005D3CE8"/>
    <w:rsid w:val="005D3D07"/>
    <w:rsid w:val="005D47D1"/>
    <w:rsid w:val="005D4BF2"/>
    <w:rsid w:val="005D56EE"/>
    <w:rsid w:val="005D57CC"/>
    <w:rsid w:val="005D6387"/>
    <w:rsid w:val="005D64BA"/>
    <w:rsid w:val="005D695B"/>
    <w:rsid w:val="005D7DBB"/>
    <w:rsid w:val="005E3F95"/>
    <w:rsid w:val="005E57B4"/>
    <w:rsid w:val="005E5922"/>
    <w:rsid w:val="005E606C"/>
    <w:rsid w:val="005E667B"/>
    <w:rsid w:val="005E7EEE"/>
    <w:rsid w:val="005F0B29"/>
    <w:rsid w:val="005F0B58"/>
    <w:rsid w:val="005F0E91"/>
    <w:rsid w:val="005F2001"/>
    <w:rsid w:val="005F2E9F"/>
    <w:rsid w:val="005F32F6"/>
    <w:rsid w:val="005F4A23"/>
    <w:rsid w:val="005F56FB"/>
    <w:rsid w:val="005F773E"/>
    <w:rsid w:val="0060007E"/>
    <w:rsid w:val="006020B3"/>
    <w:rsid w:val="00602DEE"/>
    <w:rsid w:val="00606734"/>
    <w:rsid w:val="00606B6E"/>
    <w:rsid w:val="00607D47"/>
    <w:rsid w:val="00607D6A"/>
    <w:rsid w:val="00610B10"/>
    <w:rsid w:val="00610D3B"/>
    <w:rsid w:val="00611A1C"/>
    <w:rsid w:val="00612629"/>
    <w:rsid w:val="006152E4"/>
    <w:rsid w:val="0061686D"/>
    <w:rsid w:val="0061697B"/>
    <w:rsid w:val="00617000"/>
    <w:rsid w:val="006178B6"/>
    <w:rsid w:val="00620AB2"/>
    <w:rsid w:val="00620D01"/>
    <w:rsid w:val="0062179F"/>
    <w:rsid w:val="00621D9C"/>
    <w:rsid w:val="006229C9"/>
    <w:rsid w:val="00622E75"/>
    <w:rsid w:val="006244AC"/>
    <w:rsid w:val="006252DF"/>
    <w:rsid w:val="00625C0F"/>
    <w:rsid w:val="00625DB2"/>
    <w:rsid w:val="00626143"/>
    <w:rsid w:val="006305A4"/>
    <w:rsid w:val="0063080A"/>
    <w:rsid w:val="00630A93"/>
    <w:rsid w:val="00632C22"/>
    <w:rsid w:val="006331F6"/>
    <w:rsid w:val="00634285"/>
    <w:rsid w:val="006345D2"/>
    <w:rsid w:val="0063469D"/>
    <w:rsid w:val="00634D10"/>
    <w:rsid w:val="006351B4"/>
    <w:rsid w:val="00635C4C"/>
    <w:rsid w:val="00636BF4"/>
    <w:rsid w:val="00641467"/>
    <w:rsid w:val="00641FC6"/>
    <w:rsid w:val="00642308"/>
    <w:rsid w:val="006428F7"/>
    <w:rsid w:val="00642B1C"/>
    <w:rsid w:val="006436A3"/>
    <w:rsid w:val="006437D2"/>
    <w:rsid w:val="00643D9E"/>
    <w:rsid w:val="00644128"/>
    <w:rsid w:val="00644F45"/>
    <w:rsid w:val="00645547"/>
    <w:rsid w:val="00645744"/>
    <w:rsid w:val="006464D4"/>
    <w:rsid w:val="006467AA"/>
    <w:rsid w:val="00646C28"/>
    <w:rsid w:val="00646F51"/>
    <w:rsid w:val="006478D2"/>
    <w:rsid w:val="00650C82"/>
    <w:rsid w:val="00650FDF"/>
    <w:rsid w:val="00654743"/>
    <w:rsid w:val="006547B0"/>
    <w:rsid w:val="00654FC6"/>
    <w:rsid w:val="006561B3"/>
    <w:rsid w:val="00656E4F"/>
    <w:rsid w:val="006570B0"/>
    <w:rsid w:val="006571D4"/>
    <w:rsid w:val="006572F6"/>
    <w:rsid w:val="0065798B"/>
    <w:rsid w:val="00660BBF"/>
    <w:rsid w:val="006615B9"/>
    <w:rsid w:val="00661C48"/>
    <w:rsid w:val="00663798"/>
    <w:rsid w:val="00663979"/>
    <w:rsid w:val="00664684"/>
    <w:rsid w:val="006646A6"/>
    <w:rsid w:val="00664880"/>
    <w:rsid w:val="00664DC9"/>
    <w:rsid w:val="00665EE2"/>
    <w:rsid w:val="00666AAE"/>
    <w:rsid w:val="00667D5F"/>
    <w:rsid w:val="00672052"/>
    <w:rsid w:val="00672A32"/>
    <w:rsid w:val="00673069"/>
    <w:rsid w:val="00673925"/>
    <w:rsid w:val="00674523"/>
    <w:rsid w:val="00674E3D"/>
    <w:rsid w:val="006751F0"/>
    <w:rsid w:val="006752B5"/>
    <w:rsid w:val="006753D9"/>
    <w:rsid w:val="006757F9"/>
    <w:rsid w:val="00675F69"/>
    <w:rsid w:val="00676CD4"/>
    <w:rsid w:val="00676EB0"/>
    <w:rsid w:val="00680D3B"/>
    <w:rsid w:val="006816BE"/>
    <w:rsid w:val="00681C9B"/>
    <w:rsid w:val="00682B82"/>
    <w:rsid w:val="0068325B"/>
    <w:rsid w:val="006848FB"/>
    <w:rsid w:val="00684923"/>
    <w:rsid w:val="00684B60"/>
    <w:rsid w:val="006858D0"/>
    <w:rsid w:val="0068682A"/>
    <w:rsid w:val="00686A98"/>
    <w:rsid w:val="00687703"/>
    <w:rsid w:val="00690801"/>
    <w:rsid w:val="00690A3D"/>
    <w:rsid w:val="00691D7D"/>
    <w:rsid w:val="00692D1F"/>
    <w:rsid w:val="00693005"/>
    <w:rsid w:val="0069300F"/>
    <w:rsid w:val="00693879"/>
    <w:rsid w:val="00695F44"/>
    <w:rsid w:val="00697239"/>
    <w:rsid w:val="00697907"/>
    <w:rsid w:val="006A0CA0"/>
    <w:rsid w:val="006A1F61"/>
    <w:rsid w:val="006A2251"/>
    <w:rsid w:val="006A24A8"/>
    <w:rsid w:val="006A326B"/>
    <w:rsid w:val="006A3B8A"/>
    <w:rsid w:val="006A3CE8"/>
    <w:rsid w:val="006A4AC2"/>
    <w:rsid w:val="006A4F56"/>
    <w:rsid w:val="006A59BB"/>
    <w:rsid w:val="006A5F06"/>
    <w:rsid w:val="006A655E"/>
    <w:rsid w:val="006B04E3"/>
    <w:rsid w:val="006B1428"/>
    <w:rsid w:val="006B2143"/>
    <w:rsid w:val="006B24D6"/>
    <w:rsid w:val="006B2B28"/>
    <w:rsid w:val="006B2C60"/>
    <w:rsid w:val="006B2DA2"/>
    <w:rsid w:val="006B39EA"/>
    <w:rsid w:val="006B3A33"/>
    <w:rsid w:val="006B403A"/>
    <w:rsid w:val="006B579F"/>
    <w:rsid w:val="006B6F90"/>
    <w:rsid w:val="006B7457"/>
    <w:rsid w:val="006B7785"/>
    <w:rsid w:val="006B7A45"/>
    <w:rsid w:val="006C09A8"/>
    <w:rsid w:val="006C180A"/>
    <w:rsid w:val="006C1EDF"/>
    <w:rsid w:val="006C1F52"/>
    <w:rsid w:val="006C2104"/>
    <w:rsid w:val="006C2A8B"/>
    <w:rsid w:val="006C2B26"/>
    <w:rsid w:val="006C34D7"/>
    <w:rsid w:val="006C48A3"/>
    <w:rsid w:val="006C6F6A"/>
    <w:rsid w:val="006C70FE"/>
    <w:rsid w:val="006D01F4"/>
    <w:rsid w:val="006D1796"/>
    <w:rsid w:val="006D308A"/>
    <w:rsid w:val="006D3441"/>
    <w:rsid w:val="006D34AB"/>
    <w:rsid w:val="006D39D1"/>
    <w:rsid w:val="006D3A83"/>
    <w:rsid w:val="006D40FA"/>
    <w:rsid w:val="006D4487"/>
    <w:rsid w:val="006D4D55"/>
    <w:rsid w:val="006D55DF"/>
    <w:rsid w:val="006D570A"/>
    <w:rsid w:val="006D62CC"/>
    <w:rsid w:val="006D6436"/>
    <w:rsid w:val="006D7099"/>
    <w:rsid w:val="006D7DA6"/>
    <w:rsid w:val="006D7EEA"/>
    <w:rsid w:val="006D7F12"/>
    <w:rsid w:val="006D7F43"/>
    <w:rsid w:val="006E13E9"/>
    <w:rsid w:val="006E3215"/>
    <w:rsid w:val="006E58DC"/>
    <w:rsid w:val="006E6172"/>
    <w:rsid w:val="006E63A3"/>
    <w:rsid w:val="006F1B70"/>
    <w:rsid w:val="006F1C82"/>
    <w:rsid w:val="006F2410"/>
    <w:rsid w:val="006F266B"/>
    <w:rsid w:val="006F2E36"/>
    <w:rsid w:val="006F4AC0"/>
    <w:rsid w:val="006F599C"/>
    <w:rsid w:val="006F5B7B"/>
    <w:rsid w:val="006F7549"/>
    <w:rsid w:val="006F7830"/>
    <w:rsid w:val="007004FC"/>
    <w:rsid w:val="00700808"/>
    <w:rsid w:val="00701AF3"/>
    <w:rsid w:val="00703885"/>
    <w:rsid w:val="007040E2"/>
    <w:rsid w:val="007049BE"/>
    <w:rsid w:val="00705205"/>
    <w:rsid w:val="00705463"/>
    <w:rsid w:val="00705D47"/>
    <w:rsid w:val="00706096"/>
    <w:rsid w:val="007061C9"/>
    <w:rsid w:val="00707680"/>
    <w:rsid w:val="00710147"/>
    <w:rsid w:val="00710362"/>
    <w:rsid w:val="00711D2A"/>
    <w:rsid w:val="00711E91"/>
    <w:rsid w:val="007129A4"/>
    <w:rsid w:val="00713A6F"/>
    <w:rsid w:val="0071405E"/>
    <w:rsid w:val="00714847"/>
    <w:rsid w:val="00714917"/>
    <w:rsid w:val="00715151"/>
    <w:rsid w:val="007161D0"/>
    <w:rsid w:val="00716737"/>
    <w:rsid w:val="007169C8"/>
    <w:rsid w:val="007171A1"/>
    <w:rsid w:val="007178A1"/>
    <w:rsid w:val="00721C66"/>
    <w:rsid w:val="00722575"/>
    <w:rsid w:val="00723499"/>
    <w:rsid w:val="00723B25"/>
    <w:rsid w:val="00723F3B"/>
    <w:rsid w:val="0072438F"/>
    <w:rsid w:val="00724DDE"/>
    <w:rsid w:val="0072510C"/>
    <w:rsid w:val="007266E3"/>
    <w:rsid w:val="00727CFA"/>
    <w:rsid w:val="00727DFC"/>
    <w:rsid w:val="00730A4B"/>
    <w:rsid w:val="007317F8"/>
    <w:rsid w:val="00731BB9"/>
    <w:rsid w:val="007344F6"/>
    <w:rsid w:val="00735770"/>
    <w:rsid w:val="00735D48"/>
    <w:rsid w:val="007364C2"/>
    <w:rsid w:val="00736AC5"/>
    <w:rsid w:val="00737AF2"/>
    <w:rsid w:val="00740AB8"/>
    <w:rsid w:val="00740CFA"/>
    <w:rsid w:val="00741762"/>
    <w:rsid w:val="00743C87"/>
    <w:rsid w:val="0074514F"/>
    <w:rsid w:val="007470EC"/>
    <w:rsid w:val="007476A3"/>
    <w:rsid w:val="00750347"/>
    <w:rsid w:val="0075055E"/>
    <w:rsid w:val="0075158D"/>
    <w:rsid w:val="00751B06"/>
    <w:rsid w:val="00752689"/>
    <w:rsid w:val="007526D4"/>
    <w:rsid w:val="0075546D"/>
    <w:rsid w:val="00755712"/>
    <w:rsid w:val="007557BB"/>
    <w:rsid w:val="00755E9C"/>
    <w:rsid w:val="0075658D"/>
    <w:rsid w:val="007569B3"/>
    <w:rsid w:val="007574EC"/>
    <w:rsid w:val="00757B65"/>
    <w:rsid w:val="00760135"/>
    <w:rsid w:val="0076025E"/>
    <w:rsid w:val="00762F93"/>
    <w:rsid w:val="00764369"/>
    <w:rsid w:val="007646F8"/>
    <w:rsid w:val="00767172"/>
    <w:rsid w:val="00767D3E"/>
    <w:rsid w:val="00772403"/>
    <w:rsid w:val="00772E02"/>
    <w:rsid w:val="00773716"/>
    <w:rsid w:val="00774685"/>
    <w:rsid w:val="007746D2"/>
    <w:rsid w:val="007747BA"/>
    <w:rsid w:val="007751A8"/>
    <w:rsid w:val="00775534"/>
    <w:rsid w:val="007766BA"/>
    <w:rsid w:val="00776E86"/>
    <w:rsid w:val="00777D23"/>
    <w:rsid w:val="00780723"/>
    <w:rsid w:val="00780FA3"/>
    <w:rsid w:val="00781B71"/>
    <w:rsid w:val="00782205"/>
    <w:rsid w:val="007826F7"/>
    <w:rsid w:val="00782EA0"/>
    <w:rsid w:val="00783497"/>
    <w:rsid w:val="007845A8"/>
    <w:rsid w:val="00784DDB"/>
    <w:rsid w:val="0078620F"/>
    <w:rsid w:val="0078754D"/>
    <w:rsid w:val="00787C0B"/>
    <w:rsid w:val="00790148"/>
    <w:rsid w:val="007911E1"/>
    <w:rsid w:val="0079138E"/>
    <w:rsid w:val="00791593"/>
    <w:rsid w:val="00791E1D"/>
    <w:rsid w:val="00792E21"/>
    <w:rsid w:val="0079403A"/>
    <w:rsid w:val="00794758"/>
    <w:rsid w:val="007977D8"/>
    <w:rsid w:val="007978AA"/>
    <w:rsid w:val="00797D3D"/>
    <w:rsid w:val="00797FD5"/>
    <w:rsid w:val="007A3103"/>
    <w:rsid w:val="007A31FB"/>
    <w:rsid w:val="007A3A72"/>
    <w:rsid w:val="007A47DC"/>
    <w:rsid w:val="007A5396"/>
    <w:rsid w:val="007A5D22"/>
    <w:rsid w:val="007A6377"/>
    <w:rsid w:val="007A6522"/>
    <w:rsid w:val="007A6727"/>
    <w:rsid w:val="007A6CC1"/>
    <w:rsid w:val="007A7254"/>
    <w:rsid w:val="007A78E4"/>
    <w:rsid w:val="007B005D"/>
    <w:rsid w:val="007B032B"/>
    <w:rsid w:val="007B05D0"/>
    <w:rsid w:val="007B0805"/>
    <w:rsid w:val="007B0BF5"/>
    <w:rsid w:val="007B1005"/>
    <w:rsid w:val="007B1D71"/>
    <w:rsid w:val="007B31DC"/>
    <w:rsid w:val="007B3558"/>
    <w:rsid w:val="007B471E"/>
    <w:rsid w:val="007B481C"/>
    <w:rsid w:val="007B4B9E"/>
    <w:rsid w:val="007B5925"/>
    <w:rsid w:val="007B7BA8"/>
    <w:rsid w:val="007C0039"/>
    <w:rsid w:val="007C0245"/>
    <w:rsid w:val="007C18FE"/>
    <w:rsid w:val="007C243F"/>
    <w:rsid w:val="007C35B1"/>
    <w:rsid w:val="007C4E7B"/>
    <w:rsid w:val="007C566B"/>
    <w:rsid w:val="007C6F0F"/>
    <w:rsid w:val="007C6FC0"/>
    <w:rsid w:val="007C706C"/>
    <w:rsid w:val="007C71F2"/>
    <w:rsid w:val="007C79A2"/>
    <w:rsid w:val="007C7C48"/>
    <w:rsid w:val="007D1A83"/>
    <w:rsid w:val="007D2266"/>
    <w:rsid w:val="007D393A"/>
    <w:rsid w:val="007D3BCF"/>
    <w:rsid w:val="007D4058"/>
    <w:rsid w:val="007D42EF"/>
    <w:rsid w:val="007D498E"/>
    <w:rsid w:val="007D4B8F"/>
    <w:rsid w:val="007D529A"/>
    <w:rsid w:val="007D5A7C"/>
    <w:rsid w:val="007D7674"/>
    <w:rsid w:val="007D7812"/>
    <w:rsid w:val="007D7858"/>
    <w:rsid w:val="007D7A65"/>
    <w:rsid w:val="007E090B"/>
    <w:rsid w:val="007E0D8B"/>
    <w:rsid w:val="007E15C6"/>
    <w:rsid w:val="007E1B71"/>
    <w:rsid w:val="007E1C05"/>
    <w:rsid w:val="007E1E69"/>
    <w:rsid w:val="007E29AA"/>
    <w:rsid w:val="007E2A38"/>
    <w:rsid w:val="007E2C98"/>
    <w:rsid w:val="007E3222"/>
    <w:rsid w:val="007E72B5"/>
    <w:rsid w:val="007E7DF5"/>
    <w:rsid w:val="007F02A7"/>
    <w:rsid w:val="007F19C6"/>
    <w:rsid w:val="007F2AFC"/>
    <w:rsid w:val="007F2C82"/>
    <w:rsid w:val="007F3540"/>
    <w:rsid w:val="007F4475"/>
    <w:rsid w:val="007F4E9B"/>
    <w:rsid w:val="007F7AB3"/>
    <w:rsid w:val="007F7F13"/>
    <w:rsid w:val="008006A1"/>
    <w:rsid w:val="00800AA9"/>
    <w:rsid w:val="00801A02"/>
    <w:rsid w:val="00801B2F"/>
    <w:rsid w:val="008037E5"/>
    <w:rsid w:val="00803B66"/>
    <w:rsid w:val="008050A4"/>
    <w:rsid w:val="008051F7"/>
    <w:rsid w:val="0080535D"/>
    <w:rsid w:val="00805940"/>
    <w:rsid w:val="00805999"/>
    <w:rsid w:val="00806623"/>
    <w:rsid w:val="008069C0"/>
    <w:rsid w:val="008102B5"/>
    <w:rsid w:val="00810F73"/>
    <w:rsid w:val="00810F94"/>
    <w:rsid w:val="00811820"/>
    <w:rsid w:val="00811F7B"/>
    <w:rsid w:val="00812CA2"/>
    <w:rsid w:val="008134AF"/>
    <w:rsid w:val="0081423B"/>
    <w:rsid w:val="008142B1"/>
    <w:rsid w:val="00814801"/>
    <w:rsid w:val="008158BD"/>
    <w:rsid w:val="00820964"/>
    <w:rsid w:val="0082347B"/>
    <w:rsid w:val="0082392E"/>
    <w:rsid w:val="00823A9C"/>
    <w:rsid w:val="00823F51"/>
    <w:rsid w:val="0082424A"/>
    <w:rsid w:val="00824338"/>
    <w:rsid w:val="00827A6D"/>
    <w:rsid w:val="00827F03"/>
    <w:rsid w:val="00830331"/>
    <w:rsid w:val="00830E19"/>
    <w:rsid w:val="00831753"/>
    <w:rsid w:val="008317FE"/>
    <w:rsid w:val="00831D9F"/>
    <w:rsid w:val="008323FC"/>
    <w:rsid w:val="00832684"/>
    <w:rsid w:val="0083281B"/>
    <w:rsid w:val="00832E55"/>
    <w:rsid w:val="00833E86"/>
    <w:rsid w:val="00834A18"/>
    <w:rsid w:val="00834A98"/>
    <w:rsid w:val="008353EE"/>
    <w:rsid w:val="008357CD"/>
    <w:rsid w:val="008366F2"/>
    <w:rsid w:val="00836893"/>
    <w:rsid w:val="00836D51"/>
    <w:rsid w:val="00836D62"/>
    <w:rsid w:val="00837E43"/>
    <w:rsid w:val="00840B86"/>
    <w:rsid w:val="00841ACA"/>
    <w:rsid w:val="008429AC"/>
    <w:rsid w:val="00843398"/>
    <w:rsid w:val="00843FEA"/>
    <w:rsid w:val="00844BD6"/>
    <w:rsid w:val="008451CC"/>
    <w:rsid w:val="008478BE"/>
    <w:rsid w:val="00847CDF"/>
    <w:rsid w:val="00850DE1"/>
    <w:rsid w:val="0085162E"/>
    <w:rsid w:val="008516C0"/>
    <w:rsid w:val="008525FB"/>
    <w:rsid w:val="008557A9"/>
    <w:rsid w:val="00856172"/>
    <w:rsid w:val="008569EB"/>
    <w:rsid w:val="00856F36"/>
    <w:rsid w:val="00857B03"/>
    <w:rsid w:val="00860799"/>
    <w:rsid w:val="008614DD"/>
    <w:rsid w:val="00863191"/>
    <w:rsid w:val="00863948"/>
    <w:rsid w:val="008648EE"/>
    <w:rsid w:val="00864CCD"/>
    <w:rsid w:val="00865E47"/>
    <w:rsid w:val="008662D1"/>
    <w:rsid w:val="00866F25"/>
    <w:rsid w:val="0086743C"/>
    <w:rsid w:val="00867D1B"/>
    <w:rsid w:val="00870014"/>
    <w:rsid w:val="00870988"/>
    <w:rsid w:val="008710A8"/>
    <w:rsid w:val="008711AB"/>
    <w:rsid w:val="0087124F"/>
    <w:rsid w:val="0087152A"/>
    <w:rsid w:val="008722E1"/>
    <w:rsid w:val="00872936"/>
    <w:rsid w:val="00880B03"/>
    <w:rsid w:val="00882558"/>
    <w:rsid w:val="00882C21"/>
    <w:rsid w:val="0088326B"/>
    <w:rsid w:val="008838BF"/>
    <w:rsid w:val="00883F41"/>
    <w:rsid w:val="00885692"/>
    <w:rsid w:val="00886AAE"/>
    <w:rsid w:val="008870E0"/>
    <w:rsid w:val="008907F8"/>
    <w:rsid w:val="00891C9F"/>
    <w:rsid w:val="00892065"/>
    <w:rsid w:val="00892CBB"/>
    <w:rsid w:val="00893A04"/>
    <w:rsid w:val="00893B23"/>
    <w:rsid w:val="00893D12"/>
    <w:rsid w:val="00895CD4"/>
    <w:rsid w:val="00895D86"/>
    <w:rsid w:val="00896EEB"/>
    <w:rsid w:val="008977E6"/>
    <w:rsid w:val="00897A9F"/>
    <w:rsid w:val="008A091D"/>
    <w:rsid w:val="008A10FF"/>
    <w:rsid w:val="008A1853"/>
    <w:rsid w:val="008A1A0C"/>
    <w:rsid w:val="008A20CA"/>
    <w:rsid w:val="008A2ACA"/>
    <w:rsid w:val="008A3811"/>
    <w:rsid w:val="008A3BAE"/>
    <w:rsid w:val="008A3D3A"/>
    <w:rsid w:val="008A5D42"/>
    <w:rsid w:val="008A6161"/>
    <w:rsid w:val="008A626B"/>
    <w:rsid w:val="008A6EE2"/>
    <w:rsid w:val="008A751A"/>
    <w:rsid w:val="008A7865"/>
    <w:rsid w:val="008B0EE4"/>
    <w:rsid w:val="008B1059"/>
    <w:rsid w:val="008B1255"/>
    <w:rsid w:val="008B15B2"/>
    <w:rsid w:val="008B3B7F"/>
    <w:rsid w:val="008B3CFE"/>
    <w:rsid w:val="008B4E95"/>
    <w:rsid w:val="008B53D7"/>
    <w:rsid w:val="008B69D7"/>
    <w:rsid w:val="008B6C13"/>
    <w:rsid w:val="008B7E36"/>
    <w:rsid w:val="008C0924"/>
    <w:rsid w:val="008C1D19"/>
    <w:rsid w:val="008C1EC1"/>
    <w:rsid w:val="008C2079"/>
    <w:rsid w:val="008C22C8"/>
    <w:rsid w:val="008C49DD"/>
    <w:rsid w:val="008C6206"/>
    <w:rsid w:val="008C72D0"/>
    <w:rsid w:val="008C7D3F"/>
    <w:rsid w:val="008D22E3"/>
    <w:rsid w:val="008D3B7A"/>
    <w:rsid w:val="008D5694"/>
    <w:rsid w:val="008D5F40"/>
    <w:rsid w:val="008D6714"/>
    <w:rsid w:val="008D748D"/>
    <w:rsid w:val="008E0905"/>
    <w:rsid w:val="008E0C54"/>
    <w:rsid w:val="008E0D64"/>
    <w:rsid w:val="008E1052"/>
    <w:rsid w:val="008E14A7"/>
    <w:rsid w:val="008E1F26"/>
    <w:rsid w:val="008E2250"/>
    <w:rsid w:val="008E23AB"/>
    <w:rsid w:val="008E47DF"/>
    <w:rsid w:val="008E6626"/>
    <w:rsid w:val="008E687E"/>
    <w:rsid w:val="008E6AAD"/>
    <w:rsid w:val="008F30CE"/>
    <w:rsid w:val="008F3B16"/>
    <w:rsid w:val="008F58D0"/>
    <w:rsid w:val="008F608B"/>
    <w:rsid w:val="008F63C9"/>
    <w:rsid w:val="008F67AA"/>
    <w:rsid w:val="008F6E01"/>
    <w:rsid w:val="008F73D8"/>
    <w:rsid w:val="008F73DA"/>
    <w:rsid w:val="008F7AC0"/>
    <w:rsid w:val="0090311A"/>
    <w:rsid w:val="009038E1"/>
    <w:rsid w:val="0090408C"/>
    <w:rsid w:val="00904245"/>
    <w:rsid w:val="00905476"/>
    <w:rsid w:val="00905C38"/>
    <w:rsid w:val="00905C81"/>
    <w:rsid w:val="00906D95"/>
    <w:rsid w:val="00907895"/>
    <w:rsid w:val="00907D9A"/>
    <w:rsid w:val="00911077"/>
    <w:rsid w:val="00911F2D"/>
    <w:rsid w:val="00912160"/>
    <w:rsid w:val="009125F2"/>
    <w:rsid w:val="00912DB8"/>
    <w:rsid w:val="009131C3"/>
    <w:rsid w:val="009138BE"/>
    <w:rsid w:val="009149E1"/>
    <w:rsid w:val="00914B11"/>
    <w:rsid w:val="00915E8D"/>
    <w:rsid w:val="009161A7"/>
    <w:rsid w:val="00916406"/>
    <w:rsid w:val="00917CD5"/>
    <w:rsid w:val="009218E9"/>
    <w:rsid w:val="00921EA7"/>
    <w:rsid w:val="009236EA"/>
    <w:rsid w:val="00924BD5"/>
    <w:rsid w:val="00925CB8"/>
    <w:rsid w:val="00926039"/>
    <w:rsid w:val="0092606C"/>
    <w:rsid w:val="00930828"/>
    <w:rsid w:val="0093096C"/>
    <w:rsid w:val="00930CC4"/>
    <w:rsid w:val="00931DDE"/>
    <w:rsid w:val="00932501"/>
    <w:rsid w:val="00934925"/>
    <w:rsid w:val="0093526E"/>
    <w:rsid w:val="009354C8"/>
    <w:rsid w:val="00935E6D"/>
    <w:rsid w:val="00936931"/>
    <w:rsid w:val="00940E1F"/>
    <w:rsid w:val="00941083"/>
    <w:rsid w:val="00942298"/>
    <w:rsid w:val="009427DD"/>
    <w:rsid w:val="009429F9"/>
    <w:rsid w:val="00942CBC"/>
    <w:rsid w:val="00942E5E"/>
    <w:rsid w:val="0094325A"/>
    <w:rsid w:val="009443BB"/>
    <w:rsid w:val="00945757"/>
    <w:rsid w:val="00946138"/>
    <w:rsid w:val="0094713A"/>
    <w:rsid w:val="00947364"/>
    <w:rsid w:val="00947945"/>
    <w:rsid w:val="00947AAF"/>
    <w:rsid w:val="0095157E"/>
    <w:rsid w:val="009541D8"/>
    <w:rsid w:val="0095477F"/>
    <w:rsid w:val="00954A9C"/>
    <w:rsid w:val="00954EA8"/>
    <w:rsid w:val="00955165"/>
    <w:rsid w:val="009561D6"/>
    <w:rsid w:val="0095684F"/>
    <w:rsid w:val="00957658"/>
    <w:rsid w:val="00960487"/>
    <w:rsid w:val="00961062"/>
    <w:rsid w:val="0096175A"/>
    <w:rsid w:val="00964472"/>
    <w:rsid w:val="009677E2"/>
    <w:rsid w:val="00967E98"/>
    <w:rsid w:val="00972BBC"/>
    <w:rsid w:val="00972D28"/>
    <w:rsid w:val="009732EC"/>
    <w:rsid w:val="00973AAB"/>
    <w:rsid w:val="009748AA"/>
    <w:rsid w:val="009753A2"/>
    <w:rsid w:val="009761EB"/>
    <w:rsid w:val="0097635F"/>
    <w:rsid w:val="00976565"/>
    <w:rsid w:val="0097682D"/>
    <w:rsid w:val="0097690A"/>
    <w:rsid w:val="00976D47"/>
    <w:rsid w:val="00977A7F"/>
    <w:rsid w:val="00977F0A"/>
    <w:rsid w:val="00980D58"/>
    <w:rsid w:val="0098117C"/>
    <w:rsid w:val="00981508"/>
    <w:rsid w:val="0098231B"/>
    <w:rsid w:val="00982DF6"/>
    <w:rsid w:val="009836DF"/>
    <w:rsid w:val="00984014"/>
    <w:rsid w:val="00984214"/>
    <w:rsid w:val="00984306"/>
    <w:rsid w:val="00985138"/>
    <w:rsid w:val="009858CC"/>
    <w:rsid w:val="00985B5A"/>
    <w:rsid w:val="00991FA8"/>
    <w:rsid w:val="00992EDD"/>
    <w:rsid w:val="00993845"/>
    <w:rsid w:val="00994099"/>
    <w:rsid w:val="0099478B"/>
    <w:rsid w:val="009951D9"/>
    <w:rsid w:val="00995478"/>
    <w:rsid w:val="009954A4"/>
    <w:rsid w:val="009969E4"/>
    <w:rsid w:val="00997C55"/>
    <w:rsid w:val="009A1289"/>
    <w:rsid w:val="009A290C"/>
    <w:rsid w:val="009A3678"/>
    <w:rsid w:val="009A3729"/>
    <w:rsid w:val="009A3E6B"/>
    <w:rsid w:val="009A4388"/>
    <w:rsid w:val="009A5062"/>
    <w:rsid w:val="009A6F2E"/>
    <w:rsid w:val="009A7511"/>
    <w:rsid w:val="009A7984"/>
    <w:rsid w:val="009B0437"/>
    <w:rsid w:val="009B0E02"/>
    <w:rsid w:val="009B1CF9"/>
    <w:rsid w:val="009B2B0D"/>
    <w:rsid w:val="009B3B9B"/>
    <w:rsid w:val="009B4276"/>
    <w:rsid w:val="009B4883"/>
    <w:rsid w:val="009B4E65"/>
    <w:rsid w:val="009B7AEC"/>
    <w:rsid w:val="009B7C95"/>
    <w:rsid w:val="009C087C"/>
    <w:rsid w:val="009C1FA9"/>
    <w:rsid w:val="009C25F9"/>
    <w:rsid w:val="009C2A74"/>
    <w:rsid w:val="009C2ED5"/>
    <w:rsid w:val="009C32A1"/>
    <w:rsid w:val="009C3D25"/>
    <w:rsid w:val="009C47C4"/>
    <w:rsid w:val="009C6F54"/>
    <w:rsid w:val="009C759B"/>
    <w:rsid w:val="009D05BA"/>
    <w:rsid w:val="009D142A"/>
    <w:rsid w:val="009D1EE5"/>
    <w:rsid w:val="009D32CC"/>
    <w:rsid w:val="009D571A"/>
    <w:rsid w:val="009D5BF7"/>
    <w:rsid w:val="009D60A2"/>
    <w:rsid w:val="009D6A75"/>
    <w:rsid w:val="009D75B7"/>
    <w:rsid w:val="009D770A"/>
    <w:rsid w:val="009E0F78"/>
    <w:rsid w:val="009E188A"/>
    <w:rsid w:val="009E23D2"/>
    <w:rsid w:val="009E2B30"/>
    <w:rsid w:val="009E3292"/>
    <w:rsid w:val="009E37C5"/>
    <w:rsid w:val="009E3C3E"/>
    <w:rsid w:val="009E56EA"/>
    <w:rsid w:val="009E5CFE"/>
    <w:rsid w:val="009E6934"/>
    <w:rsid w:val="009E7165"/>
    <w:rsid w:val="009F0B7F"/>
    <w:rsid w:val="009F180E"/>
    <w:rsid w:val="009F2514"/>
    <w:rsid w:val="009F2C05"/>
    <w:rsid w:val="009F32E5"/>
    <w:rsid w:val="009F3778"/>
    <w:rsid w:val="009F3D78"/>
    <w:rsid w:val="009F4277"/>
    <w:rsid w:val="009F4EE0"/>
    <w:rsid w:val="009F6C7D"/>
    <w:rsid w:val="009F7F2B"/>
    <w:rsid w:val="00A0071E"/>
    <w:rsid w:val="00A024C4"/>
    <w:rsid w:val="00A02BFD"/>
    <w:rsid w:val="00A031D3"/>
    <w:rsid w:val="00A03C30"/>
    <w:rsid w:val="00A0456C"/>
    <w:rsid w:val="00A0465B"/>
    <w:rsid w:val="00A056AF"/>
    <w:rsid w:val="00A057E8"/>
    <w:rsid w:val="00A05970"/>
    <w:rsid w:val="00A06407"/>
    <w:rsid w:val="00A0676D"/>
    <w:rsid w:val="00A06EE5"/>
    <w:rsid w:val="00A07223"/>
    <w:rsid w:val="00A10220"/>
    <w:rsid w:val="00A109B5"/>
    <w:rsid w:val="00A10A43"/>
    <w:rsid w:val="00A11972"/>
    <w:rsid w:val="00A11C05"/>
    <w:rsid w:val="00A11F83"/>
    <w:rsid w:val="00A1543F"/>
    <w:rsid w:val="00A15508"/>
    <w:rsid w:val="00A15E12"/>
    <w:rsid w:val="00A16C30"/>
    <w:rsid w:val="00A16DB1"/>
    <w:rsid w:val="00A17899"/>
    <w:rsid w:val="00A17AAB"/>
    <w:rsid w:val="00A200BE"/>
    <w:rsid w:val="00A2019A"/>
    <w:rsid w:val="00A238F4"/>
    <w:rsid w:val="00A247AA"/>
    <w:rsid w:val="00A253E8"/>
    <w:rsid w:val="00A32BCD"/>
    <w:rsid w:val="00A33049"/>
    <w:rsid w:val="00A33360"/>
    <w:rsid w:val="00A34170"/>
    <w:rsid w:val="00A34737"/>
    <w:rsid w:val="00A34A43"/>
    <w:rsid w:val="00A34BC0"/>
    <w:rsid w:val="00A3523F"/>
    <w:rsid w:val="00A3593B"/>
    <w:rsid w:val="00A365B9"/>
    <w:rsid w:val="00A376FC"/>
    <w:rsid w:val="00A3780A"/>
    <w:rsid w:val="00A37D5C"/>
    <w:rsid w:val="00A37E7D"/>
    <w:rsid w:val="00A37F44"/>
    <w:rsid w:val="00A40525"/>
    <w:rsid w:val="00A41B34"/>
    <w:rsid w:val="00A42FBE"/>
    <w:rsid w:val="00A44801"/>
    <w:rsid w:val="00A453AB"/>
    <w:rsid w:val="00A45E6F"/>
    <w:rsid w:val="00A46166"/>
    <w:rsid w:val="00A461E4"/>
    <w:rsid w:val="00A4671B"/>
    <w:rsid w:val="00A46E73"/>
    <w:rsid w:val="00A471C6"/>
    <w:rsid w:val="00A47BFC"/>
    <w:rsid w:val="00A47E51"/>
    <w:rsid w:val="00A50C0D"/>
    <w:rsid w:val="00A51010"/>
    <w:rsid w:val="00A510A6"/>
    <w:rsid w:val="00A51600"/>
    <w:rsid w:val="00A52B06"/>
    <w:rsid w:val="00A5533B"/>
    <w:rsid w:val="00A55385"/>
    <w:rsid w:val="00A558AE"/>
    <w:rsid w:val="00A55B4B"/>
    <w:rsid w:val="00A5672A"/>
    <w:rsid w:val="00A5783A"/>
    <w:rsid w:val="00A649EE"/>
    <w:rsid w:val="00A64CB3"/>
    <w:rsid w:val="00A651F6"/>
    <w:rsid w:val="00A6583D"/>
    <w:rsid w:val="00A65982"/>
    <w:rsid w:val="00A659AE"/>
    <w:rsid w:val="00A65CAE"/>
    <w:rsid w:val="00A66F20"/>
    <w:rsid w:val="00A6772D"/>
    <w:rsid w:val="00A6778A"/>
    <w:rsid w:val="00A67ED7"/>
    <w:rsid w:val="00A706BC"/>
    <w:rsid w:val="00A70A2C"/>
    <w:rsid w:val="00A710C0"/>
    <w:rsid w:val="00A714C3"/>
    <w:rsid w:val="00A72702"/>
    <w:rsid w:val="00A75702"/>
    <w:rsid w:val="00A76856"/>
    <w:rsid w:val="00A80CE6"/>
    <w:rsid w:val="00A8113D"/>
    <w:rsid w:val="00A81886"/>
    <w:rsid w:val="00A81D5B"/>
    <w:rsid w:val="00A8247F"/>
    <w:rsid w:val="00A824FD"/>
    <w:rsid w:val="00A8253F"/>
    <w:rsid w:val="00A83E0D"/>
    <w:rsid w:val="00A849A9"/>
    <w:rsid w:val="00A8545A"/>
    <w:rsid w:val="00A908F4"/>
    <w:rsid w:val="00A909C6"/>
    <w:rsid w:val="00A91BEF"/>
    <w:rsid w:val="00A91C82"/>
    <w:rsid w:val="00A92E2F"/>
    <w:rsid w:val="00A93BC4"/>
    <w:rsid w:val="00A94D93"/>
    <w:rsid w:val="00A956C3"/>
    <w:rsid w:val="00A95BD8"/>
    <w:rsid w:val="00A96314"/>
    <w:rsid w:val="00A968B3"/>
    <w:rsid w:val="00A97061"/>
    <w:rsid w:val="00A97373"/>
    <w:rsid w:val="00A974B3"/>
    <w:rsid w:val="00A97D9F"/>
    <w:rsid w:val="00AA02F8"/>
    <w:rsid w:val="00AA1508"/>
    <w:rsid w:val="00AA1E8B"/>
    <w:rsid w:val="00AA28C4"/>
    <w:rsid w:val="00AA4057"/>
    <w:rsid w:val="00AA506E"/>
    <w:rsid w:val="00AA5362"/>
    <w:rsid w:val="00AA53A2"/>
    <w:rsid w:val="00AA5DA0"/>
    <w:rsid w:val="00AA62F0"/>
    <w:rsid w:val="00AA6CEC"/>
    <w:rsid w:val="00AA6CED"/>
    <w:rsid w:val="00AA6F69"/>
    <w:rsid w:val="00AA7319"/>
    <w:rsid w:val="00AB2573"/>
    <w:rsid w:val="00AB2A05"/>
    <w:rsid w:val="00AB3723"/>
    <w:rsid w:val="00AB4101"/>
    <w:rsid w:val="00AB4BC0"/>
    <w:rsid w:val="00AB5880"/>
    <w:rsid w:val="00AB58C8"/>
    <w:rsid w:val="00AB5EC8"/>
    <w:rsid w:val="00AB7385"/>
    <w:rsid w:val="00AC0663"/>
    <w:rsid w:val="00AC0D45"/>
    <w:rsid w:val="00AC1C96"/>
    <w:rsid w:val="00AC4E4B"/>
    <w:rsid w:val="00AC59F4"/>
    <w:rsid w:val="00AC5C4D"/>
    <w:rsid w:val="00AC5FAA"/>
    <w:rsid w:val="00AC725E"/>
    <w:rsid w:val="00AC7754"/>
    <w:rsid w:val="00AC798E"/>
    <w:rsid w:val="00AD0AC3"/>
    <w:rsid w:val="00AD1DF4"/>
    <w:rsid w:val="00AD257B"/>
    <w:rsid w:val="00AD381C"/>
    <w:rsid w:val="00AD3CE8"/>
    <w:rsid w:val="00AD4758"/>
    <w:rsid w:val="00AD4E93"/>
    <w:rsid w:val="00AD549F"/>
    <w:rsid w:val="00AD6AF2"/>
    <w:rsid w:val="00AD7CEC"/>
    <w:rsid w:val="00AE089D"/>
    <w:rsid w:val="00AE12DB"/>
    <w:rsid w:val="00AE1A3C"/>
    <w:rsid w:val="00AE293D"/>
    <w:rsid w:val="00AE43A2"/>
    <w:rsid w:val="00AE4C6F"/>
    <w:rsid w:val="00AE541C"/>
    <w:rsid w:val="00AE6930"/>
    <w:rsid w:val="00AE7225"/>
    <w:rsid w:val="00AF23C0"/>
    <w:rsid w:val="00AF2652"/>
    <w:rsid w:val="00AF2BEF"/>
    <w:rsid w:val="00AF396F"/>
    <w:rsid w:val="00AF5572"/>
    <w:rsid w:val="00AF5CD3"/>
    <w:rsid w:val="00AF5F05"/>
    <w:rsid w:val="00AF5F19"/>
    <w:rsid w:val="00AF6AB4"/>
    <w:rsid w:val="00AF70F1"/>
    <w:rsid w:val="00B0183C"/>
    <w:rsid w:val="00B02438"/>
    <w:rsid w:val="00B0261D"/>
    <w:rsid w:val="00B057FB"/>
    <w:rsid w:val="00B079AA"/>
    <w:rsid w:val="00B07FBF"/>
    <w:rsid w:val="00B10324"/>
    <w:rsid w:val="00B103D3"/>
    <w:rsid w:val="00B1055A"/>
    <w:rsid w:val="00B10A77"/>
    <w:rsid w:val="00B11222"/>
    <w:rsid w:val="00B115B5"/>
    <w:rsid w:val="00B1313D"/>
    <w:rsid w:val="00B13467"/>
    <w:rsid w:val="00B139FA"/>
    <w:rsid w:val="00B145DF"/>
    <w:rsid w:val="00B14CAD"/>
    <w:rsid w:val="00B14E9F"/>
    <w:rsid w:val="00B15790"/>
    <w:rsid w:val="00B1746E"/>
    <w:rsid w:val="00B17750"/>
    <w:rsid w:val="00B204A7"/>
    <w:rsid w:val="00B21502"/>
    <w:rsid w:val="00B23494"/>
    <w:rsid w:val="00B23938"/>
    <w:rsid w:val="00B2430F"/>
    <w:rsid w:val="00B2499F"/>
    <w:rsid w:val="00B25B20"/>
    <w:rsid w:val="00B26162"/>
    <w:rsid w:val="00B3160A"/>
    <w:rsid w:val="00B326B3"/>
    <w:rsid w:val="00B33945"/>
    <w:rsid w:val="00B33BFF"/>
    <w:rsid w:val="00B352B4"/>
    <w:rsid w:val="00B357FA"/>
    <w:rsid w:val="00B35AC6"/>
    <w:rsid w:val="00B36BF7"/>
    <w:rsid w:val="00B37880"/>
    <w:rsid w:val="00B37D42"/>
    <w:rsid w:val="00B40926"/>
    <w:rsid w:val="00B4216C"/>
    <w:rsid w:val="00B435D7"/>
    <w:rsid w:val="00B43808"/>
    <w:rsid w:val="00B454F7"/>
    <w:rsid w:val="00B45B62"/>
    <w:rsid w:val="00B45F40"/>
    <w:rsid w:val="00B50157"/>
    <w:rsid w:val="00B50EB6"/>
    <w:rsid w:val="00B50FF3"/>
    <w:rsid w:val="00B51E05"/>
    <w:rsid w:val="00B52773"/>
    <w:rsid w:val="00B52938"/>
    <w:rsid w:val="00B52B78"/>
    <w:rsid w:val="00B52D46"/>
    <w:rsid w:val="00B531FA"/>
    <w:rsid w:val="00B536B5"/>
    <w:rsid w:val="00B5470D"/>
    <w:rsid w:val="00B55E65"/>
    <w:rsid w:val="00B564E4"/>
    <w:rsid w:val="00B56CEC"/>
    <w:rsid w:val="00B57766"/>
    <w:rsid w:val="00B57E7F"/>
    <w:rsid w:val="00B60BB9"/>
    <w:rsid w:val="00B618CE"/>
    <w:rsid w:val="00B6234F"/>
    <w:rsid w:val="00B628F0"/>
    <w:rsid w:val="00B6393E"/>
    <w:rsid w:val="00B64666"/>
    <w:rsid w:val="00B64A07"/>
    <w:rsid w:val="00B64B47"/>
    <w:rsid w:val="00B6522E"/>
    <w:rsid w:val="00B65A57"/>
    <w:rsid w:val="00B65C98"/>
    <w:rsid w:val="00B65E23"/>
    <w:rsid w:val="00B66A20"/>
    <w:rsid w:val="00B672F2"/>
    <w:rsid w:val="00B7008F"/>
    <w:rsid w:val="00B70B0D"/>
    <w:rsid w:val="00B71217"/>
    <w:rsid w:val="00B71A91"/>
    <w:rsid w:val="00B71FE0"/>
    <w:rsid w:val="00B72127"/>
    <w:rsid w:val="00B72CE0"/>
    <w:rsid w:val="00B74153"/>
    <w:rsid w:val="00B74D5E"/>
    <w:rsid w:val="00B755DA"/>
    <w:rsid w:val="00B759E2"/>
    <w:rsid w:val="00B76BDA"/>
    <w:rsid w:val="00B77A60"/>
    <w:rsid w:val="00B77E5F"/>
    <w:rsid w:val="00B77E92"/>
    <w:rsid w:val="00B77ECC"/>
    <w:rsid w:val="00B80361"/>
    <w:rsid w:val="00B805BD"/>
    <w:rsid w:val="00B80ACC"/>
    <w:rsid w:val="00B815B2"/>
    <w:rsid w:val="00B82DAB"/>
    <w:rsid w:val="00B82ED8"/>
    <w:rsid w:val="00B83095"/>
    <w:rsid w:val="00B839F2"/>
    <w:rsid w:val="00B83FB4"/>
    <w:rsid w:val="00B84FC6"/>
    <w:rsid w:val="00B858D2"/>
    <w:rsid w:val="00B91C20"/>
    <w:rsid w:val="00B9259A"/>
    <w:rsid w:val="00B94C9F"/>
    <w:rsid w:val="00B94FF3"/>
    <w:rsid w:val="00B955AE"/>
    <w:rsid w:val="00B966B8"/>
    <w:rsid w:val="00B96A3B"/>
    <w:rsid w:val="00BA004E"/>
    <w:rsid w:val="00BA1711"/>
    <w:rsid w:val="00BA2217"/>
    <w:rsid w:val="00BA33AD"/>
    <w:rsid w:val="00BA348D"/>
    <w:rsid w:val="00BA37E3"/>
    <w:rsid w:val="00BA3E23"/>
    <w:rsid w:val="00BA40B2"/>
    <w:rsid w:val="00BA47DB"/>
    <w:rsid w:val="00BA5BC2"/>
    <w:rsid w:val="00BA5E0B"/>
    <w:rsid w:val="00BA6B8C"/>
    <w:rsid w:val="00BB011D"/>
    <w:rsid w:val="00BB0896"/>
    <w:rsid w:val="00BB0F37"/>
    <w:rsid w:val="00BB1676"/>
    <w:rsid w:val="00BB2A1F"/>
    <w:rsid w:val="00BB497D"/>
    <w:rsid w:val="00BB49E1"/>
    <w:rsid w:val="00BB558E"/>
    <w:rsid w:val="00BB6037"/>
    <w:rsid w:val="00BB6661"/>
    <w:rsid w:val="00BB6673"/>
    <w:rsid w:val="00BB6B34"/>
    <w:rsid w:val="00BB769C"/>
    <w:rsid w:val="00BC08BD"/>
    <w:rsid w:val="00BC1128"/>
    <w:rsid w:val="00BC1A28"/>
    <w:rsid w:val="00BC4A52"/>
    <w:rsid w:val="00BC507A"/>
    <w:rsid w:val="00BC5CAC"/>
    <w:rsid w:val="00BD1798"/>
    <w:rsid w:val="00BD1D4C"/>
    <w:rsid w:val="00BD2957"/>
    <w:rsid w:val="00BD41B4"/>
    <w:rsid w:val="00BD4BB0"/>
    <w:rsid w:val="00BD6B51"/>
    <w:rsid w:val="00BD78DB"/>
    <w:rsid w:val="00BE0117"/>
    <w:rsid w:val="00BE0614"/>
    <w:rsid w:val="00BE0CB7"/>
    <w:rsid w:val="00BE1CFA"/>
    <w:rsid w:val="00BE1F2C"/>
    <w:rsid w:val="00BE2602"/>
    <w:rsid w:val="00BE36D4"/>
    <w:rsid w:val="00BE3D2B"/>
    <w:rsid w:val="00BE4288"/>
    <w:rsid w:val="00BE4378"/>
    <w:rsid w:val="00BE46AE"/>
    <w:rsid w:val="00BE4A82"/>
    <w:rsid w:val="00BE4BFD"/>
    <w:rsid w:val="00BE5723"/>
    <w:rsid w:val="00BE6F94"/>
    <w:rsid w:val="00BF0E14"/>
    <w:rsid w:val="00BF2034"/>
    <w:rsid w:val="00BF211C"/>
    <w:rsid w:val="00BF27C3"/>
    <w:rsid w:val="00BF3286"/>
    <w:rsid w:val="00BF3977"/>
    <w:rsid w:val="00BF3FAD"/>
    <w:rsid w:val="00BF44BA"/>
    <w:rsid w:val="00BF4F29"/>
    <w:rsid w:val="00BF5161"/>
    <w:rsid w:val="00BF6978"/>
    <w:rsid w:val="00BF6BCC"/>
    <w:rsid w:val="00BF70D9"/>
    <w:rsid w:val="00BF7669"/>
    <w:rsid w:val="00BF7BBF"/>
    <w:rsid w:val="00BF7FF1"/>
    <w:rsid w:val="00C0110A"/>
    <w:rsid w:val="00C01BAC"/>
    <w:rsid w:val="00C0389F"/>
    <w:rsid w:val="00C03AA6"/>
    <w:rsid w:val="00C046A0"/>
    <w:rsid w:val="00C048C4"/>
    <w:rsid w:val="00C05708"/>
    <w:rsid w:val="00C0627C"/>
    <w:rsid w:val="00C06B18"/>
    <w:rsid w:val="00C074E2"/>
    <w:rsid w:val="00C0775E"/>
    <w:rsid w:val="00C10116"/>
    <w:rsid w:val="00C12C35"/>
    <w:rsid w:val="00C13407"/>
    <w:rsid w:val="00C13E5D"/>
    <w:rsid w:val="00C14423"/>
    <w:rsid w:val="00C14AB6"/>
    <w:rsid w:val="00C1557E"/>
    <w:rsid w:val="00C15A57"/>
    <w:rsid w:val="00C15EC1"/>
    <w:rsid w:val="00C16940"/>
    <w:rsid w:val="00C17D0E"/>
    <w:rsid w:val="00C17DEA"/>
    <w:rsid w:val="00C2096A"/>
    <w:rsid w:val="00C212DB"/>
    <w:rsid w:val="00C21384"/>
    <w:rsid w:val="00C21810"/>
    <w:rsid w:val="00C21AD8"/>
    <w:rsid w:val="00C25351"/>
    <w:rsid w:val="00C2596C"/>
    <w:rsid w:val="00C25BEC"/>
    <w:rsid w:val="00C26464"/>
    <w:rsid w:val="00C27D9E"/>
    <w:rsid w:val="00C27EF8"/>
    <w:rsid w:val="00C312B7"/>
    <w:rsid w:val="00C31E6E"/>
    <w:rsid w:val="00C320FA"/>
    <w:rsid w:val="00C323C1"/>
    <w:rsid w:val="00C32807"/>
    <w:rsid w:val="00C330F4"/>
    <w:rsid w:val="00C3312B"/>
    <w:rsid w:val="00C347B6"/>
    <w:rsid w:val="00C34B90"/>
    <w:rsid w:val="00C35193"/>
    <w:rsid w:val="00C35199"/>
    <w:rsid w:val="00C3584B"/>
    <w:rsid w:val="00C36328"/>
    <w:rsid w:val="00C36B3B"/>
    <w:rsid w:val="00C36E23"/>
    <w:rsid w:val="00C37545"/>
    <w:rsid w:val="00C37F34"/>
    <w:rsid w:val="00C37FD3"/>
    <w:rsid w:val="00C4126A"/>
    <w:rsid w:val="00C42FAA"/>
    <w:rsid w:val="00C44405"/>
    <w:rsid w:val="00C44C04"/>
    <w:rsid w:val="00C452FF"/>
    <w:rsid w:val="00C4531E"/>
    <w:rsid w:val="00C4696B"/>
    <w:rsid w:val="00C47406"/>
    <w:rsid w:val="00C475F3"/>
    <w:rsid w:val="00C5071B"/>
    <w:rsid w:val="00C51078"/>
    <w:rsid w:val="00C513DE"/>
    <w:rsid w:val="00C52454"/>
    <w:rsid w:val="00C52BC8"/>
    <w:rsid w:val="00C52C5B"/>
    <w:rsid w:val="00C5351E"/>
    <w:rsid w:val="00C535CC"/>
    <w:rsid w:val="00C541C5"/>
    <w:rsid w:val="00C55BFA"/>
    <w:rsid w:val="00C55CEB"/>
    <w:rsid w:val="00C55F05"/>
    <w:rsid w:val="00C57B01"/>
    <w:rsid w:val="00C57C19"/>
    <w:rsid w:val="00C602BF"/>
    <w:rsid w:val="00C613E8"/>
    <w:rsid w:val="00C61C7A"/>
    <w:rsid w:val="00C632DF"/>
    <w:rsid w:val="00C63672"/>
    <w:rsid w:val="00C63AF8"/>
    <w:rsid w:val="00C64550"/>
    <w:rsid w:val="00C647B3"/>
    <w:rsid w:val="00C64FE1"/>
    <w:rsid w:val="00C66939"/>
    <w:rsid w:val="00C66D57"/>
    <w:rsid w:val="00C67488"/>
    <w:rsid w:val="00C677E0"/>
    <w:rsid w:val="00C70243"/>
    <w:rsid w:val="00C709A3"/>
    <w:rsid w:val="00C718BF"/>
    <w:rsid w:val="00C72010"/>
    <w:rsid w:val="00C73A55"/>
    <w:rsid w:val="00C751C2"/>
    <w:rsid w:val="00C755BE"/>
    <w:rsid w:val="00C75B9B"/>
    <w:rsid w:val="00C77298"/>
    <w:rsid w:val="00C7777D"/>
    <w:rsid w:val="00C77A42"/>
    <w:rsid w:val="00C80DF8"/>
    <w:rsid w:val="00C822AC"/>
    <w:rsid w:val="00C8242F"/>
    <w:rsid w:val="00C82974"/>
    <w:rsid w:val="00C829DD"/>
    <w:rsid w:val="00C82CAB"/>
    <w:rsid w:val="00C8434D"/>
    <w:rsid w:val="00C84DE6"/>
    <w:rsid w:val="00C855CC"/>
    <w:rsid w:val="00C85B62"/>
    <w:rsid w:val="00C87FF8"/>
    <w:rsid w:val="00C91AC7"/>
    <w:rsid w:val="00C92630"/>
    <w:rsid w:val="00C929F1"/>
    <w:rsid w:val="00C931AB"/>
    <w:rsid w:val="00C935FF"/>
    <w:rsid w:val="00C941E8"/>
    <w:rsid w:val="00C943B0"/>
    <w:rsid w:val="00C947C7"/>
    <w:rsid w:val="00C9553F"/>
    <w:rsid w:val="00C95907"/>
    <w:rsid w:val="00C96430"/>
    <w:rsid w:val="00CA04FF"/>
    <w:rsid w:val="00CA0F61"/>
    <w:rsid w:val="00CA1125"/>
    <w:rsid w:val="00CA1BA1"/>
    <w:rsid w:val="00CA25EB"/>
    <w:rsid w:val="00CA2EF1"/>
    <w:rsid w:val="00CA3F63"/>
    <w:rsid w:val="00CA4519"/>
    <w:rsid w:val="00CA62FB"/>
    <w:rsid w:val="00CA7674"/>
    <w:rsid w:val="00CA7DFE"/>
    <w:rsid w:val="00CB0C04"/>
    <w:rsid w:val="00CB0F1A"/>
    <w:rsid w:val="00CB133F"/>
    <w:rsid w:val="00CB2454"/>
    <w:rsid w:val="00CB5685"/>
    <w:rsid w:val="00CB5AF9"/>
    <w:rsid w:val="00CC07BF"/>
    <w:rsid w:val="00CC1D64"/>
    <w:rsid w:val="00CC246F"/>
    <w:rsid w:val="00CC2821"/>
    <w:rsid w:val="00CC3264"/>
    <w:rsid w:val="00CC34AC"/>
    <w:rsid w:val="00CC41A9"/>
    <w:rsid w:val="00CC4AB5"/>
    <w:rsid w:val="00CC6448"/>
    <w:rsid w:val="00CD04EB"/>
    <w:rsid w:val="00CD0B3B"/>
    <w:rsid w:val="00CD20C6"/>
    <w:rsid w:val="00CD266E"/>
    <w:rsid w:val="00CD2A22"/>
    <w:rsid w:val="00CD3163"/>
    <w:rsid w:val="00CD3175"/>
    <w:rsid w:val="00CD4AD1"/>
    <w:rsid w:val="00CD4DB8"/>
    <w:rsid w:val="00CD4F6F"/>
    <w:rsid w:val="00CD5749"/>
    <w:rsid w:val="00CD5D32"/>
    <w:rsid w:val="00CD70BB"/>
    <w:rsid w:val="00CE0317"/>
    <w:rsid w:val="00CE0FC6"/>
    <w:rsid w:val="00CE13C2"/>
    <w:rsid w:val="00CE2DD6"/>
    <w:rsid w:val="00CE3934"/>
    <w:rsid w:val="00CE5695"/>
    <w:rsid w:val="00CE6D85"/>
    <w:rsid w:val="00CE6ED0"/>
    <w:rsid w:val="00CF0ED9"/>
    <w:rsid w:val="00CF0F3B"/>
    <w:rsid w:val="00CF1140"/>
    <w:rsid w:val="00CF2351"/>
    <w:rsid w:val="00CF24C1"/>
    <w:rsid w:val="00CF3249"/>
    <w:rsid w:val="00CF335B"/>
    <w:rsid w:val="00CF42BC"/>
    <w:rsid w:val="00CF56E2"/>
    <w:rsid w:val="00CF5DF6"/>
    <w:rsid w:val="00CF63A1"/>
    <w:rsid w:val="00D00202"/>
    <w:rsid w:val="00D02B23"/>
    <w:rsid w:val="00D02EE9"/>
    <w:rsid w:val="00D032DC"/>
    <w:rsid w:val="00D0330B"/>
    <w:rsid w:val="00D0354C"/>
    <w:rsid w:val="00D035FE"/>
    <w:rsid w:val="00D03E2D"/>
    <w:rsid w:val="00D05B5D"/>
    <w:rsid w:val="00D05E3F"/>
    <w:rsid w:val="00D06023"/>
    <w:rsid w:val="00D068FA"/>
    <w:rsid w:val="00D072BB"/>
    <w:rsid w:val="00D102C5"/>
    <w:rsid w:val="00D108FA"/>
    <w:rsid w:val="00D1215F"/>
    <w:rsid w:val="00D1219B"/>
    <w:rsid w:val="00D13959"/>
    <w:rsid w:val="00D13A5B"/>
    <w:rsid w:val="00D13CE2"/>
    <w:rsid w:val="00D14101"/>
    <w:rsid w:val="00D15AF3"/>
    <w:rsid w:val="00D16055"/>
    <w:rsid w:val="00D1670D"/>
    <w:rsid w:val="00D170FD"/>
    <w:rsid w:val="00D17B72"/>
    <w:rsid w:val="00D20689"/>
    <w:rsid w:val="00D2196A"/>
    <w:rsid w:val="00D221E4"/>
    <w:rsid w:val="00D235E7"/>
    <w:rsid w:val="00D238A3"/>
    <w:rsid w:val="00D23D0C"/>
    <w:rsid w:val="00D24E5B"/>
    <w:rsid w:val="00D25862"/>
    <w:rsid w:val="00D25BB1"/>
    <w:rsid w:val="00D26513"/>
    <w:rsid w:val="00D26A37"/>
    <w:rsid w:val="00D26AA4"/>
    <w:rsid w:val="00D273E2"/>
    <w:rsid w:val="00D305FA"/>
    <w:rsid w:val="00D31181"/>
    <w:rsid w:val="00D31370"/>
    <w:rsid w:val="00D31601"/>
    <w:rsid w:val="00D3298F"/>
    <w:rsid w:val="00D32DCA"/>
    <w:rsid w:val="00D331AC"/>
    <w:rsid w:val="00D33B5B"/>
    <w:rsid w:val="00D35CA1"/>
    <w:rsid w:val="00D3625F"/>
    <w:rsid w:val="00D3659F"/>
    <w:rsid w:val="00D37C27"/>
    <w:rsid w:val="00D37FE6"/>
    <w:rsid w:val="00D420DD"/>
    <w:rsid w:val="00D43375"/>
    <w:rsid w:val="00D43FD2"/>
    <w:rsid w:val="00D4430D"/>
    <w:rsid w:val="00D445AB"/>
    <w:rsid w:val="00D4510A"/>
    <w:rsid w:val="00D45466"/>
    <w:rsid w:val="00D4593F"/>
    <w:rsid w:val="00D45BEE"/>
    <w:rsid w:val="00D45C52"/>
    <w:rsid w:val="00D46377"/>
    <w:rsid w:val="00D4686D"/>
    <w:rsid w:val="00D46935"/>
    <w:rsid w:val="00D46BD0"/>
    <w:rsid w:val="00D4714E"/>
    <w:rsid w:val="00D473C8"/>
    <w:rsid w:val="00D47AE7"/>
    <w:rsid w:val="00D47FFA"/>
    <w:rsid w:val="00D5033E"/>
    <w:rsid w:val="00D51058"/>
    <w:rsid w:val="00D5149C"/>
    <w:rsid w:val="00D51AED"/>
    <w:rsid w:val="00D51BE8"/>
    <w:rsid w:val="00D52D12"/>
    <w:rsid w:val="00D54EA4"/>
    <w:rsid w:val="00D55DE8"/>
    <w:rsid w:val="00D55F76"/>
    <w:rsid w:val="00D568BA"/>
    <w:rsid w:val="00D60574"/>
    <w:rsid w:val="00D60AF4"/>
    <w:rsid w:val="00D6349B"/>
    <w:rsid w:val="00D659AF"/>
    <w:rsid w:val="00D65DB5"/>
    <w:rsid w:val="00D66B33"/>
    <w:rsid w:val="00D6704B"/>
    <w:rsid w:val="00D6760B"/>
    <w:rsid w:val="00D67645"/>
    <w:rsid w:val="00D67F4D"/>
    <w:rsid w:val="00D712F0"/>
    <w:rsid w:val="00D730C4"/>
    <w:rsid w:val="00D73767"/>
    <w:rsid w:val="00D740AB"/>
    <w:rsid w:val="00D7423A"/>
    <w:rsid w:val="00D74E48"/>
    <w:rsid w:val="00D76735"/>
    <w:rsid w:val="00D76AFE"/>
    <w:rsid w:val="00D77144"/>
    <w:rsid w:val="00D77BB9"/>
    <w:rsid w:val="00D77E56"/>
    <w:rsid w:val="00D809A9"/>
    <w:rsid w:val="00D81DB2"/>
    <w:rsid w:val="00D832BC"/>
    <w:rsid w:val="00D83DAA"/>
    <w:rsid w:val="00D85031"/>
    <w:rsid w:val="00D857BB"/>
    <w:rsid w:val="00D85AEC"/>
    <w:rsid w:val="00D8738E"/>
    <w:rsid w:val="00D909A8"/>
    <w:rsid w:val="00D91255"/>
    <w:rsid w:val="00D92AC9"/>
    <w:rsid w:val="00D92AF5"/>
    <w:rsid w:val="00D92DBD"/>
    <w:rsid w:val="00D9332A"/>
    <w:rsid w:val="00D93D38"/>
    <w:rsid w:val="00D95078"/>
    <w:rsid w:val="00D95A4E"/>
    <w:rsid w:val="00D96BC4"/>
    <w:rsid w:val="00DA036B"/>
    <w:rsid w:val="00DA0856"/>
    <w:rsid w:val="00DA1CED"/>
    <w:rsid w:val="00DA2F99"/>
    <w:rsid w:val="00DA41FC"/>
    <w:rsid w:val="00DA5C14"/>
    <w:rsid w:val="00DA61A9"/>
    <w:rsid w:val="00DA6728"/>
    <w:rsid w:val="00DA7E23"/>
    <w:rsid w:val="00DB0BF6"/>
    <w:rsid w:val="00DB0FB2"/>
    <w:rsid w:val="00DB4B59"/>
    <w:rsid w:val="00DB4CE9"/>
    <w:rsid w:val="00DB5142"/>
    <w:rsid w:val="00DB5D91"/>
    <w:rsid w:val="00DC0545"/>
    <w:rsid w:val="00DC10DE"/>
    <w:rsid w:val="00DC129D"/>
    <w:rsid w:val="00DC1ACB"/>
    <w:rsid w:val="00DC237C"/>
    <w:rsid w:val="00DC2622"/>
    <w:rsid w:val="00DC2909"/>
    <w:rsid w:val="00DC2D74"/>
    <w:rsid w:val="00DC4414"/>
    <w:rsid w:val="00DC5F8C"/>
    <w:rsid w:val="00DC6D27"/>
    <w:rsid w:val="00DC78D8"/>
    <w:rsid w:val="00DC7E2B"/>
    <w:rsid w:val="00DD0418"/>
    <w:rsid w:val="00DD21BC"/>
    <w:rsid w:val="00DD27CA"/>
    <w:rsid w:val="00DD3675"/>
    <w:rsid w:val="00DD4097"/>
    <w:rsid w:val="00DD4B1A"/>
    <w:rsid w:val="00DD5D2D"/>
    <w:rsid w:val="00DD5FF8"/>
    <w:rsid w:val="00DD6773"/>
    <w:rsid w:val="00DD683F"/>
    <w:rsid w:val="00DE192F"/>
    <w:rsid w:val="00DE1ABB"/>
    <w:rsid w:val="00DE2F95"/>
    <w:rsid w:val="00DE34C3"/>
    <w:rsid w:val="00DE4356"/>
    <w:rsid w:val="00DE571B"/>
    <w:rsid w:val="00DE5E94"/>
    <w:rsid w:val="00DE6CDB"/>
    <w:rsid w:val="00DE78BF"/>
    <w:rsid w:val="00DE7A77"/>
    <w:rsid w:val="00DF1E6A"/>
    <w:rsid w:val="00DF31D5"/>
    <w:rsid w:val="00DF487B"/>
    <w:rsid w:val="00DF5DD7"/>
    <w:rsid w:val="00DF7082"/>
    <w:rsid w:val="00DF7357"/>
    <w:rsid w:val="00DF73B9"/>
    <w:rsid w:val="00DF782E"/>
    <w:rsid w:val="00DF78F7"/>
    <w:rsid w:val="00E00147"/>
    <w:rsid w:val="00E003AE"/>
    <w:rsid w:val="00E0058C"/>
    <w:rsid w:val="00E00880"/>
    <w:rsid w:val="00E008F5"/>
    <w:rsid w:val="00E01118"/>
    <w:rsid w:val="00E019DE"/>
    <w:rsid w:val="00E058FB"/>
    <w:rsid w:val="00E079B6"/>
    <w:rsid w:val="00E10459"/>
    <w:rsid w:val="00E112B7"/>
    <w:rsid w:val="00E11781"/>
    <w:rsid w:val="00E12262"/>
    <w:rsid w:val="00E12615"/>
    <w:rsid w:val="00E12BBE"/>
    <w:rsid w:val="00E13A5D"/>
    <w:rsid w:val="00E13BA4"/>
    <w:rsid w:val="00E14817"/>
    <w:rsid w:val="00E14DD0"/>
    <w:rsid w:val="00E1756E"/>
    <w:rsid w:val="00E178C3"/>
    <w:rsid w:val="00E20A86"/>
    <w:rsid w:val="00E23054"/>
    <w:rsid w:val="00E2338F"/>
    <w:rsid w:val="00E24149"/>
    <w:rsid w:val="00E24620"/>
    <w:rsid w:val="00E24A97"/>
    <w:rsid w:val="00E24D09"/>
    <w:rsid w:val="00E25899"/>
    <w:rsid w:val="00E27587"/>
    <w:rsid w:val="00E30843"/>
    <w:rsid w:val="00E31004"/>
    <w:rsid w:val="00E317FE"/>
    <w:rsid w:val="00E31F12"/>
    <w:rsid w:val="00E323C1"/>
    <w:rsid w:val="00E33A05"/>
    <w:rsid w:val="00E33DFB"/>
    <w:rsid w:val="00E340E6"/>
    <w:rsid w:val="00E34E77"/>
    <w:rsid w:val="00E358F7"/>
    <w:rsid w:val="00E3626D"/>
    <w:rsid w:val="00E36F14"/>
    <w:rsid w:val="00E373C7"/>
    <w:rsid w:val="00E378A7"/>
    <w:rsid w:val="00E404FE"/>
    <w:rsid w:val="00E41894"/>
    <w:rsid w:val="00E41CE9"/>
    <w:rsid w:val="00E42C7D"/>
    <w:rsid w:val="00E436AA"/>
    <w:rsid w:val="00E43E3B"/>
    <w:rsid w:val="00E44119"/>
    <w:rsid w:val="00E46760"/>
    <w:rsid w:val="00E46C0B"/>
    <w:rsid w:val="00E4732F"/>
    <w:rsid w:val="00E479B5"/>
    <w:rsid w:val="00E500B9"/>
    <w:rsid w:val="00E51F0E"/>
    <w:rsid w:val="00E520D7"/>
    <w:rsid w:val="00E52E16"/>
    <w:rsid w:val="00E5334F"/>
    <w:rsid w:val="00E53355"/>
    <w:rsid w:val="00E533EA"/>
    <w:rsid w:val="00E53407"/>
    <w:rsid w:val="00E53BFC"/>
    <w:rsid w:val="00E53F35"/>
    <w:rsid w:val="00E547D2"/>
    <w:rsid w:val="00E55645"/>
    <w:rsid w:val="00E55C4A"/>
    <w:rsid w:val="00E55FD4"/>
    <w:rsid w:val="00E56023"/>
    <w:rsid w:val="00E56309"/>
    <w:rsid w:val="00E57CC1"/>
    <w:rsid w:val="00E605E4"/>
    <w:rsid w:val="00E608A7"/>
    <w:rsid w:val="00E62283"/>
    <w:rsid w:val="00E6236D"/>
    <w:rsid w:val="00E6317D"/>
    <w:rsid w:val="00E6360C"/>
    <w:rsid w:val="00E63D98"/>
    <w:rsid w:val="00E656E1"/>
    <w:rsid w:val="00E65F30"/>
    <w:rsid w:val="00E66463"/>
    <w:rsid w:val="00E6679B"/>
    <w:rsid w:val="00E66B55"/>
    <w:rsid w:val="00E6729C"/>
    <w:rsid w:val="00E6782D"/>
    <w:rsid w:val="00E71665"/>
    <w:rsid w:val="00E71AC2"/>
    <w:rsid w:val="00E72314"/>
    <w:rsid w:val="00E73C09"/>
    <w:rsid w:val="00E7412A"/>
    <w:rsid w:val="00E7427A"/>
    <w:rsid w:val="00E75A64"/>
    <w:rsid w:val="00E7698A"/>
    <w:rsid w:val="00E77626"/>
    <w:rsid w:val="00E8006B"/>
    <w:rsid w:val="00E80283"/>
    <w:rsid w:val="00E81BA2"/>
    <w:rsid w:val="00E81FA7"/>
    <w:rsid w:val="00E82514"/>
    <w:rsid w:val="00E83418"/>
    <w:rsid w:val="00E83690"/>
    <w:rsid w:val="00E84180"/>
    <w:rsid w:val="00E842E1"/>
    <w:rsid w:val="00E84EA9"/>
    <w:rsid w:val="00E85050"/>
    <w:rsid w:val="00E852F8"/>
    <w:rsid w:val="00E853BF"/>
    <w:rsid w:val="00E858EE"/>
    <w:rsid w:val="00E85B1D"/>
    <w:rsid w:val="00E85BB6"/>
    <w:rsid w:val="00E9091B"/>
    <w:rsid w:val="00E90DA6"/>
    <w:rsid w:val="00E91175"/>
    <w:rsid w:val="00E9274D"/>
    <w:rsid w:val="00E9312E"/>
    <w:rsid w:val="00E93A6F"/>
    <w:rsid w:val="00E93BCA"/>
    <w:rsid w:val="00E942A0"/>
    <w:rsid w:val="00E95743"/>
    <w:rsid w:val="00E96686"/>
    <w:rsid w:val="00E9753A"/>
    <w:rsid w:val="00E97A47"/>
    <w:rsid w:val="00EA2D4A"/>
    <w:rsid w:val="00EA3EB9"/>
    <w:rsid w:val="00EA47E4"/>
    <w:rsid w:val="00EA4A13"/>
    <w:rsid w:val="00EA59AE"/>
    <w:rsid w:val="00EA5B05"/>
    <w:rsid w:val="00EA6FB8"/>
    <w:rsid w:val="00EA72C8"/>
    <w:rsid w:val="00EA7886"/>
    <w:rsid w:val="00EA7C61"/>
    <w:rsid w:val="00EB004C"/>
    <w:rsid w:val="00EB1176"/>
    <w:rsid w:val="00EB1E25"/>
    <w:rsid w:val="00EB2CDB"/>
    <w:rsid w:val="00EB33FF"/>
    <w:rsid w:val="00EB346F"/>
    <w:rsid w:val="00EB41E4"/>
    <w:rsid w:val="00EB425C"/>
    <w:rsid w:val="00EB532F"/>
    <w:rsid w:val="00EB57DB"/>
    <w:rsid w:val="00EB6320"/>
    <w:rsid w:val="00EC182F"/>
    <w:rsid w:val="00EC1B5C"/>
    <w:rsid w:val="00EC1D6E"/>
    <w:rsid w:val="00EC206F"/>
    <w:rsid w:val="00EC27E2"/>
    <w:rsid w:val="00EC3354"/>
    <w:rsid w:val="00EC5869"/>
    <w:rsid w:val="00EC5A6D"/>
    <w:rsid w:val="00EC5D30"/>
    <w:rsid w:val="00EC67D1"/>
    <w:rsid w:val="00EC73BA"/>
    <w:rsid w:val="00EC76E6"/>
    <w:rsid w:val="00EC7B92"/>
    <w:rsid w:val="00ED0568"/>
    <w:rsid w:val="00ED0BA9"/>
    <w:rsid w:val="00ED16ED"/>
    <w:rsid w:val="00ED1955"/>
    <w:rsid w:val="00ED1ED9"/>
    <w:rsid w:val="00ED219A"/>
    <w:rsid w:val="00ED220E"/>
    <w:rsid w:val="00ED374C"/>
    <w:rsid w:val="00ED51BB"/>
    <w:rsid w:val="00ED67FA"/>
    <w:rsid w:val="00ED6CDD"/>
    <w:rsid w:val="00ED706B"/>
    <w:rsid w:val="00ED71D7"/>
    <w:rsid w:val="00ED7A13"/>
    <w:rsid w:val="00EE0615"/>
    <w:rsid w:val="00EE0673"/>
    <w:rsid w:val="00EE2501"/>
    <w:rsid w:val="00EE2797"/>
    <w:rsid w:val="00EE298E"/>
    <w:rsid w:val="00EE2F85"/>
    <w:rsid w:val="00EE3803"/>
    <w:rsid w:val="00EE42A6"/>
    <w:rsid w:val="00EE5042"/>
    <w:rsid w:val="00EE520E"/>
    <w:rsid w:val="00EE5AF1"/>
    <w:rsid w:val="00EE691F"/>
    <w:rsid w:val="00EE770B"/>
    <w:rsid w:val="00EE79F4"/>
    <w:rsid w:val="00EF0417"/>
    <w:rsid w:val="00EF0A33"/>
    <w:rsid w:val="00EF183B"/>
    <w:rsid w:val="00EF32FD"/>
    <w:rsid w:val="00EF37C5"/>
    <w:rsid w:val="00EF3D3F"/>
    <w:rsid w:val="00EF4506"/>
    <w:rsid w:val="00EF49AD"/>
    <w:rsid w:val="00EF4ECC"/>
    <w:rsid w:val="00EF542D"/>
    <w:rsid w:val="00EF55CA"/>
    <w:rsid w:val="00EF638E"/>
    <w:rsid w:val="00EF6971"/>
    <w:rsid w:val="00EF7FF4"/>
    <w:rsid w:val="00F0008A"/>
    <w:rsid w:val="00F005A4"/>
    <w:rsid w:val="00F01749"/>
    <w:rsid w:val="00F0408E"/>
    <w:rsid w:val="00F046A2"/>
    <w:rsid w:val="00F05085"/>
    <w:rsid w:val="00F056A5"/>
    <w:rsid w:val="00F06E69"/>
    <w:rsid w:val="00F103AD"/>
    <w:rsid w:val="00F105DD"/>
    <w:rsid w:val="00F106BE"/>
    <w:rsid w:val="00F107CA"/>
    <w:rsid w:val="00F118A0"/>
    <w:rsid w:val="00F1358F"/>
    <w:rsid w:val="00F1448E"/>
    <w:rsid w:val="00F14946"/>
    <w:rsid w:val="00F153BF"/>
    <w:rsid w:val="00F15D23"/>
    <w:rsid w:val="00F167C6"/>
    <w:rsid w:val="00F1704A"/>
    <w:rsid w:val="00F174DA"/>
    <w:rsid w:val="00F21544"/>
    <w:rsid w:val="00F22047"/>
    <w:rsid w:val="00F22328"/>
    <w:rsid w:val="00F300D2"/>
    <w:rsid w:val="00F303C5"/>
    <w:rsid w:val="00F30510"/>
    <w:rsid w:val="00F30524"/>
    <w:rsid w:val="00F30B5E"/>
    <w:rsid w:val="00F31676"/>
    <w:rsid w:val="00F32959"/>
    <w:rsid w:val="00F32A52"/>
    <w:rsid w:val="00F334D1"/>
    <w:rsid w:val="00F33595"/>
    <w:rsid w:val="00F34C00"/>
    <w:rsid w:val="00F36644"/>
    <w:rsid w:val="00F37089"/>
    <w:rsid w:val="00F37EE3"/>
    <w:rsid w:val="00F407C9"/>
    <w:rsid w:val="00F423BE"/>
    <w:rsid w:val="00F437C7"/>
    <w:rsid w:val="00F43A5E"/>
    <w:rsid w:val="00F43D83"/>
    <w:rsid w:val="00F4403E"/>
    <w:rsid w:val="00F441C6"/>
    <w:rsid w:val="00F44C8C"/>
    <w:rsid w:val="00F45058"/>
    <w:rsid w:val="00F456A5"/>
    <w:rsid w:val="00F45BC0"/>
    <w:rsid w:val="00F45EBD"/>
    <w:rsid w:val="00F4655E"/>
    <w:rsid w:val="00F46AC7"/>
    <w:rsid w:val="00F470D5"/>
    <w:rsid w:val="00F474C1"/>
    <w:rsid w:val="00F47DD9"/>
    <w:rsid w:val="00F5243E"/>
    <w:rsid w:val="00F5323B"/>
    <w:rsid w:val="00F53A1A"/>
    <w:rsid w:val="00F53C60"/>
    <w:rsid w:val="00F53FEA"/>
    <w:rsid w:val="00F54DDC"/>
    <w:rsid w:val="00F5530A"/>
    <w:rsid w:val="00F55709"/>
    <w:rsid w:val="00F557F7"/>
    <w:rsid w:val="00F55908"/>
    <w:rsid w:val="00F55A21"/>
    <w:rsid w:val="00F55F87"/>
    <w:rsid w:val="00F56347"/>
    <w:rsid w:val="00F56622"/>
    <w:rsid w:val="00F60AC0"/>
    <w:rsid w:val="00F61233"/>
    <w:rsid w:val="00F6257E"/>
    <w:rsid w:val="00F64081"/>
    <w:rsid w:val="00F663D8"/>
    <w:rsid w:val="00F705DA"/>
    <w:rsid w:val="00F73A65"/>
    <w:rsid w:val="00F74302"/>
    <w:rsid w:val="00F763F0"/>
    <w:rsid w:val="00F76AC5"/>
    <w:rsid w:val="00F770E9"/>
    <w:rsid w:val="00F77831"/>
    <w:rsid w:val="00F7799A"/>
    <w:rsid w:val="00F80398"/>
    <w:rsid w:val="00F81597"/>
    <w:rsid w:val="00F8170E"/>
    <w:rsid w:val="00F81E3B"/>
    <w:rsid w:val="00F828F4"/>
    <w:rsid w:val="00F82ED1"/>
    <w:rsid w:val="00F836EB"/>
    <w:rsid w:val="00F840AE"/>
    <w:rsid w:val="00F84604"/>
    <w:rsid w:val="00F84DAB"/>
    <w:rsid w:val="00F854B4"/>
    <w:rsid w:val="00F854BB"/>
    <w:rsid w:val="00F8632C"/>
    <w:rsid w:val="00F86878"/>
    <w:rsid w:val="00F87654"/>
    <w:rsid w:val="00F87C79"/>
    <w:rsid w:val="00F9017C"/>
    <w:rsid w:val="00F902D2"/>
    <w:rsid w:val="00F915EE"/>
    <w:rsid w:val="00F91F64"/>
    <w:rsid w:val="00F93534"/>
    <w:rsid w:val="00F943CC"/>
    <w:rsid w:val="00F94FBB"/>
    <w:rsid w:val="00F95119"/>
    <w:rsid w:val="00F95C8B"/>
    <w:rsid w:val="00F974E8"/>
    <w:rsid w:val="00F97A09"/>
    <w:rsid w:val="00FA1F7E"/>
    <w:rsid w:val="00FA2248"/>
    <w:rsid w:val="00FA2B76"/>
    <w:rsid w:val="00FA2CEF"/>
    <w:rsid w:val="00FA4503"/>
    <w:rsid w:val="00FA4A62"/>
    <w:rsid w:val="00FA4E8F"/>
    <w:rsid w:val="00FA4F32"/>
    <w:rsid w:val="00FA5A59"/>
    <w:rsid w:val="00FA5C8F"/>
    <w:rsid w:val="00FA5E60"/>
    <w:rsid w:val="00FA6763"/>
    <w:rsid w:val="00FA6D98"/>
    <w:rsid w:val="00FA7CBC"/>
    <w:rsid w:val="00FA7CF0"/>
    <w:rsid w:val="00FB1B54"/>
    <w:rsid w:val="00FB1D37"/>
    <w:rsid w:val="00FB2D9E"/>
    <w:rsid w:val="00FB38D0"/>
    <w:rsid w:val="00FB505C"/>
    <w:rsid w:val="00FB5111"/>
    <w:rsid w:val="00FB5292"/>
    <w:rsid w:val="00FB5B93"/>
    <w:rsid w:val="00FB68D6"/>
    <w:rsid w:val="00FB6BED"/>
    <w:rsid w:val="00FB7825"/>
    <w:rsid w:val="00FB78C6"/>
    <w:rsid w:val="00FC06ED"/>
    <w:rsid w:val="00FC0A89"/>
    <w:rsid w:val="00FC0C06"/>
    <w:rsid w:val="00FC117C"/>
    <w:rsid w:val="00FC1282"/>
    <w:rsid w:val="00FC28BE"/>
    <w:rsid w:val="00FC456E"/>
    <w:rsid w:val="00FC4DB3"/>
    <w:rsid w:val="00FC53A0"/>
    <w:rsid w:val="00FC5544"/>
    <w:rsid w:val="00FC5628"/>
    <w:rsid w:val="00FC62A4"/>
    <w:rsid w:val="00FC644A"/>
    <w:rsid w:val="00FC6DC8"/>
    <w:rsid w:val="00FC7247"/>
    <w:rsid w:val="00FC7B8F"/>
    <w:rsid w:val="00FD25E4"/>
    <w:rsid w:val="00FD2F9E"/>
    <w:rsid w:val="00FD35FE"/>
    <w:rsid w:val="00FD52B3"/>
    <w:rsid w:val="00FD56CF"/>
    <w:rsid w:val="00FD600B"/>
    <w:rsid w:val="00FD6E3F"/>
    <w:rsid w:val="00FD7BA4"/>
    <w:rsid w:val="00FD7D21"/>
    <w:rsid w:val="00FE02BE"/>
    <w:rsid w:val="00FE0F10"/>
    <w:rsid w:val="00FE1494"/>
    <w:rsid w:val="00FE30FD"/>
    <w:rsid w:val="00FE452B"/>
    <w:rsid w:val="00FE47C9"/>
    <w:rsid w:val="00FE5046"/>
    <w:rsid w:val="00FE6321"/>
    <w:rsid w:val="00FE751B"/>
    <w:rsid w:val="00FE787D"/>
    <w:rsid w:val="00FE7F97"/>
    <w:rsid w:val="00FF0CFC"/>
    <w:rsid w:val="00FF23A5"/>
    <w:rsid w:val="00FF2654"/>
    <w:rsid w:val="00FF310A"/>
    <w:rsid w:val="00FF4E30"/>
    <w:rsid w:val="00FF6D8C"/>
    <w:rsid w:val="00FF7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3548D9"/>
  <w15:chartTrackingRefBased/>
  <w15:docId w15:val="{08AF5FAD-693B-4303-AFB0-3882A33E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table of figures" w:uiPriority="99"/>
    <w:lsdException w:name="footnote reference" w:locked="1"/>
    <w:lsdException w:name="endnote reference" w:locked="1"/>
    <w:lsdException w:name="endnote text" w:locked="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2E"/>
    <w:pPr>
      <w:jc w:val="both"/>
    </w:pPr>
    <w:rPr>
      <w:rFonts w:ascii="Times New Roman" w:hAnsi="Times New Roman"/>
      <w:sz w:val="22"/>
      <w:szCs w:val="22"/>
    </w:rPr>
  </w:style>
  <w:style w:type="paragraph" w:styleId="Heading1">
    <w:name w:val="heading 1"/>
    <w:basedOn w:val="Normal"/>
    <w:next w:val="Normal"/>
    <w:link w:val="Heading1Char"/>
    <w:qFormat/>
    <w:rsid w:val="009D571A"/>
    <w:pPr>
      <w:keepNext/>
      <w:keepLines/>
      <w:numPr>
        <w:numId w:val="2"/>
      </w:numPr>
      <w:tabs>
        <w:tab w:val="clear" w:pos="900"/>
        <w:tab w:val="left" w:pos="720"/>
      </w:tabs>
      <w:spacing w:before="240" w:after="120"/>
      <w:ind w:left="0"/>
      <w:outlineLvl w:val="0"/>
    </w:pPr>
    <w:rPr>
      <w:rFonts w:cs="Times New Roman"/>
      <w:b/>
      <w:bCs/>
      <w:smallCaps/>
      <w:color w:val="365F91"/>
      <w:sz w:val="28"/>
      <w:szCs w:val="28"/>
    </w:rPr>
  </w:style>
  <w:style w:type="paragraph" w:styleId="Heading2">
    <w:name w:val="heading 2"/>
    <w:basedOn w:val="Normal"/>
    <w:next w:val="Normal"/>
    <w:link w:val="Heading2Char"/>
    <w:qFormat/>
    <w:rsid w:val="009D571A"/>
    <w:pPr>
      <w:keepNext/>
      <w:keepLines/>
      <w:numPr>
        <w:ilvl w:val="1"/>
        <w:numId w:val="2"/>
      </w:numPr>
      <w:spacing w:before="200"/>
      <w:outlineLvl w:val="1"/>
    </w:pPr>
    <w:rPr>
      <w:rFonts w:cs="Times New Roman"/>
      <w:b/>
      <w:bCs/>
      <w:color w:val="4F81BD"/>
    </w:rPr>
  </w:style>
  <w:style w:type="paragraph" w:styleId="Heading3">
    <w:name w:val="heading 3"/>
    <w:basedOn w:val="Normal"/>
    <w:next w:val="Normal"/>
    <w:link w:val="Heading3Char"/>
    <w:qFormat/>
    <w:rsid w:val="000A49D6"/>
    <w:pPr>
      <w:keepNext/>
      <w:keepLines/>
      <w:numPr>
        <w:ilvl w:val="2"/>
        <w:numId w:val="2"/>
      </w:numPr>
      <w:spacing w:before="200"/>
      <w:outlineLvl w:val="2"/>
    </w:pPr>
    <w:rPr>
      <w:rFonts w:cs="Times New Roman"/>
      <w:bCs/>
      <w:color w:val="4F81BD"/>
    </w:rPr>
  </w:style>
  <w:style w:type="paragraph" w:styleId="Heading5">
    <w:name w:val="heading 5"/>
    <w:basedOn w:val="Normal"/>
    <w:next w:val="Normal"/>
    <w:link w:val="Heading5Char"/>
    <w:qFormat/>
    <w:rsid w:val="00265D96"/>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340E6"/>
    <w:pPr>
      <w:ind w:left="720"/>
    </w:pPr>
  </w:style>
  <w:style w:type="character" w:customStyle="1" w:styleId="ListParagraphChar">
    <w:name w:val="List Paragraph Char"/>
    <w:link w:val="ListParagraph"/>
    <w:locked/>
    <w:rsid w:val="00E340E6"/>
    <w:rPr>
      <w:rFonts w:ascii="Times New Roman" w:hAnsi="Times New Roman" w:cs="Times New Roman"/>
    </w:rPr>
  </w:style>
  <w:style w:type="paragraph" w:customStyle="1" w:styleId="m">
    <w:name w:val="m"/>
    <w:basedOn w:val="Normal"/>
    <w:rsid w:val="00C35199"/>
    <w:pPr>
      <w:numPr>
        <w:numId w:val="1"/>
      </w:numPr>
      <w:autoSpaceDE w:val="0"/>
      <w:autoSpaceDN w:val="0"/>
      <w:adjustRightInd w:val="0"/>
      <w:spacing w:before="120" w:line="220" w:lineRule="atLeast"/>
    </w:pPr>
    <w:rPr>
      <w:rFonts w:cs="Times New Roman"/>
      <w:bCs/>
      <w:szCs w:val="20"/>
    </w:rPr>
  </w:style>
  <w:style w:type="character" w:customStyle="1" w:styleId="Heading1Char">
    <w:name w:val="Heading 1 Char"/>
    <w:link w:val="Heading1"/>
    <w:locked/>
    <w:rsid w:val="009D571A"/>
    <w:rPr>
      <w:rFonts w:ascii="Times New Roman" w:hAnsi="Times New Roman" w:cs="Times New Roman"/>
      <w:b/>
      <w:bCs/>
      <w:smallCaps/>
      <w:color w:val="365F91"/>
      <w:sz w:val="28"/>
      <w:szCs w:val="28"/>
    </w:rPr>
  </w:style>
  <w:style w:type="character" w:customStyle="1" w:styleId="Heading2Char">
    <w:name w:val="Heading 2 Char"/>
    <w:link w:val="Heading2"/>
    <w:locked/>
    <w:rsid w:val="009D571A"/>
    <w:rPr>
      <w:rFonts w:ascii="Times New Roman" w:hAnsi="Times New Roman" w:cs="Times New Roman"/>
      <w:b/>
      <w:bCs/>
      <w:color w:val="4F81BD"/>
      <w:sz w:val="22"/>
      <w:szCs w:val="22"/>
    </w:rPr>
  </w:style>
  <w:style w:type="paragraph" w:styleId="Title">
    <w:name w:val="Title"/>
    <w:basedOn w:val="Normal"/>
    <w:next w:val="Normal"/>
    <w:link w:val="TitleChar"/>
    <w:qFormat/>
    <w:rsid w:val="00C751C2"/>
    <w:pPr>
      <w:pBdr>
        <w:bottom w:val="single" w:sz="8" w:space="4" w:color="4F81BD"/>
      </w:pBdr>
      <w:spacing w:after="300"/>
    </w:pPr>
    <w:rPr>
      <w:rFonts w:ascii="Cambria" w:hAnsi="Cambria" w:cs="Times New Roman"/>
      <w:color w:val="17365D"/>
      <w:spacing w:val="5"/>
      <w:kern w:val="28"/>
      <w:sz w:val="52"/>
      <w:szCs w:val="52"/>
    </w:rPr>
  </w:style>
  <w:style w:type="character" w:customStyle="1" w:styleId="TitleChar">
    <w:name w:val="Title Char"/>
    <w:link w:val="Title"/>
    <w:locked/>
    <w:rsid w:val="00C751C2"/>
    <w:rPr>
      <w:rFonts w:ascii="Cambria" w:hAnsi="Cambria" w:cs="Times New Roman"/>
      <w:color w:val="17365D"/>
      <w:spacing w:val="5"/>
      <w:kern w:val="28"/>
      <w:sz w:val="52"/>
      <w:szCs w:val="52"/>
    </w:rPr>
  </w:style>
  <w:style w:type="character" w:customStyle="1" w:styleId="Heading3Char">
    <w:name w:val="Heading 3 Char"/>
    <w:link w:val="Heading3"/>
    <w:locked/>
    <w:rsid w:val="000A49D6"/>
    <w:rPr>
      <w:rFonts w:ascii="Times New Roman" w:hAnsi="Times New Roman" w:cs="Times New Roman"/>
      <w:bCs/>
      <w:color w:val="4F81BD"/>
      <w:sz w:val="22"/>
      <w:szCs w:val="22"/>
    </w:rPr>
  </w:style>
  <w:style w:type="paragraph" w:styleId="TOCHeading">
    <w:name w:val="TOC Heading"/>
    <w:basedOn w:val="Heading1"/>
    <w:next w:val="Normal"/>
    <w:qFormat/>
    <w:rsid w:val="00961062"/>
    <w:pPr>
      <w:numPr>
        <w:numId w:val="0"/>
      </w:numPr>
      <w:outlineLvl w:val="9"/>
    </w:pPr>
    <w:rPr>
      <w:lang w:eastAsia="ja-JP"/>
    </w:rPr>
  </w:style>
  <w:style w:type="paragraph" w:styleId="TOC1">
    <w:name w:val="toc 1"/>
    <w:basedOn w:val="Normal"/>
    <w:next w:val="Normal"/>
    <w:autoRedefine/>
    <w:uiPriority w:val="39"/>
    <w:rsid w:val="00D03E2D"/>
    <w:pPr>
      <w:tabs>
        <w:tab w:val="left" w:pos="440"/>
        <w:tab w:val="right" w:leader="dot" w:pos="9350"/>
      </w:tabs>
      <w:spacing w:before="120"/>
    </w:pPr>
    <w:rPr>
      <w:rFonts w:ascii="Times New Roman Bold" w:hAnsi="Times New Roman Bold" w:cs="Times New Roman"/>
      <w:b/>
      <w:bCs/>
      <w:noProof/>
    </w:rPr>
  </w:style>
  <w:style w:type="paragraph" w:styleId="TOC2">
    <w:name w:val="toc 2"/>
    <w:basedOn w:val="Normal"/>
    <w:next w:val="Normal"/>
    <w:autoRedefine/>
    <w:uiPriority w:val="39"/>
    <w:rsid w:val="00D03E2D"/>
    <w:pPr>
      <w:tabs>
        <w:tab w:val="left" w:pos="880"/>
        <w:tab w:val="right" w:leader="dot" w:pos="9350"/>
      </w:tabs>
      <w:ind w:left="220"/>
    </w:pPr>
    <w:rPr>
      <w:rFonts w:cs="Times New Roman"/>
      <w:noProof/>
    </w:rPr>
  </w:style>
  <w:style w:type="paragraph" w:styleId="TOC3">
    <w:name w:val="toc 3"/>
    <w:basedOn w:val="Normal"/>
    <w:next w:val="Normal"/>
    <w:autoRedefine/>
    <w:semiHidden/>
    <w:rsid w:val="00A510A6"/>
    <w:pPr>
      <w:tabs>
        <w:tab w:val="left" w:pos="1530"/>
        <w:tab w:val="right" w:leader="dot" w:pos="9350"/>
      </w:tabs>
      <w:ind w:left="900"/>
    </w:pPr>
    <w:rPr>
      <w:rFonts w:cs="Times New Roman"/>
      <w:noProof/>
    </w:rPr>
  </w:style>
  <w:style w:type="character" w:styleId="Hyperlink">
    <w:name w:val="Hyperlink"/>
    <w:uiPriority w:val="99"/>
    <w:rsid w:val="00961062"/>
    <w:rPr>
      <w:rFonts w:cs="Times New Roman"/>
      <w:color w:val="0000FF"/>
      <w:u w:val="single"/>
    </w:rPr>
  </w:style>
  <w:style w:type="paragraph" w:styleId="BalloonText">
    <w:name w:val="Balloon Text"/>
    <w:basedOn w:val="Normal"/>
    <w:link w:val="BalloonTextChar"/>
    <w:semiHidden/>
    <w:rsid w:val="00961062"/>
    <w:rPr>
      <w:rFonts w:ascii="Tahoma" w:hAnsi="Tahoma" w:cs="Tahoma"/>
      <w:sz w:val="16"/>
      <w:szCs w:val="16"/>
    </w:rPr>
  </w:style>
  <w:style w:type="character" w:customStyle="1" w:styleId="BalloonTextChar">
    <w:name w:val="Balloon Text Char"/>
    <w:link w:val="BalloonText"/>
    <w:semiHidden/>
    <w:locked/>
    <w:rsid w:val="00961062"/>
    <w:rPr>
      <w:rFonts w:ascii="Tahoma" w:hAnsi="Tahoma" w:cs="Tahoma"/>
      <w:sz w:val="16"/>
      <w:szCs w:val="16"/>
    </w:rPr>
  </w:style>
  <w:style w:type="paragraph" w:customStyle="1" w:styleId="Heading12">
    <w:name w:val="Heading 12"/>
    <w:basedOn w:val="Normal"/>
    <w:link w:val="Heading12Char"/>
    <w:rsid w:val="00961062"/>
    <w:pPr>
      <w:keepNext/>
      <w:keepLines/>
      <w:outlineLvl w:val="1"/>
    </w:pPr>
    <w:rPr>
      <w:rFonts w:cs="Times New Roman"/>
      <w:b/>
      <w:bCs/>
      <w:color w:val="093C71"/>
      <w:sz w:val="36"/>
      <w:szCs w:val="36"/>
    </w:rPr>
  </w:style>
  <w:style w:type="character" w:customStyle="1" w:styleId="Heading12Char">
    <w:name w:val="Heading 12 Char"/>
    <w:link w:val="Heading12"/>
    <w:locked/>
    <w:rsid w:val="00961062"/>
    <w:rPr>
      <w:rFonts w:ascii="Times New Roman" w:hAnsi="Times New Roman" w:cs="Times New Roman"/>
      <w:b/>
      <w:bCs/>
      <w:color w:val="093C71"/>
      <w:sz w:val="36"/>
      <w:szCs w:val="36"/>
    </w:rPr>
  </w:style>
  <w:style w:type="paragraph" w:styleId="Header">
    <w:name w:val="header"/>
    <w:basedOn w:val="Normal"/>
    <w:link w:val="HeaderChar"/>
    <w:rsid w:val="007E3222"/>
    <w:pPr>
      <w:tabs>
        <w:tab w:val="center" w:pos="4680"/>
        <w:tab w:val="right" w:pos="9360"/>
      </w:tabs>
    </w:pPr>
  </w:style>
  <w:style w:type="character" w:customStyle="1" w:styleId="HeaderChar">
    <w:name w:val="Header Char"/>
    <w:link w:val="Header"/>
    <w:locked/>
    <w:rsid w:val="007E3222"/>
    <w:rPr>
      <w:rFonts w:ascii="Times New Roman" w:hAnsi="Times New Roman" w:cs="Times New Roman"/>
    </w:rPr>
  </w:style>
  <w:style w:type="paragraph" w:styleId="Footer">
    <w:name w:val="footer"/>
    <w:basedOn w:val="Normal"/>
    <w:link w:val="FooterChar"/>
    <w:rsid w:val="007E3222"/>
    <w:pPr>
      <w:tabs>
        <w:tab w:val="center" w:pos="4680"/>
        <w:tab w:val="right" w:pos="9360"/>
      </w:tabs>
    </w:pPr>
  </w:style>
  <w:style w:type="character" w:customStyle="1" w:styleId="FooterChar">
    <w:name w:val="Footer Char"/>
    <w:link w:val="Footer"/>
    <w:locked/>
    <w:rsid w:val="007E3222"/>
    <w:rPr>
      <w:rFonts w:ascii="Times New Roman" w:hAnsi="Times New Roman" w:cs="Times New Roman"/>
    </w:rPr>
  </w:style>
  <w:style w:type="table" w:styleId="TableGrid">
    <w:name w:val="Table Grid"/>
    <w:basedOn w:val="TableNormal"/>
    <w:rsid w:val="00FD600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5458F"/>
    <w:pPr>
      <w:ind w:left="360"/>
      <w:jc w:val="lowKashida"/>
    </w:pPr>
    <w:rPr>
      <w:rFonts w:cs="Times New Roman"/>
      <w:sz w:val="24"/>
      <w:szCs w:val="24"/>
      <w:lang w:eastAsia="ar-SA"/>
    </w:rPr>
  </w:style>
  <w:style w:type="character" w:customStyle="1" w:styleId="BodyTextIndentChar">
    <w:name w:val="Body Text Indent Char"/>
    <w:link w:val="BodyTextIndent"/>
    <w:locked/>
    <w:rsid w:val="0055458F"/>
    <w:rPr>
      <w:rFonts w:ascii="Times New Roman" w:hAnsi="Times New Roman" w:cs="Times New Roman"/>
      <w:sz w:val="24"/>
      <w:szCs w:val="24"/>
      <w:lang w:val="x-none" w:eastAsia="ar-SA" w:bidi="ar-SA"/>
    </w:rPr>
  </w:style>
  <w:style w:type="character" w:customStyle="1" w:styleId="Heading5Char">
    <w:name w:val="Heading 5 Char"/>
    <w:link w:val="Heading5"/>
    <w:semiHidden/>
    <w:locked/>
    <w:rsid w:val="00265D96"/>
    <w:rPr>
      <w:rFonts w:ascii="Cambria" w:hAnsi="Cambria" w:cs="Times New Roman"/>
      <w:color w:val="243F60"/>
    </w:rPr>
  </w:style>
  <w:style w:type="paragraph" w:styleId="Caption">
    <w:name w:val="caption"/>
    <w:basedOn w:val="Normal"/>
    <w:next w:val="Normal"/>
    <w:qFormat/>
    <w:rsid w:val="00034490"/>
    <w:pPr>
      <w:spacing w:before="120" w:after="120"/>
    </w:pPr>
    <w:rPr>
      <w:rFonts w:cs="Times New Roman"/>
      <w:b/>
      <w:noProof/>
      <w:szCs w:val="20"/>
      <w:lang w:val="en-GB"/>
    </w:rPr>
  </w:style>
  <w:style w:type="paragraph" w:styleId="FootnoteText">
    <w:name w:val="footnote text"/>
    <w:aliases w:val="Testo nota a piè di pagina Carattere,single space,fn,Footnote Text Char Char,Footnote Text Char1 Char Char,Footnote Text Char Char Char Char,Char Char Char Char Char,ft Char"/>
    <w:basedOn w:val="Normal"/>
    <w:link w:val="FootnoteTextChar"/>
    <w:semiHidden/>
    <w:rsid w:val="003A1E2C"/>
    <w:rPr>
      <w:sz w:val="20"/>
      <w:szCs w:val="20"/>
    </w:rPr>
  </w:style>
  <w:style w:type="character" w:customStyle="1" w:styleId="FootnoteTextChar">
    <w:name w:val="Footnote Text Char"/>
    <w:aliases w:val="Testo nota a piè di pagina Carattere Char,single space Char,fn Char,Footnote Text Char Char Char,Footnote Text Char1 Char Char Char,Footnote Text Char Char Char Char Char,Char Char Char Char Char Char,ft Char Char"/>
    <w:link w:val="FootnoteText"/>
    <w:locked/>
    <w:rsid w:val="003A1E2C"/>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fr,Footnote Reference1,heading1,BVI fnr,Ref"/>
    <w:link w:val="CarattereCarattereCharCharCharCharCharCharZchn"/>
    <w:locked/>
    <w:rsid w:val="00511F1F"/>
    <w:rPr>
      <w:rFonts w:cs="Times New Roman"/>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511F1F"/>
    <w:pPr>
      <w:spacing w:after="160" w:line="240" w:lineRule="exact"/>
    </w:pPr>
    <w:rPr>
      <w:rFonts w:ascii="Calibri" w:eastAsia="Times New Roman" w:hAnsi="Calibri"/>
      <w:vertAlign w:val="superscript"/>
    </w:rPr>
  </w:style>
  <w:style w:type="character" w:styleId="FollowedHyperlink">
    <w:name w:val="FollowedHyperlink"/>
    <w:semiHidden/>
    <w:rsid w:val="00BD2957"/>
    <w:rPr>
      <w:rFonts w:cs="Times New Roman"/>
      <w:color w:val="800080"/>
      <w:u w:val="single"/>
    </w:rPr>
  </w:style>
  <w:style w:type="paragraph" w:customStyle="1" w:styleId="Disclaimertext">
    <w:name w:val="Disclaimer text"/>
    <w:basedOn w:val="BodyText"/>
    <w:rsid w:val="00D445AB"/>
    <w:pPr>
      <w:spacing w:after="0"/>
    </w:pPr>
    <w:rPr>
      <w:rFonts w:ascii="Arial" w:hAnsi="Arial"/>
      <w:sz w:val="20"/>
      <w:szCs w:val="24"/>
      <w:lang w:eastAsia="ko-KR"/>
    </w:rPr>
  </w:style>
  <w:style w:type="paragraph" w:styleId="BodyText">
    <w:name w:val="Body Text"/>
    <w:basedOn w:val="Normal"/>
    <w:link w:val="BodyTextChar"/>
    <w:semiHidden/>
    <w:rsid w:val="00D445AB"/>
    <w:pPr>
      <w:spacing w:after="120"/>
    </w:pPr>
  </w:style>
  <w:style w:type="character" w:customStyle="1" w:styleId="BodyTextChar">
    <w:name w:val="Body Text Char"/>
    <w:link w:val="BodyText"/>
    <w:semiHidden/>
    <w:locked/>
    <w:rsid w:val="00D445AB"/>
    <w:rPr>
      <w:rFonts w:ascii="Times New Roman" w:hAnsi="Times New Roman" w:cs="Times New Roman"/>
    </w:rPr>
  </w:style>
  <w:style w:type="paragraph" w:customStyle="1" w:styleId="a">
    <w:name w:val="Знак Знак Знак Знак Знак"/>
    <w:basedOn w:val="Normal"/>
    <w:rsid w:val="00CD3163"/>
    <w:pPr>
      <w:jc w:val="left"/>
    </w:pPr>
    <w:rPr>
      <w:rFonts w:ascii="Verdana" w:hAnsi="Verdana" w:cs="Verdana"/>
      <w:sz w:val="20"/>
      <w:szCs w:val="20"/>
    </w:rPr>
  </w:style>
  <w:style w:type="paragraph" w:customStyle="1" w:styleId="2">
    <w:name w:val="Знак Знак Знак Знак Знак2"/>
    <w:basedOn w:val="Normal"/>
    <w:rsid w:val="00FC53A0"/>
    <w:pPr>
      <w:jc w:val="left"/>
    </w:pPr>
    <w:rPr>
      <w:rFonts w:ascii="Verdana" w:hAnsi="Verdana" w:cs="Verdana"/>
      <w:sz w:val="20"/>
      <w:szCs w:val="20"/>
    </w:rPr>
  </w:style>
  <w:style w:type="paragraph" w:styleId="EndnoteText">
    <w:name w:val="endnote text"/>
    <w:basedOn w:val="Normal"/>
    <w:link w:val="EndnoteTextChar"/>
    <w:semiHidden/>
    <w:rsid w:val="00D6349B"/>
    <w:pPr>
      <w:spacing w:after="200" w:line="276" w:lineRule="auto"/>
      <w:jc w:val="left"/>
    </w:pPr>
    <w:rPr>
      <w:rFonts w:ascii="Calibri" w:hAnsi="Calibri"/>
      <w:sz w:val="20"/>
      <w:szCs w:val="20"/>
    </w:rPr>
  </w:style>
  <w:style w:type="character" w:customStyle="1" w:styleId="EndnoteTextChar">
    <w:name w:val="Endnote Text Char"/>
    <w:link w:val="EndnoteText"/>
    <w:semiHidden/>
    <w:locked/>
    <w:rsid w:val="00D6349B"/>
    <w:rPr>
      <w:rFonts w:ascii="Calibri" w:hAnsi="Calibri" w:cs="Arial"/>
      <w:sz w:val="20"/>
      <w:szCs w:val="20"/>
    </w:rPr>
  </w:style>
  <w:style w:type="character" w:styleId="EndnoteReference">
    <w:name w:val="endnote reference"/>
    <w:semiHidden/>
    <w:rsid w:val="00D6349B"/>
    <w:rPr>
      <w:rFonts w:cs="Times New Roman"/>
      <w:vertAlign w:val="superscript"/>
    </w:rPr>
  </w:style>
  <w:style w:type="paragraph" w:styleId="CommentText">
    <w:name w:val="annotation text"/>
    <w:basedOn w:val="Normal"/>
    <w:link w:val="CommentTextChar"/>
    <w:semiHidden/>
    <w:rsid w:val="00D4510A"/>
    <w:rPr>
      <w:sz w:val="20"/>
      <w:szCs w:val="20"/>
    </w:rPr>
  </w:style>
  <w:style w:type="character" w:customStyle="1" w:styleId="CommentTextChar">
    <w:name w:val="Comment Text Char"/>
    <w:link w:val="CommentText"/>
    <w:locked/>
    <w:rsid w:val="00D4510A"/>
    <w:rPr>
      <w:rFonts w:ascii="Times New Roman" w:hAnsi="Times New Roman" w:cs="Times New Roman"/>
      <w:sz w:val="20"/>
      <w:szCs w:val="20"/>
    </w:rPr>
  </w:style>
  <w:style w:type="character" w:styleId="CommentReference">
    <w:name w:val="annotation reference"/>
    <w:semiHidden/>
    <w:rsid w:val="00D4510A"/>
    <w:rPr>
      <w:rFonts w:cs="Times New Roman"/>
      <w:sz w:val="16"/>
      <w:szCs w:val="16"/>
    </w:rPr>
  </w:style>
  <w:style w:type="table" w:customStyle="1" w:styleId="ListTable3-Accent11">
    <w:name w:val="List Table 3 - Accent 11"/>
    <w:rsid w:val="00E00147"/>
    <w:rPr>
      <w:rFonts w:eastAsia="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paragraph" w:styleId="TableofFigures">
    <w:name w:val="table of figures"/>
    <w:basedOn w:val="Normal"/>
    <w:next w:val="Normal"/>
    <w:uiPriority w:val="99"/>
    <w:rsid w:val="000C6D82"/>
  </w:style>
  <w:style w:type="paragraph" w:styleId="Subtitle">
    <w:name w:val="Subtitle"/>
    <w:basedOn w:val="Heading1"/>
    <w:next w:val="Normal"/>
    <w:link w:val="SubtitleChar"/>
    <w:qFormat/>
    <w:rsid w:val="00170999"/>
    <w:pPr>
      <w:numPr>
        <w:numId w:val="0"/>
      </w:numPr>
    </w:pPr>
  </w:style>
  <w:style w:type="character" w:customStyle="1" w:styleId="SubtitleChar">
    <w:name w:val="Subtitle Char"/>
    <w:link w:val="Subtitle"/>
    <w:locked/>
    <w:rsid w:val="00170999"/>
    <w:rPr>
      <w:rFonts w:ascii="Cambria" w:hAnsi="Cambria" w:cs="Times New Roman"/>
      <w:b/>
      <w:bCs/>
      <w:smallCaps/>
      <w:color w:val="365F91"/>
      <w:sz w:val="28"/>
      <w:szCs w:val="28"/>
    </w:rPr>
  </w:style>
  <w:style w:type="paragraph" w:customStyle="1" w:styleId="a0">
    <w:name w:val="Нормальний текст"/>
    <w:basedOn w:val="Normal"/>
    <w:rsid w:val="00B26162"/>
    <w:pPr>
      <w:spacing w:before="120"/>
      <w:ind w:firstLine="567"/>
      <w:jc w:val="left"/>
    </w:pPr>
    <w:rPr>
      <w:rFonts w:ascii="Antiqua" w:hAnsi="Antiqua" w:cs="Antiqua"/>
      <w:sz w:val="26"/>
      <w:szCs w:val="26"/>
      <w:lang w:val="uk-UA" w:eastAsia="ru-RU"/>
    </w:rPr>
  </w:style>
  <w:style w:type="paragraph" w:styleId="NormalWeb">
    <w:name w:val="Normal (Web)"/>
    <w:basedOn w:val="Normal"/>
    <w:semiHidden/>
    <w:rsid w:val="00915E8D"/>
    <w:pPr>
      <w:spacing w:before="100" w:beforeAutospacing="1" w:after="100" w:afterAutospacing="1"/>
      <w:jc w:val="left"/>
    </w:pPr>
    <w:rPr>
      <w:rFonts w:cs="Times New Roman"/>
      <w:sz w:val="24"/>
      <w:szCs w:val="24"/>
    </w:rPr>
  </w:style>
  <w:style w:type="paragraph" w:customStyle="1" w:styleId="desc">
    <w:name w:val="desc"/>
    <w:basedOn w:val="Normal"/>
    <w:rsid w:val="00915E8D"/>
    <w:pPr>
      <w:spacing w:before="100" w:beforeAutospacing="1" w:after="100" w:afterAutospacing="1"/>
      <w:jc w:val="left"/>
    </w:pPr>
    <w:rPr>
      <w:rFonts w:cs="Times New Roman"/>
      <w:sz w:val="24"/>
      <w:szCs w:val="24"/>
    </w:rPr>
  </w:style>
  <w:style w:type="table" w:customStyle="1" w:styleId="ListTable4-Accent11">
    <w:name w:val="List Table 4 - Accent 11"/>
    <w:rsid w:val="007E1E69"/>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table" w:customStyle="1" w:styleId="ListTable1Light-Accent11">
    <w:name w:val="List Table 1 Light - Accent 11"/>
    <w:rsid w:val="00B14E9F"/>
    <w:rPr>
      <w:rFonts w:eastAsia="Times New Roman"/>
    </w:rPr>
    <w:tblPr>
      <w:tblStyleRowBandSize w:val="1"/>
      <w:tblStyleColBandSize w:val="1"/>
      <w:tblCellMar>
        <w:top w:w="0" w:type="dxa"/>
        <w:left w:w="108" w:type="dxa"/>
        <w:bottom w:w="0" w:type="dxa"/>
        <w:right w:w="108" w:type="dxa"/>
      </w:tblCellMar>
    </w:tblPr>
  </w:style>
  <w:style w:type="table" w:customStyle="1" w:styleId="GridTable1Light-Accent11">
    <w:name w:val="Grid Table 1 Light - Accent 11"/>
    <w:rsid w:val="002A33D6"/>
    <w:rPr>
      <w:rFonts w:eastAsia="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GridTable3-Accent11">
    <w:name w:val="Grid Table 3 - Accent 11"/>
    <w:rsid w:val="002A33D6"/>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3A79DD"/>
    <w:rPr>
      <w:b/>
      <w:bCs/>
    </w:rPr>
  </w:style>
  <w:style w:type="character" w:customStyle="1" w:styleId="CommentSubjectChar">
    <w:name w:val="Comment Subject Char"/>
    <w:link w:val="CommentSubject"/>
    <w:semiHidden/>
    <w:locked/>
    <w:rsid w:val="003A79DD"/>
    <w:rPr>
      <w:rFonts w:ascii="Times New Roman" w:hAnsi="Times New Roman" w:cs="Times New Roman"/>
      <w:b/>
      <w:bCs/>
      <w:sz w:val="20"/>
      <w:szCs w:val="20"/>
    </w:rPr>
  </w:style>
  <w:style w:type="table" w:customStyle="1" w:styleId="ListTable3-Accent12">
    <w:name w:val="List Table 3 - Accent 12"/>
    <w:rsid w:val="002921E8"/>
    <w:rPr>
      <w:rFonts w:eastAsia="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character" w:customStyle="1" w:styleId="a1">
    <w:name w:val="Основной текст_"/>
    <w:link w:val="1"/>
    <w:locked/>
    <w:rsid w:val="00B6234F"/>
    <w:rPr>
      <w:sz w:val="26"/>
      <w:shd w:val="clear" w:color="auto" w:fill="FFFFFF"/>
    </w:rPr>
  </w:style>
  <w:style w:type="paragraph" w:customStyle="1" w:styleId="1">
    <w:name w:val="Основной текст1"/>
    <w:basedOn w:val="Normal"/>
    <w:link w:val="a1"/>
    <w:rsid w:val="00B6234F"/>
    <w:pPr>
      <w:widowControl w:val="0"/>
      <w:shd w:val="clear" w:color="auto" w:fill="FFFFFF"/>
      <w:spacing w:before="200" w:line="317" w:lineRule="exact"/>
      <w:jc w:val="center"/>
    </w:pPr>
    <w:rPr>
      <w:rFonts w:ascii="Calibri" w:eastAsia="Times New Roman" w:hAnsi="Calibri" w:cs="Times New Roman"/>
      <w:sz w:val="26"/>
      <w:szCs w:val="26"/>
      <w:shd w:val="clear" w:color="auto" w:fill="FFFFFF"/>
    </w:rPr>
  </w:style>
  <w:style w:type="paragraph" w:customStyle="1" w:styleId="10">
    <w:name w:val="Знак Знак Знак Знак Знак1"/>
    <w:basedOn w:val="Normal"/>
    <w:rsid w:val="00D55F76"/>
    <w:pPr>
      <w:jc w:val="left"/>
    </w:pPr>
    <w:rPr>
      <w:rFonts w:ascii="Verdana" w:hAnsi="Verdana" w:cs="Verdana"/>
      <w:sz w:val="20"/>
      <w:szCs w:val="20"/>
    </w:rPr>
  </w:style>
  <w:style w:type="table" w:styleId="ListTable3-Accent1">
    <w:name w:val="List Table 3 Accent 1"/>
    <w:basedOn w:val="TableNormal"/>
    <w:uiPriority w:val="48"/>
    <w:rsid w:val="003E3AC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5">
    <w:name w:val="List Table 3 Accent 5"/>
    <w:basedOn w:val="TableNormal"/>
    <w:uiPriority w:val="48"/>
    <w:rsid w:val="00467062"/>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Revision">
    <w:name w:val="Revision"/>
    <w:hidden/>
    <w:uiPriority w:val="99"/>
    <w:semiHidden/>
    <w:rsid w:val="00470855"/>
    <w:rPr>
      <w:rFonts w:ascii="Times New Roman" w:hAnsi="Times New Roman"/>
      <w:sz w:val="22"/>
      <w:szCs w:val="22"/>
    </w:rPr>
  </w:style>
  <w:style w:type="paragraph" w:customStyle="1" w:styleId="a2">
    <w:name w:val="Знак Знак Знак Знак Знак"/>
    <w:basedOn w:val="Normal"/>
    <w:rsid w:val="00EC5D30"/>
    <w:pPr>
      <w:jc w:val="left"/>
    </w:pPr>
    <w:rPr>
      <w:rFonts w:ascii="Verdana" w:eastAsia="Times New Roman" w:hAnsi="Verdana" w:cs="Verdana"/>
      <w:sz w:val="20"/>
      <w:szCs w:val="20"/>
    </w:rPr>
  </w:style>
  <w:style w:type="paragraph" w:styleId="NoSpacing">
    <w:name w:val="No Spacing"/>
    <w:link w:val="NoSpacingChar"/>
    <w:uiPriority w:val="1"/>
    <w:qFormat/>
    <w:rsid w:val="005C6E03"/>
    <w:rPr>
      <w:rFonts w:asciiTheme="minorHAnsi" w:eastAsiaTheme="minorHAnsi" w:hAnsiTheme="minorHAnsi" w:cstheme="minorBidi"/>
      <w:sz w:val="22"/>
      <w:szCs w:val="22"/>
      <w:lang w:val="fr-FR"/>
    </w:rPr>
  </w:style>
  <w:style w:type="character" w:customStyle="1" w:styleId="NoSpacingChar">
    <w:name w:val="No Spacing Char"/>
    <w:basedOn w:val="DefaultParagraphFont"/>
    <w:link w:val="NoSpacing"/>
    <w:uiPriority w:val="1"/>
    <w:rsid w:val="005C6E03"/>
    <w:rPr>
      <w:rFonts w:asciiTheme="minorHAnsi" w:eastAsiaTheme="minorHAnsi" w:hAnsiTheme="minorHAnsi" w:cstheme="minorBidi"/>
      <w:sz w:val="22"/>
      <w:szCs w:val="22"/>
      <w:lang w:val="fr-FR"/>
    </w:rPr>
  </w:style>
  <w:style w:type="paragraph" w:customStyle="1" w:styleId="Case-studytxt">
    <w:name w:val="Case-study txt"/>
    <w:basedOn w:val="Normal"/>
    <w:uiPriority w:val="99"/>
    <w:rsid w:val="005C6E03"/>
    <w:pPr>
      <w:tabs>
        <w:tab w:val="left" w:pos="720"/>
      </w:tabs>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sChild>
        <w:div w:id="379">
          <w:marLeft w:val="-225"/>
          <w:marRight w:val="-225"/>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78">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
                      </w:divsChild>
                    </w:div>
                    <w:div w:id="455">
                      <w:marLeft w:val="0"/>
                      <w:marRight w:val="0"/>
                      <w:marTop w:val="0"/>
                      <w:marBottom w:val="0"/>
                      <w:divBdr>
                        <w:top w:val="none" w:sz="0" w:space="0" w:color="auto"/>
                        <w:left w:val="none" w:sz="0" w:space="0" w:color="auto"/>
                        <w:bottom w:val="none" w:sz="0" w:space="0" w:color="auto"/>
                        <w:right w:val="none" w:sz="0" w:space="0" w:color="auto"/>
                      </w:divBdr>
                      <w:divsChild>
                        <w:div w:id="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sChild>
        <w:div w:id="97">
          <w:marLeft w:val="-300"/>
          <w:marRight w:val="0"/>
          <w:marTop w:val="300"/>
          <w:marBottom w:val="600"/>
          <w:divBdr>
            <w:top w:val="none" w:sz="0" w:space="0" w:color="auto"/>
            <w:left w:val="none" w:sz="0" w:space="0" w:color="auto"/>
            <w:bottom w:val="none" w:sz="0" w:space="0" w:color="auto"/>
            <w:right w:val="none" w:sz="0" w:space="0" w:color="auto"/>
          </w:divBdr>
        </w:div>
        <w:div w:id="359">
          <w:marLeft w:val="0"/>
          <w:marRight w:val="0"/>
          <w:marTop w:val="144"/>
          <w:marBottom w:val="384"/>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sChild>
        <w:div w:id="107">
          <w:marLeft w:val="720"/>
          <w:marRight w:val="0"/>
          <w:marTop w:val="100"/>
          <w:marBottom w:val="100"/>
          <w:divBdr>
            <w:top w:val="none" w:sz="0" w:space="0" w:color="auto"/>
            <w:left w:val="none" w:sz="0" w:space="0" w:color="auto"/>
            <w:bottom w:val="none" w:sz="0" w:space="0" w:color="auto"/>
            <w:right w:val="none" w:sz="0" w:space="0" w:color="auto"/>
          </w:divBdr>
        </w:div>
      </w:divsChild>
    </w:div>
    <w:div w:id="277">
      <w:marLeft w:val="0"/>
      <w:marRight w:val="0"/>
      <w:marTop w:val="0"/>
      <w:marBottom w:val="0"/>
      <w:divBdr>
        <w:top w:val="none" w:sz="0" w:space="0" w:color="auto"/>
        <w:left w:val="none" w:sz="0" w:space="0" w:color="auto"/>
        <w:bottom w:val="none" w:sz="0" w:space="0" w:color="auto"/>
        <w:right w:val="none" w:sz="0" w:space="0" w:color="auto"/>
      </w:divBdr>
      <w:divsChild>
        <w:div w:id="442">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426">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144"/>
          <w:marBottom w:val="384"/>
          <w:divBdr>
            <w:top w:val="none" w:sz="0" w:space="0" w:color="auto"/>
            <w:left w:val="none" w:sz="0" w:space="0" w:color="auto"/>
            <w:bottom w:val="none" w:sz="0" w:space="0" w:color="auto"/>
            <w:right w:val="none" w:sz="0" w:space="0" w:color="auto"/>
          </w:divBdr>
        </w:div>
      </w:divsChild>
    </w:div>
    <w:div w:id="310">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330"/>
                      <w:divBdr>
                        <w:top w:val="none" w:sz="0" w:space="0" w:color="auto"/>
                        <w:left w:val="none" w:sz="0" w:space="0" w:color="auto"/>
                        <w:bottom w:val="none" w:sz="0" w:space="0" w:color="auto"/>
                        <w:right w:val="none" w:sz="0" w:space="0" w:color="auto"/>
                      </w:divBdr>
                      <w:divsChild>
                        <w:div w:id="336">
                          <w:marLeft w:val="-150"/>
                          <w:marRight w:val="-150"/>
                          <w:marTop w:val="0"/>
                          <w:marBottom w:val="0"/>
                          <w:divBdr>
                            <w:top w:val="single" w:sz="2" w:space="0" w:color="auto"/>
                            <w:left w:val="single" w:sz="2" w:space="0" w:color="auto"/>
                            <w:bottom w:val="single" w:sz="2" w:space="0" w:color="auto"/>
                            <w:right w:val="single" w:sz="2" w:space="0" w:color="auto"/>
                          </w:divBdr>
                          <w:divsChild>
                            <w:div w:id="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144"/>
          <w:marBottom w:val="384"/>
          <w:divBdr>
            <w:top w:val="none" w:sz="0" w:space="0" w:color="auto"/>
            <w:left w:val="none" w:sz="0" w:space="0" w:color="auto"/>
            <w:bottom w:val="none" w:sz="0" w:space="0" w:color="auto"/>
            <w:right w:val="none" w:sz="0" w:space="0" w:color="auto"/>
          </w:divBdr>
        </w:div>
      </w:divsChild>
    </w:div>
    <w:div w:id="408">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133839661">
      <w:bodyDiv w:val="1"/>
      <w:marLeft w:val="0"/>
      <w:marRight w:val="0"/>
      <w:marTop w:val="0"/>
      <w:marBottom w:val="0"/>
      <w:divBdr>
        <w:top w:val="none" w:sz="0" w:space="0" w:color="auto"/>
        <w:left w:val="none" w:sz="0" w:space="0" w:color="auto"/>
        <w:bottom w:val="none" w:sz="0" w:space="0" w:color="auto"/>
        <w:right w:val="none" w:sz="0" w:space="0" w:color="auto"/>
      </w:divBdr>
    </w:div>
    <w:div w:id="454644398">
      <w:bodyDiv w:val="1"/>
      <w:marLeft w:val="0"/>
      <w:marRight w:val="0"/>
      <w:marTop w:val="0"/>
      <w:marBottom w:val="0"/>
      <w:divBdr>
        <w:top w:val="none" w:sz="0" w:space="0" w:color="auto"/>
        <w:left w:val="none" w:sz="0" w:space="0" w:color="auto"/>
        <w:bottom w:val="none" w:sz="0" w:space="0" w:color="auto"/>
        <w:right w:val="none" w:sz="0" w:space="0" w:color="auto"/>
      </w:divBdr>
    </w:div>
    <w:div w:id="492378250">
      <w:bodyDiv w:val="1"/>
      <w:marLeft w:val="0"/>
      <w:marRight w:val="0"/>
      <w:marTop w:val="0"/>
      <w:marBottom w:val="0"/>
      <w:divBdr>
        <w:top w:val="none" w:sz="0" w:space="0" w:color="auto"/>
        <w:left w:val="none" w:sz="0" w:space="0" w:color="auto"/>
        <w:bottom w:val="none" w:sz="0" w:space="0" w:color="auto"/>
        <w:right w:val="none" w:sz="0" w:space="0" w:color="auto"/>
      </w:divBdr>
    </w:div>
    <w:div w:id="743259613">
      <w:bodyDiv w:val="1"/>
      <w:marLeft w:val="0"/>
      <w:marRight w:val="0"/>
      <w:marTop w:val="0"/>
      <w:marBottom w:val="0"/>
      <w:divBdr>
        <w:top w:val="none" w:sz="0" w:space="0" w:color="auto"/>
        <w:left w:val="none" w:sz="0" w:space="0" w:color="auto"/>
        <w:bottom w:val="none" w:sz="0" w:space="0" w:color="auto"/>
        <w:right w:val="none" w:sz="0" w:space="0" w:color="auto"/>
      </w:divBdr>
    </w:div>
    <w:div w:id="1017922248">
      <w:bodyDiv w:val="1"/>
      <w:marLeft w:val="0"/>
      <w:marRight w:val="0"/>
      <w:marTop w:val="0"/>
      <w:marBottom w:val="0"/>
      <w:divBdr>
        <w:top w:val="none" w:sz="0" w:space="0" w:color="auto"/>
        <w:left w:val="none" w:sz="0" w:space="0" w:color="auto"/>
        <w:bottom w:val="none" w:sz="0" w:space="0" w:color="auto"/>
        <w:right w:val="none" w:sz="0" w:space="0" w:color="auto"/>
      </w:divBdr>
    </w:div>
    <w:div w:id="1360007323">
      <w:bodyDiv w:val="1"/>
      <w:marLeft w:val="0"/>
      <w:marRight w:val="0"/>
      <w:marTop w:val="0"/>
      <w:marBottom w:val="0"/>
      <w:divBdr>
        <w:top w:val="none" w:sz="0" w:space="0" w:color="auto"/>
        <w:left w:val="none" w:sz="0" w:space="0" w:color="auto"/>
        <w:bottom w:val="none" w:sz="0" w:space="0" w:color="auto"/>
        <w:right w:val="none" w:sz="0" w:space="0" w:color="auto"/>
      </w:divBdr>
    </w:div>
    <w:div w:id="1393772510">
      <w:bodyDiv w:val="1"/>
      <w:marLeft w:val="0"/>
      <w:marRight w:val="0"/>
      <w:marTop w:val="0"/>
      <w:marBottom w:val="0"/>
      <w:divBdr>
        <w:top w:val="none" w:sz="0" w:space="0" w:color="auto"/>
        <w:left w:val="none" w:sz="0" w:space="0" w:color="auto"/>
        <w:bottom w:val="none" w:sz="0" w:space="0" w:color="auto"/>
        <w:right w:val="none" w:sz="0" w:space="0" w:color="auto"/>
      </w:divBdr>
    </w:div>
    <w:div w:id="19840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govindicators.org" TargetMode="External"/><Relationship Id="rId26" Type="http://schemas.openxmlformats.org/officeDocument/2006/relationships/hyperlink" Target="http://www.iso.org/iso/iso-survey" TargetMode="External"/><Relationship Id="rId39" Type="http://schemas.openxmlformats.org/officeDocument/2006/relationships/hyperlink" Target="http://www-wds.worldbank.org/external/default/WDSContentServer/WDSP/IB/2012/08/02/000356161_20120802015026/Rendered/PDF/716080WP0Box370Getting0to0Green0web.pdf" TargetMode="External"/><Relationship Id="rId3" Type="http://schemas.openxmlformats.org/officeDocument/2006/relationships/styles" Target="styles.xml"/><Relationship Id="rId21" Type="http://schemas.openxmlformats.org/officeDocument/2006/relationships/hyperlink" Target="http://www.menr.gov.ua" TargetMode="External"/><Relationship Id="rId34" Type="http://schemas.openxmlformats.org/officeDocument/2006/relationships/hyperlink" Target="https://www.cbd.int/doc/world/ua/ua-nr-05-en.pdf" TargetMode="External"/><Relationship Id="rId42" Type="http://schemas.openxmlformats.org/officeDocument/2006/relationships/hyperlink" Target="http://epi.yale.edu/epi/country-profile/ukrain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apers.ssrn.com/sol3/papers.cfm?abstract_id=1682130" TargetMode="External"/><Relationship Id="rId25" Type="http://schemas.openxmlformats.org/officeDocument/2006/relationships/hyperlink" Target="https://stat.unido.org/" TargetMode="External"/><Relationship Id="rId33" Type="http://schemas.openxmlformats.org/officeDocument/2006/relationships/hyperlink" Target="http://www.kyivpost.com/content/business/ukrainian-government-takes-more-steps-towards-transparency-385925.html" TargetMode="External"/><Relationship Id="rId38" Type="http://schemas.openxmlformats.org/officeDocument/2006/relationships/hyperlink" Target="http://data.un.org/DocumentData.aspx?id=35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hyperlink" Target="http://airgovernance.eu" TargetMode="External"/><Relationship Id="rId41" Type="http://schemas.openxmlformats.org/officeDocument/2006/relationships/hyperlink" Target="http://library.wmo.int/pmb_ged/wmo_1069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24" Type="http://schemas.openxmlformats.org/officeDocument/2006/relationships/image" Target="media/image10.png"/><Relationship Id="rId32" Type="http://schemas.openxmlformats.org/officeDocument/2006/relationships/hyperlink" Target="http://www.ifc.org/wps/wcm/connect/31b3d8004bc75c31b99dff1be6561834/PublicationUkraineMSW2012en.pdf?MOD=AJPERES" TargetMode="External"/><Relationship Id="rId37" Type="http://schemas.openxmlformats.org/officeDocument/2006/relationships/hyperlink" Target="https://dspace.tul.cz/bitstream/handle/15240/13432/Str%C3%A1nky%20z%20EM_4_2015_01.pdf?sequence=1" TargetMode="External"/><Relationship Id="rId40" Type="http://schemas.openxmlformats.org/officeDocument/2006/relationships/hyperlink" Target="http://www.wmo.i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www.cgo.kiev.ua/index.php?fn=u_zabrud&amp;f=ukraine&amp;p=1" TargetMode="External"/><Relationship Id="rId36" Type="http://schemas.openxmlformats.org/officeDocument/2006/relationships/hyperlink" Target="http://dx.doi.org/10.1787/9789264227385-en" TargetMode="External"/><Relationship Id="rId10" Type="http://schemas.openxmlformats.org/officeDocument/2006/relationships/image" Target="media/image2.png"/><Relationship Id="rId19" Type="http://schemas.openxmlformats.org/officeDocument/2006/relationships/hyperlink" Target="http://www.menr.gov.ua/expertyza/" TargetMode="External"/><Relationship Id="rId31" Type="http://schemas.openxmlformats.org/officeDocument/2006/relationships/hyperlink" Target="http://decentralization.gov.ua/en"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ukrstat.gov.ua/m_diyaln/AGA_2012/AGA_Report_UA2.pdf" TargetMode="External"/><Relationship Id="rId30" Type="http://schemas.openxmlformats.org/officeDocument/2006/relationships/hyperlink" Target="http://unfccc.int/files/national_reports/annex_i_ghg_inventories/national_inventories_submissions/application/zip/ukr-2014-nir-15apr.zip" TargetMode="External"/><Relationship Id="rId35" Type="http://schemas.openxmlformats.org/officeDocument/2006/relationships/hyperlink" Target="http://www.oecd.org/env/outreach/37724027.pdf" TargetMode="External"/><Relationship Id="rId43"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www.recpc.kp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B24C-0C90-4D69-B03D-29642E86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125</Pages>
  <Words>44786</Words>
  <Characters>273833</Characters>
  <Application>Microsoft Office Word</Application>
  <DocSecurity>4</DocSecurity>
  <Lines>2281</Lines>
  <Paragraphs>635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Ukraine Country Environmental Analysis</vt:lpstr>
      <vt:lpstr>Ukraine Country Environmental Analysis</vt:lpstr>
    </vt:vector>
  </TitlesOfParts>
  <Company>The World Bank Group</Company>
  <LinksUpToDate>false</LinksUpToDate>
  <CharactersWithSpaces>317984</CharactersWithSpaces>
  <SharedDoc>false</SharedDoc>
  <HLinks>
    <vt:vector size="612" baseType="variant">
      <vt:variant>
        <vt:i4>6619177</vt:i4>
      </vt:variant>
      <vt:variant>
        <vt:i4>636</vt:i4>
      </vt:variant>
      <vt:variant>
        <vt:i4>0</vt:i4>
      </vt:variant>
      <vt:variant>
        <vt:i4>5</vt:i4>
      </vt:variant>
      <vt:variant>
        <vt:lpwstr>http://epi.yale.edu/epi/country-profile/ukraine</vt:lpwstr>
      </vt:variant>
      <vt:variant>
        <vt:lpwstr/>
      </vt:variant>
      <vt:variant>
        <vt:i4>1114144</vt:i4>
      </vt:variant>
      <vt:variant>
        <vt:i4>633</vt:i4>
      </vt:variant>
      <vt:variant>
        <vt:i4>0</vt:i4>
      </vt:variant>
      <vt:variant>
        <vt:i4>5</vt:i4>
      </vt:variant>
      <vt:variant>
        <vt:lpwstr>http://library.wmo.int/pmb_ged/wmo_1069_en.pdf</vt:lpwstr>
      </vt:variant>
      <vt:variant>
        <vt:lpwstr/>
      </vt:variant>
      <vt:variant>
        <vt:i4>3014781</vt:i4>
      </vt:variant>
      <vt:variant>
        <vt:i4>630</vt:i4>
      </vt:variant>
      <vt:variant>
        <vt:i4>0</vt:i4>
      </vt:variant>
      <vt:variant>
        <vt:i4>5</vt:i4>
      </vt:variant>
      <vt:variant>
        <vt:lpwstr>http://www.wmo.int/</vt:lpwstr>
      </vt:variant>
      <vt:variant>
        <vt:lpwstr/>
      </vt:variant>
      <vt:variant>
        <vt:i4>5963818</vt:i4>
      </vt:variant>
      <vt:variant>
        <vt:i4>627</vt:i4>
      </vt:variant>
      <vt:variant>
        <vt:i4>0</vt:i4>
      </vt:variant>
      <vt:variant>
        <vt:i4>5</vt:i4>
      </vt:variant>
      <vt:variant>
        <vt:lpwstr>http://www-wds.worldbank.org/external/default/WDSContentServer/WDSP/IB/2012/08/02/000356161_20120802015026/Rendered/PDF/716080WP0Box370Getting0to0Green0web.pdf</vt:lpwstr>
      </vt:variant>
      <vt:variant>
        <vt:lpwstr/>
      </vt:variant>
      <vt:variant>
        <vt:i4>2293885</vt:i4>
      </vt:variant>
      <vt:variant>
        <vt:i4>624</vt:i4>
      </vt:variant>
      <vt:variant>
        <vt:i4>0</vt:i4>
      </vt:variant>
      <vt:variant>
        <vt:i4>5</vt:i4>
      </vt:variant>
      <vt:variant>
        <vt:lpwstr>http://data.un.org/DocumentData.aspx?id=352</vt:lpwstr>
      </vt:variant>
      <vt:variant>
        <vt:lpwstr/>
      </vt:variant>
      <vt:variant>
        <vt:i4>7733318</vt:i4>
      </vt:variant>
      <vt:variant>
        <vt:i4>621</vt:i4>
      </vt:variant>
      <vt:variant>
        <vt:i4>0</vt:i4>
      </vt:variant>
      <vt:variant>
        <vt:i4>5</vt:i4>
      </vt:variant>
      <vt:variant>
        <vt:lpwstr>https://dspace.tul.cz/bitstream/handle/15240/13432/Str%C3%A1nky z EM_4_2015_01.pdf?sequence=1</vt:lpwstr>
      </vt:variant>
      <vt:variant>
        <vt:lpwstr/>
      </vt:variant>
      <vt:variant>
        <vt:i4>2949181</vt:i4>
      </vt:variant>
      <vt:variant>
        <vt:i4>618</vt:i4>
      </vt:variant>
      <vt:variant>
        <vt:i4>0</vt:i4>
      </vt:variant>
      <vt:variant>
        <vt:i4>5</vt:i4>
      </vt:variant>
      <vt:variant>
        <vt:lpwstr>http://dx.doi.org/10.1787/9789264227385-en</vt:lpwstr>
      </vt:variant>
      <vt:variant>
        <vt:lpwstr/>
      </vt:variant>
      <vt:variant>
        <vt:i4>5439498</vt:i4>
      </vt:variant>
      <vt:variant>
        <vt:i4>615</vt:i4>
      </vt:variant>
      <vt:variant>
        <vt:i4>0</vt:i4>
      </vt:variant>
      <vt:variant>
        <vt:i4>5</vt:i4>
      </vt:variant>
      <vt:variant>
        <vt:lpwstr>http://www.oecd.org/env/outreach/37724027.pdf</vt:lpwstr>
      </vt:variant>
      <vt:variant>
        <vt:lpwstr/>
      </vt:variant>
      <vt:variant>
        <vt:i4>458846</vt:i4>
      </vt:variant>
      <vt:variant>
        <vt:i4>612</vt:i4>
      </vt:variant>
      <vt:variant>
        <vt:i4>0</vt:i4>
      </vt:variant>
      <vt:variant>
        <vt:i4>5</vt:i4>
      </vt:variant>
      <vt:variant>
        <vt:lpwstr>https://www.cbd.int/doc/world/ua/ua-nr-05-en.pdf</vt:lpwstr>
      </vt:variant>
      <vt:variant>
        <vt:lpwstr/>
      </vt:variant>
      <vt:variant>
        <vt:i4>6881407</vt:i4>
      </vt:variant>
      <vt:variant>
        <vt:i4>609</vt:i4>
      </vt:variant>
      <vt:variant>
        <vt:i4>0</vt:i4>
      </vt:variant>
      <vt:variant>
        <vt:i4>5</vt:i4>
      </vt:variant>
      <vt:variant>
        <vt:lpwstr>http://www.kyivpost.com/content/business/ukrainian-government-takes-more-steps-towards-transparency-385925.html</vt:lpwstr>
      </vt:variant>
      <vt:variant>
        <vt:lpwstr/>
      </vt:variant>
      <vt:variant>
        <vt:i4>3932208</vt:i4>
      </vt:variant>
      <vt:variant>
        <vt:i4>606</vt:i4>
      </vt:variant>
      <vt:variant>
        <vt:i4>0</vt:i4>
      </vt:variant>
      <vt:variant>
        <vt:i4>5</vt:i4>
      </vt:variant>
      <vt:variant>
        <vt:lpwstr>http://www.ifc.org/wps/wcm/connect/31b3d8004bc75c31b99dff1be6561834/PublicationUkraineMSW2012en.pdf?MOD=AJPERES</vt:lpwstr>
      </vt:variant>
      <vt:variant>
        <vt:lpwstr/>
      </vt:variant>
      <vt:variant>
        <vt:i4>5636184</vt:i4>
      </vt:variant>
      <vt:variant>
        <vt:i4>603</vt:i4>
      </vt:variant>
      <vt:variant>
        <vt:i4>0</vt:i4>
      </vt:variant>
      <vt:variant>
        <vt:i4>5</vt:i4>
      </vt:variant>
      <vt:variant>
        <vt:lpwstr>http://decentralization.gov.ua/en</vt:lpwstr>
      </vt:variant>
      <vt:variant>
        <vt:lpwstr/>
      </vt:variant>
      <vt:variant>
        <vt:i4>4194304</vt:i4>
      </vt:variant>
      <vt:variant>
        <vt:i4>600</vt:i4>
      </vt:variant>
      <vt:variant>
        <vt:i4>0</vt:i4>
      </vt:variant>
      <vt:variant>
        <vt:i4>5</vt:i4>
      </vt:variant>
      <vt:variant>
        <vt:lpwstr>http://unfccc.int/files/national_reports/annex_i_ghg_inventories/national_inventories_submissions/application/zip/ukr-2014-nir-15apr.zip</vt:lpwstr>
      </vt:variant>
      <vt:variant>
        <vt:lpwstr/>
      </vt:variant>
      <vt:variant>
        <vt:i4>1900634</vt:i4>
      </vt:variant>
      <vt:variant>
        <vt:i4>597</vt:i4>
      </vt:variant>
      <vt:variant>
        <vt:i4>0</vt:i4>
      </vt:variant>
      <vt:variant>
        <vt:i4>5</vt:i4>
      </vt:variant>
      <vt:variant>
        <vt:lpwstr>http://airgovernance.eu/</vt:lpwstr>
      </vt:variant>
      <vt:variant>
        <vt:lpwstr/>
      </vt:variant>
      <vt:variant>
        <vt:i4>4980796</vt:i4>
      </vt:variant>
      <vt:variant>
        <vt:i4>594</vt:i4>
      </vt:variant>
      <vt:variant>
        <vt:i4>0</vt:i4>
      </vt:variant>
      <vt:variant>
        <vt:i4>5</vt:i4>
      </vt:variant>
      <vt:variant>
        <vt:lpwstr>http://www.cgo.kiev.ua/index.php?fn=u_zabrud&amp;f=ukraine&amp;p=1</vt:lpwstr>
      </vt:variant>
      <vt:variant>
        <vt:lpwstr/>
      </vt:variant>
      <vt:variant>
        <vt:i4>6619178</vt:i4>
      </vt:variant>
      <vt:variant>
        <vt:i4>591</vt:i4>
      </vt:variant>
      <vt:variant>
        <vt:i4>0</vt:i4>
      </vt:variant>
      <vt:variant>
        <vt:i4>5</vt:i4>
      </vt:variant>
      <vt:variant>
        <vt:lpwstr>http://www.ukrstat.gov.ua/m_diyaln/AGA_2012/AGA_Report_UA2.pdf</vt:lpwstr>
      </vt:variant>
      <vt:variant>
        <vt:lpwstr/>
      </vt:variant>
      <vt:variant>
        <vt:i4>4259921</vt:i4>
      </vt:variant>
      <vt:variant>
        <vt:i4>585</vt:i4>
      </vt:variant>
      <vt:variant>
        <vt:i4>0</vt:i4>
      </vt:variant>
      <vt:variant>
        <vt:i4>5</vt:i4>
      </vt:variant>
      <vt:variant>
        <vt:lpwstr>http://www.iso.org/iso/iso-survey</vt:lpwstr>
      </vt:variant>
      <vt:variant>
        <vt:lpwstr/>
      </vt:variant>
      <vt:variant>
        <vt:i4>6946858</vt:i4>
      </vt:variant>
      <vt:variant>
        <vt:i4>582</vt:i4>
      </vt:variant>
      <vt:variant>
        <vt:i4>0</vt:i4>
      </vt:variant>
      <vt:variant>
        <vt:i4>5</vt:i4>
      </vt:variant>
      <vt:variant>
        <vt:lpwstr>https://stat.unido.org/</vt:lpwstr>
      </vt:variant>
      <vt:variant>
        <vt:lpwstr/>
      </vt:variant>
      <vt:variant>
        <vt:i4>1900632</vt:i4>
      </vt:variant>
      <vt:variant>
        <vt:i4>570</vt:i4>
      </vt:variant>
      <vt:variant>
        <vt:i4>0</vt:i4>
      </vt:variant>
      <vt:variant>
        <vt:i4>5</vt:i4>
      </vt:variant>
      <vt:variant>
        <vt:lpwstr>http://rgo.informjust.ua/</vt:lpwstr>
      </vt:variant>
      <vt:variant>
        <vt:lpwstr/>
      </vt:variant>
      <vt:variant>
        <vt:i4>2490403</vt:i4>
      </vt:variant>
      <vt:variant>
        <vt:i4>561</vt:i4>
      </vt:variant>
      <vt:variant>
        <vt:i4>0</vt:i4>
      </vt:variant>
      <vt:variant>
        <vt:i4>5</vt:i4>
      </vt:variant>
      <vt:variant>
        <vt:lpwstr>http://www.menr.gov.ua/</vt:lpwstr>
      </vt:variant>
      <vt:variant>
        <vt:lpwstr/>
      </vt:variant>
      <vt:variant>
        <vt:i4>5832735</vt:i4>
      </vt:variant>
      <vt:variant>
        <vt:i4>537</vt:i4>
      </vt:variant>
      <vt:variant>
        <vt:i4>0</vt:i4>
      </vt:variant>
      <vt:variant>
        <vt:i4>5</vt:i4>
      </vt:variant>
      <vt:variant>
        <vt:lpwstr>http://www.menr.gov.ua/expertyza/</vt:lpwstr>
      </vt:variant>
      <vt:variant>
        <vt:lpwstr/>
      </vt:variant>
      <vt:variant>
        <vt:i4>4718674</vt:i4>
      </vt:variant>
      <vt:variant>
        <vt:i4>504</vt:i4>
      </vt:variant>
      <vt:variant>
        <vt:i4>0</vt:i4>
      </vt:variant>
      <vt:variant>
        <vt:i4>5</vt:i4>
      </vt:variant>
      <vt:variant>
        <vt:lpwstr>http://govindicators.org/</vt:lpwstr>
      </vt:variant>
      <vt:variant>
        <vt:lpwstr/>
      </vt:variant>
      <vt:variant>
        <vt:i4>1900584</vt:i4>
      </vt:variant>
      <vt:variant>
        <vt:i4>501</vt:i4>
      </vt:variant>
      <vt:variant>
        <vt:i4>0</vt:i4>
      </vt:variant>
      <vt:variant>
        <vt:i4>5</vt:i4>
      </vt:variant>
      <vt:variant>
        <vt:lpwstr>http://papers.ssrn.com/sol3/papers.cfm?abstract_id=1682130</vt:lpwstr>
      </vt:variant>
      <vt:variant>
        <vt:lpwstr/>
      </vt:variant>
      <vt:variant>
        <vt:i4>1114166</vt:i4>
      </vt:variant>
      <vt:variant>
        <vt:i4>467</vt:i4>
      </vt:variant>
      <vt:variant>
        <vt:i4>0</vt:i4>
      </vt:variant>
      <vt:variant>
        <vt:i4>5</vt:i4>
      </vt:variant>
      <vt:variant>
        <vt:lpwstr/>
      </vt:variant>
      <vt:variant>
        <vt:lpwstr>_Toc437964386</vt:lpwstr>
      </vt:variant>
      <vt:variant>
        <vt:i4>1114166</vt:i4>
      </vt:variant>
      <vt:variant>
        <vt:i4>458</vt:i4>
      </vt:variant>
      <vt:variant>
        <vt:i4>0</vt:i4>
      </vt:variant>
      <vt:variant>
        <vt:i4>5</vt:i4>
      </vt:variant>
      <vt:variant>
        <vt:lpwstr/>
      </vt:variant>
      <vt:variant>
        <vt:lpwstr>_Toc437964385</vt:lpwstr>
      </vt:variant>
      <vt:variant>
        <vt:i4>1114166</vt:i4>
      </vt:variant>
      <vt:variant>
        <vt:i4>452</vt:i4>
      </vt:variant>
      <vt:variant>
        <vt:i4>0</vt:i4>
      </vt:variant>
      <vt:variant>
        <vt:i4>5</vt:i4>
      </vt:variant>
      <vt:variant>
        <vt:lpwstr/>
      </vt:variant>
      <vt:variant>
        <vt:lpwstr>_Toc437964384</vt:lpwstr>
      </vt:variant>
      <vt:variant>
        <vt:i4>1114166</vt:i4>
      </vt:variant>
      <vt:variant>
        <vt:i4>446</vt:i4>
      </vt:variant>
      <vt:variant>
        <vt:i4>0</vt:i4>
      </vt:variant>
      <vt:variant>
        <vt:i4>5</vt:i4>
      </vt:variant>
      <vt:variant>
        <vt:lpwstr/>
      </vt:variant>
      <vt:variant>
        <vt:lpwstr>_Toc437964383</vt:lpwstr>
      </vt:variant>
      <vt:variant>
        <vt:i4>1114166</vt:i4>
      </vt:variant>
      <vt:variant>
        <vt:i4>440</vt:i4>
      </vt:variant>
      <vt:variant>
        <vt:i4>0</vt:i4>
      </vt:variant>
      <vt:variant>
        <vt:i4>5</vt:i4>
      </vt:variant>
      <vt:variant>
        <vt:lpwstr/>
      </vt:variant>
      <vt:variant>
        <vt:lpwstr>_Toc437964382</vt:lpwstr>
      </vt:variant>
      <vt:variant>
        <vt:i4>1114166</vt:i4>
      </vt:variant>
      <vt:variant>
        <vt:i4>434</vt:i4>
      </vt:variant>
      <vt:variant>
        <vt:i4>0</vt:i4>
      </vt:variant>
      <vt:variant>
        <vt:i4>5</vt:i4>
      </vt:variant>
      <vt:variant>
        <vt:lpwstr/>
      </vt:variant>
      <vt:variant>
        <vt:lpwstr>_Toc437964381</vt:lpwstr>
      </vt:variant>
      <vt:variant>
        <vt:i4>1114166</vt:i4>
      </vt:variant>
      <vt:variant>
        <vt:i4>428</vt:i4>
      </vt:variant>
      <vt:variant>
        <vt:i4>0</vt:i4>
      </vt:variant>
      <vt:variant>
        <vt:i4>5</vt:i4>
      </vt:variant>
      <vt:variant>
        <vt:lpwstr/>
      </vt:variant>
      <vt:variant>
        <vt:lpwstr>_Toc437964380</vt:lpwstr>
      </vt:variant>
      <vt:variant>
        <vt:i4>1966134</vt:i4>
      </vt:variant>
      <vt:variant>
        <vt:i4>422</vt:i4>
      </vt:variant>
      <vt:variant>
        <vt:i4>0</vt:i4>
      </vt:variant>
      <vt:variant>
        <vt:i4>5</vt:i4>
      </vt:variant>
      <vt:variant>
        <vt:lpwstr/>
      </vt:variant>
      <vt:variant>
        <vt:lpwstr>_Toc437964379</vt:lpwstr>
      </vt:variant>
      <vt:variant>
        <vt:i4>1966134</vt:i4>
      </vt:variant>
      <vt:variant>
        <vt:i4>416</vt:i4>
      </vt:variant>
      <vt:variant>
        <vt:i4>0</vt:i4>
      </vt:variant>
      <vt:variant>
        <vt:i4>5</vt:i4>
      </vt:variant>
      <vt:variant>
        <vt:lpwstr/>
      </vt:variant>
      <vt:variant>
        <vt:lpwstr>_Toc437964378</vt:lpwstr>
      </vt:variant>
      <vt:variant>
        <vt:i4>1966134</vt:i4>
      </vt:variant>
      <vt:variant>
        <vt:i4>410</vt:i4>
      </vt:variant>
      <vt:variant>
        <vt:i4>0</vt:i4>
      </vt:variant>
      <vt:variant>
        <vt:i4>5</vt:i4>
      </vt:variant>
      <vt:variant>
        <vt:lpwstr/>
      </vt:variant>
      <vt:variant>
        <vt:lpwstr>_Toc437964377</vt:lpwstr>
      </vt:variant>
      <vt:variant>
        <vt:i4>1441843</vt:i4>
      </vt:variant>
      <vt:variant>
        <vt:i4>401</vt:i4>
      </vt:variant>
      <vt:variant>
        <vt:i4>0</vt:i4>
      </vt:variant>
      <vt:variant>
        <vt:i4>5</vt:i4>
      </vt:variant>
      <vt:variant>
        <vt:lpwstr/>
      </vt:variant>
      <vt:variant>
        <vt:lpwstr>_Toc437859530</vt:lpwstr>
      </vt:variant>
      <vt:variant>
        <vt:i4>1507379</vt:i4>
      </vt:variant>
      <vt:variant>
        <vt:i4>395</vt:i4>
      </vt:variant>
      <vt:variant>
        <vt:i4>0</vt:i4>
      </vt:variant>
      <vt:variant>
        <vt:i4>5</vt:i4>
      </vt:variant>
      <vt:variant>
        <vt:lpwstr/>
      </vt:variant>
      <vt:variant>
        <vt:lpwstr>_Toc437859529</vt:lpwstr>
      </vt:variant>
      <vt:variant>
        <vt:i4>1507379</vt:i4>
      </vt:variant>
      <vt:variant>
        <vt:i4>389</vt:i4>
      </vt:variant>
      <vt:variant>
        <vt:i4>0</vt:i4>
      </vt:variant>
      <vt:variant>
        <vt:i4>5</vt:i4>
      </vt:variant>
      <vt:variant>
        <vt:lpwstr/>
      </vt:variant>
      <vt:variant>
        <vt:lpwstr>_Toc437859528</vt:lpwstr>
      </vt:variant>
      <vt:variant>
        <vt:i4>1507379</vt:i4>
      </vt:variant>
      <vt:variant>
        <vt:i4>383</vt:i4>
      </vt:variant>
      <vt:variant>
        <vt:i4>0</vt:i4>
      </vt:variant>
      <vt:variant>
        <vt:i4>5</vt:i4>
      </vt:variant>
      <vt:variant>
        <vt:lpwstr/>
      </vt:variant>
      <vt:variant>
        <vt:lpwstr>_Toc437859527</vt:lpwstr>
      </vt:variant>
      <vt:variant>
        <vt:i4>1507379</vt:i4>
      </vt:variant>
      <vt:variant>
        <vt:i4>377</vt:i4>
      </vt:variant>
      <vt:variant>
        <vt:i4>0</vt:i4>
      </vt:variant>
      <vt:variant>
        <vt:i4>5</vt:i4>
      </vt:variant>
      <vt:variant>
        <vt:lpwstr/>
      </vt:variant>
      <vt:variant>
        <vt:lpwstr>_Toc437859526</vt:lpwstr>
      </vt:variant>
      <vt:variant>
        <vt:i4>1507379</vt:i4>
      </vt:variant>
      <vt:variant>
        <vt:i4>371</vt:i4>
      </vt:variant>
      <vt:variant>
        <vt:i4>0</vt:i4>
      </vt:variant>
      <vt:variant>
        <vt:i4>5</vt:i4>
      </vt:variant>
      <vt:variant>
        <vt:lpwstr/>
      </vt:variant>
      <vt:variant>
        <vt:lpwstr>_Toc437859525</vt:lpwstr>
      </vt:variant>
      <vt:variant>
        <vt:i4>1507379</vt:i4>
      </vt:variant>
      <vt:variant>
        <vt:i4>365</vt:i4>
      </vt:variant>
      <vt:variant>
        <vt:i4>0</vt:i4>
      </vt:variant>
      <vt:variant>
        <vt:i4>5</vt:i4>
      </vt:variant>
      <vt:variant>
        <vt:lpwstr/>
      </vt:variant>
      <vt:variant>
        <vt:lpwstr>_Toc437859524</vt:lpwstr>
      </vt:variant>
      <vt:variant>
        <vt:i4>1507379</vt:i4>
      </vt:variant>
      <vt:variant>
        <vt:i4>359</vt:i4>
      </vt:variant>
      <vt:variant>
        <vt:i4>0</vt:i4>
      </vt:variant>
      <vt:variant>
        <vt:i4>5</vt:i4>
      </vt:variant>
      <vt:variant>
        <vt:lpwstr/>
      </vt:variant>
      <vt:variant>
        <vt:lpwstr>_Toc437859523</vt:lpwstr>
      </vt:variant>
      <vt:variant>
        <vt:i4>1507379</vt:i4>
      </vt:variant>
      <vt:variant>
        <vt:i4>353</vt:i4>
      </vt:variant>
      <vt:variant>
        <vt:i4>0</vt:i4>
      </vt:variant>
      <vt:variant>
        <vt:i4>5</vt:i4>
      </vt:variant>
      <vt:variant>
        <vt:lpwstr/>
      </vt:variant>
      <vt:variant>
        <vt:lpwstr>_Toc437859522</vt:lpwstr>
      </vt:variant>
      <vt:variant>
        <vt:i4>1507379</vt:i4>
      </vt:variant>
      <vt:variant>
        <vt:i4>347</vt:i4>
      </vt:variant>
      <vt:variant>
        <vt:i4>0</vt:i4>
      </vt:variant>
      <vt:variant>
        <vt:i4>5</vt:i4>
      </vt:variant>
      <vt:variant>
        <vt:lpwstr/>
      </vt:variant>
      <vt:variant>
        <vt:lpwstr>_Toc437859521</vt:lpwstr>
      </vt:variant>
      <vt:variant>
        <vt:i4>1507379</vt:i4>
      </vt:variant>
      <vt:variant>
        <vt:i4>341</vt:i4>
      </vt:variant>
      <vt:variant>
        <vt:i4>0</vt:i4>
      </vt:variant>
      <vt:variant>
        <vt:i4>5</vt:i4>
      </vt:variant>
      <vt:variant>
        <vt:lpwstr/>
      </vt:variant>
      <vt:variant>
        <vt:lpwstr>_Toc437859520</vt:lpwstr>
      </vt:variant>
      <vt:variant>
        <vt:i4>1310771</vt:i4>
      </vt:variant>
      <vt:variant>
        <vt:i4>335</vt:i4>
      </vt:variant>
      <vt:variant>
        <vt:i4>0</vt:i4>
      </vt:variant>
      <vt:variant>
        <vt:i4>5</vt:i4>
      </vt:variant>
      <vt:variant>
        <vt:lpwstr/>
      </vt:variant>
      <vt:variant>
        <vt:lpwstr>_Toc437859519</vt:lpwstr>
      </vt:variant>
      <vt:variant>
        <vt:i4>1310771</vt:i4>
      </vt:variant>
      <vt:variant>
        <vt:i4>329</vt:i4>
      </vt:variant>
      <vt:variant>
        <vt:i4>0</vt:i4>
      </vt:variant>
      <vt:variant>
        <vt:i4>5</vt:i4>
      </vt:variant>
      <vt:variant>
        <vt:lpwstr/>
      </vt:variant>
      <vt:variant>
        <vt:lpwstr>_Toc437859518</vt:lpwstr>
      </vt:variant>
      <vt:variant>
        <vt:i4>1310771</vt:i4>
      </vt:variant>
      <vt:variant>
        <vt:i4>323</vt:i4>
      </vt:variant>
      <vt:variant>
        <vt:i4>0</vt:i4>
      </vt:variant>
      <vt:variant>
        <vt:i4>5</vt:i4>
      </vt:variant>
      <vt:variant>
        <vt:lpwstr/>
      </vt:variant>
      <vt:variant>
        <vt:lpwstr>_Toc437859517</vt:lpwstr>
      </vt:variant>
      <vt:variant>
        <vt:i4>1310771</vt:i4>
      </vt:variant>
      <vt:variant>
        <vt:i4>317</vt:i4>
      </vt:variant>
      <vt:variant>
        <vt:i4>0</vt:i4>
      </vt:variant>
      <vt:variant>
        <vt:i4>5</vt:i4>
      </vt:variant>
      <vt:variant>
        <vt:lpwstr/>
      </vt:variant>
      <vt:variant>
        <vt:lpwstr>_Toc437859516</vt:lpwstr>
      </vt:variant>
      <vt:variant>
        <vt:i4>1310771</vt:i4>
      </vt:variant>
      <vt:variant>
        <vt:i4>311</vt:i4>
      </vt:variant>
      <vt:variant>
        <vt:i4>0</vt:i4>
      </vt:variant>
      <vt:variant>
        <vt:i4>5</vt:i4>
      </vt:variant>
      <vt:variant>
        <vt:lpwstr/>
      </vt:variant>
      <vt:variant>
        <vt:lpwstr>_Toc437859515</vt:lpwstr>
      </vt:variant>
      <vt:variant>
        <vt:i4>1310771</vt:i4>
      </vt:variant>
      <vt:variant>
        <vt:i4>305</vt:i4>
      </vt:variant>
      <vt:variant>
        <vt:i4>0</vt:i4>
      </vt:variant>
      <vt:variant>
        <vt:i4>5</vt:i4>
      </vt:variant>
      <vt:variant>
        <vt:lpwstr/>
      </vt:variant>
      <vt:variant>
        <vt:lpwstr>_Toc437859514</vt:lpwstr>
      </vt:variant>
      <vt:variant>
        <vt:i4>1310771</vt:i4>
      </vt:variant>
      <vt:variant>
        <vt:i4>299</vt:i4>
      </vt:variant>
      <vt:variant>
        <vt:i4>0</vt:i4>
      </vt:variant>
      <vt:variant>
        <vt:i4>5</vt:i4>
      </vt:variant>
      <vt:variant>
        <vt:lpwstr/>
      </vt:variant>
      <vt:variant>
        <vt:lpwstr>_Toc437859513</vt:lpwstr>
      </vt:variant>
      <vt:variant>
        <vt:i4>1310771</vt:i4>
      </vt:variant>
      <vt:variant>
        <vt:i4>293</vt:i4>
      </vt:variant>
      <vt:variant>
        <vt:i4>0</vt:i4>
      </vt:variant>
      <vt:variant>
        <vt:i4>5</vt:i4>
      </vt:variant>
      <vt:variant>
        <vt:lpwstr/>
      </vt:variant>
      <vt:variant>
        <vt:lpwstr>_Toc437859512</vt:lpwstr>
      </vt:variant>
      <vt:variant>
        <vt:i4>1966134</vt:i4>
      </vt:variant>
      <vt:variant>
        <vt:i4>284</vt:i4>
      </vt:variant>
      <vt:variant>
        <vt:i4>0</vt:i4>
      </vt:variant>
      <vt:variant>
        <vt:i4>5</vt:i4>
      </vt:variant>
      <vt:variant>
        <vt:lpwstr/>
      </vt:variant>
      <vt:variant>
        <vt:lpwstr>_Toc437964376</vt:lpwstr>
      </vt:variant>
      <vt:variant>
        <vt:i4>1966134</vt:i4>
      </vt:variant>
      <vt:variant>
        <vt:i4>278</vt:i4>
      </vt:variant>
      <vt:variant>
        <vt:i4>0</vt:i4>
      </vt:variant>
      <vt:variant>
        <vt:i4>5</vt:i4>
      </vt:variant>
      <vt:variant>
        <vt:lpwstr/>
      </vt:variant>
      <vt:variant>
        <vt:lpwstr>_Toc437964375</vt:lpwstr>
      </vt:variant>
      <vt:variant>
        <vt:i4>1966134</vt:i4>
      </vt:variant>
      <vt:variant>
        <vt:i4>272</vt:i4>
      </vt:variant>
      <vt:variant>
        <vt:i4>0</vt:i4>
      </vt:variant>
      <vt:variant>
        <vt:i4>5</vt:i4>
      </vt:variant>
      <vt:variant>
        <vt:lpwstr/>
      </vt:variant>
      <vt:variant>
        <vt:lpwstr>_Toc437964374</vt:lpwstr>
      </vt:variant>
      <vt:variant>
        <vt:i4>1966134</vt:i4>
      </vt:variant>
      <vt:variant>
        <vt:i4>266</vt:i4>
      </vt:variant>
      <vt:variant>
        <vt:i4>0</vt:i4>
      </vt:variant>
      <vt:variant>
        <vt:i4>5</vt:i4>
      </vt:variant>
      <vt:variant>
        <vt:lpwstr/>
      </vt:variant>
      <vt:variant>
        <vt:lpwstr>_Toc437964373</vt:lpwstr>
      </vt:variant>
      <vt:variant>
        <vt:i4>1966134</vt:i4>
      </vt:variant>
      <vt:variant>
        <vt:i4>260</vt:i4>
      </vt:variant>
      <vt:variant>
        <vt:i4>0</vt:i4>
      </vt:variant>
      <vt:variant>
        <vt:i4>5</vt:i4>
      </vt:variant>
      <vt:variant>
        <vt:lpwstr/>
      </vt:variant>
      <vt:variant>
        <vt:lpwstr>_Toc437964372</vt:lpwstr>
      </vt:variant>
      <vt:variant>
        <vt:i4>1966134</vt:i4>
      </vt:variant>
      <vt:variant>
        <vt:i4>254</vt:i4>
      </vt:variant>
      <vt:variant>
        <vt:i4>0</vt:i4>
      </vt:variant>
      <vt:variant>
        <vt:i4>5</vt:i4>
      </vt:variant>
      <vt:variant>
        <vt:lpwstr/>
      </vt:variant>
      <vt:variant>
        <vt:lpwstr>_Toc437964371</vt:lpwstr>
      </vt:variant>
      <vt:variant>
        <vt:i4>1966134</vt:i4>
      </vt:variant>
      <vt:variant>
        <vt:i4>248</vt:i4>
      </vt:variant>
      <vt:variant>
        <vt:i4>0</vt:i4>
      </vt:variant>
      <vt:variant>
        <vt:i4>5</vt:i4>
      </vt:variant>
      <vt:variant>
        <vt:lpwstr/>
      </vt:variant>
      <vt:variant>
        <vt:lpwstr>_Toc437964370</vt:lpwstr>
      </vt:variant>
      <vt:variant>
        <vt:i4>2031670</vt:i4>
      </vt:variant>
      <vt:variant>
        <vt:i4>242</vt:i4>
      </vt:variant>
      <vt:variant>
        <vt:i4>0</vt:i4>
      </vt:variant>
      <vt:variant>
        <vt:i4>5</vt:i4>
      </vt:variant>
      <vt:variant>
        <vt:lpwstr/>
      </vt:variant>
      <vt:variant>
        <vt:lpwstr>_Toc437964369</vt:lpwstr>
      </vt:variant>
      <vt:variant>
        <vt:i4>2031670</vt:i4>
      </vt:variant>
      <vt:variant>
        <vt:i4>236</vt:i4>
      </vt:variant>
      <vt:variant>
        <vt:i4>0</vt:i4>
      </vt:variant>
      <vt:variant>
        <vt:i4>5</vt:i4>
      </vt:variant>
      <vt:variant>
        <vt:lpwstr/>
      </vt:variant>
      <vt:variant>
        <vt:lpwstr>_Toc437964368</vt:lpwstr>
      </vt:variant>
      <vt:variant>
        <vt:i4>2031670</vt:i4>
      </vt:variant>
      <vt:variant>
        <vt:i4>227</vt:i4>
      </vt:variant>
      <vt:variant>
        <vt:i4>0</vt:i4>
      </vt:variant>
      <vt:variant>
        <vt:i4>5</vt:i4>
      </vt:variant>
      <vt:variant>
        <vt:lpwstr/>
      </vt:variant>
      <vt:variant>
        <vt:lpwstr>_Toc437964367</vt:lpwstr>
      </vt:variant>
      <vt:variant>
        <vt:i4>2031670</vt:i4>
      </vt:variant>
      <vt:variant>
        <vt:i4>221</vt:i4>
      </vt:variant>
      <vt:variant>
        <vt:i4>0</vt:i4>
      </vt:variant>
      <vt:variant>
        <vt:i4>5</vt:i4>
      </vt:variant>
      <vt:variant>
        <vt:lpwstr/>
      </vt:variant>
      <vt:variant>
        <vt:lpwstr>_Toc437964366</vt:lpwstr>
      </vt:variant>
      <vt:variant>
        <vt:i4>2031670</vt:i4>
      </vt:variant>
      <vt:variant>
        <vt:i4>215</vt:i4>
      </vt:variant>
      <vt:variant>
        <vt:i4>0</vt:i4>
      </vt:variant>
      <vt:variant>
        <vt:i4>5</vt:i4>
      </vt:variant>
      <vt:variant>
        <vt:lpwstr/>
      </vt:variant>
      <vt:variant>
        <vt:lpwstr>_Toc437964365</vt:lpwstr>
      </vt:variant>
      <vt:variant>
        <vt:i4>2031670</vt:i4>
      </vt:variant>
      <vt:variant>
        <vt:i4>209</vt:i4>
      </vt:variant>
      <vt:variant>
        <vt:i4>0</vt:i4>
      </vt:variant>
      <vt:variant>
        <vt:i4>5</vt:i4>
      </vt:variant>
      <vt:variant>
        <vt:lpwstr/>
      </vt:variant>
      <vt:variant>
        <vt:lpwstr>_Toc437964364</vt:lpwstr>
      </vt:variant>
      <vt:variant>
        <vt:i4>2031670</vt:i4>
      </vt:variant>
      <vt:variant>
        <vt:i4>203</vt:i4>
      </vt:variant>
      <vt:variant>
        <vt:i4>0</vt:i4>
      </vt:variant>
      <vt:variant>
        <vt:i4>5</vt:i4>
      </vt:variant>
      <vt:variant>
        <vt:lpwstr/>
      </vt:variant>
      <vt:variant>
        <vt:lpwstr>_Toc437964363</vt:lpwstr>
      </vt:variant>
      <vt:variant>
        <vt:i4>2031670</vt:i4>
      </vt:variant>
      <vt:variant>
        <vt:i4>197</vt:i4>
      </vt:variant>
      <vt:variant>
        <vt:i4>0</vt:i4>
      </vt:variant>
      <vt:variant>
        <vt:i4>5</vt:i4>
      </vt:variant>
      <vt:variant>
        <vt:lpwstr/>
      </vt:variant>
      <vt:variant>
        <vt:lpwstr>_Toc437964362</vt:lpwstr>
      </vt:variant>
      <vt:variant>
        <vt:i4>2031670</vt:i4>
      </vt:variant>
      <vt:variant>
        <vt:i4>191</vt:i4>
      </vt:variant>
      <vt:variant>
        <vt:i4>0</vt:i4>
      </vt:variant>
      <vt:variant>
        <vt:i4>5</vt:i4>
      </vt:variant>
      <vt:variant>
        <vt:lpwstr/>
      </vt:variant>
      <vt:variant>
        <vt:lpwstr>_Toc437964361</vt:lpwstr>
      </vt:variant>
      <vt:variant>
        <vt:i4>2031670</vt:i4>
      </vt:variant>
      <vt:variant>
        <vt:i4>185</vt:i4>
      </vt:variant>
      <vt:variant>
        <vt:i4>0</vt:i4>
      </vt:variant>
      <vt:variant>
        <vt:i4>5</vt:i4>
      </vt:variant>
      <vt:variant>
        <vt:lpwstr/>
      </vt:variant>
      <vt:variant>
        <vt:lpwstr>_Toc437964360</vt:lpwstr>
      </vt:variant>
      <vt:variant>
        <vt:i4>1835062</vt:i4>
      </vt:variant>
      <vt:variant>
        <vt:i4>179</vt:i4>
      </vt:variant>
      <vt:variant>
        <vt:i4>0</vt:i4>
      </vt:variant>
      <vt:variant>
        <vt:i4>5</vt:i4>
      </vt:variant>
      <vt:variant>
        <vt:lpwstr/>
      </vt:variant>
      <vt:variant>
        <vt:lpwstr>_Toc437964359</vt:lpwstr>
      </vt:variant>
      <vt:variant>
        <vt:i4>1835062</vt:i4>
      </vt:variant>
      <vt:variant>
        <vt:i4>173</vt:i4>
      </vt:variant>
      <vt:variant>
        <vt:i4>0</vt:i4>
      </vt:variant>
      <vt:variant>
        <vt:i4>5</vt:i4>
      </vt:variant>
      <vt:variant>
        <vt:lpwstr/>
      </vt:variant>
      <vt:variant>
        <vt:lpwstr>_Toc437964358</vt:lpwstr>
      </vt:variant>
      <vt:variant>
        <vt:i4>1835062</vt:i4>
      </vt:variant>
      <vt:variant>
        <vt:i4>167</vt:i4>
      </vt:variant>
      <vt:variant>
        <vt:i4>0</vt:i4>
      </vt:variant>
      <vt:variant>
        <vt:i4>5</vt:i4>
      </vt:variant>
      <vt:variant>
        <vt:lpwstr/>
      </vt:variant>
      <vt:variant>
        <vt:lpwstr>_Toc437964357</vt:lpwstr>
      </vt:variant>
      <vt:variant>
        <vt:i4>1835062</vt:i4>
      </vt:variant>
      <vt:variant>
        <vt:i4>161</vt:i4>
      </vt:variant>
      <vt:variant>
        <vt:i4>0</vt:i4>
      </vt:variant>
      <vt:variant>
        <vt:i4>5</vt:i4>
      </vt:variant>
      <vt:variant>
        <vt:lpwstr/>
      </vt:variant>
      <vt:variant>
        <vt:lpwstr>_Toc437964356</vt:lpwstr>
      </vt:variant>
      <vt:variant>
        <vt:i4>1835062</vt:i4>
      </vt:variant>
      <vt:variant>
        <vt:i4>155</vt:i4>
      </vt:variant>
      <vt:variant>
        <vt:i4>0</vt:i4>
      </vt:variant>
      <vt:variant>
        <vt:i4>5</vt:i4>
      </vt:variant>
      <vt:variant>
        <vt:lpwstr/>
      </vt:variant>
      <vt:variant>
        <vt:lpwstr>_Toc437964355</vt:lpwstr>
      </vt:variant>
      <vt:variant>
        <vt:i4>1835062</vt:i4>
      </vt:variant>
      <vt:variant>
        <vt:i4>149</vt:i4>
      </vt:variant>
      <vt:variant>
        <vt:i4>0</vt:i4>
      </vt:variant>
      <vt:variant>
        <vt:i4>5</vt:i4>
      </vt:variant>
      <vt:variant>
        <vt:lpwstr/>
      </vt:variant>
      <vt:variant>
        <vt:lpwstr>_Toc437964354</vt:lpwstr>
      </vt:variant>
      <vt:variant>
        <vt:i4>1835062</vt:i4>
      </vt:variant>
      <vt:variant>
        <vt:i4>143</vt:i4>
      </vt:variant>
      <vt:variant>
        <vt:i4>0</vt:i4>
      </vt:variant>
      <vt:variant>
        <vt:i4>5</vt:i4>
      </vt:variant>
      <vt:variant>
        <vt:lpwstr/>
      </vt:variant>
      <vt:variant>
        <vt:lpwstr>_Toc437964353</vt:lpwstr>
      </vt:variant>
      <vt:variant>
        <vt:i4>1835062</vt:i4>
      </vt:variant>
      <vt:variant>
        <vt:i4>137</vt:i4>
      </vt:variant>
      <vt:variant>
        <vt:i4>0</vt:i4>
      </vt:variant>
      <vt:variant>
        <vt:i4>5</vt:i4>
      </vt:variant>
      <vt:variant>
        <vt:lpwstr/>
      </vt:variant>
      <vt:variant>
        <vt:lpwstr>_Toc437964352</vt:lpwstr>
      </vt:variant>
      <vt:variant>
        <vt:i4>1835062</vt:i4>
      </vt:variant>
      <vt:variant>
        <vt:i4>131</vt:i4>
      </vt:variant>
      <vt:variant>
        <vt:i4>0</vt:i4>
      </vt:variant>
      <vt:variant>
        <vt:i4>5</vt:i4>
      </vt:variant>
      <vt:variant>
        <vt:lpwstr/>
      </vt:variant>
      <vt:variant>
        <vt:lpwstr>_Toc437964351</vt:lpwstr>
      </vt:variant>
      <vt:variant>
        <vt:i4>1835062</vt:i4>
      </vt:variant>
      <vt:variant>
        <vt:i4>125</vt:i4>
      </vt:variant>
      <vt:variant>
        <vt:i4>0</vt:i4>
      </vt:variant>
      <vt:variant>
        <vt:i4>5</vt:i4>
      </vt:variant>
      <vt:variant>
        <vt:lpwstr/>
      </vt:variant>
      <vt:variant>
        <vt:lpwstr>_Toc437964350</vt:lpwstr>
      </vt:variant>
      <vt:variant>
        <vt:i4>1900598</vt:i4>
      </vt:variant>
      <vt:variant>
        <vt:i4>119</vt:i4>
      </vt:variant>
      <vt:variant>
        <vt:i4>0</vt:i4>
      </vt:variant>
      <vt:variant>
        <vt:i4>5</vt:i4>
      </vt:variant>
      <vt:variant>
        <vt:lpwstr/>
      </vt:variant>
      <vt:variant>
        <vt:lpwstr>_Toc437964349</vt:lpwstr>
      </vt:variant>
      <vt:variant>
        <vt:i4>1900598</vt:i4>
      </vt:variant>
      <vt:variant>
        <vt:i4>113</vt:i4>
      </vt:variant>
      <vt:variant>
        <vt:i4>0</vt:i4>
      </vt:variant>
      <vt:variant>
        <vt:i4>5</vt:i4>
      </vt:variant>
      <vt:variant>
        <vt:lpwstr/>
      </vt:variant>
      <vt:variant>
        <vt:lpwstr>_Toc437964348</vt:lpwstr>
      </vt:variant>
      <vt:variant>
        <vt:i4>1900598</vt:i4>
      </vt:variant>
      <vt:variant>
        <vt:i4>107</vt:i4>
      </vt:variant>
      <vt:variant>
        <vt:i4>0</vt:i4>
      </vt:variant>
      <vt:variant>
        <vt:i4>5</vt:i4>
      </vt:variant>
      <vt:variant>
        <vt:lpwstr/>
      </vt:variant>
      <vt:variant>
        <vt:lpwstr>_Toc437964347</vt:lpwstr>
      </vt:variant>
      <vt:variant>
        <vt:i4>1900598</vt:i4>
      </vt:variant>
      <vt:variant>
        <vt:i4>101</vt:i4>
      </vt:variant>
      <vt:variant>
        <vt:i4>0</vt:i4>
      </vt:variant>
      <vt:variant>
        <vt:i4>5</vt:i4>
      </vt:variant>
      <vt:variant>
        <vt:lpwstr/>
      </vt:variant>
      <vt:variant>
        <vt:lpwstr>_Toc437964346</vt:lpwstr>
      </vt:variant>
      <vt:variant>
        <vt:i4>1900598</vt:i4>
      </vt:variant>
      <vt:variant>
        <vt:i4>95</vt:i4>
      </vt:variant>
      <vt:variant>
        <vt:i4>0</vt:i4>
      </vt:variant>
      <vt:variant>
        <vt:i4>5</vt:i4>
      </vt:variant>
      <vt:variant>
        <vt:lpwstr/>
      </vt:variant>
      <vt:variant>
        <vt:lpwstr>_Toc437964345</vt:lpwstr>
      </vt:variant>
      <vt:variant>
        <vt:i4>1900598</vt:i4>
      </vt:variant>
      <vt:variant>
        <vt:i4>89</vt:i4>
      </vt:variant>
      <vt:variant>
        <vt:i4>0</vt:i4>
      </vt:variant>
      <vt:variant>
        <vt:i4>5</vt:i4>
      </vt:variant>
      <vt:variant>
        <vt:lpwstr/>
      </vt:variant>
      <vt:variant>
        <vt:lpwstr>_Toc437964344</vt:lpwstr>
      </vt:variant>
      <vt:variant>
        <vt:i4>1900598</vt:i4>
      </vt:variant>
      <vt:variant>
        <vt:i4>83</vt:i4>
      </vt:variant>
      <vt:variant>
        <vt:i4>0</vt:i4>
      </vt:variant>
      <vt:variant>
        <vt:i4>5</vt:i4>
      </vt:variant>
      <vt:variant>
        <vt:lpwstr/>
      </vt:variant>
      <vt:variant>
        <vt:lpwstr>_Toc437964343</vt:lpwstr>
      </vt:variant>
      <vt:variant>
        <vt:i4>1900598</vt:i4>
      </vt:variant>
      <vt:variant>
        <vt:i4>77</vt:i4>
      </vt:variant>
      <vt:variant>
        <vt:i4>0</vt:i4>
      </vt:variant>
      <vt:variant>
        <vt:i4>5</vt:i4>
      </vt:variant>
      <vt:variant>
        <vt:lpwstr/>
      </vt:variant>
      <vt:variant>
        <vt:lpwstr>_Toc437964342</vt:lpwstr>
      </vt:variant>
      <vt:variant>
        <vt:i4>1900598</vt:i4>
      </vt:variant>
      <vt:variant>
        <vt:i4>71</vt:i4>
      </vt:variant>
      <vt:variant>
        <vt:i4>0</vt:i4>
      </vt:variant>
      <vt:variant>
        <vt:i4>5</vt:i4>
      </vt:variant>
      <vt:variant>
        <vt:lpwstr/>
      </vt:variant>
      <vt:variant>
        <vt:lpwstr>_Toc437964341</vt:lpwstr>
      </vt:variant>
      <vt:variant>
        <vt:i4>1900598</vt:i4>
      </vt:variant>
      <vt:variant>
        <vt:i4>65</vt:i4>
      </vt:variant>
      <vt:variant>
        <vt:i4>0</vt:i4>
      </vt:variant>
      <vt:variant>
        <vt:i4>5</vt:i4>
      </vt:variant>
      <vt:variant>
        <vt:lpwstr/>
      </vt:variant>
      <vt:variant>
        <vt:lpwstr>_Toc437964340</vt:lpwstr>
      </vt:variant>
      <vt:variant>
        <vt:i4>1703990</vt:i4>
      </vt:variant>
      <vt:variant>
        <vt:i4>59</vt:i4>
      </vt:variant>
      <vt:variant>
        <vt:i4>0</vt:i4>
      </vt:variant>
      <vt:variant>
        <vt:i4>5</vt:i4>
      </vt:variant>
      <vt:variant>
        <vt:lpwstr/>
      </vt:variant>
      <vt:variant>
        <vt:lpwstr>_Toc437964339</vt:lpwstr>
      </vt:variant>
      <vt:variant>
        <vt:i4>1703990</vt:i4>
      </vt:variant>
      <vt:variant>
        <vt:i4>53</vt:i4>
      </vt:variant>
      <vt:variant>
        <vt:i4>0</vt:i4>
      </vt:variant>
      <vt:variant>
        <vt:i4>5</vt:i4>
      </vt:variant>
      <vt:variant>
        <vt:lpwstr/>
      </vt:variant>
      <vt:variant>
        <vt:lpwstr>_Toc437964338</vt:lpwstr>
      </vt:variant>
      <vt:variant>
        <vt:i4>1703990</vt:i4>
      </vt:variant>
      <vt:variant>
        <vt:i4>47</vt:i4>
      </vt:variant>
      <vt:variant>
        <vt:i4>0</vt:i4>
      </vt:variant>
      <vt:variant>
        <vt:i4>5</vt:i4>
      </vt:variant>
      <vt:variant>
        <vt:lpwstr/>
      </vt:variant>
      <vt:variant>
        <vt:lpwstr>_Toc437964337</vt:lpwstr>
      </vt:variant>
      <vt:variant>
        <vt:i4>1703990</vt:i4>
      </vt:variant>
      <vt:variant>
        <vt:i4>41</vt:i4>
      </vt:variant>
      <vt:variant>
        <vt:i4>0</vt:i4>
      </vt:variant>
      <vt:variant>
        <vt:i4>5</vt:i4>
      </vt:variant>
      <vt:variant>
        <vt:lpwstr/>
      </vt:variant>
      <vt:variant>
        <vt:lpwstr>_Toc437964336</vt:lpwstr>
      </vt:variant>
      <vt:variant>
        <vt:i4>1703990</vt:i4>
      </vt:variant>
      <vt:variant>
        <vt:i4>35</vt:i4>
      </vt:variant>
      <vt:variant>
        <vt:i4>0</vt:i4>
      </vt:variant>
      <vt:variant>
        <vt:i4>5</vt:i4>
      </vt:variant>
      <vt:variant>
        <vt:lpwstr/>
      </vt:variant>
      <vt:variant>
        <vt:lpwstr>_Toc437964335</vt:lpwstr>
      </vt:variant>
      <vt:variant>
        <vt:i4>1703990</vt:i4>
      </vt:variant>
      <vt:variant>
        <vt:i4>29</vt:i4>
      </vt:variant>
      <vt:variant>
        <vt:i4>0</vt:i4>
      </vt:variant>
      <vt:variant>
        <vt:i4>5</vt:i4>
      </vt:variant>
      <vt:variant>
        <vt:lpwstr/>
      </vt:variant>
      <vt:variant>
        <vt:lpwstr>_Toc437964334</vt:lpwstr>
      </vt:variant>
      <vt:variant>
        <vt:i4>1703990</vt:i4>
      </vt:variant>
      <vt:variant>
        <vt:i4>23</vt:i4>
      </vt:variant>
      <vt:variant>
        <vt:i4>0</vt:i4>
      </vt:variant>
      <vt:variant>
        <vt:i4>5</vt:i4>
      </vt:variant>
      <vt:variant>
        <vt:lpwstr/>
      </vt:variant>
      <vt:variant>
        <vt:lpwstr>_Toc437964333</vt:lpwstr>
      </vt:variant>
      <vt:variant>
        <vt:i4>1703990</vt:i4>
      </vt:variant>
      <vt:variant>
        <vt:i4>17</vt:i4>
      </vt:variant>
      <vt:variant>
        <vt:i4>0</vt:i4>
      </vt:variant>
      <vt:variant>
        <vt:i4>5</vt:i4>
      </vt:variant>
      <vt:variant>
        <vt:lpwstr/>
      </vt:variant>
      <vt:variant>
        <vt:lpwstr>_Toc437964332</vt:lpwstr>
      </vt:variant>
      <vt:variant>
        <vt:i4>1703990</vt:i4>
      </vt:variant>
      <vt:variant>
        <vt:i4>11</vt:i4>
      </vt:variant>
      <vt:variant>
        <vt:i4>0</vt:i4>
      </vt:variant>
      <vt:variant>
        <vt:i4>5</vt:i4>
      </vt:variant>
      <vt:variant>
        <vt:lpwstr/>
      </vt:variant>
      <vt:variant>
        <vt:lpwstr>_Toc437964331</vt:lpwstr>
      </vt:variant>
      <vt:variant>
        <vt:i4>1703990</vt:i4>
      </vt:variant>
      <vt:variant>
        <vt:i4>5</vt:i4>
      </vt:variant>
      <vt:variant>
        <vt:i4>0</vt:i4>
      </vt:variant>
      <vt:variant>
        <vt:i4>5</vt:i4>
      </vt:variant>
      <vt:variant>
        <vt:lpwstr/>
      </vt:variant>
      <vt:variant>
        <vt:lpwstr>_Toc437964330</vt:lpwstr>
      </vt:variant>
      <vt:variant>
        <vt:i4>4718595</vt:i4>
      </vt:variant>
      <vt:variant>
        <vt:i4>0</vt:i4>
      </vt:variant>
      <vt:variant>
        <vt:i4>0</vt:i4>
      </vt:variant>
      <vt:variant>
        <vt:i4>5</vt:i4>
      </vt:variant>
      <vt:variant>
        <vt:lpwstr>http://www.worldbank.org/</vt:lpwstr>
      </vt:variant>
      <vt:variant>
        <vt:lpwstr/>
      </vt:variant>
      <vt:variant>
        <vt:i4>65620</vt:i4>
      </vt:variant>
      <vt:variant>
        <vt:i4>3</vt:i4>
      </vt:variant>
      <vt:variant>
        <vt:i4>0</vt:i4>
      </vt:variant>
      <vt:variant>
        <vt:i4>5</vt:i4>
      </vt:variant>
      <vt:variant>
        <vt:lpwstr>http://www.recpc.kpi.ua/</vt:lpwstr>
      </vt:variant>
      <vt:variant>
        <vt:lpwstr/>
      </vt:variant>
      <vt:variant>
        <vt:i4>6946869</vt:i4>
      </vt:variant>
      <vt:variant>
        <vt:i4>0</vt:i4>
      </vt:variant>
      <vt:variant>
        <vt:i4>0</vt:i4>
      </vt:variant>
      <vt:variant>
        <vt:i4>5</vt:i4>
      </vt:variant>
      <vt:variant>
        <vt:lpwstr>http://minregion.info/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Country Environmental Analysis</dc:title>
  <dc:subject/>
  <dc:creator>Helena Naber</dc:creator>
  <cp:keywords/>
  <cp:lastModifiedBy>Ramya Kannan ITSKI</cp:lastModifiedBy>
  <cp:revision>2</cp:revision>
  <cp:lastPrinted>2016-01-11T19:31:00Z</cp:lastPrinted>
  <dcterms:created xsi:type="dcterms:W3CDTF">2016-05-20T09:31:00Z</dcterms:created>
  <dcterms:modified xsi:type="dcterms:W3CDTF">2016-05-20T09:31:00Z</dcterms:modified>
</cp:coreProperties>
</file>