
<file path=[Content_Types].xml><?xml version="1.0" encoding="utf-8"?>
<Types xmlns="http://schemas.openxmlformats.org/package/2006/content-types">
  <Default Extension="rels" ContentType="application/vnd.openxmlformats-package.relationships+xml"/>
  <Default Extension="xml" ContentType="application/xml"/>
  <Override PartName="/word/drawings/drawing1.xml" ContentType="application/vnd.openxmlformats-officedocument.drawingml.chartshapes+xml"/>
  <Override PartName="/word/drawings/drawing2.xml" ContentType="application/vnd.openxmlformats-officedocument.drawingml.chartshapes+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colors4.xml" ContentType="application/vnd.ms-office.chartcolorstyle+xml"/>
  <Override PartName="/word/charts/style4.xml" ContentType="application/vnd.ms-office.chartstyle+xml"/>
  <Override PartName="/word/charts/chart18.xml" ContentType="application/vnd.openxmlformats-officedocument.drawingml.chart+xml"/>
  <Override PartName="/word/charts/colors3.xml" ContentType="application/vnd.ms-office.chartcolorstyle+xml"/>
  <Override PartName="/word/charts/style3.xml" ContentType="application/vnd.ms-office.chartstyle+xml"/>
  <Override PartName="/word/charts/chart17.xml" ContentType="application/vnd.openxmlformats-officedocument.drawingml.chart+xml"/>
  <Override PartName="/word/charts/chart16.xml" ContentType="application/vnd.openxmlformats-officedocument.drawingml.chart+xml"/>
  <Override PartName="/word/charts/chart7.xml" ContentType="application/vnd.openxmlformats-officedocument.drawingml.chart+xml"/>
  <Override PartName="/word/charts/chart6.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charts/chart3.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charts/chart8.xml" ContentType="application/vnd.openxmlformats-officedocument.drawingml.chart+xml"/>
  <Override PartName="/word/charts/chart10.xml" ContentType="application/vnd.openxmlformats-officedocument.drawingml.chart+xml"/>
  <Override PartName="/word/charts/colors2.xml" ContentType="application/vnd.ms-office.chartcolorstyle+xml"/>
  <Override PartName="/word/charts/style2.xml" ContentType="application/vnd.ms-office.chartstyle+xml"/>
  <Override PartName="/word/charts/chart9.xml" ContentType="application/vnd.openxmlformats-officedocument.drawingml.chart+xml"/>
  <Override PartName="/word/charts/chart15.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C6007" w14:textId="25F2A1B2" w:rsidR="00A85BEA" w:rsidRDefault="00981BD5" w:rsidP="00E01394">
      <w:pPr>
        <w:pStyle w:val="Heading2"/>
        <w:jc w:val="center"/>
      </w:pPr>
      <w:bookmarkStart w:id="0" w:name="_GoBack"/>
      <w:r w:rsidRPr="00981BD5">
        <w:rPr>
          <w:sz w:val="32"/>
        </w:rPr>
        <w:t xml:space="preserve">A bottom-up financial model of </w:t>
      </w:r>
      <w:r>
        <w:rPr>
          <w:sz w:val="32"/>
        </w:rPr>
        <w:t xml:space="preserve">power generation in </w:t>
      </w:r>
      <w:r w:rsidRPr="00981BD5">
        <w:rPr>
          <w:sz w:val="32"/>
        </w:rPr>
        <w:t>Bangladesh</w:t>
      </w:r>
      <w:bookmarkEnd w:id="0"/>
      <w:r w:rsidR="002D6DC9">
        <w:rPr>
          <w:rStyle w:val="FootnoteReference"/>
          <w:sz w:val="32"/>
        </w:rPr>
        <w:footnoteReference w:id="1"/>
      </w:r>
    </w:p>
    <w:p w14:paraId="613CACD4" w14:textId="30F51A9D" w:rsidR="00A85BEA" w:rsidRDefault="00062835" w:rsidP="00E01394">
      <w:pPr>
        <w:tabs>
          <w:tab w:val="center" w:pos="4680"/>
          <w:tab w:val="left" w:pos="7470"/>
        </w:tabs>
        <w:spacing w:line="240" w:lineRule="auto"/>
      </w:pPr>
      <w:r>
        <w:t xml:space="preserve"> </w:t>
      </w:r>
    </w:p>
    <w:p w14:paraId="6BD7471E" w14:textId="1F5F93FC" w:rsidR="00346B9E" w:rsidRDefault="002D6DC9" w:rsidP="00502FB7">
      <w:pPr>
        <w:pStyle w:val="ListParagraph"/>
        <w:numPr>
          <w:ilvl w:val="0"/>
          <w:numId w:val="1"/>
        </w:numPr>
        <w:spacing w:after="0" w:line="240" w:lineRule="auto"/>
        <w:ind w:left="0" w:firstLine="0"/>
        <w:jc w:val="both"/>
      </w:pPr>
      <w:r>
        <w:t>This</w:t>
      </w:r>
      <w:r w:rsidR="00C57B88" w:rsidRPr="00D871D3">
        <w:t xml:space="preserve"> note </w:t>
      </w:r>
      <w:r>
        <w:t xml:space="preserve">describes </w:t>
      </w:r>
      <w:r w:rsidR="00C57B88" w:rsidRPr="00D871D3">
        <w:t>a</w:t>
      </w:r>
      <w:r>
        <w:t xml:space="preserve"> </w:t>
      </w:r>
      <w:r w:rsidR="00C57B88" w:rsidRPr="00D871D3">
        <w:t xml:space="preserve">financial model </w:t>
      </w:r>
      <w:r>
        <w:t xml:space="preserve">of the power sector in Bangladesh developed by the World Bank </w:t>
      </w:r>
      <w:r w:rsidR="00F94C03">
        <w:t xml:space="preserve">to assess the impact of different policy interventions on sector finances.  The model was built from the bottom up, on the </w:t>
      </w:r>
      <w:r>
        <w:t>base</w:t>
      </w:r>
      <w:r w:rsidR="00F94C03">
        <w:t xml:space="preserve"> provided by </w:t>
      </w:r>
      <w:r>
        <w:t>the planning model used by the Bangladesh Power Development Board (BPDB).</w:t>
      </w:r>
      <w:r w:rsidR="00F94C03">
        <w:t xml:space="preserve">  It is hoped that making this model available will allow the Government and development partners to have a common framework for analysis and develop a common understanding of what needs to be done to assure the sustainability of the sector.</w:t>
      </w:r>
    </w:p>
    <w:p w14:paraId="21194A2A" w14:textId="1AF8A3F0" w:rsidR="00502FB7" w:rsidRDefault="00502FB7" w:rsidP="00602276">
      <w:pPr>
        <w:spacing w:after="0" w:line="240" w:lineRule="auto"/>
        <w:jc w:val="both"/>
      </w:pPr>
      <w:r>
        <w:t xml:space="preserve"> </w:t>
      </w:r>
    </w:p>
    <w:p w14:paraId="182BD2A7" w14:textId="204C1431" w:rsidR="00FC6BB4" w:rsidRDefault="00FC6BB4" w:rsidP="00602276">
      <w:pPr>
        <w:pStyle w:val="Heading2"/>
        <w:jc w:val="both"/>
      </w:pPr>
      <w:r>
        <w:t>Summary</w:t>
      </w:r>
    </w:p>
    <w:p w14:paraId="73529182" w14:textId="77777777" w:rsidR="00FC6BB4" w:rsidRDefault="00FC6BB4" w:rsidP="00346B9E">
      <w:pPr>
        <w:spacing w:after="0" w:line="240" w:lineRule="auto"/>
        <w:jc w:val="both"/>
      </w:pPr>
    </w:p>
    <w:p w14:paraId="7C60EE7F" w14:textId="1E2B70D5" w:rsidR="00440344" w:rsidRDefault="00FC6BB4" w:rsidP="00FC6BB4">
      <w:pPr>
        <w:pStyle w:val="ListParagraph"/>
        <w:numPr>
          <w:ilvl w:val="0"/>
          <w:numId w:val="1"/>
        </w:numPr>
        <w:spacing w:after="0" w:line="240" w:lineRule="auto"/>
        <w:ind w:left="0" w:firstLine="0"/>
        <w:jc w:val="both"/>
      </w:pPr>
      <w:r>
        <w:t xml:space="preserve">In this </w:t>
      </w:r>
      <w:r w:rsidR="00502FB7">
        <w:t>note</w:t>
      </w:r>
      <w:r>
        <w:t>, t</w:t>
      </w:r>
      <w:r w:rsidR="002D6DC9">
        <w:t xml:space="preserve">he model </w:t>
      </w:r>
      <w:r w:rsidR="00346B9E">
        <w:t xml:space="preserve">has been </w:t>
      </w:r>
      <w:r w:rsidR="002D6DC9">
        <w:t>used</w:t>
      </w:r>
      <w:r w:rsidR="00C57B88" w:rsidRPr="00D871D3">
        <w:t xml:space="preserve"> </w:t>
      </w:r>
      <w:r w:rsidR="007F3D74">
        <w:t>to forecast</w:t>
      </w:r>
      <w:r w:rsidR="00E27D02">
        <w:t xml:space="preserve"> </w:t>
      </w:r>
      <w:r w:rsidR="00346B9E">
        <w:t xml:space="preserve">power </w:t>
      </w:r>
      <w:r w:rsidR="00BB18E3">
        <w:t xml:space="preserve">sector subsidy requirements </w:t>
      </w:r>
      <w:r w:rsidR="002D6DC9">
        <w:t xml:space="preserve">taking as </w:t>
      </w:r>
      <w:r w:rsidR="00346B9E">
        <w:t>a</w:t>
      </w:r>
      <w:r w:rsidR="002D6DC9">
        <w:t xml:space="preserve"> starting point </w:t>
      </w:r>
      <w:r w:rsidR="00BB18E3">
        <w:t xml:space="preserve">the </w:t>
      </w:r>
      <w:r w:rsidR="00E27D02">
        <w:t xml:space="preserve">power </w:t>
      </w:r>
      <w:r w:rsidR="00BB18E3">
        <w:t>generation expansion plan</w:t>
      </w:r>
      <w:r w:rsidR="004F1E74">
        <w:t xml:space="preserve"> of the Government of Bangladesh (GOB)</w:t>
      </w:r>
      <w:r w:rsidR="00346B9E">
        <w:t xml:space="preserve">.  This </w:t>
      </w:r>
      <w:r w:rsidR="00F94C03">
        <w:t>is expected to</w:t>
      </w:r>
      <w:r w:rsidR="002D6DC9">
        <w:t xml:space="preserve"> </w:t>
      </w:r>
      <w:r w:rsidR="00B25076">
        <w:t>assist the</w:t>
      </w:r>
      <w:r w:rsidR="00BB18E3">
        <w:t xml:space="preserve"> off-taker</w:t>
      </w:r>
      <w:r w:rsidR="00346B9E">
        <w:t>,</w:t>
      </w:r>
      <w:r w:rsidR="00B25076">
        <w:t xml:space="preserve"> </w:t>
      </w:r>
      <w:r w:rsidR="007A2C27">
        <w:t>BPDB</w:t>
      </w:r>
      <w:r w:rsidR="00346B9E">
        <w:t>,</w:t>
      </w:r>
      <w:r w:rsidR="00B25076">
        <w:t xml:space="preserve"> in estimating the financial impact of </w:t>
      </w:r>
      <w:r w:rsidR="00346B9E">
        <w:t>different</w:t>
      </w:r>
      <w:r w:rsidR="00B25076">
        <w:t xml:space="preserve"> power generation options</w:t>
      </w:r>
      <w:r w:rsidR="00F94C03">
        <w:t>,</w:t>
      </w:r>
      <w:r w:rsidR="00346B9E">
        <w:t xml:space="preserve"> </w:t>
      </w:r>
      <w:r w:rsidR="00F94C03">
        <w:t>among</w:t>
      </w:r>
      <w:r w:rsidR="00346B9E">
        <w:t xml:space="preserve"> other scenarios</w:t>
      </w:r>
      <w:r w:rsidR="00B25076">
        <w:t xml:space="preserve">. </w:t>
      </w:r>
      <w:r w:rsidR="00855F04" w:rsidRPr="00D871D3">
        <w:t>T</w:t>
      </w:r>
      <w:r w:rsidR="00B25076">
        <w:t xml:space="preserve">he model </w:t>
      </w:r>
      <w:r w:rsidR="00E00559">
        <w:t>forecasts</w:t>
      </w:r>
      <w:r w:rsidR="00BB18E3">
        <w:t xml:space="preserve"> the sector financial situation under different tariff and cost</w:t>
      </w:r>
      <w:r w:rsidR="00F94C03">
        <w:t xml:space="preserve"> assumptions</w:t>
      </w:r>
      <w:r w:rsidR="00411E2E">
        <w:t xml:space="preserve"> – it uses</w:t>
      </w:r>
      <w:r w:rsidR="00BB18E3">
        <w:t xml:space="preserve"> </w:t>
      </w:r>
      <w:r w:rsidR="00E00559">
        <w:t>cost</w:t>
      </w:r>
      <w:r w:rsidR="00855F04" w:rsidRPr="00D871D3">
        <w:t xml:space="preserve"> data </w:t>
      </w:r>
      <w:r w:rsidR="00346B9E">
        <w:t xml:space="preserve">obtained </w:t>
      </w:r>
      <w:r w:rsidR="00855F04" w:rsidRPr="00D871D3">
        <w:t xml:space="preserve">from </w:t>
      </w:r>
      <w:r w:rsidR="00BB18E3">
        <w:t xml:space="preserve">BPDB </w:t>
      </w:r>
      <w:r w:rsidR="00077D60">
        <w:t>for each plant</w:t>
      </w:r>
      <w:r w:rsidR="00BB18E3">
        <w:t xml:space="preserve">, </w:t>
      </w:r>
      <w:r w:rsidR="00E00559">
        <w:t>forecasts for</w:t>
      </w:r>
      <w:r w:rsidR="00077D60">
        <w:t xml:space="preserve"> global fuel prices, and </w:t>
      </w:r>
      <w:r w:rsidR="00411E2E">
        <w:t xml:space="preserve">makes </w:t>
      </w:r>
      <w:r w:rsidR="00077D60">
        <w:t>a number of macroeconomic assumptions</w:t>
      </w:r>
      <w:r w:rsidR="005D7085">
        <w:t xml:space="preserve">.  </w:t>
      </w:r>
      <w:r w:rsidR="0088015C">
        <w:t xml:space="preserve">The </w:t>
      </w:r>
      <w:r w:rsidR="004F1E74">
        <w:t>GOB</w:t>
      </w:r>
      <w:r w:rsidR="0088015C">
        <w:t xml:space="preserve">’s power generation expansion plan is quite ambitious </w:t>
      </w:r>
      <w:r w:rsidR="00440344">
        <w:t xml:space="preserve">and </w:t>
      </w:r>
      <w:r w:rsidR="00411E2E">
        <w:t>the</w:t>
      </w:r>
      <w:r w:rsidR="00000274">
        <w:t xml:space="preserve"> </w:t>
      </w:r>
      <w:r w:rsidR="00440344">
        <w:t xml:space="preserve">note </w:t>
      </w:r>
      <w:r w:rsidR="004A5810">
        <w:t>present</w:t>
      </w:r>
      <w:r w:rsidR="00411E2E">
        <w:t>s</w:t>
      </w:r>
      <w:r w:rsidR="004A5810">
        <w:t xml:space="preserve"> the subsidy requirements </w:t>
      </w:r>
      <w:r w:rsidR="00440344">
        <w:t xml:space="preserve">under different generation expansion scenarios.  </w:t>
      </w:r>
    </w:p>
    <w:p w14:paraId="7F22AAD8" w14:textId="77777777" w:rsidR="00440344" w:rsidRDefault="00440344" w:rsidP="00440344">
      <w:pPr>
        <w:pStyle w:val="ListParagraph"/>
        <w:spacing w:line="240" w:lineRule="auto"/>
        <w:ind w:left="0"/>
        <w:jc w:val="both"/>
      </w:pPr>
    </w:p>
    <w:p w14:paraId="02130B51" w14:textId="41E926FE" w:rsidR="00784AE2" w:rsidRDefault="005D7085" w:rsidP="009462EF">
      <w:pPr>
        <w:pStyle w:val="ListParagraph"/>
        <w:numPr>
          <w:ilvl w:val="0"/>
          <w:numId w:val="1"/>
        </w:numPr>
        <w:spacing w:line="240" w:lineRule="auto"/>
        <w:ind w:left="0" w:firstLine="0"/>
        <w:jc w:val="both"/>
      </w:pPr>
      <w:r>
        <w:t>Taking 201</w:t>
      </w:r>
      <w:r w:rsidR="00D6083C">
        <w:t>6</w:t>
      </w:r>
      <w:r>
        <w:t xml:space="preserve"> as the base year, the model makes projections for 201</w:t>
      </w:r>
      <w:r w:rsidR="00D6083C">
        <w:t>7</w:t>
      </w:r>
      <w:r>
        <w:t>-2025</w:t>
      </w:r>
      <w:r>
        <w:rPr>
          <w:rStyle w:val="FootnoteReference"/>
        </w:rPr>
        <w:footnoteReference w:id="2"/>
      </w:r>
      <w:r w:rsidR="00077D60">
        <w:t>.</w:t>
      </w:r>
      <w:r w:rsidR="007A2C27">
        <w:t xml:space="preserve"> </w:t>
      </w:r>
      <w:r w:rsidR="004E3D56">
        <w:t xml:space="preserve">In the baseline scenario, </w:t>
      </w:r>
      <w:r w:rsidR="004F1E74">
        <w:t xml:space="preserve">based on the power generation expansion plan of GOB, </w:t>
      </w:r>
      <w:r w:rsidR="004E3D56">
        <w:t>c</w:t>
      </w:r>
      <w:r>
        <w:t xml:space="preserve">ost of power supply to end-users is </w:t>
      </w:r>
      <w:r w:rsidR="00BB18E3" w:rsidRPr="00784AE2">
        <w:t xml:space="preserve">projected to rise </w:t>
      </w:r>
      <w:r w:rsidR="00CE3B46" w:rsidRPr="00784AE2">
        <w:t>from Tk</w:t>
      </w:r>
      <w:r w:rsidR="009A5AFA">
        <w:t>7.</w:t>
      </w:r>
      <w:r w:rsidR="008B6A8F">
        <w:t>51</w:t>
      </w:r>
      <w:r w:rsidR="00CE3B46" w:rsidRPr="00784AE2">
        <w:t xml:space="preserve">/kWh </w:t>
      </w:r>
      <w:r>
        <w:t xml:space="preserve">in </w:t>
      </w:r>
      <w:r w:rsidR="00AF79FB">
        <w:t xml:space="preserve">2016 </w:t>
      </w:r>
      <w:r w:rsidR="00CE3B46" w:rsidRPr="00784AE2">
        <w:t xml:space="preserve">to </w:t>
      </w:r>
      <w:r>
        <w:t xml:space="preserve">Tk </w:t>
      </w:r>
      <w:r w:rsidR="00C3709A">
        <w:t>9.</w:t>
      </w:r>
      <w:r w:rsidR="008B6A8F">
        <w:t>25</w:t>
      </w:r>
      <w:r>
        <w:t xml:space="preserve">/kWh by 2020 and </w:t>
      </w:r>
      <w:r w:rsidR="00CE3B46" w:rsidRPr="00784AE2">
        <w:t>over Tk1</w:t>
      </w:r>
      <w:r w:rsidR="00C3709A">
        <w:t>2.</w:t>
      </w:r>
      <w:r w:rsidR="002C146A">
        <w:t>5</w:t>
      </w:r>
      <w:r w:rsidR="008B6A8F">
        <w:t>1</w:t>
      </w:r>
      <w:r w:rsidR="0073442F" w:rsidRPr="00784AE2">
        <w:t xml:space="preserve">/kWh </w:t>
      </w:r>
      <w:r>
        <w:t xml:space="preserve">by 2025. </w:t>
      </w:r>
      <w:r w:rsidR="00ED69D4">
        <w:t xml:space="preserve">The increased costs are the result of </w:t>
      </w:r>
      <w:r w:rsidR="00653128">
        <w:t xml:space="preserve">fuel substitution from low-cost domestic natural gas to more </w:t>
      </w:r>
      <w:r w:rsidR="00ED69D4">
        <w:t xml:space="preserve">costly </w:t>
      </w:r>
      <w:r w:rsidR="00653128">
        <w:t xml:space="preserve">options </w:t>
      </w:r>
      <w:r w:rsidR="00ED69D4">
        <w:t xml:space="preserve">(coal, LNG, liquid fuel) </w:t>
      </w:r>
      <w:r w:rsidR="00653128">
        <w:t xml:space="preserve">and an assumed higher cost of domestic natural gas (to bring parity to </w:t>
      </w:r>
      <w:r w:rsidR="00FC6BB4">
        <w:t xml:space="preserve">the </w:t>
      </w:r>
      <w:r w:rsidR="00653128">
        <w:t xml:space="preserve">market).  </w:t>
      </w:r>
      <w:r w:rsidR="00E56FE4">
        <w:t xml:space="preserve">Currently, electricity prices </w:t>
      </w:r>
      <w:r w:rsidR="0074037A">
        <w:t xml:space="preserve">to end-users </w:t>
      </w:r>
      <w:r w:rsidR="00E56FE4">
        <w:t>average around Tk</w:t>
      </w:r>
      <w:r w:rsidR="002B228F">
        <w:t>6.39</w:t>
      </w:r>
      <w:r w:rsidR="00E56FE4">
        <w:t xml:space="preserve">/kWh, </w:t>
      </w:r>
      <w:r w:rsidR="0074037A">
        <w:t>resultin</w:t>
      </w:r>
      <w:r w:rsidR="00C3709A">
        <w:t xml:space="preserve">g in an annual deficit of </w:t>
      </w:r>
      <w:r w:rsidR="002B228F">
        <w:t xml:space="preserve">Tk42 </w:t>
      </w:r>
      <w:r w:rsidR="0074037A">
        <w:t>billio</w:t>
      </w:r>
      <w:r w:rsidR="00C3709A">
        <w:t xml:space="preserve">n </w:t>
      </w:r>
      <w:r w:rsidR="002B228F">
        <w:t xml:space="preserve">(US$538 million) </w:t>
      </w:r>
      <w:r w:rsidR="00E87C5A">
        <w:t>in fiscal year 201</w:t>
      </w:r>
      <w:r w:rsidR="002C146A">
        <w:t>6</w:t>
      </w:r>
      <w:r w:rsidR="0074037A">
        <w:t>.</w:t>
      </w:r>
      <w:r w:rsidR="00C3709A">
        <w:t xml:space="preserve">  </w:t>
      </w:r>
      <w:r w:rsidR="00E87C5A">
        <w:t>E</w:t>
      </w:r>
      <w:r w:rsidR="008E326D">
        <w:t xml:space="preserve">nd-user prices of electricity have seen gradual adjustments with the average price </w:t>
      </w:r>
      <w:r w:rsidR="004A5810">
        <w:t xml:space="preserve">increased by about 60% since </w:t>
      </w:r>
      <w:r w:rsidR="008E326D">
        <w:t>2009</w:t>
      </w:r>
      <w:r w:rsidR="004A5810">
        <w:t xml:space="preserve"> in nominal Taka terms (40% increase in nominal dollar terms)</w:t>
      </w:r>
      <w:r w:rsidR="00653128">
        <w:t xml:space="preserve">. </w:t>
      </w:r>
    </w:p>
    <w:p w14:paraId="5BAB14BB" w14:textId="77777777" w:rsidR="009462EF" w:rsidRDefault="009462EF" w:rsidP="009462EF">
      <w:pPr>
        <w:pStyle w:val="ListParagraph"/>
        <w:spacing w:line="240" w:lineRule="auto"/>
        <w:ind w:left="0"/>
        <w:jc w:val="both"/>
      </w:pPr>
    </w:p>
    <w:p w14:paraId="37F9FB9D" w14:textId="2B406482" w:rsidR="009462EF" w:rsidRDefault="0074037A" w:rsidP="009462EF">
      <w:pPr>
        <w:pStyle w:val="ListParagraph"/>
        <w:numPr>
          <w:ilvl w:val="0"/>
          <w:numId w:val="1"/>
        </w:numPr>
        <w:spacing w:line="240" w:lineRule="auto"/>
        <w:ind w:left="0" w:firstLine="0"/>
        <w:jc w:val="both"/>
      </w:pPr>
      <w:r>
        <w:t>Going forward</w:t>
      </w:r>
      <w:r w:rsidR="00FC6BB4">
        <w:t xml:space="preserve"> from 2016</w:t>
      </w:r>
      <w:r>
        <w:t xml:space="preserve">, </w:t>
      </w:r>
      <w:r w:rsidR="00E56FE4">
        <w:t>electricity</w:t>
      </w:r>
      <w:r>
        <w:t xml:space="preserve"> </w:t>
      </w:r>
      <w:r w:rsidR="00E56FE4">
        <w:t>price</w:t>
      </w:r>
      <w:r>
        <w:t xml:space="preserve"> adjustments </w:t>
      </w:r>
      <w:r w:rsidR="00E56FE4">
        <w:t xml:space="preserve">will </w:t>
      </w:r>
      <w:r>
        <w:t xml:space="preserve">need to continue </w:t>
      </w:r>
      <w:r w:rsidR="00E56FE4">
        <w:t>in the near-term to match</w:t>
      </w:r>
      <w:r w:rsidR="00C3709A">
        <w:t xml:space="preserve"> </w:t>
      </w:r>
      <w:r w:rsidR="00653128">
        <w:t xml:space="preserve">the </w:t>
      </w:r>
      <w:r w:rsidR="005B0946">
        <w:t xml:space="preserve">increased </w:t>
      </w:r>
      <w:r w:rsidR="00C3709A">
        <w:t>costs of generation</w:t>
      </w:r>
      <w:r w:rsidR="00E56FE4">
        <w:t xml:space="preserve">. </w:t>
      </w:r>
      <w:r w:rsidR="00D248D8">
        <w:t xml:space="preserve">A tariff increase of 8% per year will be required to achieve break-even by 2020 (i.e. tariff sufficient to cover costs and therefore no budget transfer required). A 12% increase in tariff per year will result in break-even by 2018.  </w:t>
      </w:r>
      <w:r w:rsidR="008C3F79">
        <w:t xml:space="preserve">Bangladesh </w:t>
      </w:r>
      <w:r w:rsidR="00D248D8">
        <w:t xml:space="preserve">is expected </w:t>
      </w:r>
      <w:r w:rsidR="008C3F79">
        <w:t xml:space="preserve">to import LNG to supplement declining domestic gas production and the import of LNG will increase the average price of gas supplied to the sector, </w:t>
      </w:r>
      <w:r w:rsidR="00502FB7">
        <w:t>causing</w:t>
      </w:r>
      <w:r w:rsidR="008C3F79">
        <w:t xml:space="preserve"> a rise in </w:t>
      </w:r>
      <w:r w:rsidR="00105882">
        <w:t xml:space="preserve">cost of </w:t>
      </w:r>
      <w:r w:rsidR="008C3F79">
        <w:t xml:space="preserve">power </w:t>
      </w:r>
      <w:r w:rsidR="00105882">
        <w:t>procured</w:t>
      </w:r>
      <w:r w:rsidR="008C3F79">
        <w:t xml:space="preserve">. </w:t>
      </w:r>
      <w:r w:rsidR="008C3F79">
        <w:lastRenderedPageBreak/>
        <w:t xml:space="preserve">The expectation is that </w:t>
      </w:r>
      <w:r w:rsidR="00FC6BB4">
        <w:t xml:space="preserve">domestic </w:t>
      </w:r>
      <w:r w:rsidR="008C3F79">
        <w:t xml:space="preserve">gas prices will converge in the long-run </w:t>
      </w:r>
      <w:r w:rsidR="00FC6BB4">
        <w:t xml:space="preserve">to </w:t>
      </w:r>
      <w:r w:rsidR="008C3F79">
        <w:t>LNG import prices. This means that in the future the price of gas will exceed that of coal.</w:t>
      </w:r>
      <w:r w:rsidR="007F3D74">
        <w:t xml:space="preserve"> This change has severe implications for power planning</w:t>
      </w:r>
      <w:r w:rsidR="00E56FE4">
        <w:t xml:space="preserve"> as the shift in fuel prices alters the economics of generation.</w:t>
      </w:r>
      <w:r w:rsidR="004E3D56">
        <w:t xml:space="preserve"> The baseline scenario</w:t>
      </w:r>
      <w:r w:rsidR="00C3709A">
        <w:t xml:space="preserve"> in the model</w:t>
      </w:r>
      <w:r w:rsidR="004E3D56">
        <w:t xml:space="preserve"> </w:t>
      </w:r>
      <w:r w:rsidR="00D13D6B">
        <w:t>reflects the current situation of  domestic</w:t>
      </w:r>
      <w:r w:rsidR="004E3D56">
        <w:t xml:space="preserve"> gas </w:t>
      </w:r>
      <w:r w:rsidR="00FC6BB4">
        <w:t>(</w:t>
      </w:r>
      <w:r w:rsidR="00D13D6B">
        <w:t>priced</w:t>
      </w:r>
      <w:r w:rsidR="00165A5C">
        <w:t xml:space="preserve"> significantly</w:t>
      </w:r>
      <w:r w:rsidR="00D13D6B">
        <w:t xml:space="preserve"> below international levels</w:t>
      </w:r>
      <w:r w:rsidR="00FC6BB4">
        <w:t>)</w:t>
      </w:r>
      <w:r w:rsidR="00D13D6B">
        <w:t xml:space="preserve"> being used </w:t>
      </w:r>
      <w:r w:rsidR="004E3D56">
        <w:t xml:space="preserve">as </w:t>
      </w:r>
      <w:r w:rsidR="00D13D6B">
        <w:t xml:space="preserve">the primary </w:t>
      </w:r>
      <w:r w:rsidR="004E3D56">
        <w:t xml:space="preserve">fuel for power generation, and an ambitious plan </w:t>
      </w:r>
      <w:r w:rsidR="00E94DB7">
        <w:t xml:space="preserve">of GOB </w:t>
      </w:r>
      <w:r w:rsidR="004E3D56">
        <w:t>for adding low-cost coal-based large power plants</w:t>
      </w:r>
      <w:r w:rsidR="00E94DB7">
        <w:t xml:space="preserve">.  </w:t>
      </w:r>
      <w:r w:rsidR="00165A5C">
        <w:t>The s</w:t>
      </w:r>
      <w:r w:rsidR="00E94DB7">
        <w:t xml:space="preserve">hare of coal is assumed to go up from less than 2% today to 40% by 2025 </w:t>
      </w:r>
      <w:r w:rsidR="00502FB7">
        <w:t xml:space="preserve">with </w:t>
      </w:r>
      <w:r w:rsidR="00165A5C">
        <w:t xml:space="preserve">the </w:t>
      </w:r>
      <w:r w:rsidR="00E94DB7">
        <w:t xml:space="preserve">share of natural gas (including LNG) dropping from the current 65% to 45% by 2025.  </w:t>
      </w:r>
    </w:p>
    <w:p w14:paraId="21A253EC" w14:textId="77777777" w:rsidR="009462EF" w:rsidRDefault="009462EF" w:rsidP="009462EF">
      <w:pPr>
        <w:pStyle w:val="ListParagraph"/>
      </w:pPr>
    </w:p>
    <w:p w14:paraId="6B966F9D" w14:textId="523396EF" w:rsidR="00C3709A" w:rsidRDefault="000B7904" w:rsidP="00602276">
      <w:pPr>
        <w:pStyle w:val="ListParagraph"/>
        <w:numPr>
          <w:ilvl w:val="0"/>
          <w:numId w:val="1"/>
        </w:numPr>
        <w:spacing w:after="0" w:line="240" w:lineRule="auto"/>
        <w:ind w:left="0" w:firstLine="0"/>
        <w:jc w:val="both"/>
      </w:pPr>
      <w:r>
        <w:t xml:space="preserve">The model’s projections </w:t>
      </w:r>
      <w:r w:rsidR="00FC6BB4">
        <w:t xml:space="preserve">also </w:t>
      </w:r>
      <w:r>
        <w:t>show that coal generation will be more expensive than imported electricity</w:t>
      </w:r>
      <w:r w:rsidR="004932BF">
        <w:t>, and as such, increasing</w:t>
      </w:r>
      <w:r w:rsidR="00C3709A">
        <w:t xml:space="preserve"> power</w:t>
      </w:r>
      <w:r w:rsidR="004932BF">
        <w:t xml:space="preserve"> imports should be a policy priority</w:t>
      </w:r>
      <w:r>
        <w:t xml:space="preserve">. Currently, Bangladesh imports </w:t>
      </w:r>
      <w:r w:rsidR="006414AE">
        <w:t xml:space="preserve">500MW of power from West Bengal at a cost of </w:t>
      </w:r>
      <w:r w:rsidR="004932BF">
        <w:t>5.61Tk/kWh. In contrast, the operating coal plant supplies power to the grid at an average cost of 5.93Tk/kWh. Projections show that the cost of imported power will remain lower than the cost of coal-fired generation. It should be noted that Bangladesh has been able to develop 500MW of import capacity in a relatively short time with an additional 600MW entering service by the end of 2017 while the construction of coal plants remains in planning stages.</w:t>
      </w:r>
    </w:p>
    <w:p w14:paraId="27DB71BB" w14:textId="77777777" w:rsidR="00E56FE4" w:rsidRDefault="00E56FE4" w:rsidP="00602276">
      <w:pPr>
        <w:tabs>
          <w:tab w:val="center" w:pos="4680"/>
          <w:tab w:val="left" w:pos="7470"/>
        </w:tabs>
        <w:spacing w:after="0" w:line="240" w:lineRule="auto"/>
        <w:jc w:val="both"/>
      </w:pPr>
    </w:p>
    <w:p w14:paraId="28A6D2B3" w14:textId="77777777" w:rsidR="00E635EA" w:rsidRDefault="00E635EA" w:rsidP="00502FB7">
      <w:pPr>
        <w:pStyle w:val="Heading2"/>
      </w:pPr>
      <w:r>
        <w:t>Background</w:t>
      </w:r>
    </w:p>
    <w:p w14:paraId="22EDE69C" w14:textId="77777777" w:rsidR="006D6466" w:rsidRDefault="006D6466" w:rsidP="00E01394">
      <w:pPr>
        <w:spacing w:line="240" w:lineRule="auto"/>
        <w:rPr>
          <w:b/>
        </w:rPr>
      </w:pPr>
    </w:p>
    <w:p w14:paraId="5DA38392" w14:textId="605CA17F" w:rsidR="00FC65F0" w:rsidRPr="00712AF4" w:rsidRDefault="00712AF4" w:rsidP="00FC65F0">
      <w:pPr>
        <w:pStyle w:val="ListParagraph"/>
        <w:numPr>
          <w:ilvl w:val="0"/>
          <w:numId w:val="1"/>
        </w:numPr>
        <w:spacing w:line="240" w:lineRule="auto"/>
        <w:ind w:left="0" w:firstLine="0"/>
        <w:jc w:val="both"/>
      </w:pPr>
      <w:r w:rsidRPr="00E0619D">
        <w:rPr>
          <w:b/>
        </w:rPr>
        <w:t>Bangladesh</w:t>
      </w:r>
      <w:r w:rsidR="00FC60BA" w:rsidRPr="00E0619D">
        <w:rPr>
          <w:b/>
        </w:rPr>
        <w:t xml:space="preserve"> </w:t>
      </w:r>
      <w:r w:rsidR="002C146A" w:rsidRPr="00E0619D">
        <w:rPr>
          <w:b/>
        </w:rPr>
        <w:t xml:space="preserve">has relied mainly </w:t>
      </w:r>
      <w:r w:rsidR="00FC60BA" w:rsidRPr="00E0619D">
        <w:rPr>
          <w:b/>
        </w:rPr>
        <w:t xml:space="preserve">on domestic natural gas for power generation, </w:t>
      </w:r>
      <w:r w:rsidR="005F073B" w:rsidRPr="00E0619D">
        <w:rPr>
          <w:b/>
        </w:rPr>
        <w:t xml:space="preserve">the shortage of which </w:t>
      </w:r>
      <w:r w:rsidR="00E01394" w:rsidRPr="00381859">
        <w:rPr>
          <w:b/>
        </w:rPr>
        <w:t xml:space="preserve">has </w:t>
      </w:r>
      <w:r w:rsidR="005F073B" w:rsidRPr="00CC364A">
        <w:rPr>
          <w:b/>
        </w:rPr>
        <w:t xml:space="preserve">prompted a need </w:t>
      </w:r>
      <w:r w:rsidR="00E01394" w:rsidRPr="00CC364A">
        <w:rPr>
          <w:b/>
        </w:rPr>
        <w:t xml:space="preserve">to look for </w:t>
      </w:r>
      <w:r w:rsidR="005F073B" w:rsidRPr="00CC364A">
        <w:rPr>
          <w:b/>
        </w:rPr>
        <w:t xml:space="preserve">costly </w:t>
      </w:r>
      <w:r w:rsidR="00E01394" w:rsidRPr="00CC364A">
        <w:rPr>
          <w:b/>
        </w:rPr>
        <w:t>alternative fuel</w:t>
      </w:r>
      <w:r w:rsidR="002C146A" w:rsidRPr="00CC364A">
        <w:rPr>
          <w:b/>
        </w:rPr>
        <w:t>s</w:t>
      </w:r>
      <w:r w:rsidR="00FC60BA" w:rsidRPr="00CC364A">
        <w:rPr>
          <w:b/>
        </w:rPr>
        <w:t xml:space="preserve">.  </w:t>
      </w:r>
      <w:r w:rsidR="005F72E9">
        <w:t>D</w:t>
      </w:r>
      <w:r w:rsidR="00FC60BA">
        <w:t xml:space="preserve">omestic natural gas was the dominant fuel for power generation </w:t>
      </w:r>
      <w:r w:rsidR="001F122C">
        <w:t xml:space="preserve">accounting for </w:t>
      </w:r>
      <w:r w:rsidR="005F72E9">
        <w:t>almost 90</w:t>
      </w:r>
      <w:r w:rsidR="001F122C" w:rsidRPr="00E0619D">
        <w:rPr>
          <w:color w:val="FF0000"/>
        </w:rPr>
        <w:t xml:space="preserve">% </w:t>
      </w:r>
      <w:r w:rsidR="001F122C">
        <w:t>of power generation</w:t>
      </w:r>
      <w:r w:rsidR="005F72E9">
        <w:t xml:space="preserve"> for most of the history of Bangladesh until recently</w:t>
      </w:r>
      <w:r w:rsidR="005B33DE">
        <w:rPr>
          <w:rStyle w:val="FootnoteReference"/>
        </w:rPr>
        <w:footnoteReference w:id="3"/>
      </w:r>
      <w:r w:rsidR="001F122C">
        <w:t xml:space="preserve">.  </w:t>
      </w:r>
      <w:r w:rsidR="005F72E9">
        <w:t>Since the beginning of last decade, t</w:t>
      </w:r>
      <w:r w:rsidR="001F122C">
        <w:t>he country started to face gas shortages due to decades of under-investment in gas exploration</w:t>
      </w:r>
      <w:r w:rsidR="00F70D74">
        <w:rPr>
          <w:rStyle w:val="FootnoteReference"/>
        </w:rPr>
        <w:footnoteReference w:id="4"/>
      </w:r>
      <w:r w:rsidR="001F122C">
        <w:t xml:space="preserve">.  This has prompted </w:t>
      </w:r>
      <w:r w:rsidR="00FC60BA">
        <w:t>policy make</w:t>
      </w:r>
      <w:r w:rsidR="00150B2F">
        <w:t>rs to look for alternative fuel;</w:t>
      </w:r>
      <w:r w:rsidR="00FC60BA">
        <w:t xml:space="preserve"> coal and Liquefied Natural Gas (LNG) in the medium to long term, and liquid fuel-run rental plants as an interim stop-gap fuel.  In 20</w:t>
      </w:r>
      <w:r w:rsidR="00F828BE">
        <w:t>10</w:t>
      </w:r>
      <w:r w:rsidR="00FC60BA">
        <w:t xml:space="preserve">, </w:t>
      </w:r>
      <w:r w:rsidR="004F1E74">
        <w:t xml:space="preserve">GOB </w:t>
      </w:r>
      <w:r w:rsidR="00FC60BA">
        <w:t xml:space="preserve">embarked on an ambitious generation expansion plan that called for </w:t>
      </w:r>
      <w:r w:rsidR="00F828BE">
        <w:t xml:space="preserve">a three-fold increase in power generation </w:t>
      </w:r>
      <w:r w:rsidR="00971EB8">
        <w:t xml:space="preserve">capacity </w:t>
      </w:r>
      <w:r w:rsidR="00F828BE">
        <w:t>in 5 years (from about ~4,300MW in June 2010 to 11,500MW by 2015)</w:t>
      </w:r>
      <w:r w:rsidR="007E74A3">
        <w:t>,</w:t>
      </w:r>
      <w:r w:rsidR="005E2075">
        <w:t xml:space="preserve"> and to 20,000MW by 2021</w:t>
      </w:r>
      <w:r w:rsidR="007E74A3">
        <w:rPr>
          <w:rStyle w:val="FootnoteReference"/>
        </w:rPr>
        <w:footnoteReference w:id="5"/>
      </w:r>
      <w:r w:rsidR="00F828BE">
        <w:t xml:space="preserve">. </w:t>
      </w:r>
      <w:r w:rsidR="004750C1">
        <w:t xml:space="preserve"> </w:t>
      </w:r>
      <w:r w:rsidR="005E2075">
        <w:t xml:space="preserve">The </w:t>
      </w:r>
      <w:r w:rsidR="00E92D95">
        <w:t xml:space="preserve">2010 </w:t>
      </w:r>
      <w:r w:rsidR="005E2075">
        <w:t xml:space="preserve">plan envisaged an ambitious plan to introduce coal in the fuel mix (25% share by 2015) followed by liquid fuel (20%).  </w:t>
      </w:r>
      <w:r w:rsidR="00971EB8">
        <w:t xml:space="preserve">The plan was largely met by 2015 (installed capacity reaching 10,939 MW in 2015- figure 1), although the capacity </w:t>
      </w:r>
      <w:r w:rsidR="00971EB8">
        <w:lastRenderedPageBreak/>
        <w:t>addition came mostly from liquid fuel (30% of the capacity mix)</w:t>
      </w:r>
      <w:r w:rsidR="00FC65F0">
        <w:rPr>
          <w:rStyle w:val="FootnoteReference"/>
        </w:rPr>
        <w:footnoteReference w:id="6"/>
      </w:r>
      <w:r w:rsidR="00971EB8">
        <w:t xml:space="preserve">. </w:t>
      </w:r>
      <w:r w:rsidR="00FC65F0">
        <w:t xml:space="preserve">During the later updates of the road map, LNG was planned to be introduced by 2018 to improve energy security.  The implication of all these has been that the projected cost of power generation is to rise from </w:t>
      </w:r>
      <w:r w:rsidR="00FC65F0" w:rsidRPr="00784AE2">
        <w:t>Tk</w:t>
      </w:r>
      <w:r w:rsidR="00FC65F0">
        <w:t>7.51</w:t>
      </w:r>
      <w:r w:rsidR="00FC65F0" w:rsidRPr="00784AE2">
        <w:t xml:space="preserve">/kWh </w:t>
      </w:r>
      <w:r w:rsidR="00FC65F0">
        <w:t xml:space="preserve">in 2016 </w:t>
      </w:r>
      <w:r w:rsidR="00FC65F0" w:rsidRPr="00784AE2">
        <w:t xml:space="preserve">to </w:t>
      </w:r>
      <w:r w:rsidR="00FC65F0">
        <w:t xml:space="preserve">Tk 9.25/kWh by 2020 and </w:t>
      </w:r>
      <w:r w:rsidR="00FC65F0" w:rsidRPr="00784AE2">
        <w:t>over Tk1</w:t>
      </w:r>
      <w:r w:rsidR="00FC65F0">
        <w:t>2.51</w:t>
      </w:r>
      <w:r w:rsidR="00FC65F0" w:rsidRPr="00784AE2">
        <w:t xml:space="preserve">/kWh </w:t>
      </w:r>
      <w:r w:rsidR="00FC65F0">
        <w:t>by 2025.</w:t>
      </w:r>
    </w:p>
    <w:p w14:paraId="6E60913C" w14:textId="6BCFB35B" w:rsidR="00882111" w:rsidRPr="00712AF4" w:rsidRDefault="00882111" w:rsidP="00D116F9">
      <w:pPr>
        <w:pStyle w:val="ListParagraph"/>
        <w:spacing w:line="240" w:lineRule="auto"/>
        <w:ind w:left="0"/>
        <w:jc w:val="both"/>
      </w:pPr>
    </w:p>
    <w:p w14:paraId="54E606B9" w14:textId="5CAC6FE8" w:rsidR="009462EF" w:rsidRPr="009462EF" w:rsidRDefault="00D116F9" w:rsidP="00E01394">
      <w:pPr>
        <w:pStyle w:val="ListParagraph"/>
        <w:numPr>
          <w:ilvl w:val="0"/>
          <w:numId w:val="1"/>
        </w:numPr>
        <w:spacing w:line="240" w:lineRule="auto"/>
        <w:ind w:left="0" w:firstLine="0"/>
        <w:jc w:val="both"/>
        <w:rPr>
          <w:i/>
        </w:rPr>
      </w:pPr>
      <w:r>
        <w:rPr>
          <w:b/>
        </w:rPr>
        <w:t xml:space="preserve">Despite the increasing generation capacity, </w:t>
      </w:r>
      <w:r w:rsidR="00030F29">
        <w:rPr>
          <w:b/>
        </w:rPr>
        <w:t>supply is not adequate to catch up with the rapid increase in demand from accelerating access</w:t>
      </w:r>
      <w:r w:rsidR="00602276">
        <w:rPr>
          <w:b/>
        </w:rPr>
        <w:t xml:space="preserve">.  </w:t>
      </w:r>
      <w:r w:rsidR="00602276" w:rsidRPr="00602276">
        <w:t>This has</w:t>
      </w:r>
      <w:r w:rsidR="00202336" w:rsidRPr="00602276">
        <w:t xml:space="preserve"> limit</w:t>
      </w:r>
      <w:r w:rsidR="00602276" w:rsidRPr="00602276">
        <w:t>ed</w:t>
      </w:r>
      <w:r w:rsidR="00202336" w:rsidRPr="00602276">
        <w:t xml:space="preserve"> energy consumption and economic growth</w:t>
      </w:r>
      <w:r w:rsidR="00E635EA" w:rsidRPr="00602276">
        <w:rPr>
          <w:i/>
        </w:rPr>
        <w:t xml:space="preserve">.  </w:t>
      </w:r>
      <w:r w:rsidRPr="00602276">
        <w:t>GOB</w:t>
      </w:r>
      <w:r w:rsidR="00030F29" w:rsidRPr="00602276">
        <w:t xml:space="preserve"> has been rapidly increasing grid access in recent years with 3.8 million new connections in rural areas in last FY alone. </w:t>
      </w:r>
      <w:r w:rsidR="00E635EA" w:rsidRPr="00602276">
        <w:t xml:space="preserve">Access to electricity is </w:t>
      </w:r>
      <w:r w:rsidR="00030F29" w:rsidRPr="00602276">
        <w:t xml:space="preserve">currently </w:t>
      </w:r>
      <w:r w:rsidR="00E635EA" w:rsidRPr="00602276">
        <w:t>about</w:t>
      </w:r>
      <w:r w:rsidR="00E635EA">
        <w:t xml:space="preserve"> </w:t>
      </w:r>
      <w:r w:rsidR="00030F29">
        <w:t>80</w:t>
      </w:r>
      <w:r w:rsidR="00E0619D">
        <w:t xml:space="preserve"> </w:t>
      </w:r>
      <w:r w:rsidR="00E635EA">
        <w:t>percent</w:t>
      </w:r>
      <w:r w:rsidR="00202336">
        <w:rPr>
          <w:rStyle w:val="FootnoteReference"/>
        </w:rPr>
        <w:footnoteReference w:id="7"/>
      </w:r>
      <w:r w:rsidR="00202336">
        <w:t>.  T</w:t>
      </w:r>
      <w:r w:rsidR="00E635EA">
        <w:t xml:space="preserve">hose with </w:t>
      </w:r>
      <w:r w:rsidR="00202336">
        <w:t xml:space="preserve">grid </w:t>
      </w:r>
      <w:r w:rsidR="00E635EA">
        <w:t>connection experience supply disruptions due to shortage in generation of electricity</w:t>
      </w:r>
      <w:r w:rsidR="00CD78FA">
        <w:t xml:space="preserve"> and bottlenecks in </w:t>
      </w:r>
      <w:r w:rsidR="00202336">
        <w:t xml:space="preserve">the </w:t>
      </w:r>
      <w:r w:rsidR="00CD78FA">
        <w:t>grid network</w:t>
      </w:r>
      <w:r w:rsidR="00E635EA">
        <w:t xml:space="preserve">. </w:t>
      </w:r>
      <w:r w:rsidR="00381859">
        <w:t xml:space="preserve">Annual </w:t>
      </w:r>
      <w:r w:rsidR="00E635EA">
        <w:t xml:space="preserve">per capita </w:t>
      </w:r>
      <w:r w:rsidR="00381859">
        <w:t xml:space="preserve">energy </w:t>
      </w:r>
      <w:r w:rsidR="00E635EA">
        <w:t xml:space="preserve">consumption of </w:t>
      </w:r>
      <w:r w:rsidR="00381859">
        <w:t xml:space="preserve">Bangladesh is relatively low at 370 </w:t>
      </w:r>
      <w:r w:rsidR="00E635EA">
        <w:t>kWh</w:t>
      </w:r>
      <w:r w:rsidR="00381859">
        <w:t xml:space="preserve">, compared to 1,010kWh for India and 2,600kWh for China.  </w:t>
      </w:r>
      <w:r w:rsidR="00E635EA">
        <w:t xml:space="preserve">Bangladesh is ranked </w:t>
      </w:r>
      <w:r w:rsidR="00C978AC">
        <w:t>10</w:t>
      </w:r>
      <w:r w:rsidR="00381859">
        <w:t>6</w:t>
      </w:r>
      <w:r w:rsidR="00381859">
        <w:rPr>
          <w:vertAlign w:val="superscript"/>
        </w:rPr>
        <w:t>th</w:t>
      </w:r>
      <w:r w:rsidR="00C978AC">
        <w:t xml:space="preserve"> </w:t>
      </w:r>
      <w:r w:rsidR="00E635EA">
        <w:t>on Global Competitive</w:t>
      </w:r>
      <w:r w:rsidR="00381859">
        <w:t>ness</w:t>
      </w:r>
      <w:r w:rsidR="00E635EA">
        <w:t xml:space="preserve"> Index</w:t>
      </w:r>
      <w:r w:rsidR="00381859">
        <w:t>, out of 128 countries,</w:t>
      </w:r>
      <w:r w:rsidR="00732959">
        <w:t xml:space="preserve"> </w:t>
      </w:r>
      <w:r w:rsidR="00E635EA">
        <w:t xml:space="preserve">and </w:t>
      </w:r>
      <w:r w:rsidR="00381859">
        <w:t>110</w:t>
      </w:r>
      <w:r w:rsidR="00381859" w:rsidRPr="00936367">
        <w:rPr>
          <w:vertAlign w:val="superscript"/>
        </w:rPr>
        <w:t>th</w:t>
      </w:r>
      <w:r w:rsidR="00381859">
        <w:t xml:space="preserve"> </w:t>
      </w:r>
      <w:r w:rsidR="00E635EA">
        <w:t>on quality of electricity supply</w:t>
      </w:r>
      <w:r w:rsidR="00E635EA">
        <w:rPr>
          <w:rStyle w:val="FootnoteReference"/>
        </w:rPr>
        <w:footnoteReference w:id="8"/>
      </w:r>
      <w:r w:rsidR="00E635EA">
        <w:t xml:space="preserve">.  In the latest Doing Business </w:t>
      </w:r>
      <w:r w:rsidR="00381859">
        <w:t>Indicator</w:t>
      </w:r>
      <w:r w:rsidR="00E635EA">
        <w:t xml:space="preserve">, Bangladesh is ranked </w:t>
      </w:r>
      <w:r w:rsidR="00882111">
        <w:t xml:space="preserve">176 out of 190 </w:t>
      </w:r>
      <w:r w:rsidR="00E635EA">
        <w:t xml:space="preserve">economies </w:t>
      </w:r>
      <w:r w:rsidR="00882111">
        <w:t xml:space="preserve">of the world and in </w:t>
      </w:r>
      <w:r w:rsidR="00E635EA">
        <w:t xml:space="preserve">the </w:t>
      </w:r>
      <w:r w:rsidR="00882111">
        <w:t xml:space="preserve">indicator of </w:t>
      </w:r>
      <w:r w:rsidR="00E635EA">
        <w:t>“Getting Electricity”</w:t>
      </w:r>
      <w:r w:rsidR="00882111">
        <w:t>, it is ranked the fourth lowest out of 190 economies</w:t>
      </w:r>
      <w:r w:rsidR="00E635EA">
        <w:rPr>
          <w:rStyle w:val="FootnoteReference"/>
        </w:rPr>
        <w:footnoteReference w:id="9"/>
      </w:r>
      <w:r w:rsidR="00E635EA">
        <w:t xml:space="preserve">. </w:t>
      </w:r>
    </w:p>
    <w:p w14:paraId="77BA2C15" w14:textId="77777777" w:rsidR="009462EF" w:rsidRPr="009462EF" w:rsidRDefault="009462EF" w:rsidP="009462EF">
      <w:pPr>
        <w:pStyle w:val="ListParagraph"/>
        <w:rPr>
          <w:b/>
        </w:rPr>
      </w:pPr>
    </w:p>
    <w:p w14:paraId="7DDF84E7" w14:textId="392B344F" w:rsidR="00E635EA" w:rsidRPr="00363FE3" w:rsidRDefault="00202336" w:rsidP="00602276">
      <w:pPr>
        <w:pStyle w:val="ListParagraph"/>
        <w:numPr>
          <w:ilvl w:val="0"/>
          <w:numId w:val="1"/>
        </w:numPr>
        <w:spacing w:line="240" w:lineRule="auto"/>
        <w:ind w:left="0" w:firstLine="0"/>
        <w:jc w:val="both"/>
        <w:rPr>
          <w:i/>
        </w:rPr>
      </w:pPr>
      <w:r w:rsidRPr="00363FE3">
        <w:rPr>
          <w:b/>
        </w:rPr>
        <w:t>As a short-</w:t>
      </w:r>
      <w:r w:rsidR="00E635EA" w:rsidRPr="00363FE3">
        <w:rPr>
          <w:b/>
        </w:rPr>
        <w:t>term solution to persistent power generation shortages</w:t>
      </w:r>
      <w:r w:rsidRPr="00363FE3">
        <w:rPr>
          <w:b/>
        </w:rPr>
        <w:t xml:space="preserve">, expensive liquid fuel-run plants were </w:t>
      </w:r>
      <w:r w:rsidR="00B41DA1" w:rsidRPr="00363FE3">
        <w:rPr>
          <w:b/>
        </w:rPr>
        <w:t>introduced</w:t>
      </w:r>
      <w:r w:rsidR="00602276">
        <w:rPr>
          <w:b/>
        </w:rPr>
        <w:t xml:space="preserve"> in 2010.  </w:t>
      </w:r>
      <w:r w:rsidR="00602276" w:rsidRPr="00602276">
        <w:t>D</w:t>
      </w:r>
      <w:r w:rsidR="00E635EA" w:rsidRPr="00602276">
        <w:t xml:space="preserve">elays in </w:t>
      </w:r>
      <w:r w:rsidR="00537A3E" w:rsidRPr="00602276">
        <w:t xml:space="preserve">commissioning </w:t>
      </w:r>
      <w:r w:rsidR="00E635EA" w:rsidRPr="00602276">
        <w:t xml:space="preserve">large base load plants are resulting in continued dependence on liquid fuel-run plants (Figure </w:t>
      </w:r>
      <w:fldSimple w:instr=" SEQ Figure \* ARABIC ">
        <w:r w:rsidR="00E90CD8" w:rsidRPr="00602276">
          <w:rPr>
            <w:noProof/>
          </w:rPr>
          <w:t>1</w:t>
        </w:r>
      </w:fldSimple>
      <w:r w:rsidR="00E635EA" w:rsidRPr="00602276">
        <w:t xml:space="preserve">). </w:t>
      </w:r>
      <w:r w:rsidR="00B70770" w:rsidRPr="00602276">
        <w:t>The liquid</w:t>
      </w:r>
      <w:r w:rsidR="00B70770">
        <w:t>-fuel run plants were added to the fleet starting in 2009 as short term measures to meet the gap until the planned large gas-based and coal-based plants come online.  Persistent delays in</w:t>
      </w:r>
      <w:r w:rsidR="00537A3E">
        <w:t xml:space="preserve"> commissioning</w:t>
      </w:r>
      <w:r w:rsidR="00B70770">
        <w:t xml:space="preserve"> the large base load plants however </w:t>
      </w:r>
      <w:r w:rsidR="00376CFD">
        <w:t xml:space="preserve">have </w:t>
      </w:r>
      <w:r w:rsidR="00B70770">
        <w:t xml:space="preserve">resulted in continued dependence on the liquid fuel plants for power generation.  </w:t>
      </w:r>
      <w:r w:rsidR="00363FE3">
        <w:t>Gas capacity has been added between 2009-1</w:t>
      </w:r>
      <w:r w:rsidR="001B477E">
        <w:t>6</w:t>
      </w:r>
      <w:r w:rsidR="00363FE3">
        <w:t xml:space="preserve"> despite the shortage of gas; however, as a measure to address gas shortages, liquid-fuel plants were also added.</w:t>
      </w:r>
      <w:r w:rsidR="00363FE3" w:rsidRPr="00363FE3">
        <w:t xml:space="preserve"> </w:t>
      </w:r>
      <w:r w:rsidR="00363FE3">
        <w:t xml:space="preserve"> </w:t>
      </w:r>
      <w:r w:rsidR="00060C8E" w:rsidRPr="00060C8E">
        <w:t>Today,</w:t>
      </w:r>
      <w:r w:rsidR="00060C8E" w:rsidRPr="00363FE3">
        <w:rPr>
          <w:b/>
        </w:rPr>
        <w:t xml:space="preserve"> </w:t>
      </w:r>
      <w:r w:rsidR="00B41DA1">
        <w:t xml:space="preserve">a quarter of </w:t>
      </w:r>
      <w:r w:rsidR="00376CFD">
        <w:t xml:space="preserve">total </w:t>
      </w:r>
      <w:r w:rsidR="00B41DA1">
        <w:t xml:space="preserve">generation is coming from liquid fuel-run power plants while </w:t>
      </w:r>
      <w:r w:rsidR="00060C8E">
        <w:t>n</w:t>
      </w:r>
      <w:r w:rsidR="00E635EA">
        <w:t xml:space="preserve">atural gas </w:t>
      </w:r>
      <w:r w:rsidR="00B41DA1">
        <w:t xml:space="preserve">accounts </w:t>
      </w:r>
      <w:r w:rsidR="00E635EA">
        <w:t xml:space="preserve">for about 65% of power generation </w:t>
      </w:r>
      <w:r w:rsidR="00B41DA1">
        <w:t>and t</w:t>
      </w:r>
      <w:r w:rsidR="00E635EA">
        <w:t xml:space="preserve">he rest </w:t>
      </w:r>
      <w:r w:rsidR="00B41DA1">
        <w:t xml:space="preserve">from </w:t>
      </w:r>
      <w:r w:rsidR="00E635EA">
        <w:t>hydro (2%), coal (2%)</w:t>
      </w:r>
      <w:r w:rsidR="00B41DA1">
        <w:t>,</w:t>
      </w:r>
      <w:r w:rsidR="00E635EA">
        <w:t xml:space="preserve"> and more recently imported power from India (5%).  The liquid fuel-run plants are the most expensive.  Compared to about Tk 3/kWh of fuel cost for gas based plants (depending on plant efficiency</w:t>
      </w:r>
      <w:r w:rsidR="00060C8E">
        <w:t xml:space="preserve"> and based on the current price of gas for power generation at </w:t>
      </w:r>
      <w:r w:rsidR="001F122C">
        <w:t>US$1/mcf</w:t>
      </w:r>
      <w:r w:rsidR="00E635EA">
        <w:t xml:space="preserve">), the fuel cost from furnace oil and diesel are Tk 20/kWh and Tk 28/kWh respectively.  </w:t>
      </w:r>
    </w:p>
    <w:p w14:paraId="02FA81F1" w14:textId="4A7AE3E5" w:rsidR="00E635EA" w:rsidRPr="00415610" w:rsidRDefault="00E635EA" w:rsidP="00294B8F">
      <w:pPr>
        <w:pStyle w:val="Caption"/>
        <w:keepNext/>
        <w:ind w:firstLine="720"/>
        <w:rPr>
          <w:sz w:val="20"/>
          <w:szCs w:val="20"/>
        </w:rPr>
      </w:pPr>
      <w:r w:rsidRPr="00415610">
        <w:rPr>
          <w:sz w:val="20"/>
          <w:szCs w:val="20"/>
        </w:rPr>
        <w:t>Figure 1: Installed Capacity by Fuel Type</w:t>
      </w:r>
      <w:r w:rsidR="00DB218C" w:rsidRPr="00415610">
        <w:rPr>
          <w:sz w:val="20"/>
          <w:szCs w:val="20"/>
        </w:rPr>
        <w:t xml:space="preserve"> (MW)</w:t>
      </w:r>
    </w:p>
    <w:p w14:paraId="5F579CF1" w14:textId="56A9E4A0" w:rsidR="00E635EA" w:rsidRDefault="006C2081" w:rsidP="00E01394">
      <w:pPr>
        <w:spacing w:line="240" w:lineRule="auto"/>
        <w:jc w:val="center"/>
      </w:pPr>
      <w:r>
        <w:rPr>
          <w:noProof/>
        </w:rPr>
        <w:drawing>
          <wp:inline distT="0" distB="0" distL="0" distR="0" wp14:anchorId="4EB4C556" wp14:editId="2C20D88A">
            <wp:extent cx="5234940" cy="2918460"/>
            <wp:effectExtent l="0" t="0" r="381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F2CB1B4" w14:textId="5BD681F4" w:rsidR="00E635EA" w:rsidRPr="00650D36" w:rsidRDefault="00E635EA" w:rsidP="00E01394">
      <w:pPr>
        <w:spacing w:line="240" w:lineRule="auto"/>
        <w:jc w:val="both"/>
        <w:rPr>
          <w:i/>
          <w:sz w:val="20"/>
          <w:szCs w:val="20"/>
        </w:rPr>
      </w:pPr>
      <w:r w:rsidRPr="00650D36">
        <w:rPr>
          <w:i/>
          <w:sz w:val="20"/>
          <w:szCs w:val="20"/>
        </w:rPr>
        <w:t>Source: Bangladesh Power Development Board</w:t>
      </w:r>
      <w:r>
        <w:rPr>
          <w:i/>
          <w:sz w:val="20"/>
          <w:szCs w:val="20"/>
        </w:rPr>
        <w:t xml:space="preserve"> (BPDB) Annual Reports.</w:t>
      </w:r>
      <w:r w:rsidR="006C2081">
        <w:rPr>
          <w:i/>
          <w:sz w:val="20"/>
          <w:szCs w:val="20"/>
        </w:rPr>
        <w:t xml:space="preserve"> </w:t>
      </w:r>
    </w:p>
    <w:p w14:paraId="30AA234E" w14:textId="49829058" w:rsidR="00E635EA" w:rsidRDefault="00E635EA" w:rsidP="009462EF">
      <w:pPr>
        <w:pStyle w:val="ListParagraph"/>
        <w:numPr>
          <w:ilvl w:val="0"/>
          <w:numId w:val="1"/>
        </w:numPr>
        <w:spacing w:line="240" w:lineRule="auto"/>
        <w:ind w:left="0" w:firstLine="0"/>
        <w:jc w:val="both"/>
      </w:pPr>
      <w:r>
        <w:rPr>
          <w:b/>
        </w:rPr>
        <w:t>Tariff increases have not kept pace with increased electricity generation costs resulting in large deficit in the sector</w:t>
      </w:r>
      <w:r w:rsidRPr="007E31B3">
        <w:rPr>
          <w:b/>
        </w:rPr>
        <w:t xml:space="preserve"> (Figure</w:t>
      </w:r>
      <w:r>
        <w:rPr>
          <w:b/>
        </w:rPr>
        <w:t xml:space="preserve"> </w:t>
      </w:r>
      <w:r>
        <w:rPr>
          <w:b/>
        </w:rPr>
        <w:fldChar w:fldCharType="begin"/>
      </w:r>
      <w:r>
        <w:rPr>
          <w:b/>
        </w:rPr>
        <w:instrText xml:space="preserve"> SEQ Figure \* ARABIC </w:instrText>
      </w:r>
      <w:r>
        <w:rPr>
          <w:b/>
        </w:rPr>
        <w:fldChar w:fldCharType="separate"/>
      </w:r>
      <w:r w:rsidR="00E90CD8">
        <w:rPr>
          <w:b/>
          <w:noProof/>
        </w:rPr>
        <w:t>2</w:t>
      </w:r>
      <w:r>
        <w:rPr>
          <w:b/>
        </w:rPr>
        <w:fldChar w:fldCharType="end"/>
      </w:r>
      <w:r w:rsidRPr="007E31B3">
        <w:rPr>
          <w:b/>
        </w:rPr>
        <w:t>)</w:t>
      </w:r>
      <w:r>
        <w:rPr>
          <w:b/>
        </w:rPr>
        <w:t xml:space="preserve">.  </w:t>
      </w:r>
      <w:r w:rsidR="006B55AE">
        <w:t xml:space="preserve">When </w:t>
      </w:r>
      <w:r w:rsidR="004F1E74">
        <w:t xml:space="preserve">GOB </w:t>
      </w:r>
      <w:r w:rsidR="006B55AE">
        <w:t>embarked on the short-term measure</w:t>
      </w:r>
      <w:r w:rsidR="00CC364A">
        <w:t>s</w:t>
      </w:r>
      <w:r w:rsidR="006B55AE">
        <w:t xml:space="preserve"> </w:t>
      </w:r>
      <w:r w:rsidR="00B41DA1">
        <w:t>of introducing liqu</w:t>
      </w:r>
      <w:r w:rsidR="001B477E">
        <w:t>i</w:t>
      </w:r>
      <w:r w:rsidR="00B41DA1">
        <w:t xml:space="preserve">d fuel-run plants </w:t>
      </w:r>
      <w:r w:rsidR="006B55AE">
        <w:t xml:space="preserve">in 2009 for mitigating the persistent power generation shortages, it decided </w:t>
      </w:r>
      <w:r w:rsidR="00033C02">
        <w:t xml:space="preserve">that the higher costs of the liquid fuel-run plants would not be fully transferred to the consumers.  An annual budgetary transfer cap of BDT 50 billion (US$640 million in current dollar terms) was decided to be allocated to the </w:t>
      </w:r>
      <w:r w:rsidR="006B55AE">
        <w:t xml:space="preserve">off-taker </w:t>
      </w:r>
      <w:r w:rsidR="00B41DA1">
        <w:t>Bangladesh Power Development Board (</w:t>
      </w:r>
      <w:r w:rsidR="006B55AE">
        <w:t>BPDB</w:t>
      </w:r>
      <w:r w:rsidR="00B41DA1">
        <w:t>)</w:t>
      </w:r>
      <w:r w:rsidR="006B55AE">
        <w:t xml:space="preserve"> </w:t>
      </w:r>
      <w:r w:rsidR="00033C02">
        <w:t xml:space="preserve">to meet these short-term costs.  A tariff trajectory was planned that will raise the average tariff gradually to be at par with the long-run costs of large base-load plants while the annual budgetary transfer covered the short-term liquid-fuel </w:t>
      </w:r>
      <w:r w:rsidR="00784F30">
        <w:t>run plants</w:t>
      </w:r>
      <w:r w:rsidR="00033C02">
        <w:rPr>
          <w:rStyle w:val="FootnoteReference"/>
        </w:rPr>
        <w:footnoteReference w:id="10"/>
      </w:r>
      <w:r w:rsidR="00033C02">
        <w:t xml:space="preserve">.  The annual </w:t>
      </w:r>
      <w:r>
        <w:t>budgetary transfer increased from Tk 6 billion</w:t>
      </w:r>
      <w:r w:rsidR="00AF2853">
        <w:t xml:space="preserve"> (US$87 million)</w:t>
      </w:r>
      <w:r>
        <w:t xml:space="preserve"> in 2009 to </w:t>
      </w:r>
      <w:r w:rsidR="00AF2853">
        <w:t xml:space="preserve">a peak of almost Tk 90 billion (US$1.15 billion) in 2015 before coming down to </w:t>
      </w:r>
      <w:r>
        <w:t xml:space="preserve">Tk </w:t>
      </w:r>
      <w:r w:rsidR="00AF2853">
        <w:t xml:space="preserve">42 billion (US$538 million) </w:t>
      </w:r>
      <w:r>
        <w:t xml:space="preserve">in </w:t>
      </w:r>
      <w:r w:rsidR="007700D5">
        <w:t>201</w:t>
      </w:r>
      <w:r w:rsidR="00AF2853">
        <w:t>6</w:t>
      </w:r>
      <w:r>
        <w:t xml:space="preserve">.  </w:t>
      </w:r>
      <w:r w:rsidR="00033C02">
        <w:t xml:space="preserve">Retail tariff was increased by about 60% during the period.  </w:t>
      </w:r>
      <w:r w:rsidR="00AF2853">
        <w:t xml:space="preserve">The recent decline in fuel oil prices has helped to reduce the </w:t>
      </w:r>
      <w:r w:rsidR="00033C02">
        <w:t xml:space="preserve">recent </w:t>
      </w:r>
      <w:r w:rsidR="00AF2853">
        <w:t>budgetary transfer requirement</w:t>
      </w:r>
      <w:r w:rsidR="002B0317">
        <w:t>s</w:t>
      </w:r>
      <w:r w:rsidR="00AF2853">
        <w:t xml:space="preserve">.   </w:t>
      </w:r>
    </w:p>
    <w:p w14:paraId="017F5FB8" w14:textId="773890A1" w:rsidR="00E635EA" w:rsidRPr="00415610" w:rsidRDefault="00294B8F" w:rsidP="00294B8F">
      <w:pPr>
        <w:pStyle w:val="Caption"/>
        <w:keepNext/>
        <w:jc w:val="both"/>
        <w:rPr>
          <w:noProof/>
          <w:sz w:val="16"/>
        </w:rPr>
      </w:pPr>
      <w:r>
        <w:rPr>
          <w:sz w:val="20"/>
          <w:szCs w:val="22"/>
        </w:rPr>
        <w:t xml:space="preserve">            </w:t>
      </w:r>
      <w:r w:rsidR="00E635EA" w:rsidRPr="00415610">
        <w:rPr>
          <w:sz w:val="20"/>
          <w:szCs w:val="22"/>
        </w:rPr>
        <w:t>Figure 2:  Direct Deficit to the sector (US$ Million)</w:t>
      </w:r>
    </w:p>
    <w:p w14:paraId="78BB5FC4" w14:textId="617546D9" w:rsidR="00195410" w:rsidRPr="00195410" w:rsidRDefault="00FB763A" w:rsidP="00DB218C">
      <w:pPr>
        <w:jc w:val="center"/>
      </w:pPr>
      <w:r>
        <w:rPr>
          <w:noProof/>
        </w:rPr>
        <w:drawing>
          <wp:inline distT="0" distB="0" distL="0" distR="0" wp14:anchorId="6B2BED30" wp14:editId="7C7B12D6">
            <wp:extent cx="5553075" cy="25908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E87CD12" w14:textId="2C08B534" w:rsidR="00E635EA" w:rsidRDefault="00DB218C" w:rsidP="00E01394">
      <w:pPr>
        <w:spacing w:line="240" w:lineRule="auto"/>
        <w:jc w:val="both"/>
        <w:rPr>
          <w:sz w:val="18"/>
          <w:szCs w:val="18"/>
        </w:rPr>
      </w:pPr>
      <w:r>
        <w:rPr>
          <w:sz w:val="18"/>
          <w:szCs w:val="18"/>
        </w:rPr>
        <w:t xml:space="preserve">        </w:t>
      </w:r>
      <w:r w:rsidR="006B55AE" w:rsidRPr="00CC364A">
        <w:rPr>
          <w:sz w:val="18"/>
          <w:szCs w:val="18"/>
        </w:rPr>
        <w:t>*2017</w:t>
      </w:r>
      <w:r w:rsidR="006B55AE">
        <w:rPr>
          <w:sz w:val="18"/>
          <w:szCs w:val="18"/>
        </w:rPr>
        <w:t xml:space="preserve"> </w:t>
      </w:r>
      <w:r w:rsidR="00CC364A">
        <w:rPr>
          <w:sz w:val="18"/>
          <w:szCs w:val="18"/>
        </w:rPr>
        <w:t>deficit figure is the budgeted amount of BDT50 billion.</w:t>
      </w:r>
    </w:p>
    <w:p w14:paraId="0B6F7A92" w14:textId="48B9320B" w:rsidR="001B477E" w:rsidRPr="00CC364A" w:rsidRDefault="00D932FF" w:rsidP="00E01394">
      <w:pPr>
        <w:spacing w:line="240" w:lineRule="auto"/>
        <w:jc w:val="both"/>
        <w:rPr>
          <w:sz w:val="18"/>
          <w:szCs w:val="18"/>
        </w:rPr>
      </w:pPr>
      <w:r>
        <w:rPr>
          <w:sz w:val="18"/>
          <w:szCs w:val="18"/>
        </w:rPr>
        <w:t xml:space="preserve"> </w:t>
      </w:r>
    </w:p>
    <w:p w14:paraId="0AD2DA00" w14:textId="76D266F0" w:rsidR="00E635EA" w:rsidRDefault="00E635EA" w:rsidP="009462EF">
      <w:pPr>
        <w:pStyle w:val="ListParagraph"/>
        <w:numPr>
          <w:ilvl w:val="0"/>
          <w:numId w:val="1"/>
        </w:numPr>
        <w:spacing w:line="240" w:lineRule="auto"/>
        <w:ind w:left="0" w:firstLine="0"/>
        <w:jc w:val="both"/>
        <w:rPr>
          <w:i/>
        </w:rPr>
      </w:pPr>
      <w:r w:rsidRPr="00C57B88">
        <w:rPr>
          <w:b/>
        </w:rPr>
        <w:t xml:space="preserve">The deficit is based on the subsidized costs of fuel used for power generation, and the actual deficit will be much higher if the </w:t>
      </w:r>
      <w:r w:rsidR="00F30A38">
        <w:rPr>
          <w:b/>
        </w:rPr>
        <w:t>market prices</w:t>
      </w:r>
      <w:r w:rsidRPr="00C57B88">
        <w:rPr>
          <w:b/>
        </w:rPr>
        <w:t xml:space="preserve"> of fuel are taken into account.</w:t>
      </w:r>
      <w:r>
        <w:rPr>
          <w:b/>
          <w:i/>
        </w:rPr>
        <w:t xml:space="preserve">  </w:t>
      </w:r>
      <w:r w:rsidRPr="005D610F">
        <w:t>The</w:t>
      </w:r>
      <w:r>
        <w:t xml:space="preserve"> input fuel costs are administered by </w:t>
      </w:r>
      <w:r w:rsidR="004F1E74">
        <w:t xml:space="preserve">GOB </w:t>
      </w:r>
      <w:r>
        <w:t xml:space="preserve">and are set at sometimes much below the real market prices.  </w:t>
      </w:r>
      <w:r w:rsidR="004F1E74">
        <w:t>The domestic prices of liquid fuel are not automatically adjusted to the international market</w:t>
      </w:r>
      <w:r w:rsidR="003963D6">
        <w:t xml:space="preserve"> although most of the liquid fuel are imported.  The </w:t>
      </w:r>
      <w:r w:rsidR="004F1E74">
        <w:t xml:space="preserve">budgetary transfer to </w:t>
      </w:r>
      <w:r w:rsidR="00096576">
        <w:t xml:space="preserve">BPDB </w:t>
      </w:r>
      <w:r w:rsidR="003963D6">
        <w:t xml:space="preserve">therefore does not reflect the full financial deficit from liquid fuel run plants.  </w:t>
      </w:r>
      <w:r>
        <w:t>The natural gas price for power generation at US$1</w:t>
      </w:r>
      <w:r w:rsidR="00D1601A">
        <w:t>.05 per thousand cubic fee (</w:t>
      </w:r>
      <w:r>
        <w:t>mcf) is subsidized</w:t>
      </w:r>
      <w:r w:rsidR="00096576">
        <w:rPr>
          <w:rStyle w:val="FootnoteReference"/>
        </w:rPr>
        <w:footnoteReference w:id="11"/>
      </w:r>
      <w:r>
        <w:t xml:space="preserve">. GOB is purchasing gas from the international oil companies under Production Sharing Contracts at </w:t>
      </w:r>
      <w:r w:rsidR="001B477E">
        <w:t xml:space="preserve">around </w:t>
      </w:r>
      <w:r>
        <w:t>US$</w:t>
      </w:r>
      <w:r>
        <w:rPr>
          <w:color w:val="FF0000"/>
        </w:rPr>
        <w:t>1.3</w:t>
      </w:r>
      <w:r>
        <w:t>/mcf.</w:t>
      </w:r>
      <w:r w:rsidR="004B486A">
        <w:rPr>
          <w:rStyle w:val="FootnoteReference"/>
        </w:rPr>
        <w:footnoteReference w:id="12"/>
      </w:r>
      <w:r>
        <w:t xml:space="preserve">  The </w:t>
      </w:r>
      <w:r w:rsidR="001B477E">
        <w:t xml:space="preserve">price for </w:t>
      </w:r>
      <w:r>
        <w:t xml:space="preserve">natural gas </w:t>
      </w:r>
      <w:r w:rsidR="001B477E">
        <w:t>used</w:t>
      </w:r>
      <w:r>
        <w:t xml:space="preserve"> for power generation in the neighboring India and Pakistan were about US$5/mcf (as of 2011)</w:t>
      </w:r>
      <w:r>
        <w:rPr>
          <w:rStyle w:val="FootnoteReference"/>
        </w:rPr>
        <w:footnoteReference w:id="13"/>
      </w:r>
      <w:r>
        <w:t xml:space="preserve">. The liquefied natural gas (LNG) sells for </w:t>
      </w:r>
      <w:r w:rsidR="008B6A8F">
        <w:t>around U$8</w:t>
      </w:r>
      <w:r>
        <w:t>/mcf</w:t>
      </w:r>
      <w:r w:rsidR="004B486A">
        <w:rPr>
          <w:rStyle w:val="FootnoteReference"/>
        </w:rPr>
        <w:footnoteReference w:id="14"/>
      </w:r>
      <w:r>
        <w:t xml:space="preserve"> in the international market.</w:t>
      </w:r>
      <w:r w:rsidRPr="005100A4">
        <w:t xml:space="preserve">  As explained later, the projections used in this analys</w:t>
      </w:r>
      <w:r>
        <w:t>is</w:t>
      </w:r>
      <w:r w:rsidRPr="005100A4">
        <w:t xml:space="preserve"> are based on the current subsidized fuel prices; if the cost of electricity </w:t>
      </w:r>
      <w:r w:rsidR="001B477E">
        <w:t xml:space="preserve">were </w:t>
      </w:r>
      <w:r w:rsidRPr="005100A4">
        <w:t>to reflect the true cost of all inputs, the projected cost of electricity</w:t>
      </w:r>
      <w:r w:rsidR="00F2199F">
        <w:t xml:space="preserve"> and</w:t>
      </w:r>
      <w:r w:rsidRPr="005100A4">
        <w:t xml:space="preserve"> the </w:t>
      </w:r>
      <w:r w:rsidR="00F2199F">
        <w:t>resulting sector deficit</w:t>
      </w:r>
      <w:r w:rsidRPr="005100A4">
        <w:t xml:space="preserve">, would be significantly higher. </w:t>
      </w:r>
    </w:p>
    <w:p w14:paraId="751CA32B" w14:textId="77777777" w:rsidR="00CC364A" w:rsidRPr="00CC364A" w:rsidRDefault="00CC364A" w:rsidP="00CC364A">
      <w:pPr>
        <w:pStyle w:val="ListParagraph"/>
        <w:spacing w:line="240" w:lineRule="auto"/>
        <w:ind w:left="0"/>
        <w:jc w:val="both"/>
        <w:rPr>
          <w:i/>
        </w:rPr>
      </w:pPr>
    </w:p>
    <w:p w14:paraId="2153207E" w14:textId="06083314" w:rsidR="00E635EA" w:rsidRDefault="00E635EA" w:rsidP="00602276">
      <w:pPr>
        <w:pStyle w:val="ListParagraph"/>
        <w:numPr>
          <w:ilvl w:val="0"/>
          <w:numId w:val="1"/>
        </w:numPr>
        <w:spacing w:after="0" w:line="240" w:lineRule="auto"/>
        <w:ind w:left="0" w:firstLine="0"/>
        <w:jc w:val="both"/>
        <w:rPr>
          <w:i/>
        </w:rPr>
      </w:pPr>
      <w:r w:rsidRPr="00431482">
        <w:rPr>
          <w:b/>
        </w:rPr>
        <w:t>The sector has evolved from a vertically integrated single utility to a partially unbundled sector with a</w:t>
      </w:r>
      <w:r>
        <w:rPr>
          <w:b/>
        </w:rPr>
        <w:t>n</w:t>
      </w:r>
      <w:r w:rsidRPr="00431482">
        <w:rPr>
          <w:b/>
        </w:rPr>
        <w:t xml:space="preserve"> </w:t>
      </w:r>
      <w:r>
        <w:rPr>
          <w:b/>
        </w:rPr>
        <w:t>aim to improve sector performance</w:t>
      </w:r>
      <w:r w:rsidRPr="00431482">
        <w:rPr>
          <w:b/>
        </w:rPr>
        <w:t xml:space="preserve">.  </w:t>
      </w:r>
      <w:r>
        <w:t>BPDB was the vertically integrated utility</w:t>
      </w:r>
      <w:r w:rsidR="008641AB">
        <w:t>,</w:t>
      </w:r>
      <w:r>
        <w:t xml:space="preserve"> which has since been unbundled into several generation companies, one transmission company, and several distribution companies.  BPDB currently operates about half of the power generation units while it purchases power from three generation companies and from the private sector</w:t>
      </w:r>
      <w:r w:rsidR="00F2199F">
        <w:t xml:space="preserve"> as the single off-taker</w:t>
      </w:r>
      <w:r>
        <w:t xml:space="preserve">.  Power Grid Company of Bangladesh (PGCB) is the single transmission company carrying power and receiving a wheeling charge for the power transmitted.  On the distribution side, the rural cooperatives (PBSs) under the Bangladesh Rural Electrification Board (BREB) distributes about 40% of the power, Dhaka Power Distribution Company (DPDC) (19%), Dhaka Electric Supply Company (DESCO) (11%), West Zone Power Distribution Company (WZPDCL) (6%) while the rest (25%) is distributed by the BPDB distribution zones. </w:t>
      </w:r>
    </w:p>
    <w:p w14:paraId="0D123747" w14:textId="02D15DF9" w:rsidR="00E635EA" w:rsidRDefault="00E635EA" w:rsidP="00602276">
      <w:pPr>
        <w:spacing w:after="0" w:line="240" w:lineRule="auto"/>
        <w:jc w:val="both"/>
        <w:rPr>
          <w:i/>
        </w:rPr>
      </w:pPr>
    </w:p>
    <w:p w14:paraId="0EDF466F" w14:textId="7485247F" w:rsidR="00E635EA" w:rsidRDefault="00E635EA" w:rsidP="00602276">
      <w:pPr>
        <w:pStyle w:val="ListParagraph"/>
        <w:numPr>
          <w:ilvl w:val="0"/>
          <w:numId w:val="1"/>
        </w:numPr>
        <w:spacing w:after="0" w:line="240" w:lineRule="auto"/>
        <w:ind w:left="0" w:firstLine="0"/>
        <w:jc w:val="both"/>
      </w:pPr>
      <w:r>
        <w:rPr>
          <w:b/>
        </w:rPr>
        <w:t>With the sector unbundling efforts</w:t>
      </w:r>
      <w:r w:rsidR="00000274">
        <w:rPr>
          <w:b/>
        </w:rPr>
        <w:t xml:space="preserve"> and increased focus on addressing technical and commercial losses</w:t>
      </w:r>
      <w:r>
        <w:rPr>
          <w:b/>
        </w:rPr>
        <w:t>, t</w:t>
      </w:r>
      <w:r w:rsidRPr="004A3451">
        <w:rPr>
          <w:b/>
        </w:rPr>
        <w:t>he over</w:t>
      </w:r>
      <w:r>
        <w:rPr>
          <w:b/>
        </w:rPr>
        <w:t xml:space="preserve">all sector performance has shown remarkable improvements with aggregate systems </w:t>
      </w:r>
      <w:r w:rsidRPr="00751087">
        <w:rPr>
          <w:b/>
        </w:rPr>
        <w:t xml:space="preserve">losses </w:t>
      </w:r>
      <w:r>
        <w:rPr>
          <w:b/>
        </w:rPr>
        <w:t xml:space="preserve">coming </w:t>
      </w:r>
      <w:r w:rsidRPr="00751087">
        <w:rPr>
          <w:b/>
        </w:rPr>
        <w:t>down to half from that of the 2002 level</w:t>
      </w:r>
      <w:r>
        <w:rPr>
          <w:b/>
        </w:rPr>
        <w:t xml:space="preserve"> </w:t>
      </w:r>
      <w:r w:rsidRPr="00751087">
        <w:rPr>
          <w:b/>
        </w:rPr>
        <w:t>(Figure</w:t>
      </w:r>
      <w:r>
        <w:rPr>
          <w:b/>
        </w:rPr>
        <w:t xml:space="preserve"> </w:t>
      </w:r>
      <w:r>
        <w:rPr>
          <w:b/>
        </w:rPr>
        <w:fldChar w:fldCharType="begin"/>
      </w:r>
      <w:r>
        <w:rPr>
          <w:b/>
        </w:rPr>
        <w:instrText xml:space="preserve"> SEQ Figure \* ARABIC </w:instrText>
      </w:r>
      <w:r>
        <w:rPr>
          <w:b/>
        </w:rPr>
        <w:fldChar w:fldCharType="separate"/>
      </w:r>
      <w:r w:rsidR="00E90CD8">
        <w:rPr>
          <w:b/>
          <w:noProof/>
        </w:rPr>
        <w:t>3</w:t>
      </w:r>
      <w:r>
        <w:rPr>
          <w:b/>
        </w:rPr>
        <w:fldChar w:fldCharType="end"/>
      </w:r>
      <w:r w:rsidRPr="00751087">
        <w:rPr>
          <w:b/>
        </w:rPr>
        <w:t>)</w:t>
      </w:r>
      <w:r>
        <w:t xml:space="preserve">.  Distribution losses came down from 24% in 2002 to </w:t>
      </w:r>
      <w:r w:rsidR="006272DA">
        <w:t xml:space="preserve">less than </w:t>
      </w:r>
      <w:r>
        <w:t>1</w:t>
      </w:r>
      <w:r w:rsidR="003963D6">
        <w:t>1</w:t>
      </w:r>
      <w:r>
        <w:t>% currently while the transmission losses came down from 4% in 2002 to 2.</w:t>
      </w:r>
      <w:r w:rsidR="003963D6">
        <w:t>63</w:t>
      </w:r>
      <w:r>
        <w:t>% currently.  The collection efficiency also improved significantly as is evident from the accounts receivable coming down from about 8 months of sales equivalent to a little over 2 months currently.  Amongst the utilities, BREB has the highest system losses (</w:t>
      </w:r>
      <w:r w:rsidR="00A9409B">
        <w:t>11.2</w:t>
      </w:r>
      <w:r>
        <w:t>%) while DESCO the lowest (</w:t>
      </w:r>
      <w:r w:rsidRPr="00D1376E">
        <w:rPr>
          <w:color w:val="FF0000"/>
        </w:rPr>
        <w:t>8.</w:t>
      </w:r>
      <w:r w:rsidR="00A9409B">
        <w:rPr>
          <w:color w:val="FF0000"/>
        </w:rPr>
        <w:t>03</w:t>
      </w:r>
      <w:r>
        <w:t>%).</w:t>
      </w:r>
    </w:p>
    <w:p w14:paraId="5A782FC2" w14:textId="77777777" w:rsidR="00602276" w:rsidRDefault="00294B8F" w:rsidP="00294B8F">
      <w:pPr>
        <w:pStyle w:val="Caption"/>
        <w:keepNext/>
        <w:rPr>
          <w:sz w:val="20"/>
          <w:szCs w:val="20"/>
        </w:rPr>
      </w:pPr>
      <w:r>
        <w:rPr>
          <w:sz w:val="20"/>
          <w:szCs w:val="20"/>
        </w:rPr>
        <w:t xml:space="preserve">           </w:t>
      </w:r>
    </w:p>
    <w:p w14:paraId="269DC72C" w14:textId="4FCCFFEA" w:rsidR="00E635EA" w:rsidRPr="00415610" w:rsidRDefault="00E635EA" w:rsidP="00294B8F">
      <w:pPr>
        <w:pStyle w:val="Caption"/>
        <w:keepNext/>
        <w:rPr>
          <w:sz w:val="20"/>
          <w:szCs w:val="20"/>
        </w:rPr>
      </w:pPr>
      <w:r w:rsidRPr="00415610">
        <w:rPr>
          <w:sz w:val="20"/>
          <w:szCs w:val="20"/>
        </w:rPr>
        <w:t>Figure 3: Sector Performance</w:t>
      </w:r>
      <w:r w:rsidR="00DB218C" w:rsidRPr="00415610">
        <w:rPr>
          <w:sz w:val="20"/>
          <w:szCs w:val="20"/>
        </w:rPr>
        <w:t xml:space="preserve"> </w:t>
      </w:r>
    </w:p>
    <w:p w14:paraId="0DEEBB54" w14:textId="7AF33708" w:rsidR="00E635EA" w:rsidRPr="000D29A3" w:rsidRDefault="008641AB" w:rsidP="00E01394">
      <w:pPr>
        <w:spacing w:line="240" w:lineRule="auto"/>
        <w:jc w:val="center"/>
      </w:pPr>
      <w:r>
        <w:rPr>
          <w:noProof/>
        </w:rPr>
        <w:drawing>
          <wp:inline distT="0" distB="0" distL="0" distR="0" wp14:anchorId="5F931874" wp14:editId="758980BB">
            <wp:extent cx="5913120" cy="2865120"/>
            <wp:effectExtent l="0" t="0" r="1143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953EEA" w14:textId="3FC13703" w:rsidR="00E00559" w:rsidRPr="00E00559" w:rsidRDefault="00DB218C" w:rsidP="00DB218C">
      <w:pPr>
        <w:spacing w:line="240" w:lineRule="auto"/>
        <w:jc w:val="both"/>
        <w:rPr>
          <w:i/>
          <w:sz w:val="20"/>
          <w:szCs w:val="20"/>
        </w:rPr>
      </w:pPr>
      <w:r>
        <w:rPr>
          <w:i/>
          <w:sz w:val="20"/>
          <w:szCs w:val="20"/>
        </w:rPr>
        <w:t xml:space="preserve">           </w:t>
      </w:r>
      <w:r w:rsidR="00E635EA" w:rsidRPr="00D1376E">
        <w:rPr>
          <w:i/>
          <w:sz w:val="20"/>
          <w:szCs w:val="20"/>
        </w:rPr>
        <w:t>Source: Power Cell</w:t>
      </w:r>
    </w:p>
    <w:p w14:paraId="6A9B4FBA" w14:textId="00C3FCB4" w:rsidR="00E635EA" w:rsidRDefault="00502FB7" w:rsidP="00E01394">
      <w:pPr>
        <w:pStyle w:val="Heading2"/>
        <w:jc w:val="both"/>
      </w:pPr>
      <w:r>
        <w:t>The</w:t>
      </w:r>
      <w:r w:rsidR="00E635EA">
        <w:t xml:space="preserve"> Model</w:t>
      </w:r>
    </w:p>
    <w:p w14:paraId="634E7FAA" w14:textId="77777777" w:rsidR="00E635EA" w:rsidRDefault="00E635EA" w:rsidP="00E01394">
      <w:pPr>
        <w:spacing w:line="240" w:lineRule="auto"/>
        <w:jc w:val="both"/>
      </w:pPr>
    </w:p>
    <w:p w14:paraId="55848894" w14:textId="5AD139A0" w:rsidR="00E635EA" w:rsidRDefault="00E635EA" w:rsidP="00B56BD4">
      <w:pPr>
        <w:pStyle w:val="ListParagraph"/>
        <w:numPr>
          <w:ilvl w:val="0"/>
          <w:numId w:val="1"/>
        </w:numPr>
        <w:spacing w:line="240" w:lineRule="auto"/>
        <w:ind w:left="0" w:firstLine="0"/>
        <w:jc w:val="both"/>
      </w:pPr>
      <w:r>
        <w:rPr>
          <w:b/>
        </w:rPr>
        <w:t xml:space="preserve">This </w:t>
      </w:r>
      <w:r w:rsidR="008F1E60">
        <w:rPr>
          <w:b/>
        </w:rPr>
        <w:t xml:space="preserve">section </w:t>
      </w:r>
      <w:r>
        <w:rPr>
          <w:b/>
        </w:rPr>
        <w:t xml:space="preserve">presents </w:t>
      </w:r>
      <w:r w:rsidR="00B56BD4">
        <w:rPr>
          <w:b/>
        </w:rPr>
        <w:t xml:space="preserve">key features of </w:t>
      </w:r>
      <w:r w:rsidR="001B477E">
        <w:rPr>
          <w:b/>
        </w:rPr>
        <w:t xml:space="preserve">the </w:t>
      </w:r>
      <w:r>
        <w:rPr>
          <w:b/>
        </w:rPr>
        <w:t>detailed financial model developed for Bangladesh</w:t>
      </w:r>
      <w:r w:rsidR="00602276">
        <w:rPr>
          <w:b/>
        </w:rPr>
        <w:t>’s</w:t>
      </w:r>
      <w:r>
        <w:rPr>
          <w:b/>
        </w:rPr>
        <w:t xml:space="preserve"> power sector. </w:t>
      </w:r>
      <w:r w:rsidR="005B742A">
        <w:rPr>
          <w:b/>
        </w:rPr>
        <w:t xml:space="preserve"> </w:t>
      </w:r>
      <w:r>
        <w:t xml:space="preserve">The model projects electricity demand, generation, and cost over the near- and medium-term based on the generation expansion plan and other inputs. It projects electricity production based on technical potential production from existing and planned power plants, and then imposes fuel availability, demand pattern, and other constraints. It projects demand based on current estimated demand and demand growth relative to GDP and balances this with available supply to project electricity sales. It calculates a cost-recovery tariff for the sector on a “cost-plus” basis </w:t>
      </w:r>
      <w:r w:rsidR="008F1E60">
        <w:t>following</w:t>
      </w:r>
      <w:r>
        <w:t xml:space="preserve"> the principle that all </w:t>
      </w:r>
      <w:r w:rsidR="00065255">
        <w:t xml:space="preserve">reasonable </w:t>
      </w:r>
      <w:r>
        <w:t xml:space="preserve">costs </w:t>
      </w:r>
      <w:r w:rsidR="006978E3">
        <w:t xml:space="preserve">(based on </w:t>
      </w:r>
      <w:r w:rsidR="008F1E60">
        <w:t xml:space="preserve">specified </w:t>
      </w:r>
      <w:r w:rsidR="006978E3">
        <w:t xml:space="preserve">efficiency levels) </w:t>
      </w:r>
      <w:r>
        <w:t xml:space="preserve">are passed on to </w:t>
      </w:r>
      <w:r w:rsidR="00E86AE2">
        <w:t>consumers</w:t>
      </w:r>
      <w:r w:rsidR="00911DBD">
        <w:rPr>
          <w:rStyle w:val="FootnoteReference"/>
        </w:rPr>
        <w:footnoteReference w:id="15"/>
      </w:r>
      <w:r>
        <w:t>.</w:t>
      </w:r>
      <w:r w:rsidR="00732959">
        <w:t xml:space="preserve"> </w:t>
      </w:r>
    </w:p>
    <w:p w14:paraId="22A373BF" w14:textId="77777777" w:rsidR="00A9409B" w:rsidRDefault="00A9409B" w:rsidP="008B6A8F">
      <w:pPr>
        <w:pStyle w:val="ListParagraph"/>
        <w:spacing w:line="240" w:lineRule="auto"/>
        <w:ind w:left="0"/>
        <w:jc w:val="both"/>
      </w:pPr>
    </w:p>
    <w:p w14:paraId="218EE5C4" w14:textId="1B6143EC" w:rsidR="006241F2" w:rsidRDefault="00E635EA" w:rsidP="009462EF">
      <w:pPr>
        <w:pStyle w:val="ListParagraph"/>
        <w:numPr>
          <w:ilvl w:val="0"/>
          <w:numId w:val="1"/>
        </w:numPr>
        <w:spacing w:line="240" w:lineRule="auto"/>
        <w:ind w:left="0" w:firstLine="0"/>
        <w:jc w:val="both"/>
      </w:pPr>
      <w:r>
        <w:rPr>
          <w:b/>
        </w:rPr>
        <w:t xml:space="preserve">The model’s primary generation input is the generation plan developed by BPDB. </w:t>
      </w:r>
      <w:r>
        <w:t>The generation plan specifies all existing and planned plants, including their commercial operation dates and planned retirement dates, and their key characteristics, including fuel type, installed and derated capacity, potential plant load factor, thermal efficiency, and fixed and variable contract costs. The model uses this to project potential electrical output and associated fuel usage each year. It combines the contract cost data with fuel price projections to calculate the cost for different levels of plant production.</w:t>
      </w:r>
      <w:r w:rsidR="00014C04">
        <w:t xml:space="preserve"> It should be noted that the model does </w:t>
      </w:r>
      <w:r w:rsidR="00014C04" w:rsidRPr="008F1E60">
        <w:rPr>
          <w:u w:val="single"/>
        </w:rPr>
        <w:t>not</w:t>
      </w:r>
      <w:r w:rsidR="00014C04">
        <w:t xml:space="preserve"> optimize system-wide electricity generation based on marginal cost of the plants</w:t>
      </w:r>
      <w:r w:rsidR="009625C4">
        <w:rPr>
          <w:rStyle w:val="FootnoteReference"/>
        </w:rPr>
        <w:footnoteReference w:id="16"/>
      </w:r>
      <w:r w:rsidR="00F9384C">
        <w:t>.</w:t>
      </w:r>
      <w:r w:rsidR="00014C04">
        <w:t xml:space="preserve"> </w:t>
      </w:r>
      <w:r>
        <w:t xml:space="preserve"> </w:t>
      </w:r>
    </w:p>
    <w:p w14:paraId="1FC8AAD3" w14:textId="77777777" w:rsidR="009462EF" w:rsidRDefault="009462EF" w:rsidP="009462EF">
      <w:pPr>
        <w:pStyle w:val="ListParagraph"/>
      </w:pPr>
    </w:p>
    <w:p w14:paraId="02114542" w14:textId="4DA0A2EE" w:rsidR="00E635EA" w:rsidRDefault="00E635EA" w:rsidP="009462EF">
      <w:pPr>
        <w:pStyle w:val="ListParagraph"/>
        <w:numPr>
          <w:ilvl w:val="0"/>
          <w:numId w:val="1"/>
        </w:numPr>
        <w:spacing w:line="240" w:lineRule="auto"/>
        <w:ind w:left="0" w:firstLine="0"/>
        <w:jc w:val="both"/>
      </w:pPr>
      <w:r>
        <w:rPr>
          <w:b/>
        </w:rPr>
        <w:t xml:space="preserve">Other key inputs are projections of electricity demand, transmission and distribution losses, and transmission and distribution costs. </w:t>
      </w:r>
      <w:r>
        <w:t xml:space="preserve">The model projects demand by using an assumption about current electricity demand (which, given the current supply constraints, exceeds actual sales) and how that will evolve relative to projected GDP growth. It allocates demand among electricity utilities by assuming the recent sales mix. The model also has an option of projecting demand based on current sales and past sales growth; this option is not exercised in this note, however, as it is most relevant in contexts where </w:t>
      </w:r>
      <w:r w:rsidR="00015A80">
        <w:t xml:space="preserve">available </w:t>
      </w:r>
      <w:r>
        <w:t>supply is sufficient to fulfill demand</w:t>
      </w:r>
      <w:r w:rsidR="00015A80">
        <w:t xml:space="preserve"> (which is currently not the case in Bangladesh)</w:t>
      </w:r>
      <w:r>
        <w:t>. The model projects transmission and distribution losses based on current loss levels and GOB targets for future losses. It combines this with the demand projections to calculate the amount of generation required to satisfy demand. Finally, it projects transmission and distribution costs based on projected sales, assuming that past financial trends continue.</w:t>
      </w:r>
      <w:r>
        <w:rPr>
          <w:rStyle w:val="FootnoteReference"/>
        </w:rPr>
        <w:footnoteReference w:id="17"/>
      </w:r>
      <w:r>
        <w:t xml:space="preserve"> </w:t>
      </w:r>
    </w:p>
    <w:p w14:paraId="13226AED" w14:textId="77777777" w:rsidR="009462EF" w:rsidRPr="009462EF" w:rsidRDefault="009462EF" w:rsidP="009462EF">
      <w:pPr>
        <w:pStyle w:val="ListParagraph"/>
        <w:spacing w:line="240" w:lineRule="auto"/>
        <w:ind w:left="0"/>
        <w:jc w:val="both"/>
      </w:pPr>
    </w:p>
    <w:p w14:paraId="6B9A992A" w14:textId="7FF3A601" w:rsidR="00E635EA" w:rsidRDefault="00E635EA" w:rsidP="009462EF">
      <w:pPr>
        <w:pStyle w:val="ListParagraph"/>
        <w:numPr>
          <w:ilvl w:val="0"/>
          <w:numId w:val="1"/>
        </w:numPr>
        <w:spacing w:line="240" w:lineRule="auto"/>
        <w:ind w:left="0" w:firstLine="0"/>
        <w:jc w:val="both"/>
      </w:pPr>
      <w:r>
        <w:rPr>
          <w:b/>
        </w:rPr>
        <w:t xml:space="preserve">The model combines the supply, demand, and cost inputs to project sales, generation, and cost. </w:t>
      </w:r>
      <w:r>
        <w:t xml:space="preserve">The model compares its potential supply projections with its calculation of the amount of generation needed to satisfy demand and </w:t>
      </w:r>
      <w:r w:rsidRPr="00D932FF">
        <w:t>curtails whichever is higher until they are equal. If supply is greater than demand, the model curtails supply equally</w:t>
      </w:r>
      <w:r w:rsidR="00F9384C" w:rsidRPr="00D932FF">
        <w:t xml:space="preserve"> for plants</w:t>
      </w:r>
      <w:r w:rsidRPr="00D932FF">
        <w:t xml:space="preserve"> by as much as necessary to meet demand.  If demand is greater than supply, the model curtails sales from all distribution companies equally until the amount of generation required for projected sales equals potential supply. Once it reaches a final, balanced projection for plant output, the model calculates the final cost of generation, transmission, and distribution per unit of electricity produced.</w:t>
      </w:r>
      <w:r w:rsidR="000B26F0" w:rsidRPr="00D932FF">
        <w:t xml:space="preserve"> </w:t>
      </w:r>
      <w:r w:rsidR="00E86AE2" w:rsidRPr="00D932FF">
        <w:t>As</w:t>
      </w:r>
      <w:r w:rsidR="00E86AE2">
        <w:t xml:space="preserve"> discussed previously, </w:t>
      </w:r>
      <w:r w:rsidR="000B26F0">
        <w:t>a merit</w:t>
      </w:r>
      <w:r w:rsidR="00197FA4">
        <w:t>-</w:t>
      </w:r>
      <w:r w:rsidR="000B26F0">
        <w:t xml:space="preserve">order dispatch </w:t>
      </w:r>
      <w:r w:rsidR="00197FA4">
        <w:t xml:space="preserve">projection is beyond the scope of </w:t>
      </w:r>
      <w:r w:rsidR="00E86AE2">
        <w:t xml:space="preserve">the model </w:t>
      </w:r>
      <w:r w:rsidR="000B26F0">
        <w:t xml:space="preserve">and </w:t>
      </w:r>
      <w:r w:rsidR="00E86AE2">
        <w:t xml:space="preserve">it relies </w:t>
      </w:r>
      <w:r w:rsidR="000B26F0">
        <w:t xml:space="preserve">on the existing dispatch data for projections. </w:t>
      </w:r>
    </w:p>
    <w:p w14:paraId="008BE540" w14:textId="77777777" w:rsidR="009462EF" w:rsidRPr="009462EF" w:rsidRDefault="009462EF" w:rsidP="009462EF">
      <w:pPr>
        <w:pStyle w:val="ListParagraph"/>
        <w:spacing w:line="240" w:lineRule="auto"/>
        <w:ind w:left="0"/>
        <w:jc w:val="both"/>
      </w:pPr>
    </w:p>
    <w:p w14:paraId="486A4602" w14:textId="0ECF6169" w:rsidR="003B0191" w:rsidRPr="00C7152F" w:rsidRDefault="003B0191" w:rsidP="009462EF">
      <w:pPr>
        <w:pStyle w:val="ListParagraph"/>
        <w:numPr>
          <w:ilvl w:val="0"/>
          <w:numId w:val="1"/>
        </w:numPr>
        <w:spacing w:line="240" w:lineRule="auto"/>
        <w:ind w:left="0" w:firstLine="0"/>
        <w:jc w:val="both"/>
        <w:rPr>
          <w:i/>
        </w:rPr>
      </w:pPr>
      <w:r>
        <w:rPr>
          <w:b/>
        </w:rPr>
        <w:t>BPDB</w:t>
      </w:r>
      <w:r w:rsidR="00AF2F4E">
        <w:rPr>
          <w:b/>
        </w:rPr>
        <w:t>’s</w:t>
      </w:r>
      <w:r>
        <w:rPr>
          <w:b/>
        </w:rPr>
        <w:t xml:space="preserve"> generation plan envisages adding </w:t>
      </w:r>
      <w:r w:rsidR="002D487E">
        <w:rPr>
          <w:b/>
        </w:rPr>
        <w:t>about 12.5 GW</w:t>
      </w:r>
      <w:r>
        <w:rPr>
          <w:b/>
        </w:rPr>
        <w:t xml:space="preserve"> of capacity between 201</w:t>
      </w:r>
      <w:r w:rsidR="002D487E">
        <w:rPr>
          <w:b/>
        </w:rPr>
        <w:t>7</w:t>
      </w:r>
      <w:r>
        <w:rPr>
          <w:b/>
        </w:rPr>
        <w:t xml:space="preserve"> and 202</w:t>
      </w:r>
      <w:r w:rsidR="002D487E">
        <w:rPr>
          <w:b/>
        </w:rPr>
        <w:t>5</w:t>
      </w:r>
      <w:r>
        <w:rPr>
          <w:b/>
        </w:rPr>
        <w:t xml:space="preserve"> – </w:t>
      </w:r>
      <w:r w:rsidR="002D487E">
        <w:rPr>
          <w:b/>
        </w:rPr>
        <w:t>almost doubling the current installed capacity of 13.1 GW</w:t>
      </w:r>
      <w:r>
        <w:rPr>
          <w:b/>
        </w:rPr>
        <w:t xml:space="preserve">. </w:t>
      </w:r>
      <w:r w:rsidR="002D487E">
        <w:rPr>
          <w:b/>
        </w:rPr>
        <w:t xml:space="preserve"> </w:t>
      </w:r>
      <w:r>
        <w:t xml:space="preserve">Nearly </w:t>
      </w:r>
      <w:r w:rsidR="002D487E">
        <w:t xml:space="preserve">half of that capacity is expected from natural gas (including from LNG) and 40% of the capacity addition is expected from coal.  The coal power plants are expected to initially </w:t>
      </w:r>
      <w:r>
        <w:t xml:space="preserve">run on imported coal, while a single </w:t>
      </w:r>
      <w:r w:rsidR="00AF2F4E">
        <w:t xml:space="preserve">200MW </w:t>
      </w:r>
      <w:r>
        <w:t xml:space="preserve">existing coal plant uses the small amount of domestic coal available. </w:t>
      </w:r>
      <w:r w:rsidR="002D487E">
        <w:t xml:space="preserve">Nearly 5% of the capacity addition is expected from </w:t>
      </w:r>
      <w:r>
        <w:t>electricity imports.  Through 202</w:t>
      </w:r>
      <w:r w:rsidR="00D305AA">
        <w:t>5</w:t>
      </w:r>
      <w:r>
        <w:t xml:space="preserve">, the generation plan also calls for retiring about </w:t>
      </w:r>
      <w:r w:rsidR="00D305AA">
        <w:t xml:space="preserve">5,000 </w:t>
      </w:r>
      <w:r>
        <w:t>MW of old gas plants and allow</w:t>
      </w:r>
      <w:r w:rsidR="00AF2F4E">
        <w:t>ing</w:t>
      </w:r>
      <w:r>
        <w:t xml:space="preserve"> the rental contracts to expire for about </w:t>
      </w:r>
      <w:r w:rsidR="00D305AA">
        <w:t xml:space="preserve">1,500 </w:t>
      </w:r>
      <w:r>
        <w:t xml:space="preserve">MW of diesel and furnace oil plants (Figure </w:t>
      </w:r>
      <w:fldSimple w:instr=" SEQ Figure \* ARABIC ">
        <w:r w:rsidR="00E90CD8">
          <w:rPr>
            <w:noProof/>
          </w:rPr>
          <w:t>5</w:t>
        </w:r>
      </w:fldSimple>
      <w:r>
        <w:t xml:space="preserve">).  The timeline for the large coal fired plants </w:t>
      </w:r>
      <w:r w:rsidR="005C3224">
        <w:t xml:space="preserve">to come online </w:t>
      </w:r>
      <w:r>
        <w:t xml:space="preserve">or </w:t>
      </w:r>
      <w:r w:rsidR="0080346F">
        <w:t xml:space="preserve">for </w:t>
      </w:r>
      <w:r>
        <w:t>LNG import is highly ambitious given the current status of these projects.  Later in this note, several scenarios have been presented with a more realistic assumption for likely availability of these plants.</w:t>
      </w:r>
    </w:p>
    <w:p w14:paraId="300C9996" w14:textId="77777777" w:rsidR="003B0191" w:rsidRDefault="003B0191" w:rsidP="00E01394">
      <w:pPr>
        <w:spacing w:line="240" w:lineRule="auto"/>
        <w:jc w:val="both"/>
        <w:rPr>
          <w:i/>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95"/>
      </w:tblGrid>
      <w:tr w:rsidR="00DB218C" w14:paraId="546D7DF9" w14:textId="77777777" w:rsidTr="00DB218C">
        <w:trPr>
          <w:trHeight w:val="3721"/>
        </w:trPr>
        <w:tc>
          <w:tcPr>
            <w:tcW w:w="4709" w:type="dxa"/>
          </w:tcPr>
          <w:p w14:paraId="6E6CE7AE" w14:textId="38875219" w:rsidR="003B0191" w:rsidRDefault="008D31A5" w:rsidP="00E01394">
            <w:pPr>
              <w:pStyle w:val="Caption"/>
              <w:keepNext/>
              <w:jc w:val="both"/>
            </w:pPr>
            <w:r>
              <w:t>Figure 4</w:t>
            </w:r>
            <w:r w:rsidR="003B0191">
              <w:t>: Capacity Added by Year</w:t>
            </w:r>
            <w:r w:rsidR="00DB218C">
              <w:t xml:space="preserve"> (MW)</w:t>
            </w:r>
          </w:p>
          <w:p w14:paraId="6300F665" w14:textId="363C5DA7" w:rsidR="003B0191" w:rsidRDefault="00397849" w:rsidP="00E01394">
            <w:pPr>
              <w:pStyle w:val="Caption"/>
              <w:keepNext/>
              <w:jc w:val="both"/>
            </w:pPr>
            <w:r>
              <w:rPr>
                <w:noProof/>
              </w:rPr>
              <w:drawing>
                <wp:inline distT="0" distB="0" distL="0" distR="0" wp14:anchorId="44E1A071" wp14:editId="3D6122B2">
                  <wp:extent cx="2914650" cy="2362200"/>
                  <wp:effectExtent l="0" t="0" r="0" b="0"/>
                  <wp:docPr id="22" name="Chart 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651" w:type="dxa"/>
          </w:tcPr>
          <w:p w14:paraId="36F96805" w14:textId="6CC39FEA" w:rsidR="003B0191" w:rsidRDefault="003B0191" w:rsidP="00397849">
            <w:pPr>
              <w:pStyle w:val="Caption"/>
              <w:keepNext/>
            </w:pPr>
            <w:r>
              <w:t>Figure</w:t>
            </w:r>
            <w:r w:rsidR="008D31A5">
              <w:t xml:space="preserve"> </w:t>
            </w:r>
            <w:r w:rsidR="008B0D94">
              <w:t>5</w:t>
            </w:r>
            <w:r>
              <w:t>: Capacity Retired by Year</w:t>
            </w:r>
            <w:r w:rsidR="00DB218C">
              <w:t xml:space="preserve"> (MW)</w:t>
            </w:r>
          </w:p>
          <w:p w14:paraId="19184DCD" w14:textId="77D32A45" w:rsidR="003B0191" w:rsidRDefault="00DB218C" w:rsidP="00E01394">
            <w:pPr>
              <w:pStyle w:val="Caption"/>
              <w:keepNext/>
              <w:jc w:val="both"/>
            </w:pPr>
            <w:r>
              <w:rPr>
                <w:noProof/>
              </w:rPr>
              <w:drawing>
                <wp:inline distT="0" distB="0" distL="0" distR="0" wp14:anchorId="7B09A2A2" wp14:editId="622D6D47">
                  <wp:extent cx="2933700" cy="2343150"/>
                  <wp:effectExtent l="0" t="0" r="0" b="0"/>
                  <wp:docPr id="24" name="Chart 2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0786A4C2" w14:textId="38CB1AD6" w:rsidR="003B0191" w:rsidRPr="009E2053" w:rsidRDefault="00D932FF" w:rsidP="00E01394">
      <w:pPr>
        <w:spacing w:line="240" w:lineRule="auto"/>
        <w:jc w:val="both"/>
        <w:rPr>
          <w:sz w:val="20"/>
        </w:rPr>
      </w:pPr>
      <w:r>
        <w:rPr>
          <w:sz w:val="20"/>
        </w:rPr>
        <w:t xml:space="preserve"> </w:t>
      </w:r>
    </w:p>
    <w:p w14:paraId="536B5E26" w14:textId="077F0898" w:rsidR="00A71441" w:rsidRDefault="00A71441" w:rsidP="009462EF">
      <w:pPr>
        <w:pStyle w:val="ListParagraph"/>
        <w:numPr>
          <w:ilvl w:val="0"/>
          <w:numId w:val="1"/>
        </w:numPr>
        <w:spacing w:line="240" w:lineRule="auto"/>
        <w:ind w:left="0" w:firstLine="0"/>
        <w:jc w:val="both"/>
      </w:pPr>
      <w:r w:rsidRPr="00532C50">
        <w:rPr>
          <w:b/>
        </w:rPr>
        <w:t>The model takes the current generation costs for each plant as the basis for forecasting the cost of electricity</w:t>
      </w:r>
      <w:r>
        <w:rPr>
          <w:b/>
        </w:rPr>
        <w:t xml:space="preserve"> while assumptions for planned projects are based on industry standards</w:t>
      </w:r>
      <w:r w:rsidRPr="00532C50">
        <w:rPr>
          <w:b/>
        </w:rPr>
        <w:t>.</w:t>
      </w:r>
      <w:r>
        <w:t xml:space="preserve"> Generation costs are based on variable and fixed costs for each state-owned and operated plant as reported by BPDB. For private plants, the model uses the fixed and variable costs charged by the operators, which are defined in the power purchase agreements. For new</w:t>
      </w:r>
      <w:r w:rsidR="009A658A">
        <w:t>ly</w:t>
      </w:r>
      <w:r>
        <w:t xml:space="preserve"> </w:t>
      </w:r>
      <w:r w:rsidR="009A658A">
        <w:t xml:space="preserve">built </w:t>
      </w:r>
      <w:r>
        <w:t xml:space="preserve">plants that should come online during the forecasts period, </w:t>
      </w:r>
      <w:r w:rsidR="009E2053">
        <w:t>standard industry</w:t>
      </w:r>
      <w:r>
        <w:t xml:space="preserve"> assumptions </w:t>
      </w:r>
      <w:r w:rsidR="009E2053">
        <w:t xml:space="preserve">are made </w:t>
      </w:r>
      <w:r>
        <w:t>on the capital and operating costs and the operational parameters of the plant. The total fuel cost is calculated based on fuel price projections and the heat-rate of each plant.</w:t>
      </w:r>
    </w:p>
    <w:p w14:paraId="5907B012" w14:textId="2F79616C" w:rsidR="00A71441" w:rsidRPr="00415610" w:rsidRDefault="00A71441" w:rsidP="00294B8F">
      <w:pPr>
        <w:tabs>
          <w:tab w:val="center" w:pos="4680"/>
          <w:tab w:val="left" w:pos="7470"/>
        </w:tabs>
        <w:spacing w:line="240" w:lineRule="auto"/>
        <w:rPr>
          <w:b/>
          <w:bCs/>
          <w:color w:val="5B9BD5" w:themeColor="accent1"/>
          <w:sz w:val="20"/>
          <w:szCs w:val="18"/>
        </w:rPr>
      </w:pPr>
      <w:r w:rsidRPr="00415610">
        <w:rPr>
          <w:b/>
          <w:bCs/>
          <w:color w:val="5B9BD5" w:themeColor="accent1"/>
          <w:sz w:val="20"/>
          <w:szCs w:val="18"/>
        </w:rPr>
        <w:t xml:space="preserve">Table </w:t>
      </w:r>
      <w:r w:rsidR="00C3709A" w:rsidRPr="00415610">
        <w:rPr>
          <w:b/>
          <w:bCs/>
          <w:color w:val="5B9BD5" w:themeColor="accent1"/>
          <w:sz w:val="20"/>
          <w:szCs w:val="18"/>
        </w:rPr>
        <w:t>1</w:t>
      </w:r>
      <w:r w:rsidRPr="00415610">
        <w:rPr>
          <w:b/>
          <w:bCs/>
          <w:color w:val="5B9BD5" w:themeColor="accent1"/>
          <w:sz w:val="20"/>
          <w:szCs w:val="18"/>
        </w:rPr>
        <w:t>: Cost Assumptions for New Build Plants</w:t>
      </w:r>
    </w:p>
    <w:tbl>
      <w:tblPr>
        <w:tblStyle w:val="ListTable4-Accent1"/>
        <w:tblW w:w="9210" w:type="dxa"/>
        <w:tblLayout w:type="fixed"/>
        <w:tblLook w:val="0420" w:firstRow="1" w:lastRow="0" w:firstColumn="0" w:lastColumn="0" w:noHBand="0" w:noVBand="1"/>
      </w:tblPr>
      <w:tblGrid>
        <w:gridCol w:w="2190"/>
        <w:gridCol w:w="1225"/>
        <w:gridCol w:w="900"/>
        <w:gridCol w:w="845"/>
        <w:gridCol w:w="810"/>
        <w:gridCol w:w="1080"/>
        <w:gridCol w:w="1080"/>
        <w:gridCol w:w="1080"/>
      </w:tblGrid>
      <w:tr w:rsidR="00A71441" w:rsidRPr="00532C50" w14:paraId="6F6AF2FE" w14:textId="77777777" w:rsidTr="00C3709A">
        <w:trPr>
          <w:cnfStyle w:val="100000000000" w:firstRow="1" w:lastRow="0" w:firstColumn="0" w:lastColumn="0" w:oddVBand="0" w:evenVBand="0" w:oddHBand="0" w:evenHBand="0" w:firstRowFirstColumn="0" w:firstRowLastColumn="0" w:lastRowFirstColumn="0" w:lastRowLastColumn="0"/>
          <w:trHeight w:val="290"/>
        </w:trPr>
        <w:tc>
          <w:tcPr>
            <w:tcW w:w="2190" w:type="dxa"/>
          </w:tcPr>
          <w:p w14:paraId="16FA7B55" w14:textId="77777777" w:rsidR="00A71441" w:rsidRPr="00532C50" w:rsidRDefault="00A71441" w:rsidP="00E01394">
            <w:pPr>
              <w:autoSpaceDE w:val="0"/>
              <w:autoSpaceDN w:val="0"/>
              <w:adjustRightInd w:val="0"/>
              <w:jc w:val="both"/>
              <w:rPr>
                <w:rFonts w:ascii="Calibri" w:hAnsi="Calibri" w:cs="Calibri"/>
                <w:color w:val="000000"/>
                <w:sz w:val="18"/>
                <w:szCs w:val="18"/>
              </w:rPr>
            </w:pPr>
          </w:p>
        </w:tc>
        <w:tc>
          <w:tcPr>
            <w:tcW w:w="1225" w:type="dxa"/>
          </w:tcPr>
          <w:p w14:paraId="225A28B9" w14:textId="77777777" w:rsidR="00A71441" w:rsidRPr="00532C50" w:rsidRDefault="00A71441" w:rsidP="00E01394">
            <w:pPr>
              <w:autoSpaceDE w:val="0"/>
              <w:autoSpaceDN w:val="0"/>
              <w:adjustRightInd w:val="0"/>
              <w:jc w:val="both"/>
              <w:rPr>
                <w:rFonts w:ascii="Calibri" w:hAnsi="Calibri" w:cs="Calibri"/>
                <w:color w:val="000000"/>
                <w:sz w:val="18"/>
                <w:szCs w:val="18"/>
              </w:rPr>
            </w:pPr>
          </w:p>
        </w:tc>
        <w:tc>
          <w:tcPr>
            <w:tcW w:w="900" w:type="dxa"/>
          </w:tcPr>
          <w:p w14:paraId="77D90790" w14:textId="77777777" w:rsidR="00A71441" w:rsidRPr="00532C50" w:rsidRDefault="00A71441" w:rsidP="00E01394">
            <w:pPr>
              <w:autoSpaceDE w:val="0"/>
              <w:autoSpaceDN w:val="0"/>
              <w:adjustRightInd w:val="0"/>
              <w:jc w:val="both"/>
              <w:rPr>
                <w:rFonts w:ascii="Calibri" w:hAnsi="Calibri" w:cs="Calibri"/>
                <w:sz w:val="18"/>
                <w:szCs w:val="18"/>
              </w:rPr>
            </w:pPr>
            <w:r w:rsidRPr="00532C50">
              <w:rPr>
                <w:rFonts w:ascii="Calibri" w:hAnsi="Calibri" w:cs="Calibri"/>
                <w:sz w:val="18"/>
                <w:szCs w:val="18"/>
              </w:rPr>
              <w:t>CCGT</w:t>
            </w:r>
          </w:p>
        </w:tc>
        <w:tc>
          <w:tcPr>
            <w:tcW w:w="845" w:type="dxa"/>
          </w:tcPr>
          <w:p w14:paraId="5C040EA8" w14:textId="77777777" w:rsidR="00A71441" w:rsidRPr="00532C50" w:rsidRDefault="00A71441" w:rsidP="00E01394">
            <w:pPr>
              <w:autoSpaceDE w:val="0"/>
              <w:autoSpaceDN w:val="0"/>
              <w:adjustRightInd w:val="0"/>
              <w:jc w:val="both"/>
              <w:rPr>
                <w:rFonts w:ascii="Calibri" w:hAnsi="Calibri" w:cs="Calibri"/>
                <w:sz w:val="18"/>
                <w:szCs w:val="18"/>
              </w:rPr>
            </w:pPr>
            <w:r w:rsidRPr="00532C50">
              <w:rPr>
                <w:rFonts w:ascii="Calibri" w:hAnsi="Calibri" w:cs="Calibri"/>
                <w:sz w:val="18"/>
                <w:szCs w:val="18"/>
              </w:rPr>
              <w:t>GT</w:t>
            </w:r>
          </w:p>
        </w:tc>
        <w:tc>
          <w:tcPr>
            <w:tcW w:w="810" w:type="dxa"/>
          </w:tcPr>
          <w:p w14:paraId="22B319E0" w14:textId="77777777" w:rsidR="00A71441" w:rsidRPr="00532C50" w:rsidRDefault="00A71441" w:rsidP="00E01394">
            <w:pPr>
              <w:autoSpaceDE w:val="0"/>
              <w:autoSpaceDN w:val="0"/>
              <w:adjustRightInd w:val="0"/>
              <w:jc w:val="both"/>
              <w:rPr>
                <w:rFonts w:ascii="Calibri" w:hAnsi="Calibri" w:cs="Calibri"/>
                <w:sz w:val="18"/>
                <w:szCs w:val="18"/>
              </w:rPr>
            </w:pPr>
            <w:r w:rsidRPr="00532C50">
              <w:rPr>
                <w:rFonts w:ascii="Calibri" w:hAnsi="Calibri" w:cs="Calibri"/>
                <w:sz w:val="18"/>
                <w:szCs w:val="18"/>
              </w:rPr>
              <w:t>Diesel</w:t>
            </w:r>
          </w:p>
        </w:tc>
        <w:tc>
          <w:tcPr>
            <w:tcW w:w="1080" w:type="dxa"/>
          </w:tcPr>
          <w:p w14:paraId="4BF46DDB" w14:textId="77777777" w:rsidR="00A71441" w:rsidRPr="00532C50" w:rsidRDefault="00A71441" w:rsidP="00E01394">
            <w:pPr>
              <w:autoSpaceDE w:val="0"/>
              <w:autoSpaceDN w:val="0"/>
              <w:adjustRightInd w:val="0"/>
              <w:jc w:val="both"/>
              <w:rPr>
                <w:rFonts w:ascii="Calibri" w:hAnsi="Calibri" w:cs="Calibri"/>
                <w:sz w:val="18"/>
                <w:szCs w:val="18"/>
              </w:rPr>
            </w:pPr>
            <w:r w:rsidRPr="00532C50">
              <w:rPr>
                <w:rFonts w:ascii="Calibri" w:hAnsi="Calibri" w:cs="Calibri"/>
                <w:sz w:val="18"/>
                <w:szCs w:val="18"/>
              </w:rPr>
              <w:t>Fuel Oil</w:t>
            </w:r>
          </w:p>
        </w:tc>
        <w:tc>
          <w:tcPr>
            <w:tcW w:w="1080" w:type="dxa"/>
          </w:tcPr>
          <w:p w14:paraId="7B274F55" w14:textId="77777777" w:rsidR="00A71441" w:rsidRPr="00532C50" w:rsidRDefault="00A71441" w:rsidP="00E01394">
            <w:pPr>
              <w:autoSpaceDE w:val="0"/>
              <w:autoSpaceDN w:val="0"/>
              <w:adjustRightInd w:val="0"/>
              <w:jc w:val="both"/>
              <w:rPr>
                <w:rFonts w:ascii="Calibri" w:hAnsi="Calibri" w:cs="Calibri"/>
                <w:sz w:val="18"/>
                <w:szCs w:val="18"/>
              </w:rPr>
            </w:pPr>
            <w:r w:rsidRPr="00532C50">
              <w:rPr>
                <w:rFonts w:ascii="Calibri" w:hAnsi="Calibri" w:cs="Calibri"/>
                <w:sz w:val="18"/>
                <w:szCs w:val="18"/>
              </w:rPr>
              <w:t>Coal - Dom</w:t>
            </w:r>
          </w:p>
        </w:tc>
        <w:tc>
          <w:tcPr>
            <w:tcW w:w="1080" w:type="dxa"/>
          </w:tcPr>
          <w:p w14:paraId="2E1B7BD9" w14:textId="77777777" w:rsidR="00A71441" w:rsidRPr="00532C50" w:rsidRDefault="00A71441" w:rsidP="00E01394">
            <w:pPr>
              <w:autoSpaceDE w:val="0"/>
              <w:autoSpaceDN w:val="0"/>
              <w:adjustRightInd w:val="0"/>
              <w:jc w:val="both"/>
              <w:rPr>
                <w:rFonts w:ascii="Calibri" w:hAnsi="Calibri" w:cs="Calibri"/>
                <w:sz w:val="18"/>
                <w:szCs w:val="18"/>
              </w:rPr>
            </w:pPr>
            <w:r w:rsidRPr="00532C50">
              <w:rPr>
                <w:rFonts w:ascii="Calibri" w:hAnsi="Calibri" w:cs="Calibri"/>
                <w:sz w:val="18"/>
                <w:szCs w:val="18"/>
              </w:rPr>
              <w:t>Coal - Imp</w:t>
            </w:r>
          </w:p>
        </w:tc>
      </w:tr>
      <w:tr w:rsidR="00A71441" w:rsidRPr="00532C50" w14:paraId="7FBE329D" w14:textId="77777777" w:rsidTr="00C3709A">
        <w:trPr>
          <w:cnfStyle w:val="000000100000" w:firstRow="0" w:lastRow="0" w:firstColumn="0" w:lastColumn="0" w:oddVBand="0" w:evenVBand="0" w:oddHBand="1" w:evenHBand="0" w:firstRowFirstColumn="0" w:firstRowLastColumn="0" w:lastRowFirstColumn="0" w:lastRowLastColumn="0"/>
          <w:trHeight w:val="290"/>
        </w:trPr>
        <w:tc>
          <w:tcPr>
            <w:tcW w:w="2190" w:type="dxa"/>
          </w:tcPr>
          <w:p w14:paraId="74F8FF31"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Capital Cost including IDC</w:t>
            </w:r>
          </w:p>
        </w:tc>
        <w:tc>
          <w:tcPr>
            <w:tcW w:w="1225" w:type="dxa"/>
          </w:tcPr>
          <w:p w14:paraId="0F6303FF"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$/kW</w:t>
            </w:r>
          </w:p>
        </w:tc>
        <w:tc>
          <w:tcPr>
            <w:tcW w:w="900" w:type="dxa"/>
          </w:tcPr>
          <w:p w14:paraId="649D1797"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1167</w:t>
            </w:r>
          </w:p>
        </w:tc>
        <w:tc>
          <w:tcPr>
            <w:tcW w:w="845" w:type="dxa"/>
          </w:tcPr>
          <w:p w14:paraId="799EE068"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880</w:t>
            </w:r>
          </w:p>
        </w:tc>
        <w:tc>
          <w:tcPr>
            <w:tcW w:w="810" w:type="dxa"/>
          </w:tcPr>
          <w:p w14:paraId="5F13ECD7"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935</w:t>
            </w:r>
          </w:p>
        </w:tc>
        <w:tc>
          <w:tcPr>
            <w:tcW w:w="1080" w:type="dxa"/>
          </w:tcPr>
          <w:p w14:paraId="1A71E613"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935</w:t>
            </w:r>
          </w:p>
        </w:tc>
        <w:tc>
          <w:tcPr>
            <w:tcW w:w="1080" w:type="dxa"/>
          </w:tcPr>
          <w:p w14:paraId="1E9424F2"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1767</w:t>
            </w:r>
          </w:p>
        </w:tc>
        <w:tc>
          <w:tcPr>
            <w:tcW w:w="1080" w:type="dxa"/>
          </w:tcPr>
          <w:p w14:paraId="345A1AAD"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2280</w:t>
            </w:r>
          </w:p>
        </w:tc>
      </w:tr>
      <w:tr w:rsidR="00A71441" w:rsidRPr="00532C50" w14:paraId="15BC7D08" w14:textId="77777777" w:rsidTr="00C3709A">
        <w:trPr>
          <w:trHeight w:val="290"/>
        </w:trPr>
        <w:tc>
          <w:tcPr>
            <w:tcW w:w="2190" w:type="dxa"/>
          </w:tcPr>
          <w:p w14:paraId="3EA8B416"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Price Escalation Rate</w:t>
            </w:r>
          </w:p>
        </w:tc>
        <w:tc>
          <w:tcPr>
            <w:tcW w:w="1225" w:type="dxa"/>
          </w:tcPr>
          <w:p w14:paraId="69117DFE"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w:t>
            </w:r>
          </w:p>
        </w:tc>
        <w:tc>
          <w:tcPr>
            <w:tcW w:w="900" w:type="dxa"/>
          </w:tcPr>
          <w:p w14:paraId="5F1B567C"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2%</w:t>
            </w:r>
          </w:p>
        </w:tc>
        <w:tc>
          <w:tcPr>
            <w:tcW w:w="845" w:type="dxa"/>
          </w:tcPr>
          <w:p w14:paraId="36D1AB63"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2%</w:t>
            </w:r>
          </w:p>
        </w:tc>
        <w:tc>
          <w:tcPr>
            <w:tcW w:w="810" w:type="dxa"/>
          </w:tcPr>
          <w:p w14:paraId="24A8D4BA"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2%</w:t>
            </w:r>
          </w:p>
        </w:tc>
        <w:tc>
          <w:tcPr>
            <w:tcW w:w="1080" w:type="dxa"/>
          </w:tcPr>
          <w:p w14:paraId="7BF59C4A"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2%</w:t>
            </w:r>
          </w:p>
        </w:tc>
        <w:tc>
          <w:tcPr>
            <w:tcW w:w="1080" w:type="dxa"/>
          </w:tcPr>
          <w:p w14:paraId="1879AFFB"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2%</w:t>
            </w:r>
          </w:p>
        </w:tc>
        <w:tc>
          <w:tcPr>
            <w:tcW w:w="1080" w:type="dxa"/>
          </w:tcPr>
          <w:p w14:paraId="0F60F5A5"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2%</w:t>
            </w:r>
          </w:p>
        </w:tc>
      </w:tr>
      <w:tr w:rsidR="00A71441" w:rsidRPr="00532C50" w14:paraId="1BDFF8C9" w14:textId="77777777" w:rsidTr="00C3709A">
        <w:trPr>
          <w:cnfStyle w:val="000000100000" w:firstRow="0" w:lastRow="0" w:firstColumn="0" w:lastColumn="0" w:oddVBand="0" w:evenVBand="0" w:oddHBand="1" w:evenHBand="0" w:firstRowFirstColumn="0" w:firstRowLastColumn="0" w:lastRowFirstColumn="0" w:lastRowLastColumn="0"/>
          <w:trHeight w:val="290"/>
        </w:trPr>
        <w:tc>
          <w:tcPr>
            <w:tcW w:w="2190" w:type="dxa"/>
          </w:tcPr>
          <w:p w14:paraId="7B155752"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IDC as % of total inv.</w:t>
            </w:r>
          </w:p>
        </w:tc>
        <w:tc>
          <w:tcPr>
            <w:tcW w:w="1225" w:type="dxa"/>
          </w:tcPr>
          <w:p w14:paraId="7CC3E690"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w:t>
            </w:r>
          </w:p>
        </w:tc>
        <w:tc>
          <w:tcPr>
            <w:tcW w:w="900" w:type="dxa"/>
          </w:tcPr>
          <w:p w14:paraId="0271133C"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0.15</w:t>
            </w:r>
          </w:p>
        </w:tc>
        <w:tc>
          <w:tcPr>
            <w:tcW w:w="845" w:type="dxa"/>
          </w:tcPr>
          <w:p w14:paraId="46FB8E15"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0.15</w:t>
            </w:r>
          </w:p>
        </w:tc>
        <w:tc>
          <w:tcPr>
            <w:tcW w:w="810" w:type="dxa"/>
          </w:tcPr>
          <w:p w14:paraId="3B8698B1"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0.15</w:t>
            </w:r>
          </w:p>
        </w:tc>
        <w:tc>
          <w:tcPr>
            <w:tcW w:w="1080" w:type="dxa"/>
          </w:tcPr>
          <w:p w14:paraId="359C9FB5"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0.15</w:t>
            </w:r>
          </w:p>
        </w:tc>
        <w:tc>
          <w:tcPr>
            <w:tcW w:w="1080" w:type="dxa"/>
          </w:tcPr>
          <w:p w14:paraId="54A7C1B0"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0.15</w:t>
            </w:r>
          </w:p>
        </w:tc>
        <w:tc>
          <w:tcPr>
            <w:tcW w:w="1080" w:type="dxa"/>
          </w:tcPr>
          <w:p w14:paraId="42BE5C19"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0.15</w:t>
            </w:r>
          </w:p>
        </w:tc>
      </w:tr>
      <w:tr w:rsidR="00A71441" w:rsidRPr="00532C50" w14:paraId="17CFE5CA" w14:textId="77777777" w:rsidTr="00C3709A">
        <w:trPr>
          <w:trHeight w:val="290"/>
        </w:trPr>
        <w:tc>
          <w:tcPr>
            <w:tcW w:w="2190" w:type="dxa"/>
          </w:tcPr>
          <w:p w14:paraId="7A57F85B"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Fixed O&amp;M</w:t>
            </w:r>
          </w:p>
        </w:tc>
        <w:tc>
          <w:tcPr>
            <w:tcW w:w="1225" w:type="dxa"/>
          </w:tcPr>
          <w:p w14:paraId="1BDFA3E3"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$/kW/month</w:t>
            </w:r>
          </w:p>
        </w:tc>
        <w:tc>
          <w:tcPr>
            <w:tcW w:w="900" w:type="dxa"/>
          </w:tcPr>
          <w:p w14:paraId="6D9EF36F"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2.5</w:t>
            </w:r>
          </w:p>
        </w:tc>
        <w:tc>
          <w:tcPr>
            <w:tcW w:w="845" w:type="dxa"/>
          </w:tcPr>
          <w:p w14:paraId="05EDDD78"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1.5</w:t>
            </w:r>
          </w:p>
        </w:tc>
        <w:tc>
          <w:tcPr>
            <w:tcW w:w="810" w:type="dxa"/>
          </w:tcPr>
          <w:p w14:paraId="1155E6B0"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2.5</w:t>
            </w:r>
          </w:p>
        </w:tc>
        <w:tc>
          <w:tcPr>
            <w:tcW w:w="1080" w:type="dxa"/>
          </w:tcPr>
          <w:p w14:paraId="277FBA37"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2.5</w:t>
            </w:r>
          </w:p>
        </w:tc>
        <w:tc>
          <w:tcPr>
            <w:tcW w:w="1080" w:type="dxa"/>
          </w:tcPr>
          <w:p w14:paraId="6A17A65F"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3.25</w:t>
            </w:r>
          </w:p>
        </w:tc>
        <w:tc>
          <w:tcPr>
            <w:tcW w:w="1080" w:type="dxa"/>
          </w:tcPr>
          <w:p w14:paraId="285674E9"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3.25</w:t>
            </w:r>
          </w:p>
        </w:tc>
      </w:tr>
      <w:tr w:rsidR="00A71441" w:rsidRPr="00532C50" w14:paraId="2C17B81D" w14:textId="77777777" w:rsidTr="00C3709A">
        <w:trPr>
          <w:cnfStyle w:val="000000100000" w:firstRow="0" w:lastRow="0" w:firstColumn="0" w:lastColumn="0" w:oddVBand="0" w:evenVBand="0" w:oddHBand="1" w:evenHBand="0" w:firstRowFirstColumn="0" w:firstRowLastColumn="0" w:lastRowFirstColumn="0" w:lastRowLastColumn="0"/>
          <w:trHeight w:val="290"/>
        </w:trPr>
        <w:tc>
          <w:tcPr>
            <w:tcW w:w="2190" w:type="dxa"/>
          </w:tcPr>
          <w:p w14:paraId="1DAF3360"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Net Thermal Efficiency</w:t>
            </w:r>
          </w:p>
        </w:tc>
        <w:tc>
          <w:tcPr>
            <w:tcW w:w="1225" w:type="dxa"/>
          </w:tcPr>
          <w:p w14:paraId="6552BE2B"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w:t>
            </w:r>
          </w:p>
        </w:tc>
        <w:tc>
          <w:tcPr>
            <w:tcW w:w="900" w:type="dxa"/>
          </w:tcPr>
          <w:p w14:paraId="32565EB9"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51%</w:t>
            </w:r>
          </w:p>
        </w:tc>
        <w:tc>
          <w:tcPr>
            <w:tcW w:w="845" w:type="dxa"/>
          </w:tcPr>
          <w:p w14:paraId="367CB6A6"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35%</w:t>
            </w:r>
          </w:p>
        </w:tc>
        <w:tc>
          <w:tcPr>
            <w:tcW w:w="810" w:type="dxa"/>
          </w:tcPr>
          <w:p w14:paraId="6977D72B"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35%</w:t>
            </w:r>
          </w:p>
        </w:tc>
        <w:tc>
          <w:tcPr>
            <w:tcW w:w="1080" w:type="dxa"/>
          </w:tcPr>
          <w:p w14:paraId="358676CC"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35%</w:t>
            </w:r>
          </w:p>
        </w:tc>
        <w:tc>
          <w:tcPr>
            <w:tcW w:w="1080" w:type="dxa"/>
          </w:tcPr>
          <w:p w14:paraId="0288325A"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41%</w:t>
            </w:r>
          </w:p>
        </w:tc>
        <w:tc>
          <w:tcPr>
            <w:tcW w:w="1080" w:type="dxa"/>
          </w:tcPr>
          <w:p w14:paraId="3E0049B0"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41%</w:t>
            </w:r>
          </w:p>
        </w:tc>
      </w:tr>
      <w:tr w:rsidR="00A71441" w:rsidRPr="00532C50" w14:paraId="25CCE135" w14:textId="77777777" w:rsidTr="00C3709A">
        <w:trPr>
          <w:trHeight w:val="290"/>
        </w:trPr>
        <w:tc>
          <w:tcPr>
            <w:tcW w:w="2190" w:type="dxa"/>
          </w:tcPr>
          <w:p w14:paraId="24FEEC7B"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Variable O&amp;M</w:t>
            </w:r>
          </w:p>
        </w:tc>
        <w:tc>
          <w:tcPr>
            <w:tcW w:w="1225" w:type="dxa"/>
          </w:tcPr>
          <w:p w14:paraId="62C2EA25"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$/MWh</w:t>
            </w:r>
          </w:p>
        </w:tc>
        <w:tc>
          <w:tcPr>
            <w:tcW w:w="900" w:type="dxa"/>
          </w:tcPr>
          <w:p w14:paraId="6A9D87DF"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1.5</w:t>
            </w:r>
          </w:p>
        </w:tc>
        <w:tc>
          <w:tcPr>
            <w:tcW w:w="845" w:type="dxa"/>
          </w:tcPr>
          <w:p w14:paraId="38726E92"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1.5</w:t>
            </w:r>
          </w:p>
        </w:tc>
        <w:tc>
          <w:tcPr>
            <w:tcW w:w="810" w:type="dxa"/>
          </w:tcPr>
          <w:p w14:paraId="1908BAD9"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1.5</w:t>
            </w:r>
          </w:p>
        </w:tc>
        <w:tc>
          <w:tcPr>
            <w:tcW w:w="1080" w:type="dxa"/>
          </w:tcPr>
          <w:p w14:paraId="7EF4C835"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1.5</w:t>
            </w:r>
          </w:p>
        </w:tc>
        <w:tc>
          <w:tcPr>
            <w:tcW w:w="1080" w:type="dxa"/>
          </w:tcPr>
          <w:p w14:paraId="0FB18DFF"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2</w:t>
            </w:r>
          </w:p>
        </w:tc>
        <w:tc>
          <w:tcPr>
            <w:tcW w:w="1080" w:type="dxa"/>
          </w:tcPr>
          <w:p w14:paraId="29A1231D"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2</w:t>
            </w:r>
          </w:p>
        </w:tc>
      </w:tr>
      <w:tr w:rsidR="00A71441" w:rsidRPr="00532C50" w14:paraId="7F06013A" w14:textId="77777777" w:rsidTr="00C3709A">
        <w:trPr>
          <w:cnfStyle w:val="000000100000" w:firstRow="0" w:lastRow="0" w:firstColumn="0" w:lastColumn="0" w:oddVBand="0" w:evenVBand="0" w:oddHBand="1" w:evenHBand="0" w:firstRowFirstColumn="0" w:firstRowLastColumn="0" w:lastRowFirstColumn="0" w:lastRowLastColumn="0"/>
          <w:trHeight w:val="290"/>
        </w:trPr>
        <w:tc>
          <w:tcPr>
            <w:tcW w:w="2190" w:type="dxa"/>
          </w:tcPr>
          <w:p w14:paraId="3FE887A5"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WACC</w:t>
            </w:r>
          </w:p>
        </w:tc>
        <w:tc>
          <w:tcPr>
            <w:tcW w:w="1225" w:type="dxa"/>
          </w:tcPr>
          <w:p w14:paraId="56A8932A"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w:t>
            </w:r>
          </w:p>
        </w:tc>
        <w:tc>
          <w:tcPr>
            <w:tcW w:w="900" w:type="dxa"/>
          </w:tcPr>
          <w:p w14:paraId="1C22A460"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10%</w:t>
            </w:r>
          </w:p>
        </w:tc>
        <w:tc>
          <w:tcPr>
            <w:tcW w:w="845" w:type="dxa"/>
          </w:tcPr>
          <w:p w14:paraId="7808C2D9"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10%</w:t>
            </w:r>
          </w:p>
        </w:tc>
        <w:tc>
          <w:tcPr>
            <w:tcW w:w="810" w:type="dxa"/>
          </w:tcPr>
          <w:p w14:paraId="03280615"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10%</w:t>
            </w:r>
          </w:p>
        </w:tc>
        <w:tc>
          <w:tcPr>
            <w:tcW w:w="1080" w:type="dxa"/>
          </w:tcPr>
          <w:p w14:paraId="317E01DC"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10%</w:t>
            </w:r>
          </w:p>
        </w:tc>
        <w:tc>
          <w:tcPr>
            <w:tcW w:w="1080" w:type="dxa"/>
          </w:tcPr>
          <w:p w14:paraId="4A1A3189"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10%</w:t>
            </w:r>
          </w:p>
        </w:tc>
        <w:tc>
          <w:tcPr>
            <w:tcW w:w="1080" w:type="dxa"/>
          </w:tcPr>
          <w:p w14:paraId="69EB32BA" w14:textId="77777777" w:rsidR="00A71441" w:rsidRPr="00532C50" w:rsidRDefault="00A71441" w:rsidP="00E01394">
            <w:pPr>
              <w:autoSpaceDE w:val="0"/>
              <w:autoSpaceDN w:val="0"/>
              <w:adjustRightInd w:val="0"/>
              <w:jc w:val="both"/>
              <w:rPr>
                <w:rFonts w:ascii="Calibri" w:hAnsi="Calibri" w:cs="Calibri"/>
                <w:color w:val="000000"/>
                <w:sz w:val="18"/>
                <w:szCs w:val="18"/>
              </w:rPr>
            </w:pPr>
            <w:r w:rsidRPr="00532C50">
              <w:rPr>
                <w:rFonts w:ascii="Calibri" w:hAnsi="Calibri" w:cs="Calibri"/>
                <w:color w:val="000000"/>
                <w:sz w:val="18"/>
                <w:szCs w:val="18"/>
              </w:rPr>
              <w:t>10%</w:t>
            </w:r>
          </w:p>
        </w:tc>
      </w:tr>
    </w:tbl>
    <w:p w14:paraId="14169C5A" w14:textId="77777777" w:rsidR="00A71441" w:rsidRDefault="00A71441" w:rsidP="00E01394">
      <w:pPr>
        <w:tabs>
          <w:tab w:val="center" w:pos="4680"/>
          <w:tab w:val="left" w:pos="7470"/>
        </w:tabs>
        <w:spacing w:line="240" w:lineRule="auto"/>
        <w:jc w:val="both"/>
      </w:pPr>
      <w:r>
        <w:t xml:space="preserve">  </w:t>
      </w:r>
    </w:p>
    <w:p w14:paraId="4278D8CD" w14:textId="114BE5A2" w:rsidR="00A71441" w:rsidRDefault="00A71441" w:rsidP="009E2053">
      <w:pPr>
        <w:pStyle w:val="ListParagraph"/>
        <w:numPr>
          <w:ilvl w:val="0"/>
          <w:numId w:val="1"/>
        </w:numPr>
        <w:spacing w:after="0" w:line="240" w:lineRule="auto"/>
        <w:ind w:left="0" w:firstLine="0"/>
        <w:jc w:val="both"/>
      </w:pPr>
      <w:r w:rsidRPr="00E10D90">
        <w:rPr>
          <w:b/>
        </w:rPr>
        <w:t>The model adjusts</w:t>
      </w:r>
      <w:r>
        <w:rPr>
          <w:b/>
        </w:rPr>
        <w:t xml:space="preserve"> prices</w:t>
      </w:r>
      <w:r w:rsidRPr="00E10D90">
        <w:rPr>
          <w:b/>
        </w:rPr>
        <w:t xml:space="preserve"> for inflation and </w:t>
      </w:r>
      <w:r w:rsidR="009E2053" w:rsidRPr="00E10D90">
        <w:rPr>
          <w:b/>
        </w:rPr>
        <w:t xml:space="preserve">changes in </w:t>
      </w:r>
      <w:r w:rsidRPr="00E10D90">
        <w:rPr>
          <w:b/>
        </w:rPr>
        <w:t>exchange rates over the forecast period.</w:t>
      </w:r>
      <w:r>
        <w:t xml:space="preserve"> Inflation is expected to </w:t>
      </w:r>
      <w:r w:rsidR="00087FEF">
        <w:t xml:space="preserve">be </w:t>
      </w:r>
      <w:r>
        <w:t xml:space="preserve">6% per annum on average over the forecast period while US dollar costs are expected to rise by 2% per annum. </w:t>
      </w:r>
      <w:r w:rsidR="002357FD">
        <w:t xml:space="preserve">Forecasts for GDP growth and inflation were based on </w:t>
      </w:r>
      <w:r>
        <w:t xml:space="preserve">the World Bank’s Development Indicators. A basic assumption in the model is that purchasing power parity will drive the growth of the </w:t>
      </w:r>
      <w:r w:rsidR="0080346F">
        <w:t>Taka</w:t>
      </w:r>
      <w:r>
        <w:t>/US$ exchange. This means that exchange rates will grow according to the relative changes in aggregate price levels. Because of higher inflation in Bangladesh, the value of the Taka is seen to depreciate from Tk80/US$ in 2015 to Tk117/US$ by 2025.</w:t>
      </w:r>
    </w:p>
    <w:p w14:paraId="4392A228" w14:textId="77777777" w:rsidR="009E2053" w:rsidRDefault="009E2053" w:rsidP="009E2053">
      <w:pPr>
        <w:spacing w:after="0" w:line="240" w:lineRule="auto"/>
        <w:jc w:val="both"/>
      </w:pPr>
    </w:p>
    <w:p w14:paraId="3121FB7A" w14:textId="27B532BF" w:rsidR="003B0191" w:rsidRPr="003335C3" w:rsidRDefault="003B0191" w:rsidP="009E2053">
      <w:pPr>
        <w:pStyle w:val="ListParagraph"/>
        <w:numPr>
          <w:ilvl w:val="0"/>
          <w:numId w:val="1"/>
        </w:numPr>
        <w:spacing w:after="0" w:line="240" w:lineRule="auto"/>
        <w:ind w:left="0" w:firstLine="0"/>
        <w:jc w:val="both"/>
      </w:pPr>
      <w:r w:rsidRPr="003335C3">
        <w:rPr>
          <w:b/>
        </w:rPr>
        <w:t>With the exception of local gas and a small amount of imported coal, fuel price</w:t>
      </w:r>
      <w:r>
        <w:rPr>
          <w:b/>
        </w:rPr>
        <w:t xml:space="preserve">s </w:t>
      </w:r>
      <w:r w:rsidRPr="003335C3">
        <w:rPr>
          <w:b/>
        </w:rPr>
        <w:t>are assumed to be driven by international trends</w:t>
      </w:r>
      <w:r>
        <w:rPr>
          <w:b/>
        </w:rPr>
        <w:t xml:space="preserve"> (Figure </w:t>
      </w:r>
      <w:r w:rsidR="008D31A5">
        <w:rPr>
          <w:b/>
        </w:rPr>
        <w:t>6</w:t>
      </w:r>
      <w:r w:rsidRPr="009B4300">
        <w:rPr>
          <w:b/>
        </w:rPr>
        <w:t>)</w:t>
      </w:r>
      <w:r w:rsidRPr="003335C3">
        <w:rPr>
          <w:b/>
        </w:rPr>
        <w:t>.</w:t>
      </w:r>
      <w:r w:rsidRPr="003335C3">
        <w:t xml:space="preserve"> The prices of furnace oil, diesel, and LNG are assumed to be linked to</w:t>
      </w:r>
      <w:r>
        <w:t xml:space="preserve"> crude</w:t>
      </w:r>
      <w:r w:rsidRPr="003335C3">
        <w:t xml:space="preserve"> oil prices (125%, 155%, and 90%, respectively, on an energy equivalent basis).</w:t>
      </w:r>
      <w:r w:rsidR="008D31A5">
        <w:t xml:space="preserve"> Global crude oil price has dropped from US$120/bbl in 2014 to </w:t>
      </w:r>
      <w:r w:rsidR="00E156F0">
        <w:t xml:space="preserve">about </w:t>
      </w:r>
      <w:r w:rsidR="008D31A5">
        <w:t>US$</w:t>
      </w:r>
      <w:r w:rsidR="00E156F0">
        <w:t>55</w:t>
      </w:r>
      <w:r w:rsidR="008D31A5">
        <w:t xml:space="preserve">/bbl </w:t>
      </w:r>
      <w:r w:rsidR="00BD6DAF">
        <w:t>currently</w:t>
      </w:r>
      <w:r w:rsidR="008D31A5">
        <w:t xml:space="preserve">. The impact of the drop in oil prices has yet to be felt by consumers in Bangladesh as </w:t>
      </w:r>
      <w:r w:rsidR="004F1E74">
        <w:t xml:space="preserve">GOB </w:t>
      </w:r>
      <w:r w:rsidR="008D31A5">
        <w:t xml:space="preserve">has not adjusted domestic prices to reflect the decline in oil import prices. </w:t>
      </w:r>
      <w:r w:rsidR="00BD6DAF">
        <w:t xml:space="preserve">The </w:t>
      </w:r>
      <w:r w:rsidR="008D31A5">
        <w:t xml:space="preserve">model assumed that prices remain </w:t>
      </w:r>
      <w:r w:rsidR="00BD6DAF">
        <w:t xml:space="preserve">the same </w:t>
      </w:r>
      <w:r w:rsidR="008D31A5">
        <w:t>until the end of FY201</w:t>
      </w:r>
      <w:r w:rsidR="004B486A">
        <w:t>6</w:t>
      </w:r>
      <w:r w:rsidR="00DC5906">
        <w:t xml:space="preserve"> and thereafter become adjusted downward to reflect international prices</w:t>
      </w:r>
      <w:r w:rsidR="004B486A">
        <w:t>.</w:t>
      </w:r>
      <w:r w:rsidR="00DC5906">
        <w:t xml:space="preserve"> </w:t>
      </w:r>
      <w:r w:rsidR="00D74CB5">
        <w:t>International o</w:t>
      </w:r>
      <w:r w:rsidR="00DC5906">
        <w:t>il p</w:t>
      </w:r>
      <w:r w:rsidR="00D74CB5">
        <w:t>rices in the model</w:t>
      </w:r>
      <w:r w:rsidR="00DC5906">
        <w:t xml:space="preserve"> gradually increase over time</w:t>
      </w:r>
      <w:r w:rsidR="008D31A5">
        <w:t xml:space="preserve"> </w:t>
      </w:r>
      <w:r w:rsidR="00D74CB5">
        <w:t>based</w:t>
      </w:r>
      <w:r w:rsidR="0003091D">
        <w:t xml:space="preserve"> on </w:t>
      </w:r>
      <w:r w:rsidR="00DC5906">
        <w:t xml:space="preserve">forecasts by the World Bank. </w:t>
      </w:r>
      <w:r w:rsidR="008D31A5" w:rsidRPr="00C3709A">
        <w:t>Domestic gas remains critically underpriced compared to alternative fuels.</w:t>
      </w:r>
      <w:r w:rsidR="008D31A5">
        <w:t xml:space="preserve"> This has led to an overreliance on gas for power generation. </w:t>
      </w:r>
      <w:r w:rsidR="00BD6DAF">
        <w:t>For the base case scenario, t</w:t>
      </w:r>
      <w:r w:rsidR="008D31A5">
        <w:t xml:space="preserve">he model assumes </w:t>
      </w:r>
      <w:r w:rsidR="00BD6DAF">
        <w:t xml:space="preserve">that domestic gas prices are adjusted only with inflation, which will still result in </w:t>
      </w:r>
      <w:r w:rsidR="00BE3C6D">
        <w:t xml:space="preserve">its </w:t>
      </w:r>
      <w:r w:rsidR="00BD6DAF">
        <w:t>under-pricing</w:t>
      </w:r>
      <w:r w:rsidR="00BE3C6D">
        <w:t>.</w:t>
      </w:r>
      <w:r w:rsidR="00BD6DAF">
        <w:t xml:space="preserve"> </w:t>
      </w:r>
      <w:r w:rsidR="00BE3C6D">
        <w:t>T</w:t>
      </w:r>
      <w:r w:rsidR="00BD6DAF">
        <w:t xml:space="preserve">he model has the flexibility of analyzing different gas price scenarios including the scenario where domestic gas prices are gradually adjusted to be at par with international prices. </w:t>
      </w:r>
      <w:r w:rsidRPr="003335C3">
        <w:t xml:space="preserve">Domestic coal is currently subsidized and is assumed to initially remain at its current price (about US$108 per ton) until the first imported coal plant comes online in 2018; </w:t>
      </w:r>
      <w:r w:rsidR="00BE3C6D">
        <w:t xml:space="preserve">after which </w:t>
      </w:r>
      <w:r w:rsidRPr="003335C3">
        <w:t xml:space="preserve">it is assumed the regulated price of domestic coal would be set equal to the delivered price of imported coal. </w:t>
      </w:r>
      <w:r w:rsidR="00DF4549">
        <w:t xml:space="preserve">However, the </w:t>
      </w:r>
      <w:r w:rsidR="00110F6F">
        <w:t xml:space="preserve">current plan for </w:t>
      </w:r>
      <w:r w:rsidR="00DF4549">
        <w:t xml:space="preserve">coal projects </w:t>
      </w:r>
      <w:r w:rsidR="00110F6F">
        <w:t>to come online by 2018 is</w:t>
      </w:r>
      <w:r w:rsidR="0003091D">
        <w:t xml:space="preserve"> unlikely.  BPDB will have to make adjustments in its generation expansion plan </w:t>
      </w:r>
      <w:r w:rsidR="00BD6DAF">
        <w:t xml:space="preserve">to reflect the likelihood of delays in coal based </w:t>
      </w:r>
      <w:r w:rsidR="00BE3C6D">
        <w:t>projects</w:t>
      </w:r>
      <w:r w:rsidR="00DF4549">
        <w:t xml:space="preserve">. </w:t>
      </w:r>
    </w:p>
    <w:p w14:paraId="7FB94A56" w14:textId="77777777" w:rsidR="003B0191" w:rsidRDefault="003B0191" w:rsidP="00E01394">
      <w:pPr>
        <w:spacing w:line="240" w:lineRule="auto"/>
        <w:jc w:val="both"/>
        <w:rPr>
          <w:i/>
        </w:rPr>
      </w:pPr>
    </w:p>
    <w:p w14:paraId="0265CF57" w14:textId="5FBA9D5F" w:rsidR="003B0191" w:rsidRPr="00415610" w:rsidRDefault="00294B8F" w:rsidP="00294B8F">
      <w:pPr>
        <w:pStyle w:val="Caption"/>
        <w:keepNext/>
        <w:ind w:firstLine="720"/>
        <w:rPr>
          <w:sz w:val="20"/>
          <w:szCs w:val="22"/>
        </w:rPr>
      </w:pPr>
      <w:r>
        <w:rPr>
          <w:sz w:val="20"/>
          <w:szCs w:val="22"/>
        </w:rPr>
        <w:t xml:space="preserve">      </w:t>
      </w:r>
      <w:r w:rsidR="003B0191" w:rsidRPr="00415610">
        <w:rPr>
          <w:sz w:val="20"/>
          <w:szCs w:val="22"/>
        </w:rPr>
        <w:t>Figure</w:t>
      </w:r>
      <w:r w:rsidR="008D31A5" w:rsidRPr="00415610">
        <w:rPr>
          <w:sz w:val="20"/>
          <w:szCs w:val="22"/>
        </w:rPr>
        <w:t xml:space="preserve"> 6</w:t>
      </w:r>
      <w:r w:rsidR="003B0191" w:rsidRPr="00415610">
        <w:rPr>
          <w:sz w:val="20"/>
          <w:szCs w:val="22"/>
        </w:rPr>
        <w:t>:</w:t>
      </w:r>
      <w:r w:rsidR="003B0191" w:rsidRPr="00415610">
        <w:rPr>
          <w:sz w:val="16"/>
        </w:rPr>
        <w:t xml:space="preserve"> </w:t>
      </w:r>
      <w:r w:rsidR="003B0191" w:rsidRPr="00415610">
        <w:rPr>
          <w:sz w:val="20"/>
          <w:szCs w:val="22"/>
        </w:rPr>
        <w:t>Fuel Prices Projections</w:t>
      </w:r>
      <w:r w:rsidR="00DB218C" w:rsidRPr="00415610">
        <w:rPr>
          <w:sz w:val="20"/>
          <w:szCs w:val="22"/>
        </w:rPr>
        <w:t xml:space="preserve"> (US$/MMBtu)</w:t>
      </w:r>
    </w:p>
    <w:p w14:paraId="16CFE718" w14:textId="4924D326" w:rsidR="003B0191" w:rsidRDefault="008B6A8F" w:rsidP="00E01394">
      <w:pPr>
        <w:spacing w:line="240" w:lineRule="auto"/>
        <w:jc w:val="center"/>
      </w:pPr>
      <w:r w:rsidRPr="008B6A8F">
        <w:rPr>
          <w:noProof/>
          <w:sz w:val="18"/>
        </w:rPr>
        <w:drawing>
          <wp:inline distT="0" distB="0" distL="0" distR="0" wp14:anchorId="24C54202" wp14:editId="45C16B6B">
            <wp:extent cx="5353050" cy="2055495"/>
            <wp:effectExtent l="0" t="0" r="0" b="1905"/>
            <wp:docPr id="21" name="Chart 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0E136D3" w14:textId="1212EB0E" w:rsidR="003B0191" w:rsidRDefault="003B0191" w:rsidP="009462EF">
      <w:pPr>
        <w:pStyle w:val="ListParagraph"/>
        <w:numPr>
          <w:ilvl w:val="0"/>
          <w:numId w:val="1"/>
        </w:numPr>
        <w:spacing w:line="240" w:lineRule="auto"/>
        <w:ind w:left="0" w:firstLine="0"/>
        <w:jc w:val="both"/>
      </w:pPr>
      <w:r w:rsidRPr="00195E6C">
        <w:rPr>
          <w:b/>
        </w:rPr>
        <w:t xml:space="preserve">Demand assumptions largely follow the Power Sector Master Plan developed for Bangladesh in </w:t>
      </w:r>
      <w:r w:rsidR="000221A1" w:rsidRPr="00195E6C">
        <w:rPr>
          <w:b/>
        </w:rPr>
        <w:t>201</w:t>
      </w:r>
      <w:r w:rsidR="000221A1">
        <w:rPr>
          <w:b/>
        </w:rPr>
        <w:t>6</w:t>
      </w:r>
      <w:r w:rsidRPr="00195E6C">
        <w:rPr>
          <w:b/>
        </w:rPr>
        <w:t xml:space="preserve">. </w:t>
      </w:r>
      <w:r w:rsidR="00824B97">
        <w:t>Demand for electricity is</w:t>
      </w:r>
      <w:r>
        <w:t xml:space="preserve"> assumed </w:t>
      </w:r>
      <w:r w:rsidR="00824B97">
        <w:t xml:space="preserve">to </w:t>
      </w:r>
      <w:r>
        <w:t>grow at a</w:t>
      </w:r>
      <w:r w:rsidR="00783C6F">
        <w:t>bout 1.03</w:t>
      </w:r>
      <w:r>
        <w:t xml:space="preserve"> times the rate of GDP growth</w:t>
      </w:r>
      <w:r w:rsidR="00783C6F">
        <w:t xml:space="preserve"> </w:t>
      </w:r>
      <w:r w:rsidR="00824B97">
        <w:t>(consistent with the draft update of the Power Sector Maser Plan)</w:t>
      </w:r>
      <w:r>
        <w:t>. GDP is assumed to grow by about 7 percent per year.</w:t>
      </w:r>
      <w:r w:rsidR="006551FB">
        <w:t xml:space="preserve"> For simplicity, the </w:t>
      </w:r>
      <w:r w:rsidR="00DF4549">
        <w:t>model does not take into account the price elasticity of power consumption</w:t>
      </w:r>
      <w:r w:rsidR="00BE3C6D">
        <w:t xml:space="preserve">, </w:t>
      </w:r>
      <w:r w:rsidR="006551FB">
        <w:t>i.e. the impact of higher prices on demand is not taken into account in the model</w:t>
      </w:r>
      <w:r w:rsidR="00DF4549">
        <w:t xml:space="preserve">. </w:t>
      </w:r>
    </w:p>
    <w:p w14:paraId="37D96583" w14:textId="77777777" w:rsidR="009462EF" w:rsidRPr="008F7F26" w:rsidRDefault="009462EF" w:rsidP="009462EF">
      <w:pPr>
        <w:pStyle w:val="ListParagraph"/>
        <w:spacing w:line="240" w:lineRule="auto"/>
        <w:ind w:left="0"/>
        <w:jc w:val="both"/>
      </w:pPr>
    </w:p>
    <w:p w14:paraId="1B01027D" w14:textId="134FB851" w:rsidR="003B0191" w:rsidRDefault="003B0191" w:rsidP="009462EF">
      <w:pPr>
        <w:pStyle w:val="ListParagraph"/>
        <w:numPr>
          <w:ilvl w:val="0"/>
          <w:numId w:val="1"/>
        </w:numPr>
        <w:spacing w:line="240" w:lineRule="auto"/>
        <w:ind w:left="0" w:firstLine="0"/>
        <w:jc w:val="both"/>
      </w:pPr>
      <w:r>
        <w:rPr>
          <w:b/>
        </w:rPr>
        <w:t xml:space="preserve">Transmission and distribution loss rates are assumed to continue to fall over the next four years and level out in 2018 </w:t>
      </w:r>
      <w:r w:rsidRPr="009B4300">
        <w:rPr>
          <w:b/>
        </w:rPr>
        <w:t>(Figure</w:t>
      </w:r>
      <w:r>
        <w:rPr>
          <w:b/>
        </w:rPr>
        <w:t xml:space="preserve"> </w:t>
      </w:r>
      <w:r w:rsidR="00DC2081">
        <w:rPr>
          <w:b/>
        </w:rPr>
        <w:t>7</w:t>
      </w:r>
      <w:r w:rsidRPr="009B4300">
        <w:rPr>
          <w:b/>
          <w:noProof/>
        </w:rPr>
        <w:t>)</w:t>
      </w:r>
      <w:r>
        <w:rPr>
          <w:b/>
        </w:rPr>
        <w:t xml:space="preserve">. </w:t>
      </w:r>
      <w:r>
        <w:t xml:space="preserve">Transmission losses, currently at 2.7 percent, are assumed to fall to 2.4 percent by 2017. Distribution losses, which currently average 12 percent, are assumed to fall to </w:t>
      </w:r>
      <w:r w:rsidR="00C3709A">
        <w:t>9.6</w:t>
      </w:r>
      <w:r w:rsidR="004B486A">
        <w:t>% by 2025</w:t>
      </w:r>
      <w:r w:rsidR="002B228F">
        <w:t xml:space="preserve"> as per GOB targets</w:t>
      </w:r>
      <w:r>
        <w:t xml:space="preserve">. </w:t>
      </w:r>
      <w:r w:rsidR="00824B97">
        <w:t>Recent capital investment ha</w:t>
      </w:r>
      <w:r w:rsidR="005F6AE4">
        <w:t>s</w:t>
      </w:r>
      <w:r w:rsidR="00824B97">
        <w:t xml:space="preserve"> contributed to the improving trend in transmission and distribution losses </w:t>
      </w:r>
    </w:p>
    <w:p w14:paraId="10C933FA" w14:textId="77777777" w:rsidR="00DF4549" w:rsidRPr="00415610" w:rsidRDefault="00DF4549" w:rsidP="00294B8F">
      <w:pPr>
        <w:pStyle w:val="Caption"/>
        <w:keepNext/>
        <w:ind w:firstLine="720"/>
        <w:rPr>
          <w:sz w:val="20"/>
        </w:rPr>
      </w:pPr>
      <w:r w:rsidRPr="00415610">
        <w:rPr>
          <w:sz w:val="20"/>
        </w:rPr>
        <w:t>Figure 7: Projected Transmission and Distribution Losses</w:t>
      </w:r>
    </w:p>
    <w:p w14:paraId="11DBCB00" w14:textId="4902EA37" w:rsidR="00DF4549" w:rsidRDefault="00415610" w:rsidP="00E01394">
      <w:pPr>
        <w:spacing w:line="240" w:lineRule="auto"/>
        <w:jc w:val="center"/>
      </w:pPr>
      <w:r>
        <w:rPr>
          <w:noProof/>
        </w:rPr>
        <w:drawing>
          <wp:inline distT="0" distB="0" distL="0" distR="0" wp14:anchorId="0FE01EEB" wp14:editId="2842D0FF">
            <wp:extent cx="5133975" cy="2428875"/>
            <wp:effectExtent l="0" t="0" r="0" b="0"/>
            <wp:docPr id="25" name="Chart 2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143BE0C" w14:textId="2808B428" w:rsidR="003B0191" w:rsidRDefault="003B0191" w:rsidP="00E01394">
      <w:pPr>
        <w:pStyle w:val="Heading2"/>
        <w:jc w:val="both"/>
      </w:pPr>
      <w:r>
        <w:t xml:space="preserve">Baseline </w:t>
      </w:r>
      <w:r w:rsidR="00707592">
        <w:t>Scenario</w:t>
      </w:r>
    </w:p>
    <w:p w14:paraId="6EDE87A2" w14:textId="77777777" w:rsidR="003B0191" w:rsidRDefault="003B0191" w:rsidP="00E01394">
      <w:pPr>
        <w:spacing w:line="240" w:lineRule="auto"/>
        <w:jc w:val="both"/>
      </w:pPr>
    </w:p>
    <w:p w14:paraId="6A06314F" w14:textId="728AA181" w:rsidR="003B0191" w:rsidRDefault="003B0191" w:rsidP="009462EF">
      <w:pPr>
        <w:pStyle w:val="ListParagraph"/>
        <w:numPr>
          <w:ilvl w:val="0"/>
          <w:numId w:val="1"/>
        </w:numPr>
        <w:spacing w:line="240" w:lineRule="auto"/>
        <w:ind w:left="0" w:firstLine="0"/>
        <w:jc w:val="both"/>
        <w:rPr>
          <w:i/>
        </w:rPr>
      </w:pPr>
      <w:r w:rsidRPr="00751087">
        <w:rPr>
          <w:b/>
        </w:rPr>
        <w:t xml:space="preserve">The </w:t>
      </w:r>
      <w:r w:rsidR="00707592">
        <w:rPr>
          <w:b/>
        </w:rPr>
        <w:t xml:space="preserve">baseline scenario </w:t>
      </w:r>
      <w:r w:rsidRPr="00751087">
        <w:rPr>
          <w:b/>
        </w:rPr>
        <w:t>envisages surplus capacity by 201</w:t>
      </w:r>
      <w:r>
        <w:rPr>
          <w:b/>
        </w:rPr>
        <w:t>8</w:t>
      </w:r>
      <w:r w:rsidRPr="00751087">
        <w:rPr>
          <w:b/>
        </w:rPr>
        <w:t xml:space="preserve"> with the introduction of LNG </w:t>
      </w:r>
      <w:r>
        <w:rPr>
          <w:b/>
        </w:rPr>
        <w:t>eliminating gas shortages for running the gas-based plants (</w:t>
      </w:r>
      <w:r w:rsidRPr="00CA76CB">
        <w:rPr>
          <w:b/>
        </w:rPr>
        <w:t>Figure</w:t>
      </w:r>
      <w:r>
        <w:rPr>
          <w:b/>
        </w:rPr>
        <w:t xml:space="preserve"> </w:t>
      </w:r>
      <w:r w:rsidR="005F6AE4">
        <w:rPr>
          <w:b/>
        </w:rPr>
        <w:t>8</w:t>
      </w:r>
      <w:r>
        <w:rPr>
          <w:b/>
        </w:rPr>
        <w:t>)</w:t>
      </w:r>
      <w:r>
        <w:rPr>
          <w:b/>
          <w:i/>
        </w:rPr>
        <w:t xml:space="preserve">. </w:t>
      </w:r>
      <w:r w:rsidRPr="004C5542">
        <w:t>Plant</w:t>
      </w:r>
      <w:r>
        <w:rPr>
          <w:b/>
        </w:rPr>
        <w:t xml:space="preserve"> </w:t>
      </w:r>
      <w:r>
        <w:t xml:space="preserve">load factor is projected to drop until 2017 due to lack of available gas supply to run at full capacity the additional gas plants </w:t>
      </w:r>
      <w:r w:rsidRPr="004C5542">
        <w:t>(</w:t>
      </w:r>
      <w:r>
        <w:t xml:space="preserve">Figure </w:t>
      </w:r>
      <w:r w:rsidR="005F6AE4">
        <w:t>9</w:t>
      </w:r>
      <w:r w:rsidRPr="004C5542">
        <w:rPr>
          <w:noProof/>
        </w:rPr>
        <w:t>)</w:t>
      </w:r>
      <w:r w:rsidRPr="004C5542">
        <w:t>.</w:t>
      </w:r>
      <w:r>
        <w:t xml:space="preserve">  </w:t>
      </w:r>
      <w:r w:rsidR="00B84EE5">
        <w:t>As per BPDB plan, o</w:t>
      </w:r>
      <w:r w:rsidRPr="004C5542">
        <w:t xml:space="preserve">nce LNG becomes available, plant load factor </w:t>
      </w:r>
      <w:r w:rsidR="00B84EE5">
        <w:t xml:space="preserve">starts to </w:t>
      </w:r>
      <w:r>
        <w:t xml:space="preserve">rise </w:t>
      </w:r>
      <w:r w:rsidRPr="004C5542">
        <w:t xml:space="preserve">again. </w:t>
      </w:r>
      <w:r w:rsidR="00B84EE5">
        <w:t>As per the demand projections, plan</w:t>
      </w:r>
      <w:r w:rsidR="005F6AE4">
        <w:t>t</w:t>
      </w:r>
      <w:r w:rsidR="00B84EE5">
        <w:t xml:space="preserve"> load factor </w:t>
      </w:r>
      <w:r w:rsidRPr="004C5542">
        <w:t xml:space="preserve">never reaches 59% because by the time LNG becomes available, there is more supply than is needed to meet demand, so there is no need to run </w:t>
      </w:r>
      <w:r w:rsidR="004E4E5A">
        <w:t>p</w:t>
      </w:r>
      <w:r w:rsidR="00E31EC4">
        <w:t>lants at more than an average 5</w:t>
      </w:r>
      <w:r w:rsidR="00400CA8">
        <w:t>9</w:t>
      </w:r>
      <w:r w:rsidR="004E4E5A">
        <w:t>% c</w:t>
      </w:r>
      <w:r w:rsidR="00E31EC4">
        <w:t>apacity until 2024</w:t>
      </w:r>
      <w:r w:rsidR="004E4E5A">
        <w:t>.</w:t>
      </w:r>
      <w:r w:rsidR="00E31EC4">
        <w:t xml:space="preserve"> T</w:t>
      </w:r>
      <w:r w:rsidR="00771F15">
        <w:t>his assumption is based on substantial addition in coa</w:t>
      </w:r>
      <w:r w:rsidR="00707592">
        <w:t>l</w:t>
      </w:r>
      <w:r w:rsidR="00771F15">
        <w:t xml:space="preserve"> generation capacity. By 2022</w:t>
      </w:r>
      <w:r w:rsidR="00707592">
        <w:t>,</w:t>
      </w:r>
      <w:r w:rsidR="00771F15">
        <w:t xml:space="preserve"> coal plants should provide 5.35GW of capacity which implies the construction of several new coal plants and the addition of coal import capacity </w:t>
      </w:r>
      <w:r w:rsidR="00707592">
        <w:t xml:space="preserve">that </w:t>
      </w:r>
      <w:r w:rsidR="00771F15">
        <w:t>the country currently lacks.</w:t>
      </w:r>
      <w:r w:rsidR="00E31EC4">
        <w:t xml:space="preserve"> </w:t>
      </w:r>
    </w:p>
    <w:p w14:paraId="0A9E8D6D" w14:textId="77777777" w:rsidR="003B0191" w:rsidRDefault="003B0191" w:rsidP="00E01394">
      <w:pPr>
        <w:spacing w:line="240" w:lineRule="auto"/>
        <w:jc w:val="both"/>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606"/>
      </w:tblGrid>
      <w:tr w:rsidR="007B5A6E" w14:paraId="570957D1" w14:textId="77777777" w:rsidTr="007B5A6E">
        <w:tc>
          <w:tcPr>
            <w:tcW w:w="3774" w:type="dxa"/>
          </w:tcPr>
          <w:p w14:paraId="7FA44D62" w14:textId="5B3198F0" w:rsidR="003B0191" w:rsidRPr="002279E7" w:rsidRDefault="003B0191" w:rsidP="00E01394">
            <w:pPr>
              <w:pStyle w:val="Caption"/>
              <w:keepNext/>
              <w:jc w:val="both"/>
              <w:rPr>
                <w:sz w:val="20"/>
              </w:rPr>
            </w:pPr>
            <w:r w:rsidRPr="002279E7">
              <w:rPr>
                <w:sz w:val="20"/>
              </w:rPr>
              <w:t xml:space="preserve">Figure </w:t>
            </w:r>
            <w:r w:rsidR="00241461" w:rsidRPr="002279E7">
              <w:rPr>
                <w:sz w:val="20"/>
              </w:rPr>
              <w:t>8:</w:t>
            </w:r>
            <w:r w:rsidRPr="002279E7">
              <w:rPr>
                <w:sz w:val="20"/>
              </w:rPr>
              <w:t xml:space="preserve"> Electricity Supply and Demand</w:t>
            </w:r>
            <w:r w:rsidR="007B5A6E" w:rsidRPr="002279E7">
              <w:rPr>
                <w:sz w:val="20"/>
              </w:rPr>
              <w:t xml:space="preserve"> (MW)</w:t>
            </w:r>
          </w:p>
          <w:p w14:paraId="5D39B10B" w14:textId="38F25BE2" w:rsidR="003B0191" w:rsidRPr="00E31EC4" w:rsidRDefault="007B5A6E" w:rsidP="00E01394">
            <w:pPr>
              <w:tabs>
                <w:tab w:val="left" w:pos="1035"/>
              </w:tabs>
              <w:jc w:val="both"/>
            </w:pPr>
            <w:r>
              <w:rPr>
                <w:noProof/>
              </w:rPr>
              <w:drawing>
                <wp:inline distT="0" distB="0" distL="0" distR="0" wp14:anchorId="44BBCEF5" wp14:editId="035B27E7">
                  <wp:extent cx="2924175" cy="2590800"/>
                  <wp:effectExtent l="0" t="0" r="0" b="0"/>
                  <wp:docPr id="26" name="Chart 2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4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5586" w:type="dxa"/>
          </w:tcPr>
          <w:p w14:paraId="0949EA5C" w14:textId="62462477" w:rsidR="003B0191" w:rsidRPr="002279E7" w:rsidRDefault="003B0191" w:rsidP="00E01394">
            <w:pPr>
              <w:pStyle w:val="Caption"/>
              <w:keepNext/>
              <w:jc w:val="both"/>
              <w:rPr>
                <w:sz w:val="20"/>
              </w:rPr>
            </w:pPr>
            <w:r w:rsidRPr="002279E7">
              <w:rPr>
                <w:sz w:val="20"/>
              </w:rPr>
              <w:t>Figure</w:t>
            </w:r>
            <w:r w:rsidR="003E6AE7" w:rsidRPr="002279E7">
              <w:rPr>
                <w:sz w:val="20"/>
              </w:rPr>
              <w:t xml:space="preserve"> 9</w:t>
            </w:r>
            <w:r w:rsidRPr="002279E7">
              <w:rPr>
                <w:sz w:val="20"/>
              </w:rPr>
              <w:t xml:space="preserve">: Plant Load factor </w:t>
            </w:r>
            <w:r w:rsidR="007B5A6E" w:rsidRPr="002279E7">
              <w:rPr>
                <w:sz w:val="20"/>
              </w:rPr>
              <w:t>(%)</w:t>
            </w:r>
          </w:p>
          <w:p w14:paraId="73B08C75" w14:textId="5B607D55" w:rsidR="003B0191" w:rsidRPr="007B5A6E" w:rsidRDefault="007B5A6E" w:rsidP="00E01394">
            <w:pPr>
              <w:jc w:val="both"/>
            </w:pPr>
            <w:r>
              <w:rPr>
                <w:noProof/>
              </w:rPr>
              <w:drawing>
                <wp:inline distT="0" distB="0" distL="0" distR="0" wp14:anchorId="1FB51AEB" wp14:editId="5B167353">
                  <wp:extent cx="2828925" cy="2428875"/>
                  <wp:effectExtent l="0" t="0" r="0" b="0"/>
                  <wp:docPr id="27" name="Chart 2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4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1C7ADBBF" w14:textId="77777777" w:rsidR="003B0191" w:rsidRPr="00F96780" w:rsidRDefault="003B0191" w:rsidP="00E01394">
      <w:pPr>
        <w:spacing w:line="240" w:lineRule="auto"/>
        <w:jc w:val="both"/>
        <w:rPr>
          <w:b/>
        </w:rPr>
      </w:pPr>
    </w:p>
    <w:p w14:paraId="304CFAAA" w14:textId="091CCB8A" w:rsidR="003B0191" w:rsidRDefault="003B0191" w:rsidP="009462EF">
      <w:pPr>
        <w:pStyle w:val="ListParagraph"/>
        <w:numPr>
          <w:ilvl w:val="0"/>
          <w:numId w:val="1"/>
        </w:numPr>
        <w:spacing w:line="240" w:lineRule="auto"/>
        <w:ind w:left="0" w:firstLine="0"/>
        <w:jc w:val="both"/>
      </w:pPr>
      <w:r w:rsidRPr="007D6804">
        <w:rPr>
          <w:b/>
        </w:rPr>
        <w:t>The average cost of power</w:t>
      </w:r>
      <w:r w:rsidR="00771F15">
        <w:rPr>
          <w:b/>
        </w:rPr>
        <w:t xml:space="preserve"> supply is expected to</w:t>
      </w:r>
      <w:r w:rsidR="00241461">
        <w:rPr>
          <w:b/>
        </w:rPr>
        <w:t xml:space="preserve"> increase</w:t>
      </w:r>
      <w:r w:rsidR="00B053F9">
        <w:rPr>
          <w:b/>
        </w:rPr>
        <w:t xml:space="preserve"> due to the higher cost LNG and coal in the fuel mix</w:t>
      </w:r>
      <w:r>
        <w:t>.   With the introduction of imported coal based power generation coming online in 2019, cost of supply rises slightly to about the same level as of 2014.  Given the current deficit</w:t>
      </w:r>
      <w:r w:rsidR="00241461">
        <w:t xml:space="preserve"> between tariff and cost</w:t>
      </w:r>
      <w:r>
        <w:t xml:space="preserve">, going forward, even if tariff increased with only inflation, there would still be deficit in the range of Tk 50-60 billion annually by the year 2019 (Figure </w:t>
      </w:r>
      <w:fldSimple w:instr=" SEQ Figure \* ARABIC ">
        <w:r w:rsidR="00E90CD8">
          <w:rPr>
            <w:noProof/>
          </w:rPr>
          <w:t>11</w:t>
        </w:r>
      </w:fldSimple>
      <w:r>
        <w:rPr>
          <w:noProof/>
        </w:rPr>
        <w:t>)</w:t>
      </w:r>
      <w:r>
        <w:t xml:space="preserve">. </w:t>
      </w:r>
      <w:r w:rsidR="003630F0">
        <w:t xml:space="preserve">The model assumes that the planned coal generation projects will come online as intended. It should be noted, however, that plans for importing coal and building coal based power plants have been in the development stages for years and delays </w:t>
      </w:r>
      <w:r w:rsidR="002357FD">
        <w:t xml:space="preserve">in </w:t>
      </w:r>
      <w:r w:rsidR="003630F0">
        <w:t>these projects is</w:t>
      </w:r>
      <w:r w:rsidR="002357FD">
        <w:t xml:space="preserve"> very</w:t>
      </w:r>
      <w:r w:rsidR="003630F0">
        <w:t xml:space="preserve"> likely to happen. </w:t>
      </w:r>
      <w:r>
        <w:t xml:space="preserve"> </w:t>
      </w:r>
    </w:p>
    <w:p w14:paraId="14392227" w14:textId="1483F279" w:rsidR="00F9161E" w:rsidRPr="00E936F8" w:rsidRDefault="00294B8F" w:rsidP="00E01394">
      <w:pPr>
        <w:pStyle w:val="Caption"/>
        <w:jc w:val="both"/>
      </w:pPr>
      <w:r w:rsidRPr="002279E7">
        <w:rPr>
          <w:sz w:val="20"/>
        </w:rPr>
        <w:t xml:space="preserve">  </w:t>
      </w:r>
      <w:r w:rsidR="00F9161E" w:rsidRPr="002279E7">
        <w:rPr>
          <w:sz w:val="20"/>
        </w:rPr>
        <w:t>Figure 10: Projected Supply Growth as per BPDB Plan</w:t>
      </w:r>
      <w:r w:rsidR="00F9161E">
        <w:tab/>
      </w:r>
      <w:r w:rsidR="00F9161E" w:rsidRPr="002279E7">
        <w:rPr>
          <w:sz w:val="20"/>
        </w:rPr>
        <w:t>Figure 11: Projected Deficit</w:t>
      </w:r>
      <w:r w:rsidR="00124449">
        <w:rPr>
          <w:sz w:val="20"/>
        </w:rPr>
        <w:t xml:space="preserve"> (Tk</w:t>
      </w:r>
      <w:r w:rsidRPr="002279E7">
        <w:rPr>
          <w:sz w:val="20"/>
        </w:rPr>
        <w:t xml:space="preserve"> Billion)</w:t>
      </w:r>
    </w:p>
    <w:p w14:paraId="6EDFF633" w14:textId="5D64E03B" w:rsidR="003B0191" w:rsidRDefault="00294B8F" w:rsidP="00E01394">
      <w:pPr>
        <w:spacing w:line="240" w:lineRule="auto"/>
        <w:jc w:val="both"/>
      </w:pPr>
      <w:r>
        <w:rPr>
          <w:noProof/>
        </w:rPr>
        <w:drawing>
          <wp:inline distT="0" distB="0" distL="0" distR="0" wp14:anchorId="2594FB09" wp14:editId="07533004">
            <wp:extent cx="3057525" cy="2305050"/>
            <wp:effectExtent l="0" t="0" r="0" b="0"/>
            <wp:docPr id="29" name="Chart 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4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C3709A" w:rsidRPr="00C3709A">
        <w:t xml:space="preserve"> </w:t>
      </w:r>
      <w:r>
        <w:t xml:space="preserve"> </w:t>
      </w:r>
      <w:r>
        <w:rPr>
          <w:noProof/>
        </w:rPr>
        <w:drawing>
          <wp:inline distT="0" distB="0" distL="0" distR="0" wp14:anchorId="01FB14E0" wp14:editId="1D65BC68">
            <wp:extent cx="2819400" cy="2247900"/>
            <wp:effectExtent l="0" t="0" r="0" b="0"/>
            <wp:docPr id="30" name="Chart 3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2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0F50009" w14:textId="77777777" w:rsidR="003B0191" w:rsidRDefault="003B0191" w:rsidP="00E01394">
      <w:pPr>
        <w:spacing w:line="240" w:lineRule="auto"/>
        <w:jc w:val="both"/>
      </w:pPr>
    </w:p>
    <w:p w14:paraId="720F1655" w14:textId="027D29DB" w:rsidR="003B0191" w:rsidRDefault="003B0191" w:rsidP="009462EF">
      <w:pPr>
        <w:pStyle w:val="ListParagraph"/>
        <w:numPr>
          <w:ilvl w:val="0"/>
          <w:numId w:val="1"/>
        </w:numPr>
        <w:spacing w:line="240" w:lineRule="auto"/>
        <w:ind w:left="0" w:firstLine="0"/>
        <w:jc w:val="both"/>
      </w:pPr>
      <w:r>
        <w:rPr>
          <w:b/>
        </w:rPr>
        <w:t xml:space="preserve">To cover the deficit, tariff increases will have to </w:t>
      </w:r>
      <w:r w:rsidR="003A295D">
        <w:rPr>
          <w:b/>
        </w:rPr>
        <w:t xml:space="preserve">exceed </w:t>
      </w:r>
      <w:r>
        <w:rPr>
          <w:b/>
        </w:rPr>
        <w:t>inflation going forward (</w:t>
      </w:r>
      <w:r w:rsidRPr="001C3A86">
        <w:rPr>
          <w:b/>
        </w:rPr>
        <w:t xml:space="preserve">Figure </w:t>
      </w:r>
      <w:r w:rsidR="005E21F2">
        <w:rPr>
          <w:b/>
        </w:rPr>
        <w:t>13</w:t>
      </w:r>
      <w:r w:rsidRPr="00C365B5">
        <w:rPr>
          <w:b/>
          <w:noProof/>
        </w:rPr>
        <w:t>)</w:t>
      </w:r>
      <w:r>
        <w:rPr>
          <w:b/>
        </w:rPr>
        <w:t xml:space="preserve">.  </w:t>
      </w:r>
      <w:r>
        <w:t xml:space="preserve">A tariff increase of </w:t>
      </w:r>
      <w:r w:rsidR="00124449">
        <w:t>15</w:t>
      </w:r>
      <w:r>
        <w:t xml:space="preserve">% per year will be required to reach cost recovery tariff </w:t>
      </w:r>
      <w:r w:rsidR="00D248D8">
        <w:t xml:space="preserve">(i.e. tariff sufficient to cover costs and therefore no budget transfer requirement) </w:t>
      </w:r>
      <w:r>
        <w:t xml:space="preserve">by 2020.  If tariff </w:t>
      </w:r>
      <w:r w:rsidR="003A295D">
        <w:t xml:space="preserve">increases </w:t>
      </w:r>
      <w:r>
        <w:t xml:space="preserve">annually by </w:t>
      </w:r>
      <w:r w:rsidR="00124449">
        <w:t>9</w:t>
      </w:r>
      <w:r>
        <w:t xml:space="preserve">%, cost recovery will be achieved in 4 years (2018) (tariff will continue to be increased with inflation beyond 2018 to remain at cost recovery). </w:t>
      </w:r>
      <w:r w:rsidR="00C3709A">
        <w:t xml:space="preserve">On the other hand, if tariff increased by </w:t>
      </w:r>
      <w:r w:rsidR="00124449">
        <w:t>8%</w:t>
      </w:r>
      <w:r w:rsidR="00C3709A">
        <w:t xml:space="preserve"> on average per annum, a breakeven could be achieved in 6 years. The increase in tariff will have to exceed the rate of inflation which is expected to grow by 6% per annum to cover the cost of generation</w:t>
      </w:r>
      <w:r w:rsidR="00ED33D9">
        <w:t xml:space="preserve"> and</w:t>
      </w:r>
      <w:r w:rsidR="00C3709A">
        <w:t xml:space="preserve"> distribution. If tariffs were to increase </w:t>
      </w:r>
      <w:r w:rsidR="00ED33D9">
        <w:t xml:space="preserve">only </w:t>
      </w:r>
      <w:r w:rsidR="00C3709A">
        <w:t xml:space="preserve">with inflation, the subsidy provided for power supply would increase to </w:t>
      </w:r>
      <w:r w:rsidR="00BC4AD5">
        <w:t>Tk</w:t>
      </w:r>
      <w:r w:rsidR="00124449">
        <w:t>121</w:t>
      </w:r>
      <w:r w:rsidR="00BC4AD5">
        <w:t xml:space="preserve"> </w:t>
      </w:r>
      <w:r w:rsidR="00C3709A">
        <w:t>billion by 2025.</w:t>
      </w:r>
    </w:p>
    <w:p w14:paraId="15D8C75E" w14:textId="14C79DE2" w:rsidR="002C681A" w:rsidRDefault="002C681A" w:rsidP="002C681A">
      <w:pPr>
        <w:pStyle w:val="Caption"/>
        <w:keepNext/>
        <w:spacing w:after="0"/>
        <w:rPr>
          <w:noProof/>
          <w:sz w:val="20"/>
        </w:rPr>
      </w:pPr>
      <w:r>
        <w:rPr>
          <w:sz w:val="20"/>
        </w:rPr>
        <w:t xml:space="preserve">          </w:t>
      </w:r>
      <w:r w:rsidR="004B6396" w:rsidRPr="002C681A">
        <w:rPr>
          <w:sz w:val="20"/>
        </w:rPr>
        <w:t>Figure 12 Average Cost and Selected Tariff Options (Tk/kWh)</w:t>
      </w:r>
      <w:r w:rsidRPr="002C681A">
        <w:rPr>
          <w:noProof/>
          <w:sz w:val="20"/>
        </w:rPr>
        <w:t xml:space="preserve"> </w:t>
      </w:r>
    </w:p>
    <w:p w14:paraId="1E7456D1" w14:textId="39553B82" w:rsidR="004B6396" w:rsidRDefault="002C681A" w:rsidP="002C681A">
      <w:pPr>
        <w:pStyle w:val="Caption"/>
        <w:keepNext/>
        <w:spacing w:after="0"/>
        <w:jc w:val="center"/>
      </w:pPr>
      <w:r>
        <w:rPr>
          <w:noProof/>
        </w:rPr>
        <w:drawing>
          <wp:inline distT="0" distB="0" distL="0" distR="0" wp14:anchorId="518FFB87" wp14:editId="62F9A909">
            <wp:extent cx="5486400" cy="2371725"/>
            <wp:effectExtent l="0" t="0" r="0" b="0"/>
            <wp:docPr id="32" name="Chart 3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FAAA5C1" w14:textId="4E9F8B8B" w:rsidR="004B6396" w:rsidRDefault="004B6396" w:rsidP="004B6396">
      <w:pPr>
        <w:pStyle w:val="ListParagraph"/>
        <w:spacing w:line="240" w:lineRule="auto"/>
        <w:ind w:left="0"/>
        <w:jc w:val="both"/>
      </w:pPr>
    </w:p>
    <w:p w14:paraId="3320AA7B" w14:textId="09AFA284" w:rsidR="002C681A" w:rsidRPr="002C681A" w:rsidRDefault="002C681A" w:rsidP="002C681A">
      <w:pPr>
        <w:pStyle w:val="Caption"/>
        <w:keepNext/>
        <w:jc w:val="both"/>
        <w:rPr>
          <w:sz w:val="20"/>
        </w:rPr>
      </w:pPr>
      <w:r>
        <w:rPr>
          <w:sz w:val="20"/>
        </w:rPr>
        <w:t xml:space="preserve">           </w:t>
      </w:r>
      <w:r w:rsidRPr="002C681A">
        <w:rPr>
          <w:sz w:val="20"/>
        </w:rPr>
        <w:t>Figure 13: Deficit under Tariff Scenarios</w:t>
      </w:r>
      <w:r>
        <w:rPr>
          <w:sz w:val="20"/>
        </w:rPr>
        <w:t xml:space="preserve"> (Tk Billion)</w:t>
      </w:r>
    </w:p>
    <w:p w14:paraId="59B941DD" w14:textId="5E068DEA" w:rsidR="002C681A" w:rsidRDefault="002C681A" w:rsidP="002C681A">
      <w:pPr>
        <w:pStyle w:val="ListParagraph"/>
        <w:spacing w:line="240" w:lineRule="auto"/>
        <w:ind w:left="0"/>
        <w:jc w:val="center"/>
      </w:pPr>
      <w:r>
        <w:rPr>
          <w:noProof/>
        </w:rPr>
        <w:drawing>
          <wp:inline distT="0" distB="0" distL="0" distR="0" wp14:anchorId="3C7F232C" wp14:editId="1ED6B482">
            <wp:extent cx="5610225" cy="2114550"/>
            <wp:effectExtent l="0" t="0" r="0" b="0"/>
            <wp:docPr id="33" name="Chart 3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392A742" w14:textId="580F0B36" w:rsidR="00401C35" w:rsidRDefault="00224701" w:rsidP="00502FB7">
      <w:pPr>
        <w:pStyle w:val="Heading2"/>
        <w:jc w:val="both"/>
      </w:pPr>
      <w:r>
        <w:t>Gas Price Assumptions</w:t>
      </w:r>
    </w:p>
    <w:p w14:paraId="5A677110" w14:textId="77777777" w:rsidR="00502FB7" w:rsidRPr="00502FB7" w:rsidRDefault="00502FB7" w:rsidP="006364AA"/>
    <w:p w14:paraId="7C2743DF" w14:textId="16BB5F79" w:rsidR="005E21F2" w:rsidRDefault="00401C35" w:rsidP="00502FB7">
      <w:pPr>
        <w:pStyle w:val="ListParagraph"/>
        <w:numPr>
          <w:ilvl w:val="0"/>
          <w:numId w:val="1"/>
        </w:numPr>
        <w:spacing w:line="240" w:lineRule="auto"/>
        <w:ind w:left="0" w:firstLine="0"/>
        <w:jc w:val="both"/>
      </w:pPr>
      <w:r w:rsidRPr="00371AE8">
        <w:rPr>
          <w:b/>
        </w:rPr>
        <w:t>As gas prices for the power sector remain unsustainably low</w:t>
      </w:r>
      <w:r w:rsidR="00D1601A">
        <w:rPr>
          <w:b/>
        </w:rPr>
        <w:t>,</w:t>
      </w:r>
      <w:r w:rsidRPr="00371AE8">
        <w:rPr>
          <w:b/>
        </w:rPr>
        <w:t xml:space="preserve"> the model’s </w:t>
      </w:r>
      <w:r w:rsidR="00D1601A">
        <w:rPr>
          <w:b/>
        </w:rPr>
        <w:t xml:space="preserve">baseline </w:t>
      </w:r>
      <w:r w:rsidRPr="00371AE8">
        <w:rPr>
          <w:b/>
        </w:rPr>
        <w:t xml:space="preserve">assumption of the current gas price increasing only </w:t>
      </w:r>
      <w:r w:rsidR="00D1601A">
        <w:rPr>
          <w:b/>
        </w:rPr>
        <w:t xml:space="preserve">with inflation </w:t>
      </w:r>
      <w:r w:rsidRPr="00371AE8">
        <w:rPr>
          <w:b/>
        </w:rPr>
        <w:t>over time is in contrast to sound economic principles for pricing.</w:t>
      </w:r>
      <w:r>
        <w:t xml:space="preserve"> Gas pricing should take into account the opportunity cost of gas use. Despite the low cost of onshore gas, the gas pricing policy fosters an environment of waste and inefficient consumption</w:t>
      </w:r>
      <w:r w:rsidR="00D1601A">
        <w:t>,</w:t>
      </w:r>
      <w:r>
        <w:t xml:space="preserve"> which is unsustainable in the long run. It should also be noted that domestic gas production will peak in 2018 and decline thereafter as the Bibiyana field, which accounts for nearly 40% of gas supply, is nearing depletion. The shortage in gas supply requires that </w:t>
      </w:r>
      <w:r w:rsidR="004F1E74">
        <w:t xml:space="preserve">GOB </w:t>
      </w:r>
      <w:r>
        <w:t xml:space="preserve">allocate the </w:t>
      </w:r>
      <w:r w:rsidR="00D1601A">
        <w:t xml:space="preserve">scarce </w:t>
      </w:r>
      <w:r>
        <w:t xml:space="preserve">gas </w:t>
      </w:r>
      <w:r w:rsidR="00D1601A">
        <w:t xml:space="preserve">resource </w:t>
      </w:r>
      <w:r>
        <w:t xml:space="preserve">through a policy intervention. Today, gas use by the fertilizer sector is </w:t>
      </w:r>
      <w:r w:rsidR="00D1601A">
        <w:t xml:space="preserve">rationed </w:t>
      </w:r>
      <w:r>
        <w:t xml:space="preserve">during the summer months when electricity demand is higher. This policy intervention will be further tested when domestic supply begins to decline.  </w:t>
      </w:r>
    </w:p>
    <w:p w14:paraId="30F15460" w14:textId="77777777" w:rsidR="009462EF" w:rsidRDefault="009462EF" w:rsidP="009462EF">
      <w:pPr>
        <w:pStyle w:val="ListParagraph"/>
        <w:spacing w:line="240" w:lineRule="auto"/>
        <w:ind w:left="0"/>
        <w:jc w:val="both"/>
      </w:pPr>
    </w:p>
    <w:p w14:paraId="0963CB5C" w14:textId="7A0B0FC6" w:rsidR="00224701" w:rsidRDefault="00401C35" w:rsidP="009462EF">
      <w:pPr>
        <w:pStyle w:val="ListParagraph"/>
        <w:numPr>
          <w:ilvl w:val="0"/>
          <w:numId w:val="1"/>
        </w:numPr>
        <w:spacing w:line="240" w:lineRule="auto"/>
        <w:ind w:left="0" w:firstLine="0"/>
        <w:jc w:val="both"/>
      </w:pPr>
      <w:r>
        <w:rPr>
          <w:b/>
        </w:rPr>
        <w:t>LNG imports will substantially increase the average cost of gas supplied to the power sector</w:t>
      </w:r>
      <w:r w:rsidR="00ED33D9">
        <w:rPr>
          <w:b/>
        </w:rPr>
        <w:t xml:space="preserve"> since</w:t>
      </w:r>
      <w:r w:rsidR="00427012">
        <w:rPr>
          <w:b/>
        </w:rPr>
        <w:t xml:space="preserve"> LNG </w:t>
      </w:r>
      <w:r w:rsidR="00ED33D9">
        <w:rPr>
          <w:b/>
        </w:rPr>
        <w:t xml:space="preserve">will replace cheap domestic gas </w:t>
      </w:r>
      <w:r w:rsidR="00427012">
        <w:rPr>
          <w:b/>
        </w:rPr>
        <w:t xml:space="preserve">in </w:t>
      </w:r>
      <w:r w:rsidR="00ED33D9">
        <w:rPr>
          <w:b/>
        </w:rPr>
        <w:t xml:space="preserve">existing </w:t>
      </w:r>
      <w:r w:rsidR="00224701">
        <w:t>gas fired plants</w:t>
      </w:r>
      <w:r w:rsidR="00172DA0">
        <w:t xml:space="preserve">. </w:t>
      </w:r>
      <w:r w:rsidR="00224701">
        <w:t xml:space="preserve"> Currently, the power sector pays US$1.05/mcf for natural gas supplied. This figure will have t</w:t>
      </w:r>
      <w:r>
        <w:t>o increase in the future when LNG</w:t>
      </w:r>
      <w:r w:rsidR="00224701">
        <w:t xml:space="preserve"> become</w:t>
      </w:r>
      <w:r>
        <w:t>s</w:t>
      </w:r>
      <w:r w:rsidR="00224701">
        <w:t xml:space="preserve"> part of the supply mix. LNG landed prices average US$6-7/mcf into India, which reflects the costs Bangladesh should expect. </w:t>
      </w:r>
      <w:r>
        <w:t xml:space="preserve">The model assumes that domestic gas supplied to the power sector will peak at 910mmcf/d in 2018 and then decline at a rate of 5% per annum. LNG imports </w:t>
      </w:r>
      <w:r w:rsidR="00D1601A">
        <w:t xml:space="preserve">are expected to </w:t>
      </w:r>
      <w:r>
        <w:t xml:space="preserve">begin in 2018 with 500mmcf daily imports on average. The reliance on LNG imports </w:t>
      </w:r>
      <w:r w:rsidR="00172DA0">
        <w:t xml:space="preserve">for power generation </w:t>
      </w:r>
      <w:r>
        <w:t>is expected to decline when the proposed coa</w:t>
      </w:r>
      <w:r w:rsidR="00884436">
        <w:t xml:space="preserve">l fired plants come online in 2020. Thereafter, LNG imports will have to gradually replace domestic supply. </w:t>
      </w:r>
      <w:r w:rsidR="00270CEE">
        <w:t>This analysis</w:t>
      </w:r>
      <w:r w:rsidR="00172DA0">
        <w:t xml:space="preserve"> has</w:t>
      </w:r>
      <w:r w:rsidR="00270CEE">
        <w:t xml:space="preserve"> relied on LNG price forecasts by the World Bank</w:t>
      </w:r>
      <w:r w:rsidR="00D1601A">
        <w:t>,</w:t>
      </w:r>
      <w:r w:rsidR="00270CEE">
        <w:t xml:space="preserve"> which projects that LNG prices will rise to US$14/mcf by 2025. </w:t>
      </w:r>
      <w:r w:rsidR="00172DA0">
        <w:t xml:space="preserve"> </w:t>
      </w:r>
      <w:r w:rsidR="00270CEE">
        <w:t>As result of rising LNG prices and increasing share of gas imports in domestic supply, the weighted average cost of gas will rise to US$8.8/mcf in 2025 from the current US$1.05/mcf.</w:t>
      </w:r>
    </w:p>
    <w:p w14:paraId="547D39F3" w14:textId="77777777" w:rsidR="00401C35" w:rsidRDefault="00401C35" w:rsidP="00E01394">
      <w:pPr>
        <w:spacing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7"/>
        <w:gridCol w:w="4723"/>
      </w:tblGrid>
      <w:tr w:rsidR="00884436" w14:paraId="4F3A855E" w14:textId="77777777" w:rsidTr="00F74925">
        <w:tc>
          <w:tcPr>
            <w:tcW w:w="6168" w:type="dxa"/>
          </w:tcPr>
          <w:p w14:paraId="6324FB96" w14:textId="045F8CEE" w:rsidR="00401C35" w:rsidRPr="002279E7" w:rsidRDefault="00401C35" w:rsidP="00E01394">
            <w:pPr>
              <w:pStyle w:val="Caption"/>
              <w:keepNext/>
              <w:jc w:val="both"/>
              <w:rPr>
                <w:sz w:val="20"/>
              </w:rPr>
            </w:pPr>
            <w:r w:rsidRPr="002279E7">
              <w:rPr>
                <w:sz w:val="20"/>
              </w:rPr>
              <w:t>Figure 14: Gas Production Forecast in Bangladesh</w:t>
            </w:r>
            <w:r w:rsidR="002279E7">
              <w:rPr>
                <w:sz w:val="20"/>
              </w:rPr>
              <w:t xml:space="preserve"> (mmcf/d)</w:t>
            </w:r>
          </w:p>
          <w:p w14:paraId="1CD4A14E" w14:textId="79E5226B" w:rsidR="00401C35" w:rsidRDefault="00F74925" w:rsidP="00E01394">
            <w:pPr>
              <w:keepNext/>
              <w:jc w:val="both"/>
            </w:pPr>
            <w:r>
              <w:rPr>
                <w:noProof/>
              </w:rPr>
              <w:drawing>
                <wp:inline distT="0" distB="0" distL="0" distR="0" wp14:anchorId="66664EB1" wp14:editId="7E9AB3B7">
                  <wp:extent cx="2914650" cy="22098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3192" w:type="dxa"/>
          </w:tcPr>
          <w:p w14:paraId="243CF1D3" w14:textId="77777777" w:rsidR="00401C35" w:rsidRPr="002279E7" w:rsidRDefault="00401C35" w:rsidP="00E01394">
            <w:pPr>
              <w:pStyle w:val="Caption"/>
              <w:keepNext/>
              <w:jc w:val="both"/>
              <w:rPr>
                <w:sz w:val="20"/>
              </w:rPr>
            </w:pPr>
            <w:r w:rsidRPr="002279E7">
              <w:rPr>
                <w:sz w:val="20"/>
              </w:rPr>
              <w:t>Figure 15: Gas Supply and Cost of Supply Projections</w:t>
            </w:r>
          </w:p>
          <w:p w14:paraId="5115DFE0" w14:textId="521B7F40" w:rsidR="00401C35" w:rsidRDefault="003041B7" w:rsidP="005C1AAE">
            <w:r>
              <w:rPr>
                <w:noProof/>
              </w:rPr>
              <w:drawing>
                <wp:inline distT="0" distB="0" distL="0" distR="0" wp14:anchorId="03ED9CB6" wp14:editId="2DD7AAD5">
                  <wp:extent cx="2971800" cy="2486025"/>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131B3DB2" w14:textId="6C4B419D" w:rsidR="00401C35" w:rsidRDefault="00172DA0" w:rsidP="00E01394">
      <w:pPr>
        <w:spacing w:line="240" w:lineRule="auto"/>
        <w:jc w:val="both"/>
      </w:pPr>
      <w:r>
        <w:t xml:space="preserve">Source: </w:t>
      </w:r>
    </w:p>
    <w:p w14:paraId="171A8146" w14:textId="77777777" w:rsidR="003B0191" w:rsidRDefault="003B0191" w:rsidP="00E01394">
      <w:pPr>
        <w:pStyle w:val="Heading2"/>
        <w:jc w:val="both"/>
      </w:pPr>
      <w:r>
        <w:t>Scenario Analysis</w:t>
      </w:r>
    </w:p>
    <w:p w14:paraId="1B1CA07D" w14:textId="77777777" w:rsidR="00427012" w:rsidRPr="00427012" w:rsidRDefault="00427012" w:rsidP="00500584"/>
    <w:p w14:paraId="1B1A4FEA" w14:textId="74AFA589" w:rsidR="00B56BD4" w:rsidRDefault="00B56BD4" w:rsidP="00500584">
      <w:pPr>
        <w:pStyle w:val="ListParagraph"/>
        <w:numPr>
          <w:ilvl w:val="0"/>
          <w:numId w:val="1"/>
        </w:numPr>
        <w:spacing w:after="0" w:line="240" w:lineRule="auto"/>
        <w:ind w:left="0" w:firstLine="0"/>
        <w:jc w:val="both"/>
      </w:pPr>
      <w:r w:rsidRPr="00B56BD4">
        <w:rPr>
          <w:b/>
        </w:rPr>
        <w:t xml:space="preserve">The financial model is </w:t>
      </w:r>
      <w:r>
        <w:rPr>
          <w:b/>
        </w:rPr>
        <w:t xml:space="preserve">now </w:t>
      </w:r>
      <w:r w:rsidRPr="00B56BD4">
        <w:rPr>
          <w:b/>
        </w:rPr>
        <w:t xml:space="preserve">used to project </w:t>
      </w:r>
      <w:r w:rsidR="000A434C">
        <w:rPr>
          <w:b/>
        </w:rPr>
        <w:t xml:space="preserve">the evolution of </w:t>
      </w:r>
      <w:r w:rsidRPr="00B56BD4">
        <w:rPr>
          <w:b/>
        </w:rPr>
        <w:t>power generation costs under various generation expansion</w:t>
      </w:r>
      <w:r>
        <w:rPr>
          <w:b/>
        </w:rPr>
        <w:t>, tariff</w:t>
      </w:r>
      <w:r w:rsidRPr="00B56BD4">
        <w:rPr>
          <w:b/>
        </w:rPr>
        <w:t xml:space="preserve"> and other scenarios</w:t>
      </w:r>
      <w:r>
        <w:rPr>
          <w:b/>
        </w:rPr>
        <w:t xml:space="preserve"> to come up with the </w:t>
      </w:r>
      <w:r w:rsidRPr="00B56BD4">
        <w:rPr>
          <w:b/>
        </w:rPr>
        <w:t xml:space="preserve">sector financial deficit </w:t>
      </w:r>
      <w:r>
        <w:rPr>
          <w:b/>
        </w:rPr>
        <w:t>and need for state support</w:t>
      </w:r>
      <w:r w:rsidR="000A434C">
        <w:rPr>
          <w:b/>
        </w:rPr>
        <w:t xml:space="preserve"> or changes to tariffs, etc</w:t>
      </w:r>
      <w:r w:rsidRPr="00B56BD4">
        <w:rPr>
          <w:b/>
        </w:rPr>
        <w:t>.</w:t>
      </w:r>
      <w:r>
        <w:t xml:space="preserve">  </w:t>
      </w:r>
      <w:r w:rsidR="000A434C">
        <w:t xml:space="preserve">This permits identification of </w:t>
      </w:r>
      <w:r>
        <w:t>appropriate actions for BPDB, including limiting the addition of high cost generation and/or applying to the regulator for tariff changes, etc.</w:t>
      </w:r>
    </w:p>
    <w:p w14:paraId="444B9D15" w14:textId="77777777" w:rsidR="00B56BD4" w:rsidRPr="00B56BD4" w:rsidRDefault="00B56BD4" w:rsidP="00B56BD4">
      <w:pPr>
        <w:spacing w:after="0" w:line="240" w:lineRule="auto"/>
        <w:jc w:val="both"/>
      </w:pPr>
    </w:p>
    <w:p w14:paraId="04006F64" w14:textId="4377C118" w:rsidR="00500584" w:rsidRPr="00500584" w:rsidRDefault="00500584" w:rsidP="00500584">
      <w:pPr>
        <w:pStyle w:val="ListParagraph"/>
        <w:numPr>
          <w:ilvl w:val="0"/>
          <w:numId w:val="1"/>
        </w:numPr>
        <w:spacing w:after="0" w:line="240" w:lineRule="auto"/>
        <w:ind w:left="0" w:firstLine="0"/>
        <w:jc w:val="both"/>
      </w:pPr>
      <w:r w:rsidRPr="00500584">
        <w:rPr>
          <w:b/>
        </w:rPr>
        <w:t>The model was used to analyze the following scenarios</w:t>
      </w:r>
      <w:r>
        <w:t xml:space="preserve">: (i) </w:t>
      </w:r>
      <w:r w:rsidR="00D71FC3">
        <w:t xml:space="preserve">Import of LNG – resulting in a weighted average price of gas that gradually approaches the international price; (ii) </w:t>
      </w:r>
      <w:r w:rsidR="005366B1">
        <w:t>Pricing domestic gas at its economic cost (i.e., equal to the price of imported LNG); (ii</w:t>
      </w:r>
      <w:r w:rsidR="00D71FC3">
        <w:t>i</w:t>
      </w:r>
      <w:r w:rsidR="005366B1">
        <w:t>) Delay</w:t>
      </w:r>
      <w:r w:rsidR="00D71FC3">
        <w:t xml:space="preserve"> of 3 years (to 2021)</w:t>
      </w:r>
      <w:r w:rsidR="005366B1">
        <w:t xml:space="preserve"> in </w:t>
      </w:r>
      <w:r w:rsidR="00D71FC3">
        <w:t xml:space="preserve">LNG imports materializing; (iv) Delay in </w:t>
      </w:r>
      <w:r w:rsidR="005366B1">
        <w:t xml:space="preserve">coal coming online by 5 years (i.e., instead of </w:t>
      </w:r>
      <w:r w:rsidR="00B56BD4">
        <w:t xml:space="preserve">2020, coal </w:t>
      </w:r>
      <w:r w:rsidR="000A434C">
        <w:t xml:space="preserve">becomes 20% of the generation mix </w:t>
      </w:r>
      <w:r w:rsidR="00D71FC3">
        <w:t>in 2025); (v</w:t>
      </w:r>
      <w:r w:rsidR="00B56BD4">
        <w:t xml:space="preserve">) </w:t>
      </w:r>
      <w:r w:rsidR="00D71FC3">
        <w:t xml:space="preserve">Implementing a carbon tax on power generation.  </w:t>
      </w:r>
    </w:p>
    <w:p w14:paraId="75FAF579" w14:textId="77777777" w:rsidR="00500584" w:rsidRPr="00500584" w:rsidRDefault="00500584" w:rsidP="00500584">
      <w:pPr>
        <w:spacing w:after="0" w:line="240" w:lineRule="auto"/>
        <w:jc w:val="both"/>
      </w:pPr>
    </w:p>
    <w:p w14:paraId="5BE45F9E" w14:textId="35116727" w:rsidR="003B0191" w:rsidRDefault="003B0191" w:rsidP="00500584">
      <w:pPr>
        <w:pStyle w:val="ListParagraph"/>
        <w:numPr>
          <w:ilvl w:val="0"/>
          <w:numId w:val="1"/>
        </w:numPr>
        <w:spacing w:after="0" w:line="240" w:lineRule="auto"/>
        <w:ind w:left="0" w:firstLine="0"/>
        <w:jc w:val="both"/>
      </w:pPr>
      <w:r w:rsidRPr="00017EEA">
        <w:rPr>
          <w:b/>
        </w:rPr>
        <w:t xml:space="preserve">Sector deficit will be much higher in the event </w:t>
      </w:r>
      <w:r w:rsidR="005366B1">
        <w:rPr>
          <w:b/>
        </w:rPr>
        <w:t xml:space="preserve">domestic </w:t>
      </w:r>
      <w:r w:rsidRPr="00017EEA">
        <w:rPr>
          <w:b/>
        </w:rPr>
        <w:t>natural gas prices were to increase to match alternative fuel</w:t>
      </w:r>
      <w:r w:rsidR="004E42AF">
        <w:rPr>
          <w:b/>
        </w:rPr>
        <w:t xml:space="preserve"> prices</w:t>
      </w:r>
      <w:r w:rsidRPr="00017EEA">
        <w:rPr>
          <w:b/>
        </w:rPr>
        <w:t xml:space="preserve">. </w:t>
      </w:r>
      <w:r w:rsidR="00C3709A">
        <w:t xml:space="preserve">An increase in gas prices remains inevitable as Bangladesh is looking to import LNG at higher costs. Gas is also severely underpriced compared to alternative fuels. </w:t>
      </w:r>
      <w:r w:rsidR="00B053F9">
        <w:t xml:space="preserve">Users of gas for transport (through compressed natural gas, </w:t>
      </w:r>
      <w:r w:rsidR="00C3709A" w:rsidRPr="00C3709A">
        <w:t>CNG</w:t>
      </w:r>
      <w:r w:rsidR="00B053F9">
        <w:t xml:space="preserve">) </w:t>
      </w:r>
      <w:r w:rsidR="00C3709A" w:rsidRPr="00C3709A">
        <w:t>already pay US$13</w:t>
      </w:r>
      <w:r w:rsidR="00C3709A">
        <w:t>/mmbtu</w:t>
      </w:r>
      <w:r w:rsidR="00C3709A" w:rsidRPr="00C3709A">
        <w:t xml:space="preserve"> for gas use</w:t>
      </w:r>
      <w:r w:rsidR="00846444">
        <w:t xml:space="preserve"> (which is still below </w:t>
      </w:r>
      <w:r w:rsidR="00C3709A" w:rsidRPr="00C3709A">
        <w:t>the price of</w:t>
      </w:r>
      <w:r w:rsidR="00C3709A">
        <w:rPr>
          <w:b/>
        </w:rPr>
        <w:t xml:space="preserve"> </w:t>
      </w:r>
      <w:r w:rsidR="00C3709A">
        <w:t>diesel</w:t>
      </w:r>
      <w:r w:rsidR="00846444">
        <w:t>)</w:t>
      </w:r>
      <w:r w:rsidR="00C3709A">
        <w:t xml:space="preserve">. </w:t>
      </w:r>
      <w:r>
        <w:t>If the natural gas price</w:t>
      </w:r>
      <w:r w:rsidR="00C3709A">
        <w:t xml:space="preserve"> </w:t>
      </w:r>
      <w:r w:rsidR="005366B1">
        <w:t xml:space="preserve">domestically </w:t>
      </w:r>
      <w:r w:rsidR="00C3709A">
        <w:t>was</w:t>
      </w:r>
      <w:r>
        <w:t xml:space="preserve"> to </w:t>
      </w:r>
      <w:r w:rsidR="00C3709A">
        <w:t>rise</w:t>
      </w:r>
      <w:r>
        <w:t xml:space="preserve"> gradually to </w:t>
      </w:r>
      <w:r w:rsidR="00330DDA">
        <w:t>match the price of fuel oil</w:t>
      </w:r>
      <w:r>
        <w:t xml:space="preserve"> (on energy equivalent basis) by </w:t>
      </w:r>
      <w:r w:rsidR="00BC4AD5">
        <w:t>202</w:t>
      </w:r>
      <w:r w:rsidR="00124449">
        <w:t>2</w:t>
      </w:r>
      <w:r>
        <w:t>, the cost of</w:t>
      </w:r>
      <w:r w:rsidR="00C3709A">
        <w:t xml:space="preserve"> </w:t>
      </w:r>
      <w:r w:rsidR="00172DA0">
        <w:t xml:space="preserve">power </w:t>
      </w:r>
      <w:r w:rsidR="00C3709A">
        <w:t xml:space="preserve">supply will rise </w:t>
      </w:r>
      <w:r w:rsidR="00330DDA">
        <w:t>above Tk1</w:t>
      </w:r>
      <w:r w:rsidR="00124449">
        <w:t>6</w:t>
      </w:r>
      <w:r w:rsidR="00BC4AD5">
        <w:t>.</w:t>
      </w:r>
      <w:r w:rsidR="00124449">
        <w:t>88</w:t>
      </w:r>
      <w:r>
        <w:t xml:space="preserve">/kWh (figure </w:t>
      </w:r>
      <w:r w:rsidR="00124449">
        <w:t>16</w:t>
      </w:r>
      <w:r>
        <w:t>) resulti</w:t>
      </w:r>
      <w:r w:rsidR="00330DDA">
        <w:t xml:space="preserve">ng in an annual deficit of Tk </w:t>
      </w:r>
      <w:r w:rsidR="00124449">
        <w:t>823.9</w:t>
      </w:r>
      <w:r w:rsidR="00BC4AD5">
        <w:t xml:space="preserve"> </w:t>
      </w:r>
      <w:r>
        <w:t>billion by 202</w:t>
      </w:r>
      <w:r w:rsidR="00124449">
        <w:t>2</w:t>
      </w:r>
      <w:r>
        <w:t xml:space="preserve"> in case of no tariff adjustments.</w:t>
      </w:r>
      <w:r w:rsidR="00330DDA">
        <w:t xml:space="preserve"> Correspondingly</w:t>
      </w:r>
      <w:r w:rsidR="00D1601A">
        <w:t>,</w:t>
      </w:r>
      <w:r w:rsidR="00330DDA">
        <w:t xml:space="preserve"> power tariffs would have to rise by 1</w:t>
      </w:r>
      <w:r w:rsidR="00124449">
        <w:t>6</w:t>
      </w:r>
      <w:r w:rsidR="00330DDA">
        <w:t>% per annum at a minimum to keep pace with the cost of gas supplied</w:t>
      </w:r>
      <w:r>
        <w:t>.</w:t>
      </w:r>
      <w:r w:rsidR="00C3709A">
        <w:t xml:space="preserve"> </w:t>
      </w:r>
    </w:p>
    <w:tbl>
      <w:tblPr>
        <w:tblStyle w:val="TableGrid"/>
        <w:tblpPr w:leftFromText="180" w:rightFromText="180" w:vertAnchor="text" w:horzAnchor="margin" w:tblpXSpec="center" w:tblpY="149"/>
        <w:tblW w:w="9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3"/>
      </w:tblGrid>
      <w:tr w:rsidR="005C1AAE" w14:paraId="6645E0DF" w14:textId="77777777" w:rsidTr="005C1AAE">
        <w:trPr>
          <w:trHeight w:val="1974"/>
        </w:trPr>
        <w:tc>
          <w:tcPr>
            <w:tcW w:w="9133" w:type="dxa"/>
          </w:tcPr>
          <w:p w14:paraId="3B27654A" w14:textId="364AC698" w:rsidR="005C1AAE" w:rsidRPr="005C1AAE" w:rsidRDefault="005C1AAE" w:rsidP="005C1AAE">
            <w:pPr>
              <w:pStyle w:val="Caption"/>
              <w:keepNext/>
              <w:rPr>
                <w:sz w:val="20"/>
              </w:rPr>
            </w:pPr>
            <w:r>
              <w:rPr>
                <w:sz w:val="20"/>
              </w:rPr>
              <w:t xml:space="preserve">       </w:t>
            </w:r>
            <w:r w:rsidRPr="005C1AAE">
              <w:rPr>
                <w:sz w:val="20"/>
              </w:rPr>
              <w:t>Figure 16: Generation and costs assuming that gas prices rise to equal fuel oil prices by 2022</w:t>
            </w:r>
          </w:p>
          <w:p w14:paraId="71659D26" w14:textId="77777777" w:rsidR="005C1AAE" w:rsidRDefault="005C1AAE" w:rsidP="005C1AAE">
            <w:pPr>
              <w:pStyle w:val="Caption"/>
              <w:keepNext/>
              <w:jc w:val="center"/>
              <w:rPr>
                <w:b w:val="0"/>
                <w:i/>
              </w:rPr>
            </w:pPr>
            <w:r>
              <w:rPr>
                <w:noProof/>
              </w:rPr>
              <w:drawing>
                <wp:inline distT="0" distB="0" distL="0" distR="0" wp14:anchorId="21D0AFB8" wp14:editId="56B27927">
                  <wp:extent cx="5514975" cy="2362200"/>
                  <wp:effectExtent l="0" t="0" r="0" b="0"/>
                  <wp:docPr id="35" name="Chart 3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4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63352403" w14:textId="77777777" w:rsidR="003B0191" w:rsidRPr="004A4C68" w:rsidRDefault="003B0191" w:rsidP="00E01394">
      <w:pPr>
        <w:spacing w:line="240" w:lineRule="auto"/>
        <w:jc w:val="both"/>
      </w:pPr>
    </w:p>
    <w:p w14:paraId="33A63156" w14:textId="156923A1" w:rsidR="000653EE" w:rsidRDefault="00C3709A" w:rsidP="009462EF">
      <w:pPr>
        <w:pStyle w:val="ListParagraph"/>
        <w:numPr>
          <w:ilvl w:val="0"/>
          <w:numId w:val="1"/>
        </w:numPr>
        <w:spacing w:line="240" w:lineRule="auto"/>
        <w:ind w:left="0" w:firstLine="0"/>
        <w:jc w:val="both"/>
      </w:pPr>
      <w:r w:rsidRPr="00C3709A">
        <w:rPr>
          <w:b/>
        </w:rPr>
        <w:t>Further delay</w:t>
      </w:r>
      <w:r>
        <w:rPr>
          <w:b/>
        </w:rPr>
        <w:t>s</w:t>
      </w:r>
      <w:r w:rsidRPr="00C3709A">
        <w:rPr>
          <w:b/>
        </w:rPr>
        <w:t xml:space="preserve"> in planned coal generation will severely limit grid supply of electricity and force an increase in oil based generation. </w:t>
      </w:r>
      <w:r>
        <w:t xml:space="preserve">The Power System Master Plan called for a significant rise in coal-based generation to address the strong growth in power demand and the expected drop in domestic gas supply. Coal generation capacity will need to grow from 200MW in </w:t>
      </w:r>
      <w:r w:rsidRPr="005366B1">
        <w:rPr>
          <w:highlight w:val="yellow"/>
        </w:rPr>
        <w:t>2015 to 9GW in 2025</w:t>
      </w:r>
      <w:r>
        <w:t xml:space="preserve"> and 15GW by 2030 according to the Master Plan. The ambitious plan has been adopted by </w:t>
      </w:r>
      <w:r w:rsidR="004F1E74">
        <w:t>GOB</w:t>
      </w:r>
      <w:r>
        <w:t xml:space="preserve">, yet implementing the plan to increase coal generation significantly continues to face several hurdles. Coal plants require </w:t>
      </w:r>
      <w:r w:rsidR="00AD17C0">
        <w:t xml:space="preserve">substantial </w:t>
      </w:r>
      <w:r>
        <w:t>capital investment. Bangladesh is also considering importing coal though it lacks the port infrastructure to do so. Domestic coal production remains limited to supplying coal to the Barakapuria plant and an increase in coal production has thus far remained difficult to achieve. As a result</w:t>
      </w:r>
      <w:r w:rsidR="00846444">
        <w:t>,</w:t>
      </w:r>
      <w:r>
        <w:t xml:space="preserve"> none of the mega coal projects, foreseen by the Master Plan, </w:t>
      </w:r>
      <w:r w:rsidR="00AD17C0">
        <w:t xml:space="preserve">has </w:t>
      </w:r>
      <w:r>
        <w:t xml:space="preserve">made significant progress towards implementation. Yet, power generation capacity based on imported coal is projected to reach </w:t>
      </w:r>
      <w:r w:rsidRPr="005366B1">
        <w:rPr>
          <w:highlight w:val="yellow"/>
        </w:rPr>
        <w:t>2.9GW by FY2020 and 5.2GW by FY2025 based</w:t>
      </w:r>
      <w:r>
        <w:t xml:space="preserve"> on plans for several new large-scale coal fired plants. If the planned projects get delayed by another two years, a generation surplus of 25% would turn into a deficit of 11%. If the delay in coal generation would be addressed through </w:t>
      </w:r>
      <w:r w:rsidR="00754076">
        <w:t xml:space="preserve">LNG imported for </w:t>
      </w:r>
      <w:r>
        <w:t xml:space="preserve">rental plants the average cost of unit sold would rise from </w:t>
      </w:r>
      <w:r w:rsidR="00124449">
        <w:t>12.51</w:t>
      </w:r>
      <w:r>
        <w:t>Tk/kWh to 13.06Tk/kWh in FY202</w:t>
      </w:r>
      <w:r w:rsidR="00124449">
        <w:t>5</w:t>
      </w:r>
      <w:r>
        <w:t xml:space="preserve">. </w:t>
      </w:r>
    </w:p>
    <w:p w14:paraId="6B79F118" w14:textId="77777777" w:rsidR="009462EF" w:rsidRPr="009462EF" w:rsidRDefault="009462EF" w:rsidP="009462EF">
      <w:pPr>
        <w:pStyle w:val="ListParagraph"/>
        <w:spacing w:line="240" w:lineRule="auto"/>
        <w:ind w:left="0"/>
        <w:jc w:val="both"/>
      </w:pPr>
    </w:p>
    <w:p w14:paraId="6A830546" w14:textId="7E3BC9E0" w:rsidR="00C3709A" w:rsidRDefault="00C3709A" w:rsidP="009462EF">
      <w:pPr>
        <w:pStyle w:val="ListParagraph"/>
        <w:numPr>
          <w:ilvl w:val="0"/>
          <w:numId w:val="1"/>
        </w:numPr>
        <w:spacing w:line="240" w:lineRule="auto"/>
        <w:ind w:left="0" w:firstLine="0"/>
        <w:jc w:val="both"/>
      </w:pPr>
      <w:r>
        <w:rPr>
          <w:b/>
        </w:rPr>
        <w:t xml:space="preserve">Delays in LNG will also increase the cost of generation as a result of the </w:t>
      </w:r>
      <w:r w:rsidR="00517198">
        <w:rPr>
          <w:b/>
        </w:rPr>
        <w:t>continued use of liquid fuel</w:t>
      </w:r>
      <w:r>
        <w:rPr>
          <w:b/>
        </w:rPr>
        <w:t xml:space="preserve">. </w:t>
      </w:r>
      <w:r>
        <w:t xml:space="preserve">According to </w:t>
      </w:r>
      <w:r w:rsidR="004F1E74">
        <w:t xml:space="preserve">GOB </w:t>
      </w:r>
      <w:r>
        <w:t xml:space="preserve">plans, the LNG import facility will open in the latter part of 2017 or in FY2018. </w:t>
      </w:r>
      <w:r w:rsidR="00846444">
        <w:t xml:space="preserve">The first LNG terminal (floating) is planned to start in 2018 supplying about </w:t>
      </w:r>
      <w:r>
        <w:t>300mmcf/d of</w:t>
      </w:r>
      <w:r w:rsidR="00846444">
        <w:t xml:space="preserve"> gas for </w:t>
      </w:r>
      <w:r>
        <w:t xml:space="preserve">power generation. Given that the implementation of the terminal has been delayed by several years and the planned 90km gas pipeline to the main network has yet to be constructed, there is a likelihood that LNG imports will be further postponed. A one-year delay in LNG imports </w:t>
      </w:r>
      <w:r w:rsidR="00AD17C0">
        <w:t xml:space="preserve">to 2019 </w:t>
      </w:r>
      <w:r>
        <w:t xml:space="preserve">would create a projected power shortage of 9% of total available generation. With 300mmcf/d </w:t>
      </w:r>
      <w:r w:rsidR="00AD17C0">
        <w:t xml:space="preserve">of </w:t>
      </w:r>
      <w:r>
        <w:t>gas an additional 12,000GWh of electricity</w:t>
      </w:r>
      <w:r w:rsidR="00AD17C0">
        <w:t xml:space="preserve"> will be generated</w:t>
      </w:r>
      <w:r>
        <w:t xml:space="preserve"> to the projected 37,000GWh in 2018. If </w:t>
      </w:r>
      <w:r w:rsidR="00846444">
        <w:t xml:space="preserve">LNG </w:t>
      </w:r>
      <w:r>
        <w:t>imports get delayed, then a portion of the 12,000GWh will have to be replaced with fuel oil based power.  The average cost o</w:t>
      </w:r>
      <w:r w:rsidR="00D750F5">
        <w:t xml:space="preserve">f </w:t>
      </w:r>
      <w:r w:rsidR="00BC4AD5">
        <w:t xml:space="preserve">power </w:t>
      </w:r>
      <w:r w:rsidR="00D750F5">
        <w:t xml:space="preserve">sold would increase from </w:t>
      </w:r>
      <w:r>
        <w:t>7.67Tk/KWh to 8.34Tk/kWh.</w:t>
      </w:r>
    </w:p>
    <w:p w14:paraId="0B083766" w14:textId="77777777" w:rsidR="00D750F5" w:rsidRDefault="00D750F5" w:rsidP="00D750F5">
      <w:pPr>
        <w:pStyle w:val="ListParagraph"/>
      </w:pPr>
    </w:p>
    <w:p w14:paraId="09BF7794" w14:textId="243CC6D9" w:rsidR="0007238C" w:rsidRDefault="00D750F5" w:rsidP="00D750F5">
      <w:pPr>
        <w:pStyle w:val="ListParagraph"/>
        <w:numPr>
          <w:ilvl w:val="0"/>
          <w:numId w:val="1"/>
        </w:numPr>
        <w:spacing w:line="240" w:lineRule="auto"/>
        <w:ind w:left="0" w:firstLine="0"/>
        <w:jc w:val="both"/>
        <w:rPr>
          <w:b/>
        </w:rPr>
      </w:pPr>
      <w:r w:rsidRPr="00D750F5">
        <w:rPr>
          <w:b/>
        </w:rPr>
        <w:t xml:space="preserve">Implementing a carbon tax on power generation will undoubtedly increase breakeven tariff rates. </w:t>
      </w:r>
      <w:r w:rsidR="00517198">
        <w:t xml:space="preserve">Incorporating the </w:t>
      </w:r>
      <w:r w:rsidR="00525249">
        <w:t xml:space="preserve">current </w:t>
      </w:r>
      <w:r w:rsidR="00517198">
        <w:t xml:space="preserve">social cost of carbon of </w:t>
      </w:r>
      <w:r>
        <w:t>US$</w:t>
      </w:r>
      <w:r w:rsidR="000553A4" w:rsidRPr="000553A4">
        <w:t>30</w:t>
      </w:r>
      <w:r w:rsidR="000553A4">
        <w:t xml:space="preserve">/tCO2 </w:t>
      </w:r>
      <w:r w:rsidR="00517198">
        <w:t xml:space="preserve">(increased to </w:t>
      </w:r>
      <w:r w:rsidR="000553A4">
        <w:t>US$42.5/tCO2 by 2025</w:t>
      </w:r>
      <w:r w:rsidR="00517198">
        <w:t xml:space="preserve"> as per World Bank estimates), the break-even </w:t>
      </w:r>
      <w:r w:rsidR="008B4853">
        <w:t xml:space="preserve">tariff </w:t>
      </w:r>
      <w:r w:rsidR="00517198">
        <w:t xml:space="preserve">needs to be increased by </w:t>
      </w:r>
      <w:r w:rsidR="008B4853">
        <w:t>Tk1.</w:t>
      </w:r>
      <w:r w:rsidR="00517198">
        <w:t>47</w:t>
      </w:r>
      <w:r w:rsidR="008B4853">
        <w:t>/kWh in 201</w:t>
      </w:r>
      <w:r w:rsidR="00517198">
        <w:t>7</w:t>
      </w:r>
      <w:r w:rsidR="008B4853">
        <w:t xml:space="preserve"> to Tk3.</w:t>
      </w:r>
      <w:r w:rsidR="00754076">
        <w:t>23</w:t>
      </w:r>
      <w:r w:rsidR="008B4853">
        <w:t xml:space="preserve">/kWh by 2025.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883"/>
      </w:tblGrid>
      <w:tr w:rsidR="00DA5013" w14:paraId="34D94025" w14:textId="77777777" w:rsidTr="00DB7A18">
        <w:trPr>
          <w:trHeight w:val="3068"/>
        </w:trPr>
        <w:tc>
          <w:tcPr>
            <w:tcW w:w="4477" w:type="dxa"/>
          </w:tcPr>
          <w:p w14:paraId="54710373" w14:textId="52E73FDB" w:rsidR="00D750F5" w:rsidRPr="00DA5013" w:rsidRDefault="00D750F5" w:rsidP="00AD17C0">
            <w:pPr>
              <w:pStyle w:val="Caption"/>
              <w:keepNext/>
              <w:jc w:val="both"/>
              <w:rPr>
                <w:sz w:val="20"/>
              </w:rPr>
            </w:pPr>
            <w:r w:rsidRPr="00DA5013">
              <w:rPr>
                <w:sz w:val="20"/>
              </w:rPr>
              <w:t>Figure 18: World Bank on the Social Cost of Carbon</w:t>
            </w:r>
            <w:r w:rsidR="00DA5013">
              <w:rPr>
                <w:sz w:val="20"/>
              </w:rPr>
              <w:t xml:space="preserve"> (US$/tCO2)</w:t>
            </w:r>
          </w:p>
          <w:p w14:paraId="0E9E28B9" w14:textId="43A9761F" w:rsidR="00D750F5" w:rsidRDefault="00DA5013" w:rsidP="00AD17C0">
            <w:pPr>
              <w:pStyle w:val="Caption"/>
              <w:keepNext/>
              <w:jc w:val="both"/>
              <w:rPr>
                <w:b w:val="0"/>
                <w:i/>
              </w:rPr>
            </w:pPr>
            <w:r>
              <w:rPr>
                <w:noProof/>
              </w:rPr>
              <w:drawing>
                <wp:inline distT="0" distB="0" distL="0" distR="0" wp14:anchorId="57255143" wp14:editId="63CD7F62">
                  <wp:extent cx="2895600" cy="2148840"/>
                  <wp:effectExtent l="0" t="0" r="0" b="3810"/>
                  <wp:docPr id="36" name="Chart 3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883" w:type="dxa"/>
          </w:tcPr>
          <w:p w14:paraId="648D01CB" w14:textId="1A409FA1" w:rsidR="00D750F5" w:rsidRPr="00DA5013" w:rsidRDefault="002279E7" w:rsidP="00AD17C0">
            <w:pPr>
              <w:pStyle w:val="Caption"/>
              <w:keepNext/>
              <w:jc w:val="both"/>
              <w:rPr>
                <w:sz w:val="20"/>
              </w:rPr>
            </w:pPr>
            <w:r>
              <w:rPr>
                <w:sz w:val="20"/>
              </w:rPr>
              <w:t xml:space="preserve">  </w:t>
            </w:r>
            <w:r w:rsidR="00D750F5" w:rsidRPr="00DA5013">
              <w:rPr>
                <w:sz w:val="20"/>
              </w:rPr>
              <w:t>Figure 19: Average Cost of Power with CO2 Tax</w:t>
            </w:r>
            <w:r w:rsidR="00DA5013">
              <w:rPr>
                <w:sz w:val="20"/>
              </w:rPr>
              <w:t xml:space="preserve"> (Tk/kWh)</w:t>
            </w:r>
          </w:p>
          <w:p w14:paraId="108AB89E" w14:textId="230990DD" w:rsidR="00D750F5" w:rsidRPr="004A4C68" w:rsidRDefault="00DA5013" w:rsidP="00AD17C0">
            <w:pPr>
              <w:pStyle w:val="Caption"/>
              <w:keepNext/>
              <w:jc w:val="both"/>
            </w:pPr>
            <w:r>
              <w:rPr>
                <w:noProof/>
              </w:rPr>
              <w:drawing>
                <wp:inline distT="0" distB="0" distL="0" distR="0" wp14:anchorId="410721E9" wp14:editId="1C28AB5E">
                  <wp:extent cx="3171825" cy="2181225"/>
                  <wp:effectExtent l="0" t="0" r="0" b="0"/>
                  <wp:docPr id="37" name="Chart 3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6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279BEC65" w14:textId="7CE4EC3B" w:rsidR="00DB7A18" w:rsidRDefault="00DB7A18" w:rsidP="00025DD3">
      <w:pPr>
        <w:pStyle w:val="ListParagraph"/>
        <w:numPr>
          <w:ilvl w:val="0"/>
          <w:numId w:val="1"/>
        </w:numPr>
        <w:spacing w:after="0" w:line="240" w:lineRule="auto"/>
        <w:ind w:left="0" w:firstLine="0"/>
        <w:jc w:val="both"/>
        <w:rPr>
          <w:b/>
          <w:bCs/>
        </w:rPr>
      </w:pPr>
      <w:r w:rsidRPr="00DB7A18">
        <w:rPr>
          <w:bCs/>
        </w:rPr>
        <w:t xml:space="preserve">The </w:t>
      </w:r>
      <w:r>
        <w:rPr>
          <w:b/>
          <w:bCs/>
        </w:rPr>
        <w:t>Table below summarizes the results of the scenarios analyz</w:t>
      </w:r>
      <w:r w:rsidR="00025DD3">
        <w:rPr>
          <w:b/>
          <w:bCs/>
        </w:rPr>
        <w:t xml:space="preserve">ed in this paper.  </w:t>
      </w:r>
      <w:r w:rsidR="00025DD3" w:rsidRPr="00025DD3">
        <w:rPr>
          <w:bCs/>
        </w:rPr>
        <w:t>As can be seen</w:t>
      </w:r>
      <w:r w:rsidR="00025DD3">
        <w:rPr>
          <w:b/>
          <w:bCs/>
        </w:rPr>
        <w:t xml:space="preserve"> …</w:t>
      </w:r>
    </w:p>
    <w:p w14:paraId="6E8F8B6D" w14:textId="77777777" w:rsidR="00025DD3" w:rsidRDefault="00025DD3" w:rsidP="00025DD3">
      <w:pPr>
        <w:spacing w:after="0" w:line="240" w:lineRule="auto"/>
        <w:jc w:val="both"/>
        <w:rPr>
          <w:bCs/>
        </w:rPr>
      </w:pPr>
      <w:r w:rsidRPr="00025DD3">
        <w:rPr>
          <w:bCs/>
        </w:rPr>
        <w:t xml:space="preserve"> </w:t>
      </w:r>
    </w:p>
    <w:p w14:paraId="0DE0B3D5" w14:textId="159A6933" w:rsidR="00025DD3" w:rsidRDefault="00025DD3" w:rsidP="00025DD3">
      <w:pPr>
        <w:spacing w:after="0" w:line="240" w:lineRule="auto"/>
        <w:jc w:val="both"/>
        <w:rPr>
          <w:bCs/>
        </w:rPr>
      </w:pPr>
      <w:r>
        <w:rPr>
          <w:bCs/>
        </w:rPr>
        <w:t xml:space="preserve">Table XX.  </w:t>
      </w:r>
    </w:p>
    <w:p w14:paraId="78D88A72" w14:textId="77777777" w:rsidR="00025DD3" w:rsidRPr="00025DD3" w:rsidRDefault="00025DD3" w:rsidP="00025DD3">
      <w:pPr>
        <w:spacing w:after="0" w:line="240" w:lineRule="auto"/>
        <w:jc w:val="both"/>
        <w:rPr>
          <w:bCs/>
        </w:rPr>
      </w:pPr>
    </w:p>
    <w:tbl>
      <w:tblPr>
        <w:tblStyle w:val="TableGrid"/>
        <w:tblW w:w="9625" w:type="dxa"/>
        <w:tblLook w:val="04A0" w:firstRow="1" w:lastRow="0" w:firstColumn="1" w:lastColumn="0" w:noHBand="0" w:noVBand="1"/>
      </w:tblPr>
      <w:tblGrid>
        <w:gridCol w:w="2785"/>
        <w:gridCol w:w="2250"/>
        <w:gridCol w:w="2430"/>
        <w:gridCol w:w="2160"/>
      </w:tblGrid>
      <w:tr w:rsidR="00025DD3" w:rsidRPr="00025DD3" w14:paraId="7FEE20C4" w14:textId="77777777" w:rsidTr="00025DD3">
        <w:tc>
          <w:tcPr>
            <w:tcW w:w="2785" w:type="dxa"/>
          </w:tcPr>
          <w:p w14:paraId="5DF93233" w14:textId="5E2C0135" w:rsidR="00025DD3" w:rsidRPr="00025DD3" w:rsidRDefault="00025DD3" w:rsidP="00025DD3">
            <w:pPr>
              <w:jc w:val="both"/>
              <w:rPr>
                <w:bCs/>
              </w:rPr>
            </w:pPr>
            <w:r>
              <w:rPr>
                <w:bCs/>
              </w:rPr>
              <w:t>Scenario</w:t>
            </w:r>
          </w:p>
        </w:tc>
        <w:tc>
          <w:tcPr>
            <w:tcW w:w="2250" w:type="dxa"/>
          </w:tcPr>
          <w:p w14:paraId="3C07BEC5" w14:textId="117ED533" w:rsidR="00025DD3" w:rsidRPr="00025DD3" w:rsidRDefault="00025DD3" w:rsidP="00025DD3">
            <w:pPr>
              <w:jc w:val="both"/>
              <w:rPr>
                <w:bCs/>
              </w:rPr>
            </w:pPr>
            <w:r>
              <w:rPr>
                <w:bCs/>
              </w:rPr>
              <w:t>Cost of Power Generation</w:t>
            </w:r>
          </w:p>
        </w:tc>
        <w:tc>
          <w:tcPr>
            <w:tcW w:w="2430" w:type="dxa"/>
          </w:tcPr>
          <w:p w14:paraId="5F84D1FC" w14:textId="1451DC77" w:rsidR="00025DD3" w:rsidRPr="00025DD3" w:rsidRDefault="00025DD3" w:rsidP="00025DD3">
            <w:pPr>
              <w:jc w:val="both"/>
              <w:rPr>
                <w:bCs/>
              </w:rPr>
            </w:pPr>
            <w:r>
              <w:rPr>
                <w:bCs/>
              </w:rPr>
              <w:t>Break-even Tariff</w:t>
            </w:r>
          </w:p>
        </w:tc>
        <w:tc>
          <w:tcPr>
            <w:tcW w:w="2160" w:type="dxa"/>
          </w:tcPr>
          <w:p w14:paraId="0578A211" w14:textId="01853852" w:rsidR="00025DD3" w:rsidRPr="00025DD3" w:rsidRDefault="00025DD3" w:rsidP="00025DD3">
            <w:pPr>
              <w:jc w:val="both"/>
              <w:rPr>
                <w:bCs/>
              </w:rPr>
            </w:pPr>
            <w:r>
              <w:rPr>
                <w:bCs/>
              </w:rPr>
              <w:t>Time to break-even</w:t>
            </w:r>
          </w:p>
        </w:tc>
      </w:tr>
      <w:tr w:rsidR="00025DD3" w:rsidRPr="00025DD3" w14:paraId="3D4EAFE0" w14:textId="77777777" w:rsidTr="00025DD3">
        <w:tc>
          <w:tcPr>
            <w:tcW w:w="2785" w:type="dxa"/>
          </w:tcPr>
          <w:p w14:paraId="6D6C010D" w14:textId="4F49D69D" w:rsidR="00025DD3" w:rsidRPr="00025DD3" w:rsidRDefault="00025DD3" w:rsidP="00025DD3">
            <w:pPr>
              <w:rPr>
                <w:bCs/>
              </w:rPr>
            </w:pPr>
            <w:r>
              <w:rPr>
                <w:bCs/>
              </w:rPr>
              <w:t>LNG imports delayed</w:t>
            </w:r>
          </w:p>
        </w:tc>
        <w:tc>
          <w:tcPr>
            <w:tcW w:w="2250" w:type="dxa"/>
          </w:tcPr>
          <w:p w14:paraId="637147AE" w14:textId="77777777" w:rsidR="00025DD3" w:rsidRPr="00025DD3" w:rsidRDefault="00025DD3" w:rsidP="00025DD3">
            <w:pPr>
              <w:jc w:val="both"/>
              <w:rPr>
                <w:bCs/>
              </w:rPr>
            </w:pPr>
          </w:p>
        </w:tc>
        <w:tc>
          <w:tcPr>
            <w:tcW w:w="2430" w:type="dxa"/>
          </w:tcPr>
          <w:p w14:paraId="7262A6DA" w14:textId="77777777" w:rsidR="00025DD3" w:rsidRPr="00025DD3" w:rsidRDefault="00025DD3" w:rsidP="00025DD3">
            <w:pPr>
              <w:jc w:val="both"/>
              <w:rPr>
                <w:bCs/>
              </w:rPr>
            </w:pPr>
          </w:p>
        </w:tc>
        <w:tc>
          <w:tcPr>
            <w:tcW w:w="2160" w:type="dxa"/>
          </w:tcPr>
          <w:p w14:paraId="4DA7E6D1" w14:textId="77777777" w:rsidR="00025DD3" w:rsidRPr="00025DD3" w:rsidRDefault="00025DD3" w:rsidP="00025DD3">
            <w:pPr>
              <w:jc w:val="both"/>
              <w:rPr>
                <w:bCs/>
              </w:rPr>
            </w:pPr>
          </w:p>
        </w:tc>
      </w:tr>
      <w:tr w:rsidR="00025DD3" w:rsidRPr="00025DD3" w14:paraId="5B9357FF" w14:textId="77777777" w:rsidTr="00025DD3">
        <w:tc>
          <w:tcPr>
            <w:tcW w:w="2785" w:type="dxa"/>
          </w:tcPr>
          <w:p w14:paraId="0EBDF6F3" w14:textId="77777777" w:rsidR="00025DD3" w:rsidRPr="00025DD3" w:rsidRDefault="00025DD3" w:rsidP="00025DD3">
            <w:pPr>
              <w:jc w:val="both"/>
              <w:rPr>
                <w:bCs/>
              </w:rPr>
            </w:pPr>
          </w:p>
        </w:tc>
        <w:tc>
          <w:tcPr>
            <w:tcW w:w="2250" w:type="dxa"/>
          </w:tcPr>
          <w:p w14:paraId="28B78233" w14:textId="77777777" w:rsidR="00025DD3" w:rsidRPr="00025DD3" w:rsidRDefault="00025DD3" w:rsidP="00025DD3">
            <w:pPr>
              <w:jc w:val="both"/>
              <w:rPr>
                <w:bCs/>
              </w:rPr>
            </w:pPr>
          </w:p>
        </w:tc>
        <w:tc>
          <w:tcPr>
            <w:tcW w:w="2430" w:type="dxa"/>
          </w:tcPr>
          <w:p w14:paraId="69E8C701" w14:textId="77777777" w:rsidR="00025DD3" w:rsidRPr="00025DD3" w:rsidRDefault="00025DD3" w:rsidP="00025DD3">
            <w:pPr>
              <w:jc w:val="both"/>
              <w:rPr>
                <w:bCs/>
              </w:rPr>
            </w:pPr>
          </w:p>
        </w:tc>
        <w:tc>
          <w:tcPr>
            <w:tcW w:w="2160" w:type="dxa"/>
          </w:tcPr>
          <w:p w14:paraId="22275FCF" w14:textId="77777777" w:rsidR="00025DD3" w:rsidRPr="00025DD3" w:rsidRDefault="00025DD3" w:rsidP="00025DD3">
            <w:pPr>
              <w:jc w:val="both"/>
              <w:rPr>
                <w:bCs/>
              </w:rPr>
            </w:pPr>
          </w:p>
        </w:tc>
      </w:tr>
      <w:tr w:rsidR="00025DD3" w:rsidRPr="00025DD3" w14:paraId="57352686" w14:textId="77777777" w:rsidTr="00025DD3">
        <w:tc>
          <w:tcPr>
            <w:tcW w:w="2785" w:type="dxa"/>
          </w:tcPr>
          <w:p w14:paraId="3EA3BCA2" w14:textId="77777777" w:rsidR="00025DD3" w:rsidRPr="00025DD3" w:rsidRDefault="00025DD3" w:rsidP="00025DD3">
            <w:pPr>
              <w:jc w:val="both"/>
              <w:rPr>
                <w:bCs/>
              </w:rPr>
            </w:pPr>
          </w:p>
        </w:tc>
        <w:tc>
          <w:tcPr>
            <w:tcW w:w="2250" w:type="dxa"/>
          </w:tcPr>
          <w:p w14:paraId="2A887B61" w14:textId="77777777" w:rsidR="00025DD3" w:rsidRPr="00025DD3" w:rsidRDefault="00025DD3" w:rsidP="00025DD3">
            <w:pPr>
              <w:jc w:val="both"/>
              <w:rPr>
                <w:bCs/>
              </w:rPr>
            </w:pPr>
          </w:p>
        </w:tc>
        <w:tc>
          <w:tcPr>
            <w:tcW w:w="2430" w:type="dxa"/>
          </w:tcPr>
          <w:p w14:paraId="6E28A36A" w14:textId="77777777" w:rsidR="00025DD3" w:rsidRPr="00025DD3" w:rsidRDefault="00025DD3" w:rsidP="00025DD3">
            <w:pPr>
              <w:jc w:val="both"/>
              <w:rPr>
                <w:bCs/>
              </w:rPr>
            </w:pPr>
          </w:p>
        </w:tc>
        <w:tc>
          <w:tcPr>
            <w:tcW w:w="2160" w:type="dxa"/>
          </w:tcPr>
          <w:p w14:paraId="28120ACD" w14:textId="77777777" w:rsidR="00025DD3" w:rsidRPr="00025DD3" w:rsidRDefault="00025DD3" w:rsidP="00025DD3">
            <w:pPr>
              <w:jc w:val="both"/>
              <w:rPr>
                <w:bCs/>
              </w:rPr>
            </w:pPr>
          </w:p>
        </w:tc>
      </w:tr>
    </w:tbl>
    <w:p w14:paraId="33B7B0D3" w14:textId="1E9FABD3" w:rsidR="00DB7A18" w:rsidRPr="00025DD3" w:rsidRDefault="00DB7A18" w:rsidP="00025DD3">
      <w:pPr>
        <w:spacing w:after="0" w:line="240" w:lineRule="auto"/>
        <w:jc w:val="both"/>
        <w:rPr>
          <w:bCs/>
        </w:rPr>
      </w:pPr>
    </w:p>
    <w:p w14:paraId="25A364C9" w14:textId="77777777" w:rsidR="00D932FF" w:rsidRDefault="00D932FF">
      <w:pPr>
        <w:rPr>
          <w:rFonts w:asciiTheme="majorHAnsi" w:eastAsiaTheme="majorEastAsia" w:hAnsiTheme="majorHAnsi" w:cstheme="majorBidi"/>
          <w:b/>
          <w:bCs/>
          <w:color w:val="5B9BD5" w:themeColor="accent1"/>
          <w:sz w:val="26"/>
          <w:szCs w:val="26"/>
        </w:rPr>
      </w:pPr>
      <w:r>
        <w:br w:type="page"/>
      </w:r>
    </w:p>
    <w:p w14:paraId="17C829AD" w14:textId="66AA12E2" w:rsidR="00D750F5" w:rsidRPr="009D1F7D" w:rsidRDefault="009D1F7D" w:rsidP="009D1F7D">
      <w:pPr>
        <w:pStyle w:val="Heading2"/>
        <w:jc w:val="both"/>
      </w:pPr>
      <w:r w:rsidRPr="009D1F7D">
        <w:t>Conclusion</w:t>
      </w:r>
    </w:p>
    <w:p w14:paraId="4C3A99A3" w14:textId="77777777" w:rsidR="00D71FC3" w:rsidRDefault="00D71FC3" w:rsidP="00D71FC3">
      <w:pPr>
        <w:spacing w:line="240" w:lineRule="auto"/>
        <w:jc w:val="both"/>
      </w:pPr>
    </w:p>
    <w:p w14:paraId="59B6528E" w14:textId="0B9B845E" w:rsidR="00DB7A18" w:rsidRDefault="00D71FC3" w:rsidP="00D71FC3">
      <w:pPr>
        <w:pStyle w:val="ListParagraph"/>
        <w:numPr>
          <w:ilvl w:val="0"/>
          <w:numId w:val="1"/>
        </w:numPr>
        <w:spacing w:after="0" w:line="240" w:lineRule="auto"/>
        <w:ind w:left="0" w:firstLine="0"/>
        <w:jc w:val="both"/>
      </w:pPr>
      <w:r>
        <w:rPr>
          <w:b/>
        </w:rPr>
        <w:t>It appears from this analysis that t</w:t>
      </w:r>
      <w:r w:rsidRPr="00371AE8">
        <w:rPr>
          <w:b/>
        </w:rPr>
        <w:t xml:space="preserve">he </w:t>
      </w:r>
      <w:r>
        <w:rPr>
          <w:b/>
        </w:rPr>
        <w:t>power generation expansion plan of BPDB may be overly ambitious in terms of the timing of availability of low-cost power from large base-load plants</w:t>
      </w:r>
      <w:r w:rsidR="00DB7A18">
        <w:rPr>
          <w:b/>
        </w:rPr>
        <w:t xml:space="preserve">.  </w:t>
      </w:r>
      <w:r w:rsidR="00DB7A18" w:rsidRPr="00DB7A18">
        <w:t>T</w:t>
      </w:r>
      <w:r w:rsidRPr="00DB7A18">
        <w:t>hus</w:t>
      </w:r>
      <w:r w:rsidR="00DB7A18" w:rsidRPr="00DB7A18">
        <w:t>,</w:t>
      </w:r>
      <w:r w:rsidRPr="00DB7A18">
        <w:t xml:space="preserve"> the base-case scenario may be underestimating the role of liquid fuel-run plants and the resulting cost of power generation.  The </w:t>
      </w:r>
      <w:r w:rsidR="00DB7A18" w:rsidRPr="00DB7A18">
        <w:t>generation</w:t>
      </w:r>
      <w:r w:rsidRPr="00DB7A18">
        <w:t xml:space="preserve"> expansion </w:t>
      </w:r>
      <w:r w:rsidR="00DB7A18" w:rsidRPr="00DB7A18">
        <w:t xml:space="preserve">plan </w:t>
      </w:r>
      <w:r w:rsidRPr="00DB7A18">
        <w:t>of the BPDB assumes that share of coal in generation</w:t>
      </w:r>
      <w:r>
        <w:t xml:space="preserve"> will rise from the current 2% to 20% by 2020 and 40% by 2025.  Coal-based power projects are currently significantly delayed.  Similarly, a number of large gas-based power plants are also delayed.  As a result, the model likely underestimates the future importance of liquid fuels for power supply. Power from rental plants can be provided with minimum planning and the supply of fuels can be managed through the existing distribution network. On the other hand, the supply of additional coal and gas will require further investment in import capacity and/or additional infrastructure in extraction. The power sector will have to import more LNG than planned or rely more heavily on fuel oil in the future if investments in additional </w:t>
      </w:r>
      <w:r w:rsidR="00DB7A18">
        <w:t xml:space="preserve">domestic gas and coal </w:t>
      </w:r>
      <w:r>
        <w:t xml:space="preserve">supply and capacity do not materialize as planned.  </w:t>
      </w:r>
    </w:p>
    <w:p w14:paraId="0885871A" w14:textId="77777777" w:rsidR="00DB7A18" w:rsidRDefault="00DB7A18" w:rsidP="00DB7A18">
      <w:pPr>
        <w:spacing w:after="0" w:line="240" w:lineRule="auto"/>
        <w:jc w:val="both"/>
      </w:pPr>
    </w:p>
    <w:p w14:paraId="7CEEF5DD" w14:textId="4FFC500D" w:rsidR="009D1F7D" w:rsidRPr="00001B57" w:rsidRDefault="00D71FC3" w:rsidP="00DB7A18">
      <w:pPr>
        <w:pStyle w:val="ListParagraph"/>
        <w:numPr>
          <w:ilvl w:val="0"/>
          <w:numId w:val="1"/>
        </w:numPr>
        <w:spacing w:after="0" w:line="240" w:lineRule="auto"/>
        <w:ind w:left="0" w:firstLine="0"/>
        <w:jc w:val="both"/>
      </w:pPr>
      <w:r>
        <w:t xml:space="preserve">The sensitivity analyses presented in </w:t>
      </w:r>
      <w:r w:rsidR="00DB7A18">
        <w:t>this note show</w:t>
      </w:r>
      <w:r>
        <w:t xml:space="preserve"> the impact on generation costs from increased use of liquid fuel for meeting the </w:t>
      </w:r>
      <w:r w:rsidR="00DB7A18">
        <w:t xml:space="preserve">demand-supply gap occasioned by </w:t>
      </w:r>
      <w:r>
        <w:t xml:space="preserve">likely delays in </w:t>
      </w:r>
      <w:r w:rsidR="00DB7A18">
        <w:t xml:space="preserve">commissioning </w:t>
      </w:r>
      <w:r>
        <w:t xml:space="preserve">large base load power plants. </w:t>
      </w:r>
      <w:r w:rsidR="00DB7A18">
        <w:t xml:space="preserve"> </w:t>
      </w:r>
      <w:r w:rsidR="00001B57">
        <w:t>With the decrease in availability of low-cost domestic gas for power, costs of power generation is expected to increase in every possible fuel mix scenario.  Tariff adjustments will need to be continued so as to avoid the sector financial deficit grow</w:t>
      </w:r>
      <w:r w:rsidR="00DB7A18">
        <w:t>ing</w:t>
      </w:r>
      <w:r w:rsidR="00001B57">
        <w:t xml:space="preserve"> beyond the ability of GOB to absorb. </w:t>
      </w:r>
      <w:r w:rsidR="00DB7A18">
        <w:t xml:space="preserve">Increasing import of electricity initially from India and later tapping into the hydropower resources of Nepal and Bhutan could help Bangladesh reduce its dependence on high cost liquid fuel plants.  </w:t>
      </w:r>
    </w:p>
    <w:sectPr w:rsidR="009D1F7D" w:rsidRPr="00001B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C5262" w14:textId="77777777" w:rsidR="00AD17C0" w:rsidRDefault="00AD17C0" w:rsidP="00A85BEA">
      <w:pPr>
        <w:spacing w:after="0" w:line="240" w:lineRule="auto"/>
      </w:pPr>
      <w:r>
        <w:separator/>
      </w:r>
    </w:p>
  </w:endnote>
  <w:endnote w:type="continuationSeparator" w:id="0">
    <w:p w14:paraId="7C662510" w14:textId="77777777" w:rsidR="00AD17C0" w:rsidRDefault="00AD17C0" w:rsidP="00A85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31E29" w14:textId="77777777" w:rsidR="00AD17C0" w:rsidRDefault="00AD17C0" w:rsidP="00A85BEA">
      <w:pPr>
        <w:spacing w:after="0" w:line="240" w:lineRule="auto"/>
      </w:pPr>
      <w:r>
        <w:separator/>
      </w:r>
    </w:p>
  </w:footnote>
  <w:footnote w:type="continuationSeparator" w:id="0">
    <w:p w14:paraId="3183FB5B" w14:textId="77777777" w:rsidR="00AD17C0" w:rsidRDefault="00AD17C0" w:rsidP="00A85BEA">
      <w:pPr>
        <w:spacing w:after="0" w:line="240" w:lineRule="auto"/>
      </w:pPr>
      <w:r>
        <w:continuationSeparator/>
      </w:r>
    </w:p>
  </w:footnote>
  <w:footnote w:id="1">
    <w:p w14:paraId="6EF21EE4" w14:textId="0810CBBD" w:rsidR="00AD17C0" w:rsidRDefault="00AD17C0" w:rsidP="00165A5C">
      <w:pPr>
        <w:pStyle w:val="FootnoteText"/>
        <w:jc w:val="both"/>
      </w:pPr>
      <w:r>
        <w:rPr>
          <w:rStyle w:val="FootnoteReference"/>
        </w:rPr>
        <w:footnoteRef/>
      </w:r>
      <w:r>
        <w:t xml:space="preserve"> Prepared by Zubair Sadeque (Senior Energy Specialist) and Miklos Bankuti (consultant) </w:t>
      </w:r>
      <w:r w:rsidRPr="00D13D6B">
        <w:t>in the EEX Global Practice</w:t>
      </w:r>
      <w:r>
        <w:t xml:space="preserve"> at the World Bank.  </w:t>
      </w:r>
      <w:r w:rsidRPr="00D13D6B">
        <w:t xml:space="preserve">The authors gratefully acknowledge </w:t>
      </w:r>
      <w:r>
        <w:t>comments from</w:t>
      </w:r>
      <w:r w:rsidRPr="00D13D6B">
        <w:t xml:space="preserve"> </w:t>
      </w:r>
      <w:r>
        <w:t xml:space="preserve">Sudeshna Ghosh Banerjee </w:t>
      </w:r>
      <w:r w:rsidR="00662A14">
        <w:t xml:space="preserve">(Practice Manager) </w:t>
      </w:r>
      <w:r>
        <w:t xml:space="preserve">and Raihan Elahi </w:t>
      </w:r>
      <w:r w:rsidRPr="00D13D6B">
        <w:t>(</w:t>
      </w:r>
      <w:r>
        <w:t>Lead</w:t>
      </w:r>
      <w:r w:rsidRPr="00D13D6B">
        <w:t xml:space="preserve"> Energy Specialist) at the World Bank. </w:t>
      </w:r>
      <w:r>
        <w:t xml:space="preserve"> </w:t>
      </w:r>
      <w:r w:rsidRPr="00D13D6B">
        <w:t>This paper is part of a larger analytical effort examining the performance of the energy sector in Bangladesh led by Sheoli Pargal</w:t>
      </w:r>
      <w:r>
        <w:t xml:space="preserve"> (Lead Economist)</w:t>
      </w:r>
      <w:r w:rsidRPr="00D13D6B">
        <w:t>.</w:t>
      </w:r>
      <w:r>
        <w:t xml:space="preserve"> </w:t>
      </w:r>
    </w:p>
  </w:footnote>
  <w:footnote w:id="2">
    <w:p w14:paraId="3B352A4B" w14:textId="1D97EC99" w:rsidR="00AD17C0" w:rsidRDefault="00AD17C0">
      <w:pPr>
        <w:pStyle w:val="FootnoteText"/>
      </w:pPr>
      <w:r>
        <w:rPr>
          <w:rStyle w:val="FootnoteReference"/>
        </w:rPr>
        <w:footnoteRef/>
      </w:r>
      <w:r>
        <w:t xml:space="preserve"> All years are July-June fiscal years. </w:t>
      </w:r>
    </w:p>
  </w:footnote>
  <w:footnote w:id="3">
    <w:p w14:paraId="1C1E158F" w14:textId="065FCA1F" w:rsidR="00AD17C0" w:rsidRDefault="00AD17C0">
      <w:pPr>
        <w:pStyle w:val="FootnoteText"/>
      </w:pPr>
      <w:r>
        <w:rPr>
          <w:rStyle w:val="FootnoteReference"/>
        </w:rPr>
        <w:footnoteRef/>
      </w:r>
      <w:r>
        <w:t xml:space="preserve"> Coal represented for 4% of power generation, hydro 1.6%, and liquid fuel about 5%. </w:t>
      </w:r>
    </w:p>
  </w:footnote>
  <w:footnote w:id="4">
    <w:p w14:paraId="11EE634D" w14:textId="685C764E" w:rsidR="00AD17C0" w:rsidRDefault="00AD17C0">
      <w:pPr>
        <w:pStyle w:val="FootnoteText"/>
      </w:pPr>
      <w:r>
        <w:rPr>
          <w:rStyle w:val="FootnoteReference"/>
        </w:rPr>
        <w:footnoteRef/>
      </w:r>
      <w:r>
        <w:t xml:space="preserve"> The on-shore areas already relatively well-explored, the country is to start looking for gas resources in the deep sea blocks, which are more expensive and require technological know-how that the national exploration company does not have.  After the maritime boundary issue was settled with neighboring Myanmar and India, GOB has recently started to focus on inviting International Oil Companies (IOCs) to explore in deep sea blocks. To align the terms of the Production Sharing Contracts (PSCs) with the current market, GOB is reviewing the PSC terms and conditions.  Production of any gas from the deep sea blocks will take time and is unlikely to materialize within the planning horizon of 2021. </w:t>
      </w:r>
    </w:p>
  </w:footnote>
  <w:footnote w:id="5">
    <w:p w14:paraId="446C61B2" w14:textId="10DF44C0" w:rsidR="00AD17C0" w:rsidRDefault="00AD17C0" w:rsidP="007E74A3">
      <w:pPr>
        <w:pStyle w:val="FootnoteText"/>
      </w:pPr>
      <w:r>
        <w:rPr>
          <w:rStyle w:val="FootnoteReference"/>
        </w:rPr>
        <w:footnoteRef/>
      </w:r>
      <w:r>
        <w:t xml:space="preserve"> Towards Revamping Power and Energy Sector: A Road Map; June 2010 by Finance Division, Ministry of Finance, Government of Bangladesh. The generation expansion plan has since been updated regularly with the latest plan calling for generation to be increased to 24,000MW by 2021 (June 2016). </w:t>
      </w:r>
    </w:p>
  </w:footnote>
  <w:footnote w:id="6">
    <w:p w14:paraId="281C8C05" w14:textId="6989F02C" w:rsidR="00AD17C0" w:rsidRDefault="00AD17C0">
      <w:pPr>
        <w:pStyle w:val="FootnoteText"/>
      </w:pPr>
      <w:r>
        <w:rPr>
          <w:rStyle w:val="FootnoteReference"/>
        </w:rPr>
        <w:footnoteRef/>
      </w:r>
      <w:r>
        <w:t xml:space="preserve"> The estimated coal reserve in Bangladesh is 3.3 billion tonnes (www.bcmcl.bd), most of which remain un-utilized. One coal mine (Barapukuria) started production in 2006 with a current production of 1 million tonnes per year, 65% of which is used as fuel in a 250MW power plant.  There is a sensitive public debate over the method for coal extraction; open pit technology will have large-scale resettlement issue in this highly densely populated country while coal mining has its associated health and safety risks along with low productivity issue due to geological structure.  GOB policy has been to add coal capacity based on imported coal until the domestic coal development issue is settled.</w:t>
      </w:r>
    </w:p>
  </w:footnote>
  <w:footnote w:id="7">
    <w:p w14:paraId="5FE90E1F" w14:textId="3E338E8A" w:rsidR="00AD17C0" w:rsidRDefault="00AD17C0">
      <w:pPr>
        <w:pStyle w:val="FootnoteText"/>
      </w:pPr>
      <w:r>
        <w:rPr>
          <w:rStyle w:val="FootnoteReference"/>
        </w:rPr>
        <w:footnoteRef/>
      </w:r>
      <w:r>
        <w:t xml:space="preserve"> This includes both grid and off-grid (solar home systems) connections. About 4.5 million solar home systems areinstalled in the country with some of them recently being connected to the grid network.  </w:t>
      </w:r>
    </w:p>
  </w:footnote>
  <w:footnote w:id="8">
    <w:p w14:paraId="01A45D96" w14:textId="122FA846" w:rsidR="00AD17C0" w:rsidRDefault="00AD17C0" w:rsidP="00E635EA">
      <w:pPr>
        <w:pStyle w:val="FootnoteText"/>
      </w:pPr>
      <w:r>
        <w:rPr>
          <w:rStyle w:val="FootnoteReference"/>
        </w:rPr>
        <w:footnoteRef/>
      </w:r>
      <w:r>
        <w:t xml:space="preserve"> World Economic Forum: The Global Competitiveness Report 2016-2017</w:t>
      </w:r>
    </w:p>
  </w:footnote>
  <w:footnote w:id="9">
    <w:p w14:paraId="19A6EAE8" w14:textId="17C24C47" w:rsidR="00AD17C0" w:rsidRDefault="00AD17C0" w:rsidP="00E635EA">
      <w:pPr>
        <w:pStyle w:val="FootnoteText"/>
      </w:pPr>
      <w:r>
        <w:rPr>
          <w:rStyle w:val="FootnoteReference"/>
        </w:rPr>
        <w:footnoteRef/>
      </w:r>
      <w:r>
        <w:t xml:space="preserve"> The World Bank Doing Business 2017: Equal Opportunity for All; October 2016</w:t>
      </w:r>
    </w:p>
  </w:footnote>
  <w:footnote w:id="10">
    <w:p w14:paraId="3C3675E3" w14:textId="74245A4E" w:rsidR="00AD17C0" w:rsidRDefault="00AD17C0" w:rsidP="00033C02">
      <w:pPr>
        <w:pStyle w:val="FootnoteText"/>
      </w:pPr>
      <w:r>
        <w:rPr>
          <w:rStyle w:val="FootnoteReference"/>
        </w:rPr>
        <w:footnoteRef/>
      </w:r>
      <w:r>
        <w:t xml:space="preserve"> To raise tariff, utilities are required to submit tariff applications to the independent regulator Bangladesh Energy Regulatory Commission (BERC).  BERC decides on the tariff order following a cost-plus regulation through proper scrutiny of the tariff applications and a public hearing process. Such scrutiny involves reviewing the costs and efficiency of the utilities and only reasonable costs (within the efficiency targets) are included in tariff calculations.  In order for not transferring the full cost of liquid fuel-run plants to consumers, the bulk supply tariff (the tariff at which distribution utilities buy power from the off-taker BPDB) is kept at below cost and the annual budgetary transfer makes up for the shortfall. </w:t>
      </w:r>
    </w:p>
  </w:footnote>
  <w:footnote w:id="11">
    <w:p w14:paraId="6016E62B" w14:textId="5D90DA47" w:rsidR="00AD17C0" w:rsidRDefault="00AD17C0">
      <w:pPr>
        <w:pStyle w:val="FootnoteText"/>
      </w:pPr>
      <w:r>
        <w:rPr>
          <w:rStyle w:val="FootnoteReference"/>
        </w:rPr>
        <w:footnoteRef/>
      </w:r>
      <w:r>
        <w:t xml:space="preserve"> BERC has issued a tariff order to raise the gas price for power generation to increase by 6% effective from March 1, 2017 and another 6% effective from June 1, 2017. </w:t>
      </w:r>
    </w:p>
  </w:footnote>
  <w:footnote w:id="12">
    <w:p w14:paraId="62471FA2" w14:textId="6B8524DF" w:rsidR="00AD17C0" w:rsidRDefault="00AD17C0">
      <w:pPr>
        <w:pStyle w:val="FootnoteText"/>
      </w:pPr>
      <w:r>
        <w:rPr>
          <w:rStyle w:val="FootnoteReference"/>
        </w:rPr>
        <w:footnoteRef/>
      </w:r>
      <w:r>
        <w:t xml:space="preserve"> MIS. Petrobangla, 2015.</w:t>
      </w:r>
    </w:p>
  </w:footnote>
  <w:footnote w:id="13">
    <w:p w14:paraId="338E8E97" w14:textId="77777777" w:rsidR="00AD17C0" w:rsidRDefault="00AD17C0" w:rsidP="00E635EA">
      <w:pPr>
        <w:pStyle w:val="FootnoteText"/>
      </w:pPr>
      <w:r>
        <w:rPr>
          <w:rStyle w:val="FootnoteReference"/>
        </w:rPr>
        <w:footnoteRef/>
      </w:r>
      <w:r>
        <w:t xml:space="preserve"> Bangladesh: Tariff Reform and Inter-sectoral Allocation of Natural Gas: Asian Development Bank, 2013</w:t>
      </w:r>
    </w:p>
  </w:footnote>
  <w:footnote w:id="14">
    <w:p w14:paraId="0EAE7E23" w14:textId="5AF015CE" w:rsidR="00AD17C0" w:rsidRDefault="00AD17C0">
      <w:pPr>
        <w:pStyle w:val="FootnoteText"/>
      </w:pPr>
      <w:r>
        <w:rPr>
          <w:rStyle w:val="FootnoteReference"/>
        </w:rPr>
        <w:footnoteRef/>
      </w:r>
      <w:r>
        <w:t xml:space="preserve"> The landed price of LNG in India dropped to US$8.64/mcf in DATE?</w:t>
      </w:r>
    </w:p>
  </w:footnote>
  <w:footnote w:id="15">
    <w:p w14:paraId="4D9F343D" w14:textId="77B5E0C1" w:rsidR="00AD17C0" w:rsidRDefault="00AD17C0">
      <w:pPr>
        <w:pStyle w:val="FootnoteText"/>
      </w:pPr>
      <w:r>
        <w:rPr>
          <w:rStyle w:val="FootnoteReference"/>
        </w:rPr>
        <w:footnoteRef/>
      </w:r>
      <w:r>
        <w:t xml:space="preserve"> As discussed previously, the high costs of liquid fuel run plants were deemed as temporary and government decided to cover such costs with budgetary transfer, and therefore such costs are not passed on to consumers. </w:t>
      </w:r>
    </w:p>
  </w:footnote>
  <w:footnote w:id="16">
    <w:p w14:paraId="7D776489" w14:textId="3B9042C3" w:rsidR="00AD17C0" w:rsidRDefault="00AD17C0" w:rsidP="00D71FC3">
      <w:pPr>
        <w:pStyle w:val="FootnoteText"/>
        <w:jc w:val="both"/>
      </w:pPr>
      <w:r>
        <w:rPr>
          <w:rStyle w:val="FootnoteReference"/>
        </w:rPr>
        <w:footnoteRef/>
      </w:r>
      <w:r>
        <w:t xml:space="preserve"> Such optimization, or “merit order dispatch” is not practiced by the off-taker BPDB currently because of bottlenecks in the network (that restricts lower cost power to be sent to certain part of the network and forces use of localized higher cost power) as well as lack of automation in system dispatch (that would have allowed system dispatch to prioritize low cost plants over higher cost plants).  The model uses the generation plan of BPDB that takes into account these constraints. A Bank </w:t>
      </w:r>
      <w:r w:rsidR="000A434C">
        <w:t>loan</w:t>
      </w:r>
      <w:r>
        <w:t xml:space="preserve"> </w:t>
      </w:r>
      <w:r w:rsidR="000A434C">
        <w:t xml:space="preserve">has been provided to support the Government in </w:t>
      </w:r>
      <w:r>
        <w:t>addressing these systemic issues.</w:t>
      </w:r>
    </w:p>
  </w:footnote>
  <w:footnote w:id="17">
    <w:p w14:paraId="7F0100B2" w14:textId="77777777" w:rsidR="00AD17C0" w:rsidRDefault="00AD17C0" w:rsidP="00E635EA">
      <w:pPr>
        <w:pStyle w:val="FootnoteText"/>
      </w:pPr>
      <w:r>
        <w:rPr>
          <w:rStyle w:val="FootnoteReference"/>
        </w:rPr>
        <w:footnoteRef/>
      </w:r>
      <w:r>
        <w:t xml:space="preserve"> Specific financial trends considered are the return on gross fixed assets (GFA), repair and maintenance as a percent of GFA, depreciation rate, works-in-progress completion rate, growth of staff expenses as a percent of sales growth, other expenses as a percent of staff expenses, and other operating revenue and non-operating income as a percent of total revenue requirement.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756F2"/>
    <w:multiLevelType w:val="hybridMultilevel"/>
    <w:tmpl w:val="925C7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D1FAC"/>
    <w:multiLevelType w:val="hybridMultilevel"/>
    <w:tmpl w:val="A914116C"/>
    <w:lvl w:ilvl="0" w:tplc="194E3B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EA"/>
    <w:rsid w:val="00000274"/>
    <w:rsid w:val="00000CA6"/>
    <w:rsid w:val="00001B57"/>
    <w:rsid w:val="00014C04"/>
    <w:rsid w:val="00015A80"/>
    <w:rsid w:val="00015CB0"/>
    <w:rsid w:val="0002091F"/>
    <w:rsid w:val="00021AFF"/>
    <w:rsid w:val="000221A1"/>
    <w:rsid w:val="00025DD3"/>
    <w:rsid w:val="0003091D"/>
    <w:rsid w:val="00030F29"/>
    <w:rsid w:val="00033C02"/>
    <w:rsid w:val="000553A4"/>
    <w:rsid w:val="00060C8E"/>
    <w:rsid w:val="00062835"/>
    <w:rsid w:val="00065255"/>
    <w:rsid w:val="000653EE"/>
    <w:rsid w:val="00070893"/>
    <w:rsid w:val="00070EC5"/>
    <w:rsid w:val="0007114E"/>
    <w:rsid w:val="0007238C"/>
    <w:rsid w:val="00077D60"/>
    <w:rsid w:val="0008468A"/>
    <w:rsid w:val="00087FEF"/>
    <w:rsid w:val="00096576"/>
    <w:rsid w:val="000A434C"/>
    <w:rsid w:val="000B26F0"/>
    <w:rsid w:val="000B7904"/>
    <w:rsid w:val="000C33E1"/>
    <w:rsid w:val="000C5D11"/>
    <w:rsid w:val="000E05FC"/>
    <w:rsid w:val="000F224A"/>
    <w:rsid w:val="000F5D6A"/>
    <w:rsid w:val="00105882"/>
    <w:rsid w:val="001103BE"/>
    <w:rsid w:val="00110F6F"/>
    <w:rsid w:val="00112A4B"/>
    <w:rsid w:val="00124449"/>
    <w:rsid w:val="00150B2F"/>
    <w:rsid w:val="00165A5C"/>
    <w:rsid w:val="00172DA0"/>
    <w:rsid w:val="00195410"/>
    <w:rsid w:val="00197FA4"/>
    <w:rsid w:val="001A4B67"/>
    <w:rsid w:val="001B2FA2"/>
    <w:rsid w:val="001B3DFA"/>
    <w:rsid w:val="001B477E"/>
    <w:rsid w:val="001D7F8A"/>
    <w:rsid w:val="001E1917"/>
    <w:rsid w:val="001E357F"/>
    <w:rsid w:val="001F122C"/>
    <w:rsid w:val="00202336"/>
    <w:rsid w:val="00224701"/>
    <w:rsid w:val="002279E7"/>
    <w:rsid w:val="002303B0"/>
    <w:rsid w:val="002357FD"/>
    <w:rsid w:val="00237B0D"/>
    <w:rsid w:val="00241461"/>
    <w:rsid w:val="00266A91"/>
    <w:rsid w:val="00270CEE"/>
    <w:rsid w:val="00275338"/>
    <w:rsid w:val="00294B8F"/>
    <w:rsid w:val="002A36CE"/>
    <w:rsid w:val="002B0317"/>
    <w:rsid w:val="002B228F"/>
    <w:rsid w:val="002B3E70"/>
    <w:rsid w:val="002B7E89"/>
    <w:rsid w:val="002C0018"/>
    <w:rsid w:val="002C146A"/>
    <w:rsid w:val="002C681A"/>
    <w:rsid w:val="002D487E"/>
    <w:rsid w:val="002D4A0D"/>
    <w:rsid w:val="002D6DC9"/>
    <w:rsid w:val="002E54C5"/>
    <w:rsid w:val="003041B7"/>
    <w:rsid w:val="00330DDA"/>
    <w:rsid w:val="0033763D"/>
    <w:rsid w:val="00346B9E"/>
    <w:rsid w:val="00356270"/>
    <w:rsid w:val="00362F0F"/>
    <w:rsid w:val="003630F0"/>
    <w:rsid w:val="00363FE3"/>
    <w:rsid w:val="00366C36"/>
    <w:rsid w:val="00371AE8"/>
    <w:rsid w:val="00376CFD"/>
    <w:rsid w:val="00381859"/>
    <w:rsid w:val="003963D6"/>
    <w:rsid w:val="00397557"/>
    <w:rsid w:val="00397849"/>
    <w:rsid w:val="003A295D"/>
    <w:rsid w:val="003B0191"/>
    <w:rsid w:val="003B6BEC"/>
    <w:rsid w:val="003C6A19"/>
    <w:rsid w:val="003C6FA7"/>
    <w:rsid w:val="003D4DCE"/>
    <w:rsid w:val="003E6AE7"/>
    <w:rsid w:val="003F72B2"/>
    <w:rsid w:val="00400CA8"/>
    <w:rsid w:val="00401922"/>
    <w:rsid w:val="00401C35"/>
    <w:rsid w:val="004060D1"/>
    <w:rsid w:val="0040769E"/>
    <w:rsid w:val="00411E2E"/>
    <w:rsid w:val="00415610"/>
    <w:rsid w:val="00427012"/>
    <w:rsid w:val="00427DBC"/>
    <w:rsid w:val="00440344"/>
    <w:rsid w:val="00464BBB"/>
    <w:rsid w:val="004750C1"/>
    <w:rsid w:val="00475975"/>
    <w:rsid w:val="004767D7"/>
    <w:rsid w:val="00485854"/>
    <w:rsid w:val="004932BF"/>
    <w:rsid w:val="004A5810"/>
    <w:rsid w:val="004B486A"/>
    <w:rsid w:val="004B6396"/>
    <w:rsid w:val="004D3687"/>
    <w:rsid w:val="004D7689"/>
    <w:rsid w:val="004E3D56"/>
    <w:rsid w:val="004E42AF"/>
    <w:rsid w:val="004E4E5A"/>
    <w:rsid w:val="004E6680"/>
    <w:rsid w:val="004F1E74"/>
    <w:rsid w:val="00500584"/>
    <w:rsid w:val="00502FB7"/>
    <w:rsid w:val="00511C43"/>
    <w:rsid w:val="00517198"/>
    <w:rsid w:val="00525249"/>
    <w:rsid w:val="00532C50"/>
    <w:rsid w:val="005366B1"/>
    <w:rsid w:val="00537A3E"/>
    <w:rsid w:val="00553D6F"/>
    <w:rsid w:val="00562E70"/>
    <w:rsid w:val="005744B2"/>
    <w:rsid w:val="005869ED"/>
    <w:rsid w:val="0059052A"/>
    <w:rsid w:val="005B0946"/>
    <w:rsid w:val="005B33DE"/>
    <w:rsid w:val="005B61DD"/>
    <w:rsid w:val="005B742A"/>
    <w:rsid w:val="005C1AAE"/>
    <w:rsid w:val="005C3224"/>
    <w:rsid w:val="005C3785"/>
    <w:rsid w:val="005D1FFB"/>
    <w:rsid w:val="005D7085"/>
    <w:rsid w:val="005E2075"/>
    <w:rsid w:val="005E21F2"/>
    <w:rsid w:val="005F073B"/>
    <w:rsid w:val="005F6AE4"/>
    <w:rsid w:val="005F72E9"/>
    <w:rsid w:val="00602276"/>
    <w:rsid w:val="0060311A"/>
    <w:rsid w:val="00604C62"/>
    <w:rsid w:val="00613702"/>
    <w:rsid w:val="00617309"/>
    <w:rsid w:val="006241F2"/>
    <w:rsid w:val="006272DA"/>
    <w:rsid w:val="006364AA"/>
    <w:rsid w:val="006414AE"/>
    <w:rsid w:val="00653128"/>
    <w:rsid w:val="006551FB"/>
    <w:rsid w:val="00662A14"/>
    <w:rsid w:val="006737A6"/>
    <w:rsid w:val="006978E3"/>
    <w:rsid w:val="006B55AE"/>
    <w:rsid w:val="006C0B08"/>
    <w:rsid w:val="006C2081"/>
    <w:rsid w:val="006C385E"/>
    <w:rsid w:val="006C4989"/>
    <w:rsid w:val="006D6466"/>
    <w:rsid w:val="006F55DC"/>
    <w:rsid w:val="00702C85"/>
    <w:rsid w:val="00707592"/>
    <w:rsid w:val="00712AF4"/>
    <w:rsid w:val="00714489"/>
    <w:rsid w:val="00730C92"/>
    <w:rsid w:val="00732959"/>
    <w:rsid w:val="0073442F"/>
    <w:rsid w:val="00736768"/>
    <w:rsid w:val="0074037A"/>
    <w:rsid w:val="00754076"/>
    <w:rsid w:val="007635E0"/>
    <w:rsid w:val="007700D5"/>
    <w:rsid w:val="00771F15"/>
    <w:rsid w:val="0077461E"/>
    <w:rsid w:val="00780506"/>
    <w:rsid w:val="00783C6F"/>
    <w:rsid w:val="00784AE2"/>
    <w:rsid w:val="00784F30"/>
    <w:rsid w:val="00794437"/>
    <w:rsid w:val="0079527C"/>
    <w:rsid w:val="00796178"/>
    <w:rsid w:val="007A2C27"/>
    <w:rsid w:val="007A4E55"/>
    <w:rsid w:val="007B5A6E"/>
    <w:rsid w:val="007D74EE"/>
    <w:rsid w:val="007E74A3"/>
    <w:rsid w:val="007E7A9F"/>
    <w:rsid w:val="007F3D74"/>
    <w:rsid w:val="0080266A"/>
    <w:rsid w:val="0080346F"/>
    <w:rsid w:val="00806BF4"/>
    <w:rsid w:val="0080741B"/>
    <w:rsid w:val="00824B97"/>
    <w:rsid w:val="00825329"/>
    <w:rsid w:val="00846444"/>
    <w:rsid w:val="00855F04"/>
    <w:rsid w:val="0086255C"/>
    <w:rsid w:val="008641AB"/>
    <w:rsid w:val="0088015C"/>
    <w:rsid w:val="00881CD2"/>
    <w:rsid w:val="00882111"/>
    <w:rsid w:val="00884436"/>
    <w:rsid w:val="008A0C41"/>
    <w:rsid w:val="008A1E05"/>
    <w:rsid w:val="008B0D94"/>
    <w:rsid w:val="008B11B7"/>
    <w:rsid w:val="008B3B1E"/>
    <w:rsid w:val="008B4853"/>
    <w:rsid w:val="008B6A8F"/>
    <w:rsid w:val="008C3F79"/>
    <w:rsid w:val="008C6E39"/>
    <w:rsid w:val="008D31A5"/>
    <w:rsid w:val="008E326D"/>
    <w:rsid w:val="008F0CF0"/>
    <w:rsid w:val="008F1E60"/>
    <w:rsid w:val="008F4FA7"/>
    <w:rsid w:val="009052E1"/>
    <w:rsid w:val="0091079B"/>
    <w:rsid w:val="00911DBD"/>
    <w:rsid w:val="009462EF"/>
    <w:rsid w:val="0094695B"/>
    <w:rsid w:val="009625C4"/>
    <w:rsid w:val="00971EB8"/>
    <w:rsid w:val="00981BD5"/>
    <w:rsid w:val="00991FFC"/>
    <w:rsid w:val="009A5AFA"/>
    <w:rsid w:val="009A658A"/>
    <w:rsid w:val="009B4C38"/>
    <w:rsid w:val="009C4F3A"/>
    <w:rsid w:val="009D1F7D"/>
    <w:rsid w:val="009D48B7"/>
    <w:rsid w:val="009D74C6"/>
    <w:rsid w:val="009E2053"/>
    <w:rsid w:val="009E4EB1"/>
    <w:rsid w:val="009F0A89"/>
    <w:rsid w:val="00A02DC4"/>
    <w:rsid w:val="00A23C05"/>
    <w:rsid w:val="00A24DF1"/>
    <w:rsid w:val="00A41CA2"/>
    <w:rsid w:val="00A53A9C"/>
    <w:rsid w:val="00A630F1"/>
    <w:rsid w:val="00A71441"/>
    <w:rsid w:val="00A72EC0"/>
    <w:rsid w:val="00A85BEA"/>
    <w:rsid w:val="00A91697"/>
    <w:rsid w:val="00A924A7"/>
    <w:rsid w:val="00A9409B"/>
    <w:rsid w:val="00AD17C0"/>
    <w:rsid w:val="00AD70A7"/>
    <w:rsid w:val="00AE08C0"/>
    <w:rsid w:val="00AE52D7"/>
    <w:rsid w:val="00AF2853"/>
    <w:rsid w:val="00AF2F4E"/>
    <w:rsid w:val="00AF79FB"/>
    <w:rsid w:val="00B053F9"/>
    <w:rsid w:val="00B25076"/>
    <w:rsid w:val="00B35296"/>
    <w:rsid w:val="00B370A7"/>
    <w:rsid w:val="00B41DA1"/>
    <w:rsid w:val="00B56BD4"/>
    <w:rsid w:val="00B70770"/>
    <w:rsid w:val="00B71531"/>
    <w:rsid w:val="00B84EE5"/>
    <w:rsid w:val="00B86D75"/>
    <w:rsid w:val="00B92086"/>
    <w:rsid w:val="00B96B5A"/>
    <w:rsid w:val="00BA43F9"/>
    <w:rsid w:val="00BA5DDD"/>
    <w:rsid w:val="00BB18E3"/>
    <w:rsid w:val="00BC4AD5"/>
    <w:rsid w:val="00BD6DAF"/>
    <w:rsid w:val="00BD7897"/>
    <w:rsid w:val="00BE3C6D"/>
    <w:rsid w:val="00BF3E5C"/>
    <w:rsid w:val="00BF63F5"/>
    <w:rsid w:val="00C001D4"/>
    <w:rsid w:val="00C154D1"/>
    <w:rsid w:val="00C3709A"/>
    <w:rsid w:val="00C4480E"/>
    <w:rsid w:val="00C57B88"/>
    <w:rsid w:val="00C60865"/>
    <w:rsid w:val="00C73A55"/>
    <w:rsid w:val="00C8433A"/>
    <w:rsid w:val="00C86634"/>
    <w:rsid w:val="00C978AC"/>
    <w:rsid w:val="00CA17DA"/>
    <w:rsid w:val="00CB7141"/>
    <w:rsid w:val="00CC1997"/>
    <w:rsid w:val="00CC364A"/>
    <w:rsid w:val="00CC44C5"/>
    <w:rsid w:val="00CD78FA"/>
    <w:rsid w:val="00CE3B46"/>
    <w:rsid w:val="00D071E3"/>
    <w:rsid w:val="00D07F6B"/>
    <w:rsid w:val="00D116F9"/>
    <w:rsid w:val="00D13D6B"/>
    <w:rsid w:val="00D1601A"/>
    <w:rsid w:val="00D208E3"/>
    <w:rsid w:val="00D248D8"/>
    <w:rsid w:val="00D305AA"/>
    <w:rsid w:val="00D5587D"/>
    <w:rsid w:val="00D6083C"/>
    <w:rsid w:val="00D6284D"/>
    <w:rsid w:val="00D67B8F"/>
    <w:rsid w:val="00D71FC3"/>
    <w:rsid w:val="00D74CB5"/>
    <w:rsid w:val="00D750F5"/>
    <w:rsid w:val="00D81CF4"/>
    <w:rsid w:val="00D86835"/>
    <w:rsid w:val="00D871D3"/>
    <w:rsid w:val="00D9059C"/>
    <w:rsid w:val="00D932FF"/>
    <w:rsid w:val="00D97E1C"/>
    <w:rsid w:val="00DA5013"/>
    <w:rsid w:val="00DB218C"/>
    <w:rsid w:val="00DB7A18"/>
    <w:rsid w:val="00DC2081"/>
    <w:rsid w:val="00DC5906"/>
    <w:rsid w:val="00DF4549"/>
    <w:rsid w:val="00DF6392"/>
    <w:rsid w:val="00DF713A"/>
    <w:rsid w:val="00E00559"/>
    <w:rsid w:val="00E01394"/>
    <w:rsid w:val="00E05124"/>
    <w:rsid w:val="00E0619D"/>
    <w:rsid w:val="00E10D90"/>
    <w:rsid w:val="00E11C30"/>
    <w:rsid w:val="00E156F0"/>
    <w:rsid w:val="00E27408"/>
    <w:rsid w:val="00E27D02"/>
    <w:rsid w:val="00E31EC4"/>
    <w:rsid w:val="00E363D4"/>
    <w:rsid w:val="00E56FE4"/>
    <w:rsid w:val="00E635EA"/>
    <w:rsid w:val="00E73797"/>
    <w:rsid w:val="00E86AE2"/>
    <w:rsid w:val="00E87C5A"/>
    <w:rsid w:val="00E90CD8"/>
    <w:rsid w:val="00E925C8"/>
    <w:rsid w:val="00E92D95"/>
    <w:rsid w:val="00E94DB7"/>
    <w:rsid w:val="00EC36A9"/>
    <w:rsid w:val="00EC44D4"/>
    <w:rsid w:val="00ED33D9"/>
    <w:rsid w:val="00ED69D4"/>
    <w:rsid w:val="00F008CC"/>
    <w:rsid w:val="00F2199F"/>
    <w:rsid w:val="00F243DE"/>
    <w:rsid w:val="00F30A38"/>
    <w:rsid w:val="00F40BE0"/>
    <w:rsid w:val="00F70D74"/>
    <w:rsid w:val="00F74925"/>
    <w:rsid w:val="00F828BE"/>
    <w:rsid w:val="00F9161E"/>
    <w:rsid w:val="00F9384C"/>
    <w:rsid w:val="00F94C03"/>
    <w:rsid w:val="00FB763A"/>
    <w:rsid w:val="00FC1490"/>
    <w:rsid w:val="00FC60BA"/>
    <w:rsid w:val="00FC65F0"/>
    <w:rsid w:val="00FC6BB4"/>
    <w:rsid w:val="00FD688D"/>
    <w:rsid w:val="00FE1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ED9AB"/>
  <w15:chartTrackingRefBased/>
  <w15:docId w15:val="{7FFF5749-595E-47A6-ACDA-3210E077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85BEA"/>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5B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5BEA"/>
    <w:rPr>
      <w:sz w:val="20"/>
      <w:szCs w:val="20"/>
    </w:rPr>
  </w:style>
  <w:style w:type="character" w:styleId="FootnoteReference">
    <w:name w:val="footnote reference"/>
    <w:basedOn w:val="DefaultParagraphFont"/>
    <w:uiPriority w:val="99"/>
    <w:semiHidden/>
    <w:unhideWhenUsed/>
    <w:rsid w:val="00A85BEA"/>
    <w:rPr>
      <w:vertAlign w:val="superscript"/>
    </w:rPr>
  </w:style>
  <w:style w:type="character" w:customStyle="1" w:styleId="Heading2Char">
    <w:name w:val="Heading 2 Char"/>
    <w:basedOn w:val="DefaultParagraphFont"/>
    <w:link w:val="Heading2"/>
    <w:uiPriority w:val="9"/>
    <w:rsid w:val="00A85BEA"/>
    <w:rPr>
      <w:rFonts w:asciiTheme="majorHAnsi" w:eastAsiaTheme="majorEastAsia" w:hAnsiTheme="majorHAnsi" w:cstheme="majorBidi"/>
      <w:b/>
      <w:bCs/>
      <w:color w:val="5B9BD5" w:themeColor="accent1"/>
      <w:sz w:val="26"/>
      <w:szCs w:val="26"/>
    </w:rPr>
  </w:style>
  <w:style w:type="paragraph" w:styleId="Caption">
    <w:name w:val="caption"/>
    <w:basedOn w:val="Normal"/>
    <w:next w:val="Normal"/>
    <w:uiPriority w:val="35"/>
    <w:unhideWhenUsed/>
    <w:qFormat/>
    <w:rsid w:val="000653EE"/>
    <w:pPr>
      <w:spacing w:after="200" w:line="240" w:lineRule="auto"/>
    </w:pPr>
    <w:rPr>
      <w:b/>
      <w:bCs/>
      <w:color w:val="5B9BD5" w:themeColor="accent1"/>
      <w:sz w:val="18"/>
      <w:szCs w:val="18"/>
    </w:rPr>
  </w:style>
  <w:style w:type="table" w:styleId="TableGrid">
    <w:name w:val="Table Grid"/>
    <w:basedOn w:val="TableNormal"/>
    <w:uiPriority w:val="59"/>
    <w:rsid w:val="003B0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A924A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1">
    <w:name w:val="List Table 3 Accent 1"/>
    <w:basedOn w:val="TableNormal"/>
    <w:uiPriority w:val="48"/>
    <w:rsid w:val="00A924A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4-Accent1">
    <w:name w:val="List Table 4 Accent 1"/>
    <w:basedOn w:val="TableNormal"/>
    <w:uiPriority w:val="49"/>
    <w:rsid w:val="00532C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5D7085"/>
    <w:rPr>
      <w:sz w:val="16"/>
      <w:szCs w:val="16"/>
    </w:rPr>
  </w:style>
  <w:style w:type="paragraph" w:styleId="CommentText">
    <w:name w:val="annotation text"/>
    <w:basedOn w:val="Normal"/>
    <w:link w:val="CommentTextChar"/>
    <w:uiPriority w:val="99"/>
    <w:semiHidden/>
    <w:unhideWhenUsed/>
    <w:rsid w:val="005D7085"/>
    <w:pPr>
      <w:spacing w:line="240" w:lineRule="auto"/>
    </w:pPr>
    <w:rPr>
      <w:sz w:val="20"/>
      <w:szCs w:val="20"/>
    </w:rPr>
  </w:style>
  <w:style w:type="character" w:customStyle="1" w:styleId="CommentTextChar">
    <w:name w:val="Comment Text Char"/>
    <w:basedOn w:val="DefaultParagraphFont"/>
    <w:link w:val="CommentText"/>
    <w:uiPriority w:val="99"/>
    <w:semiHidden/>
    <w:rsid w:val="005D7085"/>
    <w:rPr>
      <w:sz w:val="20"/>
      <w:szCs w:val="20"/>
    </w:rPr>
  </w:style>
  <w:style w:type="paragraph" w:styleId="CommentSubject">
    <w:name w:val="annotation subject"/>
    <w:basedOn w:val="CommentText"/>
    <w:next w:val="CommentText"/>
    <w:link w:val="CommentSubjectChar"/>
    <w:uiPriority w:val="99"/>
    <w:semiHidden/>
    <w:unhideWhenUsed/>
    <w:rsid w:val="005D7085"/>
    <w:rPr>
      <w:b/>
      <w:bCs/>
    </w:rPr>
  </w:style>
  <w:style w:type="character" w:customStyle="1" w:styleId="CommentSubjectChar">
    <w:name w:val="Comment Subject Char"/>
    <w:basedOn w:val="CommentTextChar"/>
    <w:link w:val="CommentSubject"/>
    <w:uiPriority w:val="99"/>
    <w:semiHidden/>
    <w:rsid w:val="005D7085"/>
    <w:rPr>
      <w:b/>
      <w:bCs/>
      <w:sz w:val="20"/>
      <w:szCs w:val="20"/>
    </w:rPr>
  </w:style>
  <w:style w:type="paragraph" w:styleId="Revision">
    <w:name w:val="Revision"/>
    <w:hidden/>
    <w:uiPriority w:val="99"/>
    <w:semiHidden/>
    <w:rsid w:val="005D7085"/>
    <w:pPr>
      <w:spacing w:after="0" w:line="240" w:lineRule="auto"/>
    </w:pPr>
  </w:style>
  <w:style w:type="paragraph" w:styleId="BalloonText">
    <w:name w:val="Balloon Text"/>
    <w:basedOn w:val="Normal"/>
    <w:link w:val="BalloonTextChar"/>
    <w:uiPriority w:val="99"/>
    <w:semiHidden/>
    <w:unhideWhenUsed/>
    <w:rsid w:val="005D7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085"/>
    <w:rPr>
      <w:rFonts w:ascii="Segoe UI" w:hAnsi="Segoe UI" w:cs="Segoe UI"/>
      <w:sz w:val="18"/>
      <w:szCs w:val="18"/>
    </w:rPr>
  </w:style>
  <w:style w:type="paragraph" w:styleId="ListParagraph">
    <w:name w:val="List Paragraph"/>
    <w:basedOn w:val="Normal"/>
    <w:uiPriority w:val="34"/>
    <w:qFormat/>
    <w:rsid w:val="00946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ustomXml" Target="../customXml/item2.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theme" Target="theme/theme1.xml"/><Relationship Id="rId30"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wb172876\Desktop\Box%20Sync\Sector%20Finances\Power%20Sector%20Model\2015%20Model\Sector%20Finance%20Note-background%20data.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wb373014\Desktop\Main\Bangladesh\Zubair%20Work\BDPS%20Tariff-Cost%20Model%201_24_2017.xlsm"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wb373014\Desktop\Main\Bangladesh\Zubair%20Work\BDPS%20Tariff-Cost%20Model%201_24_2017.xlsm"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wb373014\Desktop\Main\Bangladesh\Zubair%20Work\BDPS%20Tariff-Cost%20Model%201_24_2017.xlsm"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wb373014\Desktop\Main\Bangladesh\Zubair%20Work\BDPS%20Tariff-Cost%20Model%201_24_2017.xlsm"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wb373014\Desktop\Main\Bangladesh\Zubair%20Work\Bangladesh%20Natural%20Gas%202.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file:///C:\Users\wb373014\Desktop\Main\Bangladesh\Zubair%20Work\BDPS%20Tariff-Cost%20Model%201_24_2017.xlsm"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16.xml.rels><?xml version="1.0" encoding="UTF-8" standalone="yes"?>
<Relationships xmlns="http://schemas.openxmlformats.org/package/2006/relationships"><Relationship Id="rId1" Type="http://schemas.openxmlformats.org/officeDocument/2006/relationships/oleObject" Target="file:///C:\Users\wb373014\Desktop\Main\Bangladesh\Zubair%20Work\BDPS%20Tariff-Cost%20Model%201_24_2017.xlsm" TargetMode="External"/></Relationships>
</file>

<file path=word/charts/_rels/chart17.xml.rels><?xml version="1.0" encoding="UTF-8" standalone="yes"?>
<Relationships xmlns="http://schemas.openxmlformats.org/package/2006/relationships"><Relationship Id="rId3" Type="http://schemas.openxmlformats.org/officeDocument/2006/relationships/oleObject" Target="file:///C:\Users\wb373014\Desktop\Main\Bangladesh\Zubair%20Work\BDPS%20Tariff-Cost%20Model%201_24_2017.xlsm" TargetMode="External"/><Relationship Id="rId2" Type="http://schemas.microsoft.com/office/2011/relationships/chartColorStyle" Target="colors3.xml"/><Relationship Id="rId1" Type="http://schemas.microsoft.com/office/2011/relationships/chartStyle" Target="style3.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wb373014\Desktop\Main\Bangladesh\Zubair%20Work\BDPS%20Tariff-Cost%20Model%201_24_2017.xlsm"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wb172876\Desktop\Box%20Sync\Sector%20Finances\Power%20Sector%20Model\2015%20Model\Sector%20Finance%20Note-background%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b172876\Desktop\Box%20Sync\Sector%20Finances\Power%20Sector%20Model\2015%20Model\Sector%20Finance%20Note-background%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b373014\Desktop\Main\Bangladesh\Zubair%20Work\BDPS%20Tariff-Cost%20Model%201_24_2017.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wb373014\Desktop\Main\Bangladesh\Zubair%20Work\BDPS%20Tariff-Cost%20Model%201_24_2017.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wb373014\Desktop\Main\Bangladesh\Zubair%20Work\BDPS%20Tariff-Cost%20Model%201_24_2017.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wb373014\Desktop\Main\Bangladesh\Zubair%20Work\BDPS%20Tariff-Cost%20Model%201_24_2017.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wb373014\Desktop\Main\Bangladesh\Zubair%20Work\BDPS%20Tariff-Cost%20Model%201_24_2017.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wb373014\Desktop\Main\Bangladesh\Zubair%20Work\BDPS%20Tariff-Cost%20Model%201_24_2017.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771535108329798E-2"/>
          <c:y val="7.0071887228195684E-2"/>
          <c:w val="0.87354239017066093"/>
          <c:h val="0.71611363527339755"/>
        </c:manualLayout>
      </c:layout>
      <c:barChart>
        <c:barDir val="col"/>
        <c:grouping val="stacked"/>
        <c:varyColors val="0"/>
        <c:ser>
          <c:idx val="0"/>
          <c:order val="1"/>
          <c:tx>
            <c:strRef>
              <c:f>'Generation Data'!$I$15</c:f>
              <c:strCache>
                <c:ptCount val="1"/>
                <c:pt idx="0">
                  <c:v>Gas</c:v>
                </c:pt>
              </c:strCache>
            </c:strRef>
          </c:tx>
          <c:spPr>
            <a:solidFill>
              <a:schemeClr val="accent1"/>
            </a:solidFill>
            <a:ln>
              <a:noFill/>
            </a:ln>
            <a:effectLst/>
          </c:spPr>
          <c:invertIfNegative val="0"/>
          <c:cat>
            <c:numRef>
              <c:f>'Generation Data'!$J$14:$Q$14</c:f>
              <c:numCache>
                <c:formatCode>General</c:formatCode>
                <c:ptCount val="8"/>
                <c:pt idx="0">
                  <c:v>2009</c:v>
                </c:pt>
                <c:pt idx="1">
                  <c:v>2010</c:v>
                </c:pt>
                <c:pt idx="2">
                  <c:v>2011</c:v>
                </c:pt>
                <c:pt idx="3">
                  <c:v>2012</c:v>
                </c:pt>
                <c:pt idx="4">
                  <c:v>2013</c:v>
                </c:pt>
                <c:pt idx="5">
                  <c:v>2014</c:v>
                </c:pt>
                <c:pt idx="6">
                  <c:v>2015</c:v>
                </c:pt>
                <c:pt idx="7">
                  <c:v>2016</c:v>
                </c:pt>
              </c:numCache>
            </c:numRef>
          </c:cat>
          <c:val>
            <c:numRef>
              <c:f>'Generation Data'!$J$15:$Q$15</c:f>
              <c:numCache>
                <c:formatCode>General</c:formatCode>
                <c:ptCount val="8"/>
                <c:pt idx="0">
                  <c:v>4542</c:v>
                </c:pt>
                <c:pt idx="1">
                  <c:v>4822</c:v>
                </c:pt>
                <c:pt idx="2">
                  <c:v>4863</c:v>
                </c:pt>
                <c:pt idx="3">
                  <c:v>5417</c:v>
                </c:pt>
                <c:pt idx="4">
                  <c:v>5730</c:v>
                </c:pt>
                <c:pt idx="5">
                  <c:v>6016</c:v>
                </c:pt>
                <c:pt idx="6">
                  <c:v>6781</c:v>
                </c:pt>
                <c:pt idx="7">
                  <c:v>8351</c:v>
                </c:pt>
              </c:numCache>
            </c:numRef>
          </c:val>
          <c:extLst xmlns:c16r2="http://schemas.microsoft.com/office/drawing/2015/06/chart">
            <c:ext xmlns:c16="http://schemas.microsoft.com/office/drawing/2014/chart" uri="{C3380CC4-5D6E-409C-BE32-E72D297353CC}">
              <c16:uniqueId val="{00000000-395B-4ADF-86F8-F160DA006EE0}"/>
            </c:ext>
          </c:extLst>
        </c:ser>
        <c:ser>
          <c:idx val="1"/>
          <c:order val="2"/>
          <c:tx>
            <c:strRef>
              <c:f>'Generation Data'!$I$16</c:f>
              <c:strCache>
                <c:ptCount val="1"/>
                <c:pt idx="0">
                  <c:v>Furnace Oil</c:v>
                </c:pt>
              </c:strCache>
            </c:strRef>
          </c:tx>
          <c:spPr>
            <a:solidFill>
              <a:schemeClr val="accent2"/>
            </a:solidFill>
            <a:ln>
              <a:noFill/>
            </a:ln>
            <a:effectLst/>
          </c:spPr>
          <c:invertIfNegative val="0"/>
          <c:cat>
            <c:numRef>
              <c:f>'Generation Data'!$J$14:$Q$14</c:f>
              <c:numCache>
                <c:formatCode>General</c:formatCode>
                <c:ptCount val="8"/>
                <c:pt idx="0">
                  <c:v>2009</c:v>
                </c:pt>
                <c:pt idx="1">
                  <c:v>2010</c:v>
                </c:pt>
                <c:pt idx="2">
                  <c:v>2011</c:v>
                </c:pt>
                <c:pt idx="3">
                  <c:v>2012</c:v>
                </c:pt>
                <c:pt idx="4">
                  <c:v>2013</c:v>
                </c:pt>
                <c:pt idx="5">
                  <c:v>2014</c:v>
                </c:pt>
                <c:pt idx="6">
                  <c:v>2015</c:v>
                </c:pt>
                <c:pt idx="7">
                  <c:v>2016</c:v>
                </c:pt>
              </c:numCache>
            </c:numRef>
          </c:cat>
          <c:val>
            <c:numRef>
              <c:f>'Generation Data'!$J$16:$Q$16</c:f>
              <c:numCache>
                <c:formatCode>General</c:formatCode>
                <c:ptCount val="8"/>
                <c:pt idx="0">
                  <c:v>280</c:v>
                </c:pt>
                <c:pt idx="1">
                  <c:v>335</c:v>
                </c:pt>
                <c:pt idx="2">
                  <c:v>671</c:v>
                </c:pt>
                <c:pt idx="3">
                  <c:v>1752</c:v>
                </c:pt>
                <c:pt idx="4">
                  <c:v>1876</c:v>
                </c:pt>
                <c:pt idx="5">
                  <c:v>2050</c:v>
                </c:pt>
                <c:pt idx="6">
                  <c:v>2301</c:v>
                </c:pt>
                <c:pt idx="7">
                  <c:v>2692</c:v>
                </c:pt>
              </c:numCache>
            </c:numRef>
          </c:val>
          <c:extLst xmlns:c16r2="http://schemas.microsoft.com/office/drawing/2015/06/chart">
            <c:ext xmlns:c16="http://schemas.microsoft.com/office/drawing/2014/chart" uri="{C3380CC4-5D6E-409C-BE32-E72D297353CC}">
              <c16:uniqueId val="{00000001-395B-4ADF-86F8-F160DA006EE0}"/>
            </c:ext>
          </c:extLst>
        </c:ser>
        <c:ser>
          <c:idx val="2"/>
          <c:order val="3"/>
          <c:tx>
            <c:strRef>
              <c:f>'Generation Data'!$I$17</c:f>
              <c:strCache>
                <c:ptCount val="1"/>
                <c:pt idx="0">
                  <c:v>Diesel</c:v>
                </c:pt>
              </c:strCache>
            </c:strRef>
          </c:tx>
          <c:spPr>
            <a:solidFill>
              <a:schemeClr val="accent3"/>
            </a:solidFill>
            <a:ln>
              <a:noFill/>
            </a:ln>
            <a:effectLst/>
          </c:spPr>
          <c:invertIfNegative val="0"/>
          <c:cat>
            <c:numRef>
              <c:f>'Generation Data'!$J$14:$Q$14</c:f>
              <c:numCache>
                <c:formatCode>General</c:formatCode>
                <c:ptCount val="8"/>
                <c:pt idx="0">
                  <c:v>2009</c:v>
                </c:pt>
                <c:pt idx="1">
                  <c:v>2010</c:v>
                </c:pt>
                <c:pt idx="2">
                  <c:v>2011</c:v>
                </c:pt>
                <c:pt idx="3">
                  <c:v>2012</c:v>
                </c:pt>
                <c:pt idx="4">
                  <c:v>2013</c:v>
                </c:pt>
                <c:pt idx="5">
                  <c:v>2014</c:v>
                </c:pt>
                <c:pt idx="6">
                  <c:v>2015</c:v>
                </c:pt>
                <c:pt idx="7">
                  <c:v>2016</c:v>
                </c:pt>
              </c:numCache>
            </c:numRef>
          </c:cat>
          <c:val>
            <c:numRef>
              <c:f>'Generation Data'!$J$17:$Q$17</c:f>
              <c:numCache>
                <c:formatCode>General</c:formatCode>
                <c:ptCount val="8"/>
                <c:pt idx="0">
                  <c:v>191</c:v>
                </c:pt>
                <c:pt idx="1">
                  <c:v>186</c:v>
                </c:pt>
                <c:pt idx="2">
                  <c:v>655</c:v>
                </c:pt>
                <c:pt idx="3">
                  <c:v>511</c:v>
                </c:pt>
                <c:pt idx="4">
                  <c:v>511</c:v>
                </c:pt>
                <c:pt idx="5">
                  <c:v>825</c:v>
                </c:pt>
                <c:pt idx="6">
                  <c:v>927</c:v>
                </c:pt>
                <c:pt idx="7">
                  <c:v>1028</c:v>
                </c:pt>
              </c:numCache>
            </c:numRef>
          </c:val>
          <c:extLst xmlns:c16r2="http://schemas.microsoft.com/office/drawing/2015/06/chart">
            <c:ext xmlns:c16="http://schemas.microsoft.com/office/drawing/2014/chart" uri="{C3380CC4-5D6E-409C-BE32-E72D297353CC}">
              <c16:uniqueId val="{00000002-395B-4ADF-86F8-F160DA006EE0}"/>
            </c:ext>
          </c:extLst>
        </c:ser>
        <c:ser>
          <c:idx val="3"/>
          <c:order val="4"/>
          <c:tx>
            <c:strRef>
              <c:f>'Generation Data'!$I$18</c:f>
              <c:strCache>
                <c:ptCount val="1"/>
                <c:pt idx="0">
                  <c:v>Hydro</c:v>
                </c:pt>
              </c:strCache>
            </c:strRef>
          </c:tx>
          <c:spPr>
            <a:solidFill>
              <a:schemeClr val="accent4"/>
            </a:solidFill>
            <a:ln>
              <a:noFill/>
            </a:ln>
            <a:effectLst/>
          </c:spPr>
          <c:invertIfNegative val="0"/>
          <c:cat>
            <c:numRef>
              <c:f>'Generation Data'!$J$14:$Q$14</c:f>
              <c:numCache>
                <c:formatCode>General</c:formatCode>
                <c:ptCount val="8"/>
                <c:pt idx="0">
                  <c:v>2009</c:v>
                </c:pt>
                <c:pt idx="1">
                  <c:v>2010</c:v>
                </c:pt>
                <c:pt idx="2">
                  <c:v>2011</c:v>
                </c:pt>
                <c:pt idx="3">
                  <c:v>2012</c:v>
                </c:pt>
                <c:pt idx="4">
                  <c:v>2013</c:v>
                </c:pt>
                <c:pt idx="5">
                  <c:v>2014</c:v>
                </c:pt>
                <c:pt idx="6">
                  <c:v>2015</c:v>
                </c:pt>
                <c:pt idx="7">
                  <c:v>2016</c:v>
                </c:pt>
              </c:numCache>
            </c:numRef>
          </c:cat>
          <c:val>
            <c:numRef>
              <c:f>'Generation Data'!$J$18:$Q$18</c:f>
              <c:numCache>
                <c:formatCode>General</c:formatCode>
                <c:ptCount val="8"/>
                <c:pt idx="0">
                  <c:v>230</c:v>
                </c:pt>
                <c:pt idx="1">
                  <c:v>230</c:v>
                </c:pt>
                <c:pt idx="2">
                  <c:v>230</c:v>
                </c:pt>
                <c:pt idx="3">
                  <c:v>220</c:v>
                </c:pt>
                <c:pt idx="4">
                  <c:v>220</c:v>
                </c:pt>
                <c:pt idx="5">
                  <c:v>230</c:v>
                </c:pt>
                <c:pt idx="6">
                  <c:v>230</c:v>
                </c:pt>
                <c:pt idx="7">
                  <c:v>230</c:v>
                </c:pt>
              </c:numCache>
            </c:numRef>
          </c:val>
          <c:extLst xmlns:c16r2="http://schemas.microsoft.com/office/drawing/2015/06/chart">
            <c:ext xmlns:c16="http://schemas.microsoft.com/office/drawing/2014/chart" uri="{C3380CC4-5D6E-409C-BE32-E72D297353CC}">
              <c16:uniqueId val="{00000003-395B-4ADF-86F8-F160DA006EE0}"/>
            </c:ext>
          </c:extLst>
        </c:ser>
        <c:ser>
          <c:idx val="4"/>
          <c:order val="5"/>
          <c:tx>
            <c:strRef>
              <c:f>'Generation Data'!$I$19</c:f>
              <c:strCache>
                <c:ptCount val="1"/>
                <c:pt idx="0">
                  <c:v>Coal</c:v>
                </c:pt>
              </c:strCache>
            </c:strRef>
          </c:tx>
          <c:spPr>
            <a:solidFill>
              <a:schemeClr val="accent5"/>
            </a:solidFill>
            <a:ln>
              <a:noFill/>
            </a:ln>
            <a:effectLst/>
          </c:spPr>
          <c:invertIfNegative val="0"/>
          <c:cat>
            <c:numRef>
              <c:f>'Generation Data'!$J$14:$Q$14</c:f>
              <c:numCache>
                <c:formatCode>General</c:formatCode>
                <c:ptCount val="8"/>
                <c:pt idx="0">
                  <c:v>2009</c:v>
                </c:pt>
                <c:pt idx="1">
                  <c:v>2010</c:v>
                </c:pt>
                <c:pt idx="2">
                  <c:v>2011</c:v>
                </c:pt>
                <c:pt idx="3">
                  <c:v>2012</c:v>
                </c:pt>
                <c:pt idx="4">
                  <c:v>2013</c:v>
                </c:pt>
                <c:pt idx="5">
                  <c:v>2014</c:v>
                </c:pt>
                <c:pt idx="6">
                  <c:v>2015</c:v>
                </c:pt>
                <c:pt idx="7">
                  <c:v>2016</c:v>
                </c:pt>
              </c:numCache>
            </c:numRef>
          </c:cat>
          <c:val>
            <c:numRef>
              <c:f>'Generation Data'!$J$19:$Q$19</c:f>
              <c:numCache>
                <c:formatCode>General</c:formatCode>
                <c:ptCount val="8"/>
                <c:pt idx="0">
                  <c:v>250</c:v>
                </c:pt>
                <c:pt idx="1">
                  <c:v>250</c:v>
                </c:pt>
                <c:pt idx="2">
                  <c:v>220</c:v>
                </c:pt>
                <c:pt idx="3">
                  <c:v>200</c:v>
                </c:pt>
                <c:pt idx="4">
                  <c:v>200</c:v>
                </c:pt>
                <c:pt idx="5">
                  <c:v>200</c:v>
                </c:pt>
                <c:pt idx="6">
                  <c:v>200</c:v>
                </c:pt>
                <c:pt idx="7">
                  <c:v>250</c:v>
                </c:pt>
              </c:numCache>
            </c:numRef>
          </c:val>
          <c:extLst xmlns:c16r2="http://schemas.microsoft.com/office/drawing/2015/06/chart">
            <c:ext xmlns:c16="http://schemas.microsoft.com/office/drawing/2014/chart" uri="{C3380CC4-5D6E-409C-BE32-E72D297353CC}">
              <c16:uniqueId val="{00000004-395B-4ADF-86F8-F160DA006EE0}"/>
            </c:ext>
          </c:extLst>
        </c:ser>
        <c:ser>
          <c:idx val="5"/>
          <c:order val="6"/>
          <c:tx>
            <c:strRef>
              <c:f>'Generation Data'!$I$20</c:f>
              <c:strCache>
                <c:ptCount val="1"/>
                <c:pt idx="0">
                  <c:v>Imported</c:v>
                </c:pt>
              </c:strCache>
            </c:strRef>
          </c:tx>
          <c:spPr>
            <a:solidFill>
              <a:schemeClr val="accent6"/>
            </a:solidFill>
            <a:ln>
              <a:noFill/>
            </a:ln>
            <a:effectLst/>
          </c:spPr>
          <c:invertIfNegative val="0"/>
          <c:cat>
            <c:numRef>
              <c:f>'Generation Data'!$J$14:$Q$14</c:f>
              <c:numCache>
                <c:formatCode>General</c:formatCode>
                <c:ptCount val="8"/>
                <c:pt idx="0">
                  <c:v>2009</c:v>
                </c:pt>
                <c:pt idx="1">
                  <c:v>2010</c:v>
                </c:pt>
                <c:pt idx="2">
                  <c:v>2011</c:v>
                </c:pt>
                <c:pt idx="3">
                  <c:v>2012</c:v>
                </c:pt>
                <c:pt idx="4">
                  <c:v>2013</c:v>
                </c:pt>
                <c:pt idx="5">
                  <c:v>2014</c:v>
                </c:pt>
                <c:pt idx="6">
                  <c:v>2015</c:v>
                </c:pt>
                <c:pt idx="7">
                  <c:v>2016</c:v>
                </c:pt>
              </c:numCache>
            </c:numRef>
          </c:cat>
          <c:val>
            <c:numRef>
              <c:f>'Generation Data'!$J$20:$Q$20</c:f>
              <c:numCache>
                <c:formatCode>General</c:formatCode>
                <c:ptCount val="8"/>
                <c:pt idx="5">
                  <c:v>500</c:v>
                </c:pt>
                <c:pt idx="6">
                  <c:v>500</c:v>
                </c:pt>
                <c:pt idx="7">
                  <c:v>600</c:v>
                </c:pt>
              </c:numCache>
            </c:numRef>
          </c:val>
          <c:extLst xmlns:c16r2="http://schemas.microsoft.com/office/drawing/2015/06/chart">
            <c:ext xmlns:c16="http://schemas.microsoft.com/office/drawing/2014/chart" uri="{C3380CC4-5D6E-409C-BE32-E72D297353CC}">
              <c16:uniqueId val="{00000005-395B-4ADF-86F8-F160DA006EE0}"/>
            </c:ext>
          </c:extLst>
        </c:ser>
        <c:dLbls>
          <c:showLegendKey val="0"/>
          <c:showVal val="0"/>
          <c:showCatName val="0"/>
          <c:showSerName val="0"/>
          <c:showPercent val="0"/>
          <c:showBubbleSize val="0"/>
        </c:dLbls>
        <c:gapWidth val="71"/>
        <c:overlap val="100"/>
        <c:axId val="649757440"/>
        <c:axId val="649757048"/>
      </c:barChart>
      <c:lineChart>
        <c:grouping val="standard"/>
        <c:varyColors val="0"/>
        <c:ser>
          <c:idx val="6"/>
          <c:order val="0"/>
          <c:tx>
            <c:strRef>
              <c:f>'Generation Data'!$I$21</c:f>
              <c:strCache>
                <c:ptCount val="1"/>
                <c:pt idx="0">
                  <c:v>Total</c:v>
                </c:pt>
              </c:strCache>
            </c:strRef>
          </c:tx>
          <c:spPr>
            <a:ln w="28575" cap="rnd">
              <a:solidFill>
                <a:schemeClr val="accent1">
                  <a:lumMod val="60000"/>
                </a:schemeClr>
              </a:solidFill>
              <a:round/>
            </a:ln>
            <a:effectLst/>
          </c:spPr>
          <c:marker>
            <c:symbol val="none"/>
          </c:marke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'Generation Data'!$J$21:$Q$21</c:f>
              <c:numCache>
                <c:formatCode>General</c:formatCode>
                <c:ptCount val="8"/>
                <c:pt idx="0">
                  <c:v>5493</c:v>
                </c:pt>
                <c:pt idx="1">
                  <c:v>5823</c:v>
                </c:pt>
                <c:pt idx="2">
                  <c:v>6639</c:v>
                </c:pt>
                <c:pt idx="3">
                  <c:v>8100</c:v>
                </c:pt>
                <c:pt idx="4">
                  <c:v>8537</c:v>
                </c:pt>
                <c:pt idx="5">
                  <c:v>9821</c:v>
                </c:pt>
                <c:pt idx="6">
                  <c:v>10939</c:v>
                </c:pt>
                <c:pt idx="7">
                  <c:v>13151</c:v>
                </c:pt>
              </c:numCache>
            </c:numRef>
          </c:val>
          <c:smooth val="0"/>
          <c:extLst xmlns:c16r2="http://schemas.microsoft.com/office/drawing/2015/06/chart">
            <c:ext xmlns:c16="http://schemas.microsoft.com/office/drawing/2014/chart" uri="{C3380CC4-5D6E-409C-BE32-E72D297353CC}">
              <c16:uniqueId val="{00000006-395B-4ADF-86F8-F160DA006EE0}"/>
            </c:ext>
          </c:extLst>
        </c:ser>
        <c:dLbls>
          <c:showLegendKey val="0"/>
          <c:showVal val="0"/>
          <c:showCatName val="0"/>
          <c:showSerName val="0"/>
          <c:showPercent val="0"/>
          <c:showBubbleSize val="0"/>
        </c:dLbls>
        <c:marker val="1"/>
        <c:smooth val="0"/>
        <c:axId val="649757440"/>
        <c:axId val="649757048"/>
      </c:lineChart>
      <c:catAx>
        <c:axId val="649757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49757048"/>
        <c:crosses val="autoZero"/>
        <c:auto val="1"/>
        <c:lblAlgn val="ctr"/>
        <c:lblOffset val="100"/>
        <c:noMultiLvlLbl val="0"/>
      </c:catAx>
      <c:valAx>
        <c:axId val="649757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497574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68945548473105"/>
          <c:y val="0.16503633326825881"/>
          <c:w val="0.75802624671916008"/>
          <c:h val="0.61877095941519711"/>
        </c:manualLayout>
      </c:layout>
      <c:barChart>
        <c:barDir val="col"/>
        <c:grouping val="stacked"/>
        <c:varyColors val="0"/>
        <c:ser>
          <c:idx val="0"/>
          <c:order val="0"/>
          <c:tx>
            <c:strRef>
              <c:f>'Main Output 2'!$D$27</c:f>
              <c:strCache>
                <c:ptCount val="1"/>
                <c:pt idx="0">
                  <c:v>Gas</c:v>
                </c:pt>
              </c:strCache>
            </c:strRef>
          </c:tx>
          <c:invertIfNegative val="0"/>
          <c:cat>
            <c:numRef>
              <c:f>'Main Output 2'!$N$5:$V$5</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2'!$N$27:$V$27</c:f>
              <c:numCache>
                <c:formatCode>0</c:formatCode>
                <c:ptCount val="9"/>
                <c:pt idx="0">
                  <c:v>36.144532030064006</c:v>
                </c:pt>
                <c:pt idx="1">
                  <c:v>49.045767053728213</c:v>
                </c:pt>
                <c:pt idx="2">
                  <c:v>49.279898831474213</c:v>
                </c:pt>
                <c:pt idx="3">
                  <c:v>47.913089811016462</c:v>
                </c:pt>
                <c:pt idx="4">
                  <c:v>46.938256986590886</c:v>
                </c:pt>
                <c:pt idx="5">
                  <c:v>44.657214577420064</c:v>
                </c:pt>
                <c:pt idx="6">
                  <c:v>42.57515660009193</c:v>
                </c:pt>
                <c:pt idx="7">
                  <c:v>41.021208542549694</c:v>
                </c:pt>
                <c:pt idx="8">
                  <c:v>39.415273516685296</c:v>
                </c:pt>
              </c:numCache>
            </c:numRef>
          </c:val>
          <c:extLst xmlns:c16r2="http://schemas.microsoft.com/office/drawing/2015/06/chart">
            <c:ext xmlns:c16="http://schemas.microsoft.com/office/drawing/2014/chart" uri="{C3380CC4-5D6E-409C-BE32-E72D297353CC}">
              <c16:uniqueId val="{00000000-5681-4690-8FAF-C124B42ABCF8}"/>
            </c:ext>
          </c:extLst>
        </c:ser>
        <c:ser>
          <c:idx val="1"/>
          <c:order val="1"/>
          <c:tx>
            <c:strRef>
              <c:f>'Main Output 2'!$D$28</c:f>
              <c:strCache>
                <c:ptCount val="1"/>
                <c:pt idx="0">
                  <c:v>RFO</c:v>
                </c:pt>
              </c:strCache>
            </c:strRef>
          </c:tx>
          <c:spPr>
            <a:solidFill>
              <a:schemeClr val="accent3"/>
            </a:solidFill>
          </c:spPr>
          <c:invertIfNegative val="0"/>
          <c:cat>
            <c:numRef>
              <c:f>'Main Output 2'!$N$5:$V$5</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2'!$N$28:$V$28</c:f>
              <c:numCache>
                <c:formatCode>0</c:formatCode>
                <c:ptCount val="9"/>
                <c:pt idx="0">
                  <c:v>8.8937157772800006</c:v>
                </c:pt>
                <c:pt idx="1">
                  <c:v>8.3687770662546672</c:v>
                </c:pt>
                <c:pt idx="2">
                  <c:v>7.6393272291466685</c:v>
                </c:pt>
                <c:pt idx="3">
                  <c:v>7.5999316490511752</c:v>
                </c:pt>
                <c:pt idx="4">
                  <c:v>7.579166808480001</c:v>
                </c:pt>
                <c:pt idx="5">
                  <c:v>7.2965959751466674</c:v>
                </c:pt>
                <c:pt idx="6">
                  <c:v>6.9440668084800006</c:v>
                </c:pt>
                <c:pt idx="7">
                  <c:v>6.6207795012013939</c:v>
                </c:pt>
                <c:pt idx="8">
                  <c:v>6.2248003945351185</c:v>
                </c:pt>
              </c:numCache>
            </c:numRef>
          </c:val>
          <c:extLst xmlns:c16r2="http://schemas.microsoft.com/office/drawing/2015/06/chart">
            <c:ext xmlns:c16="http://schemas.microsoft.com/office/drawing/2014/chart" uri="{C3380CC4-5D6E-409C-BE32-E72D297353CC}">
              <c16:uniqueId val="{00000001-5681-4690-8FAF-C124B42ABCF8}"/>
            </c:ext>
          </c:extLst>
        </c:ser>
        <c:ser>
          <c:idx val="3"/>
          <c:order val="2"/>
          <c:tx>
            <c:strRef>
              <c:f>'Main Output 2'!$D$29</c:f>
              <c:strCache>
                <c:ptCount val="1"/>
                <c:pt idx="0">
                  <c:v>HSD</c:v>
                </c:pt>
              </c:strCache>
            </c:strRef>
          </c:tx>
          <c:spPr>
            <a:solidFill>
              <a:schemeClr val="accent2"/>
            </a:solidFill>
          </c:spPr>
          <c:invertIfNegative val="0"/>
          <c:cat>
            <c:numRef>
              <c:f>'Main Output 2'!$N$5:$V$5</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2'!$N$29:$V$29</c:f>
              <c:numCache>
                <c:formatCode>0</c:formatCode>
                <c:ptCount val="9"/>
                <c:pt idx="0">
                  <c:v>1.6853393803226668</c:v>
                </c:pt>
                <c:pt idx="1">
                  <c:v>0</c:v>
                </c:pt>
                <c:pt idx="2">
                  <c:v>0</c:v>
                </c:pt>
                <c:pt idx="3">
                  <c:v>0</c:v>
                </c:pt>
                <c:pt idx="4">
                  <c:v>0</c:v>
                </c:pt>
                <c:pt idx="5">
                  <c:v>0</c:v>
                </c:pt>
                <c:pt idx="6">
                  <c:v>0</c:v>
                </c:pt>
                <c:pt idx="7">
                  <c:v>0</c:v>
                </c:pt>
                <c:pt idx="8">
                  <c:v>0</c:v>
                </c:pt>
              </c:numCache>
            </c:numRef>
          </c:val>
          <c:extLst xmlns:c16r2="http://schemas.microsoft.com/office/drawing/2015/06/chart">
            <c:ext xmlns:c16="http://schemas.microsoft.com/office/drawing/2014/chart" uri="{C3380CC4-5D6E-409C-BE32-E72D297353CC}">
              <c16:uniqueId val="{00000002-5681-4690-8FAF-C124B42ABCF8}"/>
            </c:ext>
          </c:extLst>
        </c:ser>
        <c:ser>
          <c:idx val="2"/>
          <c:order val="3"/>
          <c:tx>
            <c:strRef>
              <c:f>'Main Output 2'!$D$30</c:f>
              <c:strCache>
                <c:ptCount val="1"/>
                <c:pt idx="0">
                  <c:v>Coal</c:v>
                </c:pt>
              </c:strCache>
            </c:strRef>
          </c:tx>
          <c:spPr>
            <a:solidFill>
              <a:schemeClr val="accent4"/>
            </a:solidFill>
          </c:spPr>
          <c:invertIfNegative val="0"/>
          <c:cat>
            <c:numRef>
              <c:f>'Main Output 2'!$N$5:$V$5</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2'!$N$30:$V$30</c:f>
              <c:numCache>
                <c:formatCode>0</c:formatCode>
                <c:ptCount val="9"/>
                <c:pt idx="0">
                  <c:v>0.99835200000000013</c:v>
                </c:pt>
                <c:pt idx="1">
                  <c:v>1.6018186666666665</c:v>
                </c:pt>
                <c:pt idx="2">
                  <c:v>5.5088565333333328</c:v>
                </c:pt>
                <c:pt idx="3">
                  <c:v>18.438498410958903</c:v>
                </c:pt>
                <c:pt idx="4">
                  <c:v>26.605875999999995</c:v>
                </c:pt>
                <c:pt idx="5">
                  <c:v>30.896329333333327</c:v>
                </c:pt>
                <c:pt idx="6">
                  <c:v>30.572111999999994</c:v>
                </c:pt>
                <c:pt idx="7">
                  <c:v>29.858977176343167</c:v>
                </c:pt>
                <c:pt idx="8">
                  <c:v>28.78223733319879</c:v>
                </c:pt>
              </c:numCache>
            </c:numRef>
          </c:val>
          <c:extLst xmlns:c16r2="http://schemas.microsoft.com/office/drawing/2015/06/chart">
            <c:ext xmlns:c16="http://schemas.microsoft.com/office/drawing/2014/chart" uri="{C3380CC4-5D6E-409C-BE32-E72D297353CC}">
              <c16:uniqueId val="{00000003-5681-4690-8FAF-C124B42ABCF8}"/>
            </c:ext>
          </c:extLst>
        </c:ser>
        <c:ser>
          <c:idx val="4"/>
          <c:order val="4"/>
          <c:tx>
            <c:strRef>
              <c:f>'Main Output 2'!$D$31</c:f>
              <c:strCache>
                <c:ptCount val="1"/>
                <c:pt idx="0">
                  <c:v>Others</c:v>
                </c:pt>
              </c:strCache>
            </c:strRef>
          </c:tx>
          <c:spPr>
            <a:solidFill>
              <a:schemeClr val="accent6"/>
            </a:solidFill>
          </c:spPr>
          <c:invertIfNegative val="0"/>
          <c:cat>
            <c:numRef>
              <c:f>'Main Output 2'!$N$5:$V$5</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2'!$N$31:$V$31</c:f>
              <c:numCache>
                <c:formatCode>0</c:formatCode>
                <c:ptCount val="9"/>
                <c:pt idx="0">
                  <c:v>4.3088439999999997</c:v>
                </c:pt>
                <c:pt idx="1">
                  <c:v>6.8706679999999993</c:v>
                </c:pt>
                <c:pt idx="2">
                  <c:v>4.7477079999999994</c:v>
                </c:pt>
                <c:pt idx="3">
                  <c:v>4.4834378301369862</c:v>
                </c:pt>
                <c:pt idx="4">
                  <c:v>4.4711879999999997</c:v>
                </c:pt>
                <c:pt idx="5">
                  <c:v>4.4711879999999997</c:v>
                </c:pt>
                <c:pt idx="6">
                  <c:v>4.4711879999999997</c:v>
                </c:pt>
                <c:pt idx="7">
                  <c:v>4.3896901538615287</c:v>
                </c:pt>
                <c:pt idx="8">
                  <c:v>4.2606247587808159</c:v>
                </c:pt>
              </c:numCache>
            </c:numRef>
          </c:val>
          <c:extLst xmlns:c16r2="http://schemas.microsoft.com/office/drawing/2015/06/chart">
            <c:ext xmlns:c16="http://schemas.microsoft.com/office/drawing/2014/chart" uri="{C3380CC4-5D6E-409C-BE32-E72D297353CC}">
              <c16:uniqueId val="{00000004-5681-4690-8FAF-C124B42ABCF8}"/>
            </c:ext>
          </c:extLst>
        </c:ser>
        <c:dLbls>
          <c:showLegendKey val="0"/>
          <c:showVal val="0"/>
          <c:showCatName val="0"/>
          <c:showSerName val="0"/>
          <c:showPercent val="0"/>
          <c:showBubbleSize val="0"/>
        </c:dLbls>
        <c:gapWidth val="150"/>
        <c:overlap val="100"/>
        <c:axId val="645040344"/>
        <c:axId val="645040736"/>
      </c:barChart>
      <c:lineChart>
        <c:grouping val="standard"/>
        <c:varyColors val="0"/>
        <c:ser>
          <c:idx val="5"/>
          <c:order val="5"/>
          <c:tx>
            <c:v>Cost</c:v>
          </c:tx>
          <c:spPr>
            <a:ln>
              <a:solidFill>
                <a:srgbClr val="C00000"/>
              </a:solidFill>
            </a:ln>
          </c:spPr>
          <c:marker>
            <c:spPr>
              <a:solidFill>
                <a:srgbClr val="C00000"/>
              </a:solidFill>
              <a:ln>
                <a:solidFill>
                  <a:srgbClr val="C00000"/>
                </a:solidFill>
              </a:ln>
            </c:spPr>
          </c:marker>
          <c:cat>
            <c:numRef>
              <c:f>'Main Output 2'!$N$5:$V$5</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2'!$N$69:$V$69</c:f>
              <c:numCache>
                <c:formatCode>0.00</c:formatCode>
                <c:ptCount val="9"/>
                <c:pt idx="0">
                  <c:v>7.4463318636254776</c:v>
                </c:pt>
                <c:pt idx="1">
                  <c:v>7.5756359813645346</c:v>
                </c:pt>
                <c:pt idx="2">
                  <c:v>7.7998253333582044</c:v>
                </c:pt>
                <c:pt idx="3">
                  <c:v>9.2538453180942835</c:v>
                </c:pt>
                <c:pt idx="4">
                  <c:v>9.7698029234346038</c:v>
                </c:pt>
                <c:pt idx="5">
                  <c:v>10.73949908569014</c:v>
                </c:pt>
                <c:pt idx="6">
                  <c:v>10.777181597875668</c:v>
                </c:pt>
                <c:pt idx="7">
                  <c:v>11.664332841176291</c:v>
                </c:pt>
                <c:pt idx="8">
                  <c:v>12.50873441733567</c:v>
                </c:pt>
              </c:numCache>
            </c:numRef>
          </c:val>
          <c:smooth val="0"/>
          <c:extLst xmlns:c16r2="http://schemas.microsoft.com/office/drawing/2015/06/chart">
            <c:ext xmlns:c16="http://schemas.microsoft.com/office/drawing/2014/chart" uri="{C3380CC4-5D6E-409C-BE32-E72D297353CC}">
              <c16:uniqueId val="{00000005-5681-4690-8FAF-C124B42ABCF8}"/>
            </c:ext>
          </c:extLst>
        </c:ser>
        <c:dLbls>
          <c:showLegendKey val="0"/>
          <c:showVal val="0"/>
          <c:showCatName val="0"/>
          <c:showSerName val="0"/>
          <c:showPercent val="0"/>
          <c:showBubbleSize val="0"/>
        </c:dLbls>
        <c:marker val="1"/>
        <c:smooth val="0"/>
        <c:axId val="742117408"/>
        <c:axId val="645041128"/>
      </c:lineChart>
      <c:catAx>
        <c:axId val="645040344"/>
        <c:scaling>
          <c:orientation val="minMax"/>
        </c:scaling>
        <c:delete val="0"/>
        <c:axPos val="b"/>
        <c:numFmt formatCode="General" sourceLinked="1"/>
        <c:majorTickMark val="out"/>
        <c:minorTickMark val="none"/>
        <c:tickLblPos val="nextTo"/>
        <c:crossAx val="645040736"/>
        <c:crosses val="autoZero"/>
        <c:auto val="1"/>
        <c:lblAlgn val="ctr"/>
        <c:lblOffset val="100"/>
        <c:noMultiLvlLbl val="0"/>
      </c:catAx>
      <c:valAx>
        <c:axId val="645040736"/>
        <c:scaling>
          <c:orientation val="minMax"/>
          <c:max val="120"/>
        </c:scaling>
        <c:delete val="0"/>
        <c:axPos val="l"/>
        <c:majorGridlines>
          <c:spPr>
            <a:ln>
              <a:solidFill>
                <a:schemeClr val="bg1">
                  <a:lumMod val="75000"/>
                </a:schemeClr>
              </a:solidFill>
            </a:ln>
          </c:spPr>
        </c:majorGridlines>
        <c:title>
          <c:tx>
            <c:rich>
              <a:bodyPr rot="0" vert="horz"/>
              <a:lstStyle/>
              <a:p>
                <a:pPr>
                  <a:defRPr/>
                </a:pPr>
                <a:r>
                  <a:rPr lang="en-US"/>
                  <a:t>TWh</a:t>
                </a:r>
              </a:p>
            </c:rich>
          </c:tx>
          <c:layout>
            <c:manualLayout>
              <c:xMode val="edge"/>
              <c:yMode val="edge"/>
              <c:x val="1.7917760279965004E-2"/>
              <c:y val="3.1992563429571304E-2"/>
            </c:manualLayout>
          </c:layout>
          <c:overlay val="0"/>
        </c:title>
        <c:numFmt formatCode="0" sourceLinked="1"/>
        <c:majorTickMark val="out"/>
        <c:minorTickMark val="none"/>
        <c:tickLblPos val="nextTo"/>
        <c:spPr>
          <a:ln>
            <a:noFill/>
          </a:ln>
        </c:spPr>
        <c:crossAx val="645040344"/>
        <c:crosses val="autoZero"/>
        <c:crossBetween val="between"/>
        <c:majorUnit val="20"/>
      </c:valAx>
      <c:valAx>
        <c:axId val="645041128"/>
        <c:scaling>
          <c:orientation val="minMax"/>
          <c:min val="3"/>
        </c:scaling>
        <c:delete val="0"/>
        <c:axPos val="r"/>
        <c:title>
          <c:tx>
            <c:rich>
              <a:bodyPr rot="0" vert="horz"/>
              <a:lstStyle/>
              <a:p>
                <a:pPr>
                  <a:defRPr/>
                </a:pPr>
                <a:r>
                  <a:rPr lang="en-US"/>
                  <a:t>Cost (Tk/kWh)</a:t>
                </a:r>
              </a:p>
            </c:rich>
          </c:tx>
          <c:layout>
            <c:manualLayout>
              <c:xMode val="edge"/>
              <c:yMode val="edge"/>
              <c:x val="0.82241686455859664"/>
              <c:y val="9.3824730242053067E-3"/>
            </c:manualLayout>
          </c:layout>
          <c:overlay val="0"/>
        </c:title>
        <c:numFmt formatCode="0" sourceLinked="0"/>
        <c:majorTickMark val="out"/>
        <c:minorTickMark val="none"/>
        <c:tickLblPos val="nextTo"/>
        <c:spPr>
          <a:ln>
            <a:noFill/>
          </a:ln>
        </c:spPr>
        <c:crossAx val="742117408"/>
        <c:crosses val="max"/>
        <c:crossBetween val="between"/>
      </c:valAx>
      <c:catAx>
        <c:axId val="742117408"/>
        <c:scaling>
          <c:orientation val="minMax"/>
        </c:scaling>
        <c:delete val="1"/>
        <c:axPos val="b"/>
        <c:numFmt formatCode="General" sourceLinked="1"/>
        <c:majorTickMark val="out"/>
        <c:minorTickMark val="none"/>
        <c:tickLblPos val="nextTo"/>
        <c:crossAx val="645041128"/>
        <c:crosses val="autoZero"/>
        <c:auto val="1"/>
        <c:lblAlgn val="ctr"/>
        <c:lblOffset val="100"/>
        <c:noMultiLvlLbl val="0"/>
      </c:catAx>
    </c:plotArea>
    <c:legend>
      <c:legendPos val="b"/>
      <c:layout>
        <c:manualLayout>
          <c:xMode val="edge"/>
          <c:yMode val="edge"/>
          <c:x val="7.9819689205515978E-2"/>
          <c:y val="0.87847112860892385"/>
          <c:w val="0.8445930925301004"/>
          <c:h val="0.11226961213181684"/>
        </c:manualLayout>
      </c:layout>
      <c:overlay val="0"/>
    </c:legend>
    <c:plotVisOnly val="1"/>
    <c:dispBlanksAs val="gap"/>
    <c:showDLblsOverMax val="0"/>
  </c:chart>
  <c:spPr>
    <a:ln>
      <a:noFill/>
    </a:ln>
  </c:spPr>
  <c:txPr>
    <a:bodyPr/>
    <a:lstStyle/>
    <a:p>
      <a:pPr>
        <a:defRPr sz="900"/>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98708945165639"/>
          <c:y val="0.12692824413897416"/>
          <c:w val="0.87501770796830058"/>
          <c:h val="0.65992570843898735"/>
        </c:manualLayout>
      </c:layout>
      <c:barChart>
        <c:barDir val="col"/>
        <c:grouping val="clustered"/>
        <c:varyColors val="0"/>
        <c:ser>
          <c:idx val="0"/>
          <c:order val="0"/>
          <c:tx>
            <c:v>No Tariff Increase</c:v>
          </c:tx>
          <c:spPr>
            <a:solidFill>
              <a:schemeClr val="accent2"/>
            </a:solidFill>
          </c:spPr>
          <c:invertIfNegative val="0"/>
          <c:cat>
            <c:numRef>
              <c:f>'Main Output 1'!$N$4:$V$4</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1'!$N$48:$V$48</c:f>
              <c:numCache>
                <c:formatCode>0</c:formatCode>
                <c:ptCount val="9"/>
                <c:pt idx="0">
                  <c:v>49.083936153622865</c:v>
                </c:pt>
                <c:pt idx="1">
                  <c:v>69.663916940780766</c:v>
                </c:pt>
                <c:pt idx="2">
                  <c:v>84.890252321482691</c:v>
                </c:pt>
                <c:pt idx="3">
                  <c:v>201.5986208088122</c:v>
                </c:pt>
                <c:pt idx="4">
                  <c:v>260.33004081861117</c:v>
                </c:pt>
                <c:pt idx="5">
                  <c:v>341.57068000732778</c:v>
                </c:pt>
                <c:pt idx="6">
                  <c:v>333.79651970903564</c:v>
                </c:pt>
                <c:pt idx="7">
                  <c:v>388.80405786948256</c:v>
                </c:pt>
                <c:pt idx="8">
                  <c:v>433.68144589806968</c:v>
                </c:pt>
              </c:numCache>
            </c:numRef>
          </c:val>
          <c:extLst xmlns:c16r2="http://schemas.microsoft.com/office/drawing/2015/06/chart">
            <c:ext xmlns:c16="http://schemas.microsoft.com/office/drawing/2014/chart" uri="{C3380CC4-5D6E-409C-BE32-E72D297353CC}">
              <c16:uniqueId val="{00000000-A6FE-43B0-AD77-5122143D0422}"/>
            </c:ext>
          </c:extLst>
        </c:ser>
        <c:ser>
          <c:idx val="1"/>
          <c:order val="1"/>
          <c:tx>
            <c:v>Tariff Increases with Inflation</c:v>
          </c:tx>
          <c:spPr>
            <a:solidFill>
              <a:schemeClr val="accent5"/>
            </a:solidFill>
          </c:spPr>
          <c:invertIfNegative val="0"/>
          <c:cat>
            <c:numRef>
              <c:f>'Main Output 1'!$N$4:$V$4</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1'!$N$49:$V$49</c:f>
              <c:numCache>
                <c:formatCode>0</c:formatCode>
                <c:ptCount val="9"/>
                <c:pt idx="0">
                  <c:v>31.268719393323352</c:v>
                </c:pt>
                <c:pt idx="1">
                  <c:v>23.25773399736709</c:v>
                </c:pt>
                <c:pt idx="2">
                  <c:v>11.394351245262543</c:v>
                </c:pt>
                <c:pt idx="3">
                  <c:v>83.531208450704469</c:v>
                </c:pt>
                <c:pt idx="4">
                  <c:v>93.858417512228598</c:v>
                </c:pt>
                <c:pt idx="5">
                  <c:v>131.55220819032019</c:v>
                </c:pt>
                <c:pt idx="6">
                  <c:v>88.941582010334585</c:v>
                </c:pt>
                <c:pt idx="7">
                  <c:v>109.07378632915847</c:v>
                </c:pt>
                <c:pt idx="8">
                  <c:v>121.41083383323684</c:v>
                </c:pt>
              </c:numCache>
            </c:numRef>
          </c:val>
          <c:extLst xmlns:c16r2="http://schemas.microsoft.com/office/drawing/2015/06/chart">
            <c:ext xmlns:c16="http://schemas.microsoft.com/office/drawing/2014/chart" uri="{C3380CC4-5D6E-409C-BE32-E72D297353CC}">
              <c16:uniqueId val="{00000001-A6FE-43B0-AD77-5122143D0422}"/>
            </c:ext>
          </c:extLst>
        </c:ser>
        <c:dLbls>
          <c:showLegendKey val="0"/>
          <c:showVal val="0"/>
          <c:showCatName val="0"/>
          <c:showSerName val="0"/>
          <c:showPercent val="0"/>
          <c:showBubbleSize val="0"/>
        </c:dLbls>
        <c:gapWidth val="150"/>
        <c:axId val="742118192"/>
        <c:axId val="742118584"/>
      </c:barChart>
      <c:catAx>
        <c:axId val="742118192"/>
        <c:scaling>
          <c:orientation val="minMax"/>
        </c:scaling>
        <c:delete val="0"/>
        <c:axPos val="b"/>
        <c:numFmt formatCode="General" sourceLinked="1"/>
        <c:majorTickMark val="out"/>
        <c:minorTickMark val="none"/>
        <c:tickLblPos val="nextTo"/>
        <c:crossAx val="742118584"/>
        <c:crosses val="autoZero"/>
        <c:auto val="1"/>
        <c:lblAlgn val="ctr"/>
        <c:lblOffset val="100"/>
        <c:noMultiLvlLbl val="0"/>
      </c:catAx>
      <c:valAx>
        <c:axId val="742118584"/>
        <c:scaling>
          <c:orientation val="minMax"/>
          <c:max val="500"/>
          <c:min val="0"/>
        </c:scaling>
        <c:delete val="0"/>
        <c:axPos val="l"/>
        <c:majorGridlines>
          <c:spPr>
            <a:ln>
              <a:solidFill>
                <a:schemeClr val="bg1">
                  <a:lumMod val="75000"/>
                </a:schemeClr>
              </a:solidFill>
            </a:ln>
          </c:spPr>
        </c:majorGridlines>
        <c:numFmt formatCode="0" sourceLinked="1"/>
        <c:majorTickMark val="out"/>
        <c:minorTickMark val="none"/>
        <c:tickLblPos val="nextTo"/>
        <c:spPr>
          <a:ln>
            <a:noFill/>
          </a:ln>
        </c:spPr>
        <c:crossAx val="742118192"/>
        <c:crosses val="autoZero"/>
        <c:crossBetween val="between"/>
        <c:majorUnit val="100"/>
      </c:valAx>
    </c:plotArea>
    <c:legend>
      <c:legendPos val="b"/>
      <c:layout>
        <c:manualLayout>
          <c:xMode val="edge"/>
          <c:yMode val="edge"/>
          <c:x val="2.835851599631127E-2"/>
          <c:y val="0.89043596245384571"/>
          <c:w val="0.95939029580761848"/>
          <c:h val="0.10030475357247008"/>
        </c:manualLayout>
      </c:layout>
      <c:overlay val="0"/>
    </c:legend>
    <c:plotVisOnly val="1"/>
    <c:dispBlanksAs val="gap"/>
    <c:showDLblsOverMax val="0"/>
  </c:chart>
  <c:spPr>
    <a:ln>
      <a:noFill/>
    </a:ln>
  </c:spPr>
  <c:txPr>
    <a:bodyPr/>
    <a:lstStyle/>
    <a:p>
      <a:pPr>
        <a:defRPr sz="900"/>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701677960343029E-2"/>
          <c:y val="5.1117646438773458E-2"/>
          <c:w val="0.62568063877779789"/>
          <c:h val="0.83290263415868193"/>
        </c:manualLayout>
      </c:layout>
      <c:lineChart>
        <c:grouping val="standard"/>
        <c:varyColors val="0"/>
        <c:ser>
          <c:idx val="0"/>
          <c:order val="0"/>
          <c:tx>
            <c:strRef>
              <c:f>'Main Output 1'!$B$41</c:f>
              <c:strCache>
                <c:ptCount val="1"/>
                <c:pt idx="0">
                  <c:v>2: Linked with Inflation</c:v>
                </c:pt>
              </c:strCache>
            </c:strRef>
          </c:tx>
          <c:spPr>
            <a:ln>
              <a:solidFill>
                <a:schemeClr val="accent6"/>
              </a:solidFill>
            </a:ln>
          </c:spPr>
          <c:marker>
            <c:symbol val="none"/>
          </c:marker>
          <c:cat>
            <c:numRef>
              <c:f>'Main Output 1'!$N$4:$V$4</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1'!$N$41:$V$41</c:f>
              <c:numCache>
                <c:formatCode>_(* #,##0.00_);_(* \(#,##0.00\);_(* "-"??_);_(@_)</c:formatCode>
                <c:ptCount val="9"/>
                <c:pt idx="0">
                  <c:v>6.7733999999999996</c:v>
                </c:pt>
                <c:pt idx="1">
                  <c:v>7.179803999999999</c:v>
                </c:pt>
                <c:pt idx="2">
                  <c:v>7.6105922399999999</c:v>
                </c:pt>
                <c:pt idx="3">
                  <c:v>8.0672277744000009</c:v>
                </c:pt>
                <c:pt idx="4">
                  <c:v>8.5512614408640015</c:v>
                </c:pt>
                <c:pt idx="5">
                  <c:v>9.0643371273158397</c:v>
                </c:pt>
                <c:pt idx="6">
                  <c:v>9.6081973549547932</c:v>
                </c:pt>
                <c:pt idx="7">
                  <c:v>10.184689196252078</c:v>
                </c:pt>
                <c:pt idx="8">
                  <c:v>10.795770548027205</c:v>
                </c:pt>
              </c:numCache>
            </c:numRef>
          </c:val>
          <c:smooth val="0"/>
          <c:extLst xmlns:c16r2="http://schemas.microsoft.com/office/drawing/2015/06/chart">
            <c:ext xmlns:c16="http://schemas.microsoft.com/office/drawing/2014/chart" uri="{C3380CC4-5D6E-409C-BE32-E72D297353CC}">
              <c16:uniqueId val="{00000000-6FBE-4405-8C3B-8A88940494EB}"/>
            </c:ext>
          </c:extLst>
        </c:ser>
        <c:ser>
          <c:idx val="1"/>
          <c:order val="1"/>
          <c:tx>
            <c:strRef>
              <c:f>'Main Output 1'!$B$42</c:f>
              <c:strCache>
                <c:ptCount val="1"/>
                <c:pt idx="0">
                  <c:v>3: Breakeven by Year 6</c:v>
                </c:pt>
              </c:strCache>
            </c:strRef>
          </c:tx>
          <c:marker>
            <c:symbol val="none"/>
          </c:marker>
          <c:cat>
            <c:numRef>
              <c:f>'Main Output 1'!$N$4:$V$4</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1'!$N$42:$V$42</c:f>
              <c:numCache>
                <c:formatCode>_(* #,##0.00_);_(* \(#,##0.00\);_(* "-"??_);_(@_)</c:formatCode>
                <c:ptCount val="9"/>
                <c:pt idx="0">
                  <c:v>6.9118599779572518</c:v>
                </c:pt>
                <c:pt idx="1">
                  <c:v>7.476339335663102</c:v>
                </c:pt>
                <c:pt idx="2">
                  <c:v>8.0869187223469954</c:v>
                </c:pt>
                <c:pt idx="3">
                  <c:v>8.7473630456938007</c:v>
                </c:pt>
                <c:pt idx="4">
                  <c:v>9.4617446867282062</c:v>
                </c:pt>
                <c:pt idx="5">
                  <c:v>10.234468610617585</c:v>
                </c:pt>
                <c:pt idx="6">
                  <c:v>11.070299528229642</c:v>
                </c:pt>
                <c:pt idx="7">
                  <c:v>11.979878496499612</c:v>
                </c:pt>
                <c:pt idx="8">
                  <c:v>12.845364223049884</c:v>
                </c:pt>
              </c:numCache>
            </c:numRef>
          </c:val>
          <c:smooth val="0"/>
          <c:extLst xmlns:c16r2="http://schemas.microsoft.com/office/drawing/2015/06/chart">
            <c:ext xmlns:c16="http://schemas.microsoft.com/office/drawing/2014/chart" uri="{C3380CC4-5D6E-409C-BE32-E72D297353CC}">
              <c16:uniqueId val="{00000001-6FBE-4405-8C3B-8A88940494EB}"/>
            </c:ext>
          </c:extLst>
        </c:ser>
        <c:ser>
          <c:idx val="2"/>
          <c:order val="2"/>
          <c:tx>
            <c:strRef>
              <c:f>'Main Output 1'!$B$43</c:f>
              <c:strCache>
                <c:ptCount val="1"/>
                <c:pt idx="0">
                  <c:v>4: Breakeven by Year 4</c:v>
                </c:pt>
              </c:strCache>
            </c:strRef>
          </c:tx>
          <c:marker>
            <c:symbol val="none"/>
          </c:marker>
          <c:cat>
            <c:numRef>
              <c:f>'Main Output 1'!$N$4:$V$4</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1'!$N$43:$V$43</c:f>
              <c:numCache>
                <c:formatCode>_(* #,##0.00_);_(* \(#,##0.00\);_(* "-"??_);_(@_)</c:formatCode>
                <c:ptCount val="9"/>
                <c:pt idx="0">
                  <c:v>6.9941435104742187</c:v>
                </c:pt>
                <c:pt idx="1">
                  <c:v>7.6554058599544019</c:v>
                </c:pt>
                <c:pt idx="2">
                  <c:v>8.3791873576598412</c:v>
                </c:pt>
                <c:pt idx="3">
                  <c:v>9.1713988858566822</c:v>
                </c:pt>
                <c:pt idx="4">
                  <c:v>10.038510172063383</c:v>
                </c:pt>
                <c:pt idx="5">
                  <c:v>11.033210521525104</c:v>
                </c:pt>
                <c:pt idx="6">
                  <c:v>11.070299528229642</c:v>
                </c:pt>
                <c:pt idx="7">
                  <c:v>11.979878496499612</c:v>
                </c:pt>
                <c:pt idx="8">
                  <c:v>12.845364223049884</c:v>
                </c:pt>
              </c:numCache>
            </c:numRef>
          </c:val>
          <c:smooth val="0"/>
          <c:extLst xmlns:c16r2="http://schemas.microsoft.com/office/drawing/2015/06/chart">
            <c:ext xmlns:c16="http://schemas.microsoft.com/office/drawing/2014/chart" uri="{C3380CC4-5D6E-409C-BE32-E72D297353CC}">
              <c16:uniqueId val="{00000002-6FBE-4405-8C3B-8A88940494EB}"/>
            </c:ext>
          </c:extLst>
        </c:ser>
        <c:ser>
          <c:idx val="3"/>
          <c:order val="3"/>
          <c:tx>
            <c:strRef>
              <c:f>'Main Output 1'!$B$44</c:f>
              <c:strCache>
                <c:ptCount val="1"/>
                <c:pt idx="0">
                  <c:v>5: With Annual Growth of 10%</c:v>
                </c:pt>
              </c:strCache>
            </c:strRef>
          </c:tx>
          <c:marker>
            <c:symbol val="none"/>
          </c:marker>
          <c:cat>
            <c:numRef>
              <c:f>'Main Output 1'!$N$4:$V$4</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1'!$N$44:$V$44</c:f>
              <c:numCache>
                <c:formatCode>_(* #,##0.00_);_(* \(#,##0.00\);_(* "-"??_);_(@_)</c:formatCode>
                <c:ptCount val="9"/>
                <c:pt idx="0">
                  <c:v>6.39</c:v>
                </c:pt>
                <c:pt idx="1">
                  <c:v>7.0289999999999999</c:v>
                </c:pt>
                <c:pt idx="2">
                  <c:v>7.7319000000000004</c:v>
                </c:pt>
                <c:pt idx="3">
                  <c:v>8.5050900000000009</c:v>
                </c:pt>
                <c:pt idx="4">
                  <c:v>9.3555990000000016</c:v>
                </c:pt>
                <c:pt idx="5">
                  <c:v>10.291158900000003</c:v>
                </c:pt>
                <c:pt idx="6">
                  <c:v>11.070299528229642</c:v>
                </c:pt>
                <c:pt idx="7">
                  <c:v>11.979878496499612</c:v>
                </c:pt>
                <c:pt idx="8">
                  <c:v>12.845364223049884</c:v>
                </c:pt>
              </c:numCache>
            </c:numRef>
          </c:val>
          <c:smooth val="0"/>
          <c:extLst xmlns:c16r2="http://schemas.microsoft.com/office/drawing/2015/06/chart">
            <c:ext xmlns:c16="http://schemas.microsoft.com/office/drawing/2014/chart" uri="{C3380CC4-5D6E-409C-BE32-E72D297353CC}">
              <c16:uniqueId val="{00000003-6FBE-4405-8C3B-8A88940494EB}"/>
            </c:ext>
          </c:extLst>
        </c:ser>
        <c:ser>
          <c:idx val="4"/>
          <c:order val="4"/>
          <c:tx>
            <c:strRef>
              <c:f>'Main Output 1'!$B$45</c:f>
              <c:strCache>
                <c:ptCount val="1"/>
                <c:pt idx="0">
                  <c:v>6: With Annual Growth of 15%</c:v>
                </c:pt>
              </c:strCache>
            </c:strRef>
          </c:tx>
          <c:marker>
            <c:symbol val="none"/>
          </c:marker>
          <c:cat>
            <c:numRef>
              <c:f>'Main Output 1'!$N$4:$V$4</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1'!$N$45:$V$45</c:f>
              <c:numCache>
                <c:formatCode>_(* #,##0.00_);_(* \(#,##0.00\);_(* "-"??_);_(@_)</c:formatCode>
                <c:ptCount val="9"/>
                <c:pt idx="0">
                  <c:v>6.39</c:v>
                </c:pt>
                <c:pt idx="1">
                  <c:v>7.3484999999999987</c:v>
                </c:pt>
                <c:pt idx="2">
                  <c:v>8.0168548923218896</c:v>
                </c:pt>
                <c:pt idx="3">
                  <c:v>9.2193831261701717</c:v>
                </c:pt>
                <c:pt idx="4">
                  <c:v>10.038510172063383</c:v>
                </c:pt>
                <c:pt idx="5">
                  <c:v>11.033210521525104</c:v>
                </c:pt>
                <c:pt idx="6">
                  <c:v>11.070299528229642</c:v>
                </c:pt>
                <c:pt idx="7">
                  <c:v>11.979878496499612</c:v>
                </c:pt>
                <c:pt idx="8">
                  <c:v>12.845364223049884</c:v>
                </c:pt>
              </c:numCache>
            </c:numRef>
          </c:val>
          <c:smooth val="0"/>
          <c:extLst xmlns:c16r2="http://schemas.microsoft.com/office/drawing/2015/06/chart">
            <c:ext xmlns:c16="http://schemas.microsoft.com/office/drawing/2014/chart" uri="{C3380CC4-5D6E-409C-BE32-E72D297353CC}">
              <c16:uniqueId val="{00000004-6FBE-4405-8C3B-8A88940494EB}"/>
            </c:ext>
          </c:extLst>
        </c:ser>
        <c:ser>
          <c:idx val="5"/>
          <c:order val="5"/>
          <c:tx>
            <c:v>Average Cost</c:v>
          </c:tx>
          <c:spPr>
            <a:ln>
              <a:solidFill>
                <a:schemeClr val="tx1"/>
              </a:solidFill>
              <a:prstDash val="dash"/>
            </a:ln>
          </c:spPr>
          <c:marker>
            <c:symbol val="none"/>
          </c:marker>
          <c:cat>
            <c:numRef>
              <c:f>'Main Output 1'!$N$4:$V$4</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1'!$N$24:$V$24</c:f>
              <c:numCache>
                <c:formatCode>0.00</c:formatCode>
                <c:ptCount val="9"/>
                <c:pt idx="0">
                  <c:v>7.6560014228824977</c:v>
                </c:pt>
                <c:pt idx="1">
                  <c:v>7.7876781308629663</c:v>
                </c:pt>
                <c:pt idx="2">
                  <c:v>8.0168548923218896</c:v>
                </c:pt>
                <c:pt idx="3">
                  <c:v>9.5098316385961095</c:v>
                </c:pt>
                <c:pt idx="4">
                  <c:v>10.038510172063383</c:v>
                </c:pt>
                <c:pt idx="5">
                  <c:v>11.033210521525106</c:v>
                </c:pt>
                <c:pt idx="6">
                  <c:v>11.070299528229642</c:v>
                </c:pt>
                <c:pt idx="7">
                  <c:v>11.979878496499612</c:v>
                </c:pt>
                <c:pt idx="8">
                  <c:v>12.845364223049884</c:v>
                </c:pt>
              </c:numCache>
            </c:numRef>
          </c:val>
          <c:smooth val="0"/>
          <c:extLst xmlns:c16r2="http://schemas.microsoft.com/office/drawing/2015/06/chart">
            <c:ext xmlns:c16="http://schemas.microsoft.com/office/drawing/2014/chart" uri="{C3380CC4-5D6E-409C-BE32-E72D297353CC}">
              <c16:uniqueId val="{00000005-6FBE-4405-8C3B-8A88940494EB}"/>
            </c:ext>
          </c:extLst>
        </c:ser>
        <c:dLbls>
          <c:showLegendKey val="0"/>
          <c:showVal val="0"/>
          <c:showCatName val="0"/>
          <c:showSerName val="0"/>
          <c:showPercent val="0"/>
          <c:showBubbleSize val="0"/>
        </c:dLbls>
        <c:smooth val="0"/>
        <c:axId val="1190291408"/>
        <c:axId val="1190291800"/>
      </c:lineChart>
      <c:catAx>
        <c:axId val="1190291408"/>
        <c:scaling>
          <c:orientation val="minMax"/>
        </c:scaling>
        <c:delete val="0"/>
        <c:axPos val="b"/>
        <c:numFmt formatCode="General" sourceLinked="1"/>
        <c:majorTickMark val="out"/>
        <c:minorTickMark val="none"/>
        <c:tickLblPos val="nextTo"/>
        <c:crossAx val="1190291800"/>
        <c:crosses val="autoZero"/>
        <c:auto val="1"/>
        <c:lblAlgn val="ctr"/>
        <c:lblOffset val="100"/>
        <c:noMultiLvlLbl val="0"/>
      </c:catAx>
      <c:valAx>
        <c:axId val="1190291800"/>
        <c:scaling>
          <c:orientation val="minMax"/>
          <c:max val="14"/>
          <c:min val="5.5"/>
        </c:scaling>
        <c:delete val="0"/>
        <c:axPos val="l"/>
        <c:majorGridlines>
          <c:spPr>
            <a:ln>
              <a:solidFill>
                <a:schemeClr val="bg1">
                  <a:lumMod val="75000"/>
                </a:schemeClr>
              </a:solidFill>
            </a:ln>
          </c:spPr>
        </c:majorGridlines>
        <c:numFmt formatCode="_(* #,##0.00_);_(* \(#,##0.00\);_(* &quot;-&quot;??_);_(@_)" sourceLinked="1"/>
        <c:majorTickMark val="out"/>
        <c:minorTickMark val="none"/>
        <c:tickLblPos val="nextTo"/>
        <c:spPr>
          <a:ln>
            <a:noFill/>
          </a:ln>
        </c:spPr>
        <c:crossAx val="1190291408"/>
        <c:crosses val="autoZero"/>
        <c:crossBetween val="between"/>
        <c:majorUnit val="1"/>
      </c:valAx>
    </c:plotArea>
    <c:legend>
      <c:legendPos val="r"/>
      <c:layout>
        <c:manualLayout>
          <c:xMode val="edge"/>
          <c:yMode val="edge"/>
          <c:x val="0.71834567252028469"/>
          <c:y val="0.12994803360423321"/>
          <c:w val="0.27931103515399769"/>
          <c:h val="0.77424026815925129"/>
        </c:manualLayout>
      </c:layout>
      <c:overlay val="0"/>
    </c:legend>
    <c:plotVisOnly val="1"/>
    <c:dispBlanksAs val="gap"/>
    <c:showDLblsOverMax val="0"/>
  </c:chart>
  <c:spPr>
    <a:ln>
      <a:noFill/>
    </a:ln>
  </c:spPr>
  <c:txPr>
    <a:bodyPr/>
    <a:lstStyle/>
    <a:p>
      <a:pPr>
        <a:defRPr sz="900"/>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07174103237096E-2"/>
          <c:y val="9.758129192184313E-2"/>
          <c:w val="0.65586252735043982"/>
          <c:h val="0.77872666958296877"/>
        </c:manualLayout>
      </c:layout>
      <c:barChart>
        <c:barDir val="col"/>
        <c:grouping val="clustered"/>
        <c:varyColors val="0"/>
        <c:ser>
          <c:idx val="0"/>
          <c:order val="0"/>
          <c:tx>
            <c:strRef>
              <c:f>'Main Output 1'!$B$49</c:f>
              <c:strCache>
                <c:ptCount val="1"/>
                <c:pt idx="0">
                  <c:v>2: Linked with Inflation</c:v>
                </c:pt>
              </c:strCache>
            </c:strRef>
          </c:tx>
          <c:spPr>
            <a:solidFill>
              <a:schemeClr val="accent6"/>
            </a:solidFill>
          </c:spPr>
          <c:invertIfNegative val="0"/>
          <c:cat>
            <c:numRef>
              <c:f>'Main Output 1'!$N$4:$V$4</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1'!$N$49:$V$49</c:f>
              <c:numCache>
                <c:formatCode>0</c:formatCode>
                <c:ptCount val="9"/>
                <c:pt idx="0">
                  <c:v>31.268719393323352</c:v>
                </c:pt>
                <c:pt idx="1">
                  <c:v>23.25773399736709</c:v>
                </c:pt>
                <c:pt idx="2">
                  <c:v>11.394351245262543</c:v>
                </c:pt>
                <c:pt idx="3">
                  <c:v>83.531208450704469</c:v>
                </c:pt>
                <c:pt idx="4">
                  <c:v>93.858417512228598</c:v>
                </c:pt>
                <c:pt idx="5">
                  <c:v>131.55220819032019</c:v>
                </c:pt>
                <c:pt idx="6">
                  <c:v>88.941582010334585</c:v>
                </c:pt>
                <c:pt idx="7">
                  <c:v>109.07378632915847</c:v>
                </c:pt>
                <c:pt idx="8">
                  <c:v>121.41083383323684</c:v>
                </c:pt>
              </c:numCache>
            </c:numRef>
          </c:val>
          <c:extLst xmlns:c16r2="http://schemas.microsoft.com/office/drawing/2015/06/chart">
            <c:ext xmlns:c16="http://schemas.microsoft.com/office/drawing/2014/chart" uri="{C3380CC4-5D6E-409C-BE32-E72D297353CC}">
              <c16:uniqueId val="{00000000-4787-43B0-996C-C0B67987A245}"/>
            </c:ext>
          </c:extLst>
        </c:ser>
        <c:ser>
          <c:idx val="1"/>
          <c:order val="1"/>
          <c:tx>
            <c:strRef>
              <c:f>'Main Output 1'!$B$50</c:f>
              <c:strCache>
                <c:ptCount val="1"/>
                <c:pt idx="0">
                  <c:v>3: Breakeven by Year 6</c:v>
                </c:pt>
              </c:strCache>
            </c:strRef>
          </c:tx>
          <c:invertIfNegative val="0"/>
          <c:cat>
            <c:numRef>
              <c:f>'Main Output 1'!$N$4:$V$4</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1'!$N$50:$V$50</c:f>
              <c:numCache>
                <c:formatCode>0</c:formatCode>
                <c:ptCount val="9"/>
                <c:pt idx="0">
                  <c:v>24.834983034599457</c:v>
                </c:pt>
                <c:pt idx="1">
                  <c:v>5.8343314367716665</c:v>
                </c:pt>
                <c:pt idx="2">
                  <c:v>-17.286843734773285</c:v>
                </c:pt>
                <c:pt idx="3">
                  <c:v>35.653506470801894</c:v>
                </c:pt>
                <c:pt idx="4">
                  <c:v>23.728251366440208</c:v>
                </c:pt>
                <c:pt idx="5">
                  <c:v>39.660567664560162</c:v>
                </c:pt>
                <c:pt idx="6">
                  <c:v>-22.301731267255615</c:v>
                </c:pt>
                <c:pt idx="7">
                  <c:v>-23.260843584803048</c:v>
                </c:pt>
                <c:pt idx="8">
                  <c:v>-23.859525666109054</c:v>
                </c:pt>
              </c:numCache>
            </c:numRef>
          </c:val>
          <c:extLst xmlns:c16r2="http://schemas.microsoft.com/office/drawing/2015/06/chart">
            <c:ext xmlns:c16="http://schemas.microsoft.com/office/drawing/2014/chart" uri="{C3380CC4-5D6E-409C-BE32-E72D297353CC}">
              <c16:uniqueId val="{00000001-4787-43B0-996C-C0B67987A245}"/>
            </c:ext>
          </c:extLst>
        </c:ser>
        <c:ser>
          <c:idx val="2"/>
          <c:order val="2"/>
          <c:tx>
            <c:strRef>
              <c:f>'Main Output 1'!$B$51</c:f>
              <c:strCache>
                <c:ptCount val="1"/>
                <c:pt idx="0">
                  <c:v>4: Breakeven by Year 4</c:v>
                </c:pt>
              </c:strCache>
            </c:strRef>
          </c:tx>
          <c:invertIfNegative val="0"/>
          <c:cat>
            <c:numRef>
              <c:f>'Main Output 1'!$N$4:$V$4</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1'!$N$51:$V$51</c:f>
              <c:numCache>
                <c:formatCode>0</c:formatCode>
                <c:ptCount val="9"/>
                <c:pt idx="0">
                  <c:v>21.011563713804179</c:v>
                </c:pt>
                <c:pt idx="1">
                  <c:v>-4.6870053572978945</c:v>
                </c:pt>
                <c:pt idx="2">
                  <c:v>-34.885306189880183</c:v>
                </c:pt>
                <c:pt idx="3">
                  <c:v>5.8037656310179733</c:v>
                </c:pt>
                <c:pt idx="4">
                  <c:v>-20.697233119350042</c:v>
                </c:pt>
                <c:pt idx="5">
                  <c:v>-23.065464065538372</c:v>
                </c:pt>
                <c:pt idx="6">
                  <c:v>-22.301731267255615</c:v>
                </c:pt>
                <c:pt idx="7">
                  <c:v>-23.260843584803048</c:v>
                </c:pt>
                <c:pt idx="8">
                  <c:v>-23.859525666109054</c:v>
                </c:pt>
              </c:numCache>
            </c:numRef>
          </c:val>
          <c:extLst xmlns:c16r2="http://schemas.microsoft.com/office/drawing/2015/06/chart">
            <c:ext xmlns:c16="http://schemas.microsoft.com/office/drawing/2014/chart" uri="{C3380CC4-5D6E-409C-BE32-E72D297353CC}">
              <c16:uniqueId val="{00000002-4787-43B0-996C-C0B67987A245}"/>
            </c:ext>
          </c:extLst>
        </c:ser>
        <c:ser>
          <c:idx val="3"/>
          <c:order val="3"/>
          <c:tx>
            <c:strRef>
              <c:f>'Main Output 1'!$B$52</c:f>
              <c:strCache>
                <c:ptCount val="1"/>
                <c:pt idx="0">
                  <c:v>5: With Annual Growth of 10%</c:v>
                </c:pt>
              </c:strCache>
            </c:strRef>
          </c:tx>
          <c:invertIfNegative val="0"/>
          <c:cat>
            <c:numRef>
              <c:f>'Main Output 1'!$N$4:$V$4</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1'!$N$52:$V$52</c:f>
              <c:numCache>
                <c:formatCode>0</c:formatCode>
                <c:ptCount val="9"/>
                <c:pt idx="0">
                  <c:v>49.083936153622865</c:v>
                </c:pt>
                <c:pt idx="1">
                  <c:v>32.118461484944447</c:v>
                </c:pt>
                <c:pt idx="2">
                  <c:v>4.0900092737472153</c:v>
                </c:pt>
                <c:pt idx="3">
                  <c:v>52.708167755204485</c:v>
                </c:pt>
                <c:pt idx="4">
                  <c:v>31.904145519047276</c:v>
                </c:pt>
                <c:pt idx="5">
                  <c:v>35.208620368405597</c:v>
                </c:pt>
                <c:pt idx="6">
                  <c:v>-22.301731267255615</c:v>
                </c:pt>
                <c:pt idx="7">
                  <c:v>-23.260843584803048</c:v>
                </c:pt>
                <c:pt idx="8">
                  <c:v>-23.859525666109054</c:v>
                </c:pt>
              </c:numCache>
            </c:numRef>
          </c:val>
          <c:extLst xmlns:c16r2="http://schemas.microsoft.com/office/drawing/2015/06/chart">
            <c:ext xmlns:c16="http://schemas.microsoft.com/office/drawing/2014/chart" uri="{C3380CC4-5D6E-409C-BE32-E72D297353CC}">
              <c16:uniqueId val="{00000003-4787-43B0-996C-C0B67987A245}"/>
            </c:ext>
          </c:extLst>
        </c:ser>
        <c:ser>
          <c:idx val="4"/>
          <c:order val="4"/>
          <c:tx>
            <c:strRef>
              <c:f>'Main Output 1'!$B$53</c:f>
              <c:strCache>
                <c:ptCount val="1"/>
                <c:pt idx="0">
                  <c:v>6: With Annual Growth of 15%</c:v>
                </c:pt>
              </c:strCache>
            </c:strRef>
          </c:tx>
          <c:invertIfNegative val="0"/>
          <c:cat>
            <c:numRef>
              <c:f>'Main Output 1'!$N$4:$V$4</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1'!$N$53:$V$53</c:f>
              <c:numCache>
                <c:formatCode>0</c:formatCode>
                <c:ptCount val="9"/>
                <c:pt idx="0">
                  <c:v>49.083936153622865</c:v>
                </c:pt>
                <c:pt idx="1">
                  <c:v>13.345733757026318</c:v>
                </c:pt>
                <c:pt idx="2">
                  <c:v>-13.068068494529056</c:v>
                </c:pt>
                <c:pt idx="3">
                  <c:v>2.4259446968219707</c:v>
                </c:pt>
                <c:pt idx="4">
                  <c:v>-20.697233119350042</c:v>
                </c:pt>
                <c:pt idx="5">
                  <c:v>-23.065464065538372</c:v>
                </c:pt>
                <c:pt idx="6">
                  <c:v>-22.301731267255615</c:v>
                </c:pt>
                <c:pt idx="7">
                  <c:v>-23.260843584803048</c:v>
                </c:pt>
                <c:pt idx="8">
                  <c:v>-23.859525666109054</c:v>
                </c:pt>
              </c:numCache>
            </c:numRef>
          </c:val>
          <c:extLst xmlns:c16r2="http://schemas.microsoft.com/office/drawing/2015/06/chart">
            <c:ext xmlns:c16="http://schemas.microsoft.com/office/drawing/2014/chart" uri="{C3380CC4-5D6E-409C-BE32-E72D297353CC}">
              <c16:uniqueId val="{00000004-4787-43B0-996C-C0B67987A245}"/>
            </c:ext>
          </c:extLst>
        </c:ser>
        <c:dLbls>
          <c:showLegendKey val="0"/>
          <c:showVal val="0"/>
          <c:showCatName val="0"/>
          <c:showSerName val="0"/>
          <c:showPercent val="0"/>
          <c:showBubbleSize val="0"/>
        </c:dLbls>
        <c:gapWidth val="150"/>
        <c:axId val="1190292584"/>
        <c:axId val="113986592"/>
      </c:barChart>
      <c:catAx>
        <c:axId val="1190292584"/>
        <c:scaling>
          <c:orientation val="minMax"/>
        </c:scaling>
        <c:delete val="0"/>
        <c:axPos val="b"/>
        <c:numFmt formatCode="General" sourceLinked="1"/>
        <c:majorTickMark val="out"/>
        <c:minorTickMark val="none"/>
        <c:tickLblPos val="nextTo"/>
        <c:crossAx val="113986592"/>
        <c:crosses val="autoZero"/>
        <c:auto val="1"/>
        <c:lblAlgn val="ctr"/>
        <c:lblOffset val="100"/>
        <c:noMultiLvlLbl val="0"/>
      </c:catAx>
      <c:valAx>
        <c:axId val="113986592"/>
        <c:scaling>
          <c:orientation val="minMax"/>
          <c:min val="0"/>
        </c:scaling>
        <c:delete val="0"/>
        <c:axPos val="l"/>
        <c:majorGridlines/>
        <c:numFmt formatCode="0" sourceLinked="1"/>
        <c:majorTickMark val="out"/>
        <c:minorTickMark val="none"/>
        <c:tickLblPos val="nextTo"/>
        <c:crossAx val="1190292584"/>
        <c:crosses val="autoZero"/>
        <c:crossBetween val="between"/>
      </c:valAx>
    </c:plotArea>
    <c:legend>
      <c:legendPos val="b"/>
      <c:layout>
        <c:manualLayout>
          <c:xMode val="edge"/>
          <c:yMode val="edge"/>
          <c:x val="0.75349992052957371"/>
          <c:y val="0.18612896360927861"/>
          <c:w val="0.22865734204666191"/>
          <c:h val="0.63703341136411995"/>
        </c:manualLayout>
      </c:layout>
      <c:overlay val="0"/>
    </c:legend>
    <c:plotVisOnly val="1"/>
    <c:dispBlanksAs val="gap"/>
    <c:showDLblsOverMax val="0"/>
  </c:chart>
  <c:spPr>
    <a:ln>
      <a:noFill/>
    </a:ln>
  </c:spPr>
  <c:txPr>
    <a:bodyPr/>
    <a:lstStyle/>
    <a:p>
      <a:pPr>
        <a:defRPr sz="900"/>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39274012317088"/>
          <c:y val="8.4418046882070774E-2"/>
          <c:w val="0.83375259465115881"/>
          <c:h val="0.5705805955290072"/>
        </c:manualLayout>
      </c:layout>
      <c:areaChart>
        <c:grouping val="stacked"/>
        <c:varyColors val="0"/>
        <c:ser>
          <c:idx val="6"/>
          <c:order val="0"/>
          <c:tx>
            <c:strRef>
              <c:f>'[Bangladesh Natural Gas 2.xlsx]Gas Production'!$A$31</c:f>
              <c:strCache>
                <c:ptCount val="1"/>
                <c:pt idx="0">
                  <c:v>Rest of the Fields</c:v>
                </c:pt>
              </c:strCache>
            </c:strRef>
          </c:tx>
          <c:spPr>
            <a:solidFill>
              <a:srgbClr val="8064A2">
                <a:lumMod val="75000"/>
                <a:alpha val="51000"/>
              </a:srgbClr>
            </a:solidFill>
            <a:ln w="25400">
              <a:noFill/>
            </a:ln>
          </c:spPr>
          <c:cat>
            <c:numRef>
              <c:f>'[Bangladesh Natural Gas 2.xlsx]Gas Production'!$C$4:$U$4</c:f>
              <c:numCache>
                <c:formatCode>General</c:formatCode>
                <c:ptCount val="19"/>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pt idx="15">
                  <c:v>2027</c:v>
                </c:pt>
                <c:pt idx="16">
                  <c:v>2028</c:v>
                </c:pt>
                <c:pt idx="17">
                  <c:v>2029</c:v>
                </c:pt>
                <c:pt idx="18">
                  <c:v>2030</c:v>
                </c:pt>
              </c:numCache>
            </c:numRef>
          </c:cat>
          <c:val>
            <c:numRef>
              <c:f>'[Bangladesh Natural Gas 2.xlsx]Gas Production'!$C$31:$U$31</c:f>
              <c:numCache>
                <c:formatCode>General</c:formatCode>
                <c:ptCount val="19"/>
                <c:pt idx="0">
                  <c:v>321</c:v>
                </c:pt>
                <c:pt idx="1">
                  <c:v>377</c:v>
                </c:pt>
                <c:pt idx="2">
                  <c:v>384</c:v>
                </c:pt>
                <c:pt idx="3">
                  <c:v>432</c:v>
                </c:pt>
                <c:pt idx="4">
                  <c:v>424</c:v>
                </c:pt>
                <c:pt idx="5">
                  <c:v>448</c:v>
                </c:pt>
                <c:pt idx="6">
                  <c:v>454</c:v>
                </c:pt>
                <c:pt idx="7">
                  <c:v>408</c:v>
                </c:pt>
                <c:pt idx="8">
                  <c:v>376</c:v>
                </c:pt>
                <c:pt idx="9">
                  <c:v>339</c:v>
                </c:pt>
                <c:pt idx="10">
                  <c:v>319</c:v>
                </c:pt>
                <c:pt idx="11">
                  <c:v>289</c:v>
                </c:pt>
                <c:pt idx="12">
                  <c:v>245</c:v>
                </c:pt>
                <c:pt idx="13">
                  <c:v>215</c:v>
                </c:pt>
                <c:pt idx="14">
                  <c:v>142</c:v>
                </c:pt>
                <c:pt idx="15">
                  <c:v>127</c:v>
                </c:pt>
                <c:pt idx="16">
                  <c:v>80</c:v>
                </c:pt>
                <c:pt idx="17">
                  <c:v>60</c:v>
                </c:pt>
                <c:pt idx="18">
                  <c:v>30</c:v>
                </c:pt>
              </c:numCache>
            </c:numRef>
          </c:val>
          <c:extLst xmlns:c16r2="http://schemas.microsoft.com/office/drawing/2015/06/chart">
            <c:ext xmlns:c16="http://schemas.microsoft.com/office/drawing/2014/chart" uri="{C3380CC4-5D6E-409C-BE32-E72D297353CC}">
              <c16:uniqueId val="{00000000-2953-4604-B0FA-F499015D4F48}"/>
            </c:ext>
          </c:extLst>
        </c:ser>
        <c:ser>
          <c:idx val="0"/>
          <c:order val="1"/>
          <c:tx>
            <c:strRef>
              <c:f>'[Bangladesh Natural Gas 2.xlsx]Gas Production'!$A$25</c:f>
              <c:strCache>
                <c:ptCount val="1"/>
                <c:pt idx="0">
                  <c:v>Titas</c:v>
                </c:pt>
              </c:strCache>
            </c:strRef>
          </c:tx>
          <c:spPr>
            <a:solidFill>
              <a:srgbClr val="4F81BD">
                <a:lumMod val="75000"/>
                <a:alpha val="50000"/>
              </a:srgbClr>
            </a:solidFill>
            <a:ln w="25400">
              <a:noFill/>
            </a:ln>
          </c:spPr>
          <c:cat>
            <c:numRef>
              <c:f>'[Bangladesh Natural Gas 2.xlsx]Gas Production'!$C$4:$U$4</c:f>
              <c:numCache>
                <c:formatCode>General</c:formatCode>
                <c:ptCount val="19"/>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pt idx="15">
                  <c:v>2027</c:v>
                </c:pt>
                <c:pt idx="16">
                  <c:v>2028</c:v>
                </c:pt>
                <c:pt idx="17">
                  <c:v>2029</c:v>
                </c:pt>
                <c:pt idx="18">
                  <c:v>2030</c:v>
                </c:pt>
              </c:numCache>
            </c:numRef>
          </c:cat>
          <c:val>
            <c:numRef>
              <c:f>'[Bangladesh Natural Gas 2.xlsx]Gas Production'!$C$25:$U$25</c:f>
              <c:numCache>
                <c:formatCode>General</c:formatCode>
                <c:ptCount val="19"/>
                <c:pt idx="0">
                  <c:v>450</c:v>
                </c:pt>
                <c:pt idx="1">
                  <c:v>450</c:v>
                </c:pt>
                <c:pt idx="2">
                  <c:v>480</c:v>
                </c:pt>
                <c:pt idx="3">
                  <c:v>600</c:v>
                </c:pt>
                <c:pt idx="4">
                  <c:v>600</c:v>
                </c:pt>
                <c:pt idx="5">
                  <c:v>600</c:v>
                </c:pt>
                <c:pt idx="6">
                  <c:v>600</c:v>
                </c:pt>
                <c:pt idx="7">
                  <c:v>600</c:v>
                </c:pt>
                <c:pt idx="8">
                  <c:v>600</c:v>
                </c:pt>
                <c:pt idx="9">
                  <c:v>500</c:v>
                </c:pt>
                <c:pt idx="10">
                  <c:v>500</c:v>
                </c:pt>
                <c:pt idx="11">
                  <c:v>450</c:v>
                </c:pt>
                <c:pt idx="12">
                  <c:v>400</c:v>
                </c:pt>
                <c:pt idx="13">
                  <c:v>300</c:v>
                </c:pt>
                <c:pt idx="14">
                  <c:v>250</c:v>
                </c:pt>
                <c:pt idx="15">
                  <c:v>250</c:v>
                </c:pt>
                <c:pt idx="16">
                  <c:v>250</c:v>
                </c:pt>
                <c:pt idx="17">
                  <c:v>200</c:v>
                </c:pt>
                <c:pt idx="18">
                  <c:v>200</c:v>
                </c:pt>
              </c:numCache>
            </c:numRef>
          </c:val>
          <c:extLst xmlns:c16r2="http://schemas.microsoft.com/office/drawing/2015/06/chart">
            <c:ext xmlns:c16="http://schemas.microsoft.com/office/drawing/2014/chart" uri="{C3380CC4-5D6E-409C-BE32-E72D297353CC}">
              <c16:uniqueId val="{00000001-2953-4604-B0FA-F499015D4F48}"/>
            </c:ext>
          </c:extLst>
        </c:ser>
        <c:ser>
          <c:idx val="1"/>
          <c:order val="2"/>
          <c:tx>
            <c:strRef>
              <c:f>'[Bangladesh Natural Gas 2.xlsx]Gas Production'!$A$26</c:f>
              <c:strCache>
                <c:ptCount val="1"/>
                <c:pt idx="0">
                  <c:v>Habiganj</c:v>
                </c:pt>
              </c:strCache>
            </c:strRef>
          </c:tx>
          <c:spPr>
            <a:solidFill>
              <a:srgbClr val="C00000">
                <a:alpha val="52000"/>
              </a:srgbClr>
            </a:solidFill>
            <a:ln w="25400">
              <a:noFill/>
            </a:ln>
          </c:spPr>
          <c:cat>
            <c:numRef>
              <c:f>'[Bangladesh Natural Gas 2.xlsx]Gas Production'!$C$4:$U$4</c:f>
              <c:numCache>
                <c:formatCode>General</c:formatCode>
                <c:ptCount val="19"/>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pt idx="15">
                  <c:v>2027</c:v>
                </c:pt>
                <c:pt idx="16">
                  <c:v>2028</c:v>
                </c:pt>
                <c:pt idx="17">
                  <c:v>2029</c:v>
                </c:pt>
                <c:pt idx="18">
                  <c:v>2030</c:v>
                </c:pt>
              </c:numCache>
            </c:numRef>
          </c:cat>
          <c:val>
            <c:numRef>
              <c:f>'[Bangladesh Natural Gas 2.xlsx]Gas Production'!$C$26:$U$26</c:f>
              <c:numCache>
                <c:formatCode>General</c:formatCode>
                <c:ptCount val="19"/>
                <c:pt idx="0">
                  <c:v>250</c:v>
                </c:pt>
                <c:pt idx="1">
                  <c:v>250</c:v>
                </c:pt>
                <c:pt idx="2">
                  <c:v>250</c:v>
                </c:pt>
                <c:pt idx="3">
                  <c:v>250</c:v>
                </c:pt>
                <c:pt idx="4">
                  <c:v>200</c:v>
                </c:pt>
                <c:pt idx="5">
                  <c:v>200</c:v>
                </c:pt>
                <c:pt idx="6">
                  <c:v>100</c:v>
                </c:pt>
                <c:pt idx="7">
                  <c:v>100</c:v>
                </c:pt>
                <c:pt idx="8">
                  <c:v>50</c:v>
                </c:pt>
                <c:pt idx="9">
                  <c:v>50</c:v>
                </c:pt>
                <c:pt idx="10">
                  <c:v>50</c:v>
                </c:pt>
                <c:pt idx="11">
                  <c:v>50</c:v>
                </c:pt>
                <c:pt idx="12">
                  <c:v>50</c:v>
                </c:pt>
                <c:pt idx="13">
                  <c:v>50</c:v>
                </c:pt>
                <c:pt idx="14">
                  <c:v>50</c:v>
                </c:pt>
                <c:pt idx="15">
                  <c:v>50</c:v>
                </c:pt>
                <c:pt idx="16">
                  <c:v>50</c:v>
                </c:pt>
                <c:pt idx="17">
                  <c:v>50</c:v>
                </c:pt>
                <c:pt idx="18">
                  <c:v>20</c:v>
                </c:pt>
              </c:numCache>
            </c:numRef>
          </c:val>
          <c:extLst xmlns:c16r2="http://schemas.microsoft.com/office/drawing/2015/06/chart">
            <c:ext xmlns:c16="http://schemas.microsoft.com/office/drawing/2014/chart" uri="{C3380CC4-5D6E-409C-BE32-E72D297353CC}">
              <c16:uniqueId val="{00000002-2953-4604-B0FA-F499015D4F48}"/>
            </c:ext>
          </c:extLst>
        </c:ser>
        <c:ser>
          <c:idx val="2"/>
          <c:order val="3"/>
          <c:tx>
            <c:strRef>
              <c:f>'[Bangladesh Natural Gas 2.xlsx]Gas Production'!$A$27</c:f>
              <c:strCache>
                <c:ptCount val="1"/>
                <c:pt idx="0">
                  <c:v>Rashidpur</c:v>
                </c:pt>
              </c:strCache>
            </c:strRef>
          </c:tx>
          <c:spPr>
            <a:solidFill>
              <a:srgbClr val="00B050">
                <a:alpha val="49000"/>
              </a:srgbClr>
            </a:solidFill>
            <a:ln w="25400">
              <a:noFill/>
            </a:ln>
          </c:spPr>
          <c:cat>
            <c:numRef>
              <c:f>'[Bangladesh Natural Gas 2.xlsx]Gas Production'!$C$4:$U$4</c:f>
              <c:numCache>
                <c:formatCode>General</c:formatCode>
                <c:ptCount val="19"/>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pt idx="15">
                  <c:v>2027</c:v>
                </c:pt>
                <c:pt idx="16">
                  <c:v>2028</c:v>
                </c:pt>
                <c:pt idx="17">
                  <c:v>2029</c:v>
                </c:pt>
                <c:pt idx="18">
                  <c:v>2030</c:v>
                </c:pt>
              </c:numCache>
            </c:numRef>
          </c:cat>
          <c:val>
            <c:numRef>
              <c:f>'[Bangladesh Natural Gas 2.xlsx]Gas Production'!$C$27:$U$27</c:f>
              <c:numCache>
                <c:formatCode>General</c:formatCode>
                <c:ptCount val="19"/>
                <c:pt idx="0">
                  <c:v>50</c:v>
                </c:pt>
                <c:pt idx="1">
                  <c:v>70</c:v>
                </c:pt>
                <c:pt idx="2">
                  <c:v>70</c:v>
                </c:pt>
                <c:pt idx="3">
                  <c:v>100</c:v>
                </c:pt>
                <c:pt idx="4">
                  <c:v>150</c:v>
                </c:pt>
                <c:pt idx="5">
                  <c:v>200</c:v>
                </c:pt>
                <c:pt idx="6">
                  <c:v>200</c:v>
                </c:pt>
                <c:pt idx="7">
                  <c:v>250</c:v>
                </c:pt>
                <c:pt idx="8">
                  <c:v>250</c:v>
                </c:pt>
                <c:pt idx="9">
                  <c:v>250</c:v>
                </c:pt>
                <c:pt idx="10">
                  <c:v>250</c:v>
                </c:pt>
                <c:pt idx="11">
                  <c:v>250</c:v>
                </c:pt>
                <c:pt idx="12">
                  <c:v>250</c:v>
                </c:pt>
                <c:pt idx="13">
                  <c:v>250</c:v>
                </c:pt>
                <c:pt idx="14">
                  <c:v>250</c:v>
                </c:pt>
                <c:pt idx="15">
                  <c:v>200</c:v>
                </c:pt>
                <c:pt idx="16">
                  <c:v>200</c:v>
                </c:pt>
                <c:pt idx="17">
                  <c:v>200</c:v>
                </c:pt>
                <c:pt idx="18">
                  <c:v>200</c:v>
                </c:pt>
              </c:numCache>
            </c:numRef>
          </c:val>
          <c:extLst xmlns:c16r2="http://schemas.microsoft.com/office/drawing/2015/06/chart">
            <c:ext xmlns:c16="http://schemas.microsoft.com/office/drawing/2014/chart" uri="{C3380CC4-5D6E-409C-BE32-E72D297353CC}">
              <c16:uniqueId val="{00000003-2953-4604-B0FA-F499015D4F48}"/>
            </c:ext>
          </c:extLst>
        </c:ser>
        <c:ser>
          <c:idx val="3"/>
          <c:order val="4"/>
          <c:tx>
            <c:strRef>
              <c:f>'[Bangladesh Natural Gas 2.xlsx]Gas Production'!$A$28</c:f>
              <c:strCache>
                <c:ptCount val="1"/>
                <c:pt idx="0">
                  <c:v>Kallashtilla</c:v>
                </c:pt>
              </c:strCache>
            </c:strRef>
          </c:tx>
          <c:spPr>
            <a:solidFill>
              <a:srgbClr val="1F497D">
                <a:lumMod val="60000"/>
                <a:lumOff val="40000"/>
                <a:alpha val="50000"/>
              </a:srgbClr>
            </a:solidFill>
            <a:ln w="25400">
              <a:noFill/>
            </a:ln>
          </c:spPr>
          <c:cat>
            <c:numRef>
              <c:f>'[Bangladesh Natural Gas 2.xlsx]Gas Production'!$C$4:$U$4</c:f>
              <c:numCache>
                <c:formatCode>General</c:formatCode>
                <c:ptCount val="19"/>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pt idx="15">
                  <c:v>2027</c:v>
                </c:pt>
                <c:pt idx="16">
                  <c:v>2028</c:v>
                </c:pt>
                <c:pt idx="17">
                  <c:v>2029</c:v>
                </c:pt>
                <c:pt idx="18">
                  <c:v>2030</c:v>
                </c:pt>
              </c:numCache>
            </c:numRef>
          </c:cat>
          <c:val>
            <c:numRef>
              <c:f>'[Bangladesh Natural Gas 2.xlsx]Gas Production'!$C$28:$U$28</c:f>
              <c:numCache>
                <c:formatCode>General</c:formatCode>
                <c:ptCount val="19"/>
                <c:pt idx="0">
                  <c:v>100</c:v>
                </c:pt>
                <c:pt idx="1">
                  <c:v>100</c:v>
                </c:pt>
                <c:pt idx="2">
                  <c:v>100</c:v>
                </c:pt>
                <c:pt idx="3">
                  <c:v>150</c:v>
                </c:pt>
                <c:pt idx="4">
                  <c:v>150</c:v>
                </c:pt>
                <c:pt idx="5">
                  <c:v>200</c:v>
                </c:pt>
                <c:pt idx="6">
                  <c:v>200</c:v>
                </c:pt>
                <c:pt idx="7">
                  <c:v>250</c:v>
                </c:pt>
                <c:pt idx="8">
                  <c:v>250</c:v>
                </c:pt>
                <c:pt idx="9">
                  <c:v>250</c:v>
                </c:pt>
                <c:pt idx="10">
                  <c:v>250</c:v>
                </c:pt>
                <c:pt idx="11">
                  <c:v>250</c:v>
                </c:pt>
                <c:pt idx="12">
                  <c:v>250</c:v>
                </c:pt>
                <c:pt idx="13">
                  <c:v>250</c:v>
                </c:pt>
                <c:pt idx="14">
                  <c:v>250</c:v>
                </c:pt>
                <c:pt idx="15">
                  <c:v>200</c:v>
                </c:pt>
                <c:pt idx="16">
                  <c:v>200</c:v>
                </c:pt>
                <c:pt idx="17">
                  <c:v>200</c:v>
                </c:pt>
                <c:pt idx="18">
                  <c:v>200</c:v>
                </c:pt>
              </c:numCache>
            </c:numRef>
          </c:val>
          <c:extLst xmlns:c16r2="http://schemas.microsoft.com/office/drawing/2015/06/chart">
            <c:ext xmlns:c16="http://schemas.microsoft.com/office/drawing/2014/chart" uri="{C3380CC4-5D6E-409C-BE32-E72D297353CC}">
              <c16:uniqueId val="{00000004-2953-4604-B0FA-F499015D4F48}"/>
            </c:ext>
          </c:extLst>
        </c:ser>
        <c:ser>
          <c:idx val="4"/>
          <c:order val="5"/>
          <c:tx>
            <c:strRef>
              <c:f>'[Bangladesh Natural Gas 2.xlsx]Gas Production'!$A$29</c:f>
              <c:strCache>
                <c:ptCount val="1"/>
                <c:pt idx="0">
                  <c:v>Jalalabad</c:v>
                </c:pt>
              </c:strCache>
            </c:strRef>
          </c:tx>
          <c:spPr>
            <a:solidFill>
              <a:srgbClr val="FF0000">
                <a:alpha val="44000"/>
              </a:srgbClr>
            </a:solidFill>
            <a:ln w="25400">
              <a:noFill/>
            </a:ln>
          </c:spPr>
          <c:cat>
            <c:numRef>
              <c:f>'[Bangladesh Natural Gas 2.xlsx]Gas Production'!$C$4:$U$4</c:f>
              <c:numCache>
                <c:formatCode>General</c:formatCode>
                <c:ptCount val="19"/>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pt idx="15">
                  <c:v>2027</c:v>
                </c:pt>
                <c:pt idx="16">
                  <c:v>2028</c:v>
                </c:pt>
                <c:pt idx="17">
                  <c:v>2029</c:v>
                </c:pt>
                <c:pt idx="18">
                  <c:v>2030</c:v>
                </c:pt>
              </c:numCache>
            </c:numRef>
          </c:cat>
          <c:val>
            <c:numRef>
              <c:f>'[Bangladesh Natural Gas 2.xlsx]Gas Production'!$C$29:$U$29</c:f>
              <c:numCache>
                <c:formatCode>General</c:formatCode>
                <c:ptCount val="19"/>
                <c:pt idx="0">
                  <c:v>180</c:v>
                </c:pt>
                <c:pt idx="1">
                  <c:v>180</c:v>
                </c:pt>
                <c:pt idx="2">
                  <c:v>230</c:v>
                </c:pt>
                <c:pt idx="3">
                  <c:v>230</c:v>
                </c:pt>
                <c:pt idx="4">
                  <c:v>200</c:v>
                </c:pt>
                <c:pt idx="5">
                  <c:v>200</c:v>
                </c:pt>
                <c:pt idx="6">
                  <c:v>100</c:v>
                </c:pt>
                <c:pt idx="7">
                  <c:v>0</c:v>
                </c:pt>
                <c:pt idx="8">
                  <c:v>0</c:v>
                </c:pt>
                <c:pt idx="9">
                  <c:v>0</c:v>
                </c:pt>
                <c:pt idx="10">
                  <c:v>0</c:v>
                </c:pt>
                <c:pt idx="11">
                  <c:v>0</c:v>
                </c:pt>
                <c:pt idx="12">
                  <c:v>0</c:v>
                </c:pt>
                <c:pt idx="13">
                  <c:v>0</c:v>
                </c:pt>
                <c:pt idx="14">
                  <c:v>0</c:v>
                </c:pt>
                <c:pt idx="15">
                  <c:v>0</c:v>
                </c:pt>
                <c:pt idx="16">
                  <c:v>0</c:v>
                </c:pt>
                <c:pt idx="17">
                  <c:v>0</c:v>
                </c:pt>
                <c:pt idx="18">
                  <c:v>0</c:v>
                </c:pt>
              </c:numCache>
            </c:numRef>
          </c:val>
          <c:extLst xmlns:c16r2="http://schemas.microsoft.com/office/drawing/2015/06/chart">
            <c:ext xmlns:c16="http://schemas.microsoft.com/office/drawing/2014/chart" uri="{C3380CC4-5D6E-409C-BE32-E72D297353CC}">
              <c16:uniqueId val="{00000005-2953-4604-B0FA-F499015D4F48}"/>
            </c:ext>
          </c:extLst>
        </c:ser>
        <c:ser>
          <c:idx val="5"/>
          <c:order val="6"/>
          <c:tx>
            <c:strRef>
              <c:f>'[Bangladesh Natural Gas 2.xlsx]Gas Production'!$A$30</c:f>
              <c:strCache>
                <c:ptCount val="1"/>
                <c:pt idx="0">
                  <c:v>Bibiana</c:v>
                </c:pt>
              </c:strCache>
            </c:strRef>
          </c:tx>
          <c:spPr>
            <a:solidFill>
              <a:schemeClr val="accent5"/>
            </a:solidFill>
            <a:ln w="25400">
              <a:noFill/>
            </a:ln>
          </c:spPr>
          <c:cat>
            <c:numRef>
              <c:f>'[Bangladesh Natural Gas 2.xlsx]Gas Production'!$C$4:$U$4</c:f>
              <c:numCache>
                <c:formatCode>General</c:formatCode>
                <c:ptCount val="19"/>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pt idx="15">
                  <c:v>2027</c:v>
                </c:pt>
                <c:pt idx="16">
                  <c:v>2028</c:v>
                </c:pt>
                <c:pt idx="17">
                  <c:v>2029</c:v>
                </c:pt>
                <c:pt idx="18">
                  <c:v>2030</c:v>
                </c:pt>
              </c:numCache>
            </c:numRef>
          </c:cat>
          <c:val>
            <c:numRef>
              <c:f>'[Bangladesh Natural Gas 2.xlsx]Gas Production'!$C$30:$U$30</c:f>
              <c:numCache>
                <c:formatCode>General</c:formatCode>
                <c:ptCount val="19"/>
                <c:pt idx="0">
                  <c:v>760</c:v>
                </c:pt>
                <c:pt idx="1">
                  <c:v>760</c:v>
                </c:pt>
                <c:pt idx="2">
                  <c:v>1000</c:v>
                </c:pt>
                <c:pt idx="3">
                  <c:v>1000</c:v>
                </c:pt>
                <c:pt idx="4">
                  <c:v>1000</c:v>
                </c:pt>
                <c:pt idx="5">
                  <c:v>1200</c:v>
                </c:pt>
                <c:pt idx="6">
                  <c:v>1200</c:v>
                </c:pt>
                <c:pt idx="7">
                  <c:v>1200</c:v>
                </c:pt>
                <c:pt idx="8">
                  <c:v>1200</c:v>
                </c:pt>
                <c:pt idx="9">
                  <c:v>1200</c:v>
                </c:pt>
                <c:pt idx="10">
                  <c:v>800</c:v>
                </c:pt>
                <c:pt idx="11">
                  <c:v>600</c:v>
                </c:pt>
                <c:pt idx="12">
                  <c:v>400</c:v>
                </c:pt>
                <c:pt idx="13">
                  <c:v>200</c:v>
                </c:pt>
                <c:pt idx="14">
                  <c:v>150</c:v>
                </c:pt>
                <c:pt idx="15">
                  <c:v>100</c:v>
                </c:pt>
                <c:pt idx="16">
                  <c:v>100</c:v>
                </c:pt>
                <c:pt idx="17">
                  <c:v>100</c:v>
                </c:pt>
                <c:pt idx="18">
                  <c:v>50</c:v>
                </c:pt>
              </c:numCache>
            </c:numRef>
          </c:val>
          <c:extLst xmlns:c16r2="http://schemas.microsoft.com/office/drawing/2015/06/chart">
            <c:ext xmlns:c16="http://schemas.microsoft.com/office/drawing/2014/chart" uri="{C3380CC4-5D6E-409C-BE32-E72D297353CC}">
              <c16:uniqueId val="{00000006-2953-4604-B0FA-F499015D4F48}"/>
            </c:ext>
          </c:extLst>
        </c:ser>
        <c:dLbls>
          <c:showLegendKey val="0"/>
          <c:showVal val="0"/>
          <c:showCatName val="0"/>
          <c:showSerName val="0"/>
          <c:showPercent val="0"/>
          <c:showBubbleSize val="0"/>
        </c:dLbls>
        <c:axId val="113987376"/>
        <c:axId val="113987768"/>
      </c:areaChart>
      <c:catAx>
        <c:axId val="113987376"/>
        <c:scaling>
          <c:orientation val="minMax"/>
        </c:scaling>
        <c:delete val="0"/>
        <c:axPos val="b"/>
        <c:numFmt formatCode="General" sourceLinked="1"/>
        <c:majorTickMark val="none"/>
        <c:minorTickMark val="none"/>
        <c:tickLblPos val="nextTo"/>
        <c:txPr>
          <a:bodyPr rot="0"/>
          <a:lstStyle/>
          <a:p>
            <a:pPr>
              <a:defRPr/>
            </a:pPr>
            <a:endParaRPr lang="en-US"/>
          </a:p>
        </c:txPr>
        <c:crossAx val="113987768"/>
        <c:crosses val="autoZero"/>
        <c:auto val="1"/>
        <c:lblAlgn val="ctr"/>
        <c:lblOffset val="100"/>
        <c:noMultiLvlLbl val="0"/>
      </c:catAx>
      <c:valAx>
        <c:axId val="113987768"/>
        <c:scaling>
          <c:orientation val="minMax"/>
        </c:scaling>
        <c:delete val="0"/>
        <c:axPos val="l"/>
        <c:numFmt formatCode="General" sourceLinked="1"/>
        <c:majorTickMark val="out"/>
        <c:minorTickMark val="none"/>
        <c:tickLblPos val="nextTo"/>
        <c:crossAx val="113987376"/>
        <c:crosses val="autoZero"/>
        <c:crossBetween val="between"/>
      </c:valAx>
      <c:spPr>
        <a:noFill/>
      </c:spPr>
    </c:plotArea>
    <c:legend>
      <c:legendPos val="r"/>
      <c:layout>
        <c:manualLayout>
          <c:xMode val="edge"/>
          <c:yMode val="edge"/>
          <c:x val="6.0206885903967888E-2"/>
          <c:y val="0.76979002624671911"/>
          <c:w val="0.91948535844784107"/>
          <c:h val="0.22883609376414155"/>
        </c:manualLayout>
      </c:layout>
      <c:overlay val="0"/>
    </c:legend>
    <c:plotVisOnly val="1"/>
    <c:dispBlanksAs val="zero"/>
    <c:showDLblsOverMax val="0"/>
  </c:chart>
  <c:spPr>
    <a:noFill/>
    <a:ln>
      <a:noFill/>
    </a:ln>
  </c:spPr>
  <c:txPr>
    <a:bodyPr/>
    <a:lstStyle/>
    <a:p>
      <a:pPr>
        <a:defRPr sz="900"/>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3665118783229"/>
          <c:y val="0.12488933136231534"/>
          <c:w val="0.70560569351907931"/>
          <c:h val="0.59177321225651391"/>
        </c:manualLayout>
      </c:layout>
      <c:barChart>
        <c:barDir val="col"/>
        <c:grouping val="stacked"/>
        <c:varyColors val="0"/>
        <c:ser>
          <c:idx val="0"/>
          <c:order val="0"/>
          <c:tx>
            <c:strRef>
              <c:f>'Main Output 2'!$D$35</c:f>
              <c:strCache>
                <c:ptCount val="1"/>
                <c:pt idx="0">
                  <c:v>Domestic</c:v>
                </c:pt>
              </c:strCache>
            </c:strRef>
          </c:tx>
          <c:spPr>
            <a:solidFill>
              <a:schemeClr val="accent1"/>
            </a:solidFill>
            <a:ln>
              <a:noFill/>
            </a:ln>
            <a:effectLst/>
          </c:spPr>
          <c:invertIfNegative val="0"/>
          <c:cat>
            <c:numRef>
              <c:f>'Main Output 2'!$E$5:$V$5</c:f>
              <c:numCache>
                <c:formatCode>General</c:formatCode>
                <c:ptCount val="18"/>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numCache>
            </c:numRef>
          </c:cat>
          <c:val>
            <c:numRef>
              <c:f>'Main Output 2'!$E$35:$V$35</c:f>
              <c:numCache>
                <c:formatCode>0</c:formatCode>
                <c:ptCount val="18"/>
                <c:pt idx="0">
                  <c:v>489.12135557829595</c:v>
                </c:pt>
                <c:pt idx="1">
                  <c:v>523.25653534899811</c:v>
                </c:pt>
                <c:pt idx="2">
                  <c:v>572.7115183235062</c:v>
                </c:pt>
                <c:pt idx="3">
                  <c:v>599.60360283621617</c:v>
                </c:pt>
                <c:pt idx="4">
                  <c:v>727.72720363107794</c:v>
                </c:pt>
                <c:pt idx="5">
                  <c:v>810.31760030823705</c:v>
                </c:pt>
                <c:pt idx="6">
                  <c:v>851.51220490228627</c:v>
                </c:pt>
                <c:pt idx="7">
                  <c:v>860.58724345462076</c:v>
                </c:pt>
                <c:pt idx="8">
                  <c:v>917.26317842808203</c:v>
                </c:pt>
                <c:pt idx="9">
                  <c:v>910</c:v>
                </c:pt>
                <c:pt idx="10">
                  <c:v>910</c:v>
                </c:pt>
                <c:pt idx="11">
                  <c:v>910</c:v>
                </c:pt>
                <c:pt idx="12">
                  <c:v>864.5</c:v>
                </c:pt>
                <c:pt idx="13">
                  <c:v>821.27499999999998</c:v>
                </c:pt>
                <c:pt idx="14">
                  <c:v>780.21124999999995</c:v>
                </c:pt>
                <c:pt idx="15">
                  <c:v>741.20068749999996</c:v>
                </c:pt>
                <c:pt idx="16">
                  <c:v>704.14065312499997</c:v>
                </c:pt>
                <c:pt idx="17">
                  <c:v>668.93362046874995</c:v>
                </c:pt>
              </c:numCache>
            </c:numRef>
          </c:val>
          <c:extLst xmlns:c16r2="http://schemas.microsoft.com/office/drawing/2015/06/chart">
            <c:ext xmlns:c16="http://schemas.microsoft.com/office/drawing/2014/chart" uri="{C3380CC4-5D6E-409C-BE32-E72D297353CC}">
              <c16:uniqueId val="{00000000-163B-45E8-9A54-F7524C0C608B}"/>
            </c:ext>
          </c:extLst>
        </c:ser>
        <c:ser>
          <c:idx val="1"/>
          <c:order val="1"/>
          <c:tx>
            <c:strRef>
              <c:f>'Main Output 2'!$D$36</c:f>
              <c:strCache>
                <c:ptCount val="1"/>
                <c:pt idx="0">
                  <c:v>LNG</c:v>
                </c:pt>
              </c:strCache>
            </c:strRef>
          </c:tx>
          <c:spPr>
            <a:solidFill>
              <a:schemeClr val="accent2"/>
            </a:solidFill>
            <a:ln>
              <a:noFill/>
            </a:ln>
            <a:effectLst/>
          </c:spPr>
          <c:invertIfNegative val="0"/>
          <c:cat>
            <c:numRef>
              <c:f>'Main Output 2'!$E$5:$V$5</c:f>
              <c:numCache>
                <c:formatCode>General</c:formatCode>
                <c:ptCount val="18"/>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numCache>
            </c:numRef>
          </c:cat>
          <c:val>
            <c:numRef>
              <c:f>'Main Output 2'!$E$36:$V$36</c:f>
              <c:numCache>
                <c:formatCode>0</c:formatCode>
                <c:ptCount val="18"/>
                <c:pt idx="0">
                  <c:v>0</c:v>
                </c:pt>
                <c:pt idx="1">
                  <c:v>0</c:v>
                </c:pt>
                <c:pt idx="2">
                  <c:v>0</c:v>
                </c:pt>
                <c:pt idx="3">
                  <c:v>0</c:v>
                </c:pt>
                <c:pt idx="4">
                  <c:v>0</c:v>
                </c:pt>
                <c:pt idx="5">
                  <c:v>0</c:v>
                </c:pt>
                <c:pt idx="6">
                  <c:v>0</c:v>
                </c:pt>
                <c:pt idx="7">
                  <c:v>0</c:v>
                </c:pt>
                <c:pt idx="8">
                  <c:v>0</c:v>
                </c:pt>
                <c:pt idx="9">
                  <c:v>0</c:v>
                </c:pt>
                <c:pt idx="10">
                  <c:v>300</c:v>
                </c:pt>
                <c:pt idx="11">
                  <c:v>299.99999999999977</c:v>
                </c:pt>
                <c:pt idx="12">
                  <c:v>299.99999999999955</c:v>
                </c:pt>
                <c:pt idx="13">
                  <c:v>300.00000000000034</c:v>
                </c:pt>
                <c:pt idx="14">
                  <c:v>300.00000000000011</c:v>
                </c:pt>
                <c:pt idx="15">
                  <c:v>300.00000000000023</c:v>
                </c:pt>
                <c:pt idx="16">
                  <c:v>300.00000000000011</c:v>
                </c:pt>
                <c:pt idx="17">
                  <c:v>300.00000000000023</c:v>
                </c:pt>
              </c:numCache>
            </c:numRef>
          </c:val>
          <c:extLst xmlns:c16r2="http://schemas.microsoft.com/office/drawing/2015/06/chart">
            <c:ext xmlns:c16="http://schemas.microsoft.com/office/drawing/2014/chart" uri="{C3380CC4-5D6E-409C-BE32-E72D297353CC}">
              <c16:uniqueId val="{00000001-163B-45E8-9A54-F7524C0C608B}"/>
            </c:ext>
          </c:extLst>
        </c:ser>
        <c:dLbls>
          <c:showLegendKey val="0"/>
          <c:showVal val="0"/>
          <c:showCatName val="0"/>
          <c:showSerName val="0"/>
          <c:showPercent val="0"/>
          <c:showBubbleSize val="0"/>
        </c:dLbls>
        <c:gapWidth val="60"/>
        <c:overlap val="100"/>
        <c:axId val="825713800"/>
        <c:axId val="645039560"/>
      </c:barChart>
      <c:lineChart>
        <c:grouping val="stacked"/>
        <c:varyColors val="0"/>
        <c:ser>
          <c:idx val="2"/>
          <c:order val="2"/>
          <c:tx>
            <c:strRef>
              <c:f>'Main Output 2'!$D$20</c:f>
              <c:strCache>
                <c:ptCount val="1"/>
                <c:pt idx="0">
                  <c:v>Weighted Avg. Cost of Gas</c:v>
                </c:pt>
              </c:strCache>
            </c:strRef>
          </c:tx>
          <c:spPr>
            <a:ln w="28575" cap="rnd">
              <a:solidFill>
                <a:schemeClr val="accent3"/>
              </a:solidFill>
              <a:round/>
            </a:ln>
            <a:effectLst/>
          </c:spPr>
          <c:marker>
            <c:symbol val="none"/>
          </c:marker>
          <c:cat>
            <c:numRef>
              <c:f>'Main Output 2'!$E$5:$V$5</c:f>
              <c:numCache>
                <c:formatCode>General</c:formatCode>
                <c:ptCount val="18"/>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numCache>
            </c:numRef>
          </c:cat>
          <c:val>
            <c:numRef>
              <c:f>'Main Output 2'!$E$20:$V$20</c:f>
              <c:numCache>
                <c:formatCode>0.00</c:formatCode>
                <c:ptCount val="18"/>
                <c:pt idx="0">
                  <c:v>0.93083528760237755</c:v>
                </c:pt>
                <c:pt idx="1">
                  <c:v>0.98501020508433368</c:v>
                </c:pt>
                <c:pt idx="2">
                  <c:v>1.0398448501361641</c:v>
                </c:pt>
                <c:pt idx="3">
                  <c:v>1.0499497190833493</c:v>
                </c:pt>
                <c:pt idx="4">
                  <c:v>1.0271446906955197</c:v>
                </c:pt>
                <c:pt idx="5">
                  <c:v>1.1502368734591801</c:v>
                </c:pt>
                <c:pt idx="6">
                  <c:v>1.05</c:v>
                </c:pt>
                <c:pt idx="7">
                  <c:v>1.0219997685232596</c:v>
                </c:pt>
                <c:pt idx="8">
                  <c:v>1.0424397638937248</c:v>
                </c:pt>
                <c:pt idx="9">
                  <c:v>1.0632885591715995</c:v>
                </c:pt>
                <c:pt idx="10">
                  <c:v>3.0787970583661806</c:v>
                </c:pt>
                <c:pt idx="11">
                  <c:v>3.2478374623434201</c:v>
                </c:pt>
                <c:pt idx="12">
                  <c:v>3.5174548271558908</c:v>
                </c:pt>
                <c:pt idx="13">
                  <c:v>3.8133699455442476</c:v>
                </c:pt>
                <c:pt idx="14">
                  <c:v>4.1411659596525512</c:v>
                </c:pt>
                <c:pt idx="15">
                  <c:v>4.5030128756460197</c:v>
                </c:pt>
                <c:pt idx="16">
                  <c:v>4.9053151502776151</c:v>
                </c:pt>
                <c:pt idx="17">
                  <c:v>5.3421260572600495</c:v>
                </c:pt>
              </c:numCache>
            </c:numRef>
          </c:val>
          <c:smooth val="0"/>
          <c:extLst xmlns:c16r2="http://schemas.microsoft.com/office/drawing/2015/06/chart">
            <c:ext xmlns:c16="http://schemas.microsoft.com/office/drawing/2014/chart" uri="{C3380CC4-5D6E-409C-BE32-E72D297353CC}">
              <c16:uniqueId val="{00000002-163B-45E8-9A54-F7524C0C608B}"/>
            </c:ext>
          </c:extLst>
        </c:ser>
        <c:dLbls>
          <c:showLegendKey val="0"/>
          <c:showVal val="0"/>
          <c:showCatName val="0"/>
          <c:showSerName val="0"/>
          <c:showPercent val="0"/>
          <c:showBubbleSize val="0"/>
        </c:dLbls>
        <c:marker val="1"/>
        <c:smooth val="0"/>
        <c:axId val="836522448"/>
        <c:axId val="836522056"/>
      </c:lineChart>
      <c:catAx>
        <c:axId val="825713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5039560"/>
        <c:crosses val="autoZero"/>
        <c:auto val="1"/>
        <c:lblAlgn val="ctr"/>
        <c:lblOffset val="100"/>
        <c:noMultiLvlLbl val="0"/>
      </c:catAx>
      <c:valAx>
        <c:axId val="645039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5713800"/>
        <c:crosses val="autoZero"/>
        <c:crossBetween val="between"/>
      </c:valAx>
      <c:valAx>
        <c:axId val="836522056"/>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6522448"/>
        <c:crosses val="max"/>
        <c:crossBetween val="between"/>
      </c:valAx>
      <c:catAx>
        <c:axId val="836522448"/>
        <c:scaling>
          <c:orientation val="minMax"/>
        </c:scaling>
        <c:delete val="1"/>
        <c:axPos val="b"/>
        <c:numFmt formatCode="General" sourceLinked="1"/>
        <c:majorTickMark val="out"/>
        <c:minorTickMark val="none"/>
        <c:tickLblPos val="nextTo"/>
        <c:crossAx val="836522056"/>
        <c:crosses val="autoZero"/>
        <c:auto val="1"/>
        <c:lblAlgn val="ctr"/>
        <c:lblOffset val="100"/>
        <c:noMultiLvlLbl val="0"/>
      </c:catAx>
      <c:spPr>
        <a:noFill/>
        <a:ln>
          <a:noFill/>
        </a:ln>
        <a:effectLst/>
      </c:spPr>
    </c:plotArea>
    <c:legend>
      <c:legendPos val="b"/>
      <c:layout>
        <c:manualLayout>
          <c:xMode val="edge"/>
          <c:yMode val="edge"/>
          <c:x val="0.25206137694326669"/>
          <c:y val="0.80694120131535296"/>
          <c:w val="0.56858772461134666"/>
          <c:h val="0.1686451262557697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pPr>
      <a:endParaRPr lang="en-US"/>
    </a:p>
  </c:txPr>
  <c:externalData r:id="rId3">
    <c:autoUpdate val="0"/>
  </c:externalData>
  <c:userShapes r:id="rId4"/>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178618703857862E-2"/>
          <c:y val="0.14433691971709642"/>
          <c:w val="0.83490313277564743"/>
          <c:h val="0.652864498807878"/>
        </c:manualLayout>
      </c:layout>
      <c:barChart>
        <c:barDir val="col"/>
        <c:grouping val="stacked"/>
        <c:varyColors val="0"/>
        <c:ser>
          <c:idx val="0"/>
          <c:order val="0"/>
          <c:tx>
            <c:strRef>
              <c:f>'Main Output 2'!$D$27</c:f>
              <c:strCache>
                <c:ptCount val="1"/>
                <c:pt idx="0">
                  <c:v>Gas</c:v>
                </c:pt>
              </c:strCache>
            </c:strRef>
          </c:tx>
          <c:invertIfNegative val="0"/>
          <c:cat>
            <c:numRef>
              <c:f>'Main Output 2'!$N$5:$V$5</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2'!$N$27:$V$27</c:f>
              <c:numCache>
                <c:formatCode>0</c:formatCode>
                <c:ptCount val="9"/>
                <c:pt idx="0">
                  <c:v>36.144532030064006</c:v>
                </c:pt>
                <c:pt idx="1">
                  <c:v>49.045767053728213</c:v>
                </c:pt>
                <c:pt idx="2">
                  <c:v>49.279898831474213</c:v>
                </c:pt>
                <c:pt idx="3">
                  <c:v>47.913089811016462</c:v>
                </c:pt>
                <c:pt idx="4">
                  <c:v>46.938256986590886</c:v>
                </c:pt>
                <c:pt idx="5">
                  <c:v>44.657214577420064</c:v>
                </c:pt>
                <c:pt idx="6">
                  <c:v>42.57515660009193</c:v>
                </c:pt>
                <c:pt idx="7">
                  <c:v>41.021208542549694</c:v>
                </c:pt>
                <c:pt idx="8">
                  <c:v>39.415273516685296</c:v>
                </c:pt>
              </c:numCache>
            </c:numRef>
          </c:val>
          <c:extLst xmlns:c16r2="http://schemas.microsoft.com/office/drawing/2015/06/chart">
            <c:ext xmlns:c16="http://schemas.microsoft.com/office/drawing/2014/chart" uri="{C3380CC4-5D6E-409C-BE32-E72D297353CC}">
              <c16:uniqueId val="{00000000-2CF9-4300-8B0B-382100D97D91}"/>
            </c:ext>
          </c:extLst>
        </c:ser>
        <c:ser>
          <c:idx val="1"/>
          <c:order val="1"/>
          <c:tx>
            <c:strRef>
              <c:f>'Main Output 2'!$D$28</c:f>
              <c:strCache>
                <c:ptCount val="1"/>
                <c:pt idx="0">
                  <c:v>RFO</c:v>
                </c:pt>
              </c:strCache>
            </c:strRef>
          </c:tx>
          <c:spPr>
            <a:solidFill>
              <a:schemeClr val="accent3"/>
            </a:solidFill>
          </c:spPr>
          <c:invertIfNegative val="0"/>
          <c:cat>
            <c:numRef>
              <c:f>'Main Output 2'!$N$5:$V$5</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2'!$N$28:$V$28</c:f>
              <c:numCache>
                <c:formatCode>0</c:formatCode>
                <c:ptCount val="9"/>
                <c:pt idx="0">
                  <c:v>8.8937157772800006</c:v>
                </c:pt>
                <c:pt idx="1">
                  <c:v>8.3687770662546672</c:v>
                </c:pt>
                <c:pt idx="2">
                  <c:v>7.6393272291466685</c:v>
                </c:pt>
                <c:pt idx="3">
                  <c:v>7.5999316490511752</c:v>
                </c:pt>
                <c:pt idx="4">
                  <c:v>7.579166808480001</c:v>
                </c:pt>
                <c:pt idx="5">
                  <c:v>7.2965959751466674</c:v>
                </c:pt>
                <c:pt idx="6">
                  <c:v>6.9440668084800006</c:v>
                </c:pt>
                <c:pt idx="7">
                  <c:v>6.6207795012013939</c:v>
                </c:pt>
                <c:pt idx="8">
                  <c:v>6.2248003945351185</c:v>
                </c:pt>
              </c:numCache>
            </c:numRef>
          </c:val>
          <c:extLst xmlns:c16r2="http://schemas.microsoft.com/office/drawing/2015/06/chart">
            <c:ext xmlns:c16="http://schemas.microsoft.com/office/drawing/2014/chart" uri="{C3380CC4-5D6E-409C-BE32-E72D297353CC}">
              <c16:uniqueId val="{00000001-2CF9-4300-8B0B-382100D97D91}"/>
            </c:ext>
          </c:extLst>
        </c:ser>
        <c:ser>
          <c:idx val="3"/>
          <c:order val="2"/>
          <c:tx>
            <c:strRef>
              <c:f>'Main Output 2'!$D$29</c:f>
              <c:strCache>
                <c:ptCount val="1"/>
                <c:pt idx="0">
                  <c:v>HSD</c:v>
                </c:pt>
              </c:strCache>
            </c:strRef>
          </c:tx>
          <c:spPr>
            <a:solidFill>
              <a:schemeClr val="accent2"/>
            </a:solidFill>
          </c:spPr>
          <c:invertIfNegative val="0"/>
          <c:cat>
            <c:numRef>
              <c:f>'Main Output 2'!$N$5:$V$5</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2'!$N$29:$V$29</c:f>
              <c:numCache>
                <c:formatCode>0</c:formatCode>
                <c:ptCount val="9"/>
                <c:pt idx="0">
                  <c:v>1.6853393803226668</c:v>
                </c:pt>
                <c:pt idx="1">
                  <c:v>0</c:v>
                </c:pt>
                <c:pt idx="2">
                  <c:v>0</c:v>
                </c:pt>
                <c:pt idx="3">
                  <c:v>0</c:v>
                </c:pt>
                <c:pt idx="4">
                  <c:v>0</c:v>
                </c:pt>
                <c:pt idx="5">
                  <c:v>0</c:v>
                </c:pt>
                <c:pt idx="6">
                  <c:v>0</c:v>
                </c:pt>
                <c:pt idx="7">
                  <c:v>0</c:v>
                </c:pt>
                <c:pt idx="8">
                  <c:v>0</c:v>
                </c:pt>
              </c:numCache>
            </c:numRef>
          </c:val>
          <c:extLst xmlns:c16r2="http://schemas.microsoft.com/office/drawing/2015/06/chart">
            <c:ext xmlns:c16="http://schemas.microsoft.com/office/drawing/2014/chart" uri="{C3380CC4-5D6E-409C-BE32-E72D297353CC}">
              <c16:uniqueId val="{00000002-2CF9-4300-8B0B-382100D97D91}"/>
            </c:ext>
          </c:extLst>
        </c:ser>
        <c:ser>
          <c:idx val="2"/>
          <c:order val="3"/>
          <c:tx>
            <c:strRef>
              <c:f>'Main Output 2'!$D$30</c:f>
              <c:strCache>
                <c:ptCount val="1"/>
                <c:pt idx="0">
                  <c:v>Coal</c:v>
                </c:pt>
              </c:strCache>
            </c:strRef>
          </c:tx>
          <c:spPr>
            <a:solidFill>
              <a:schemeClr val="accent4"/>
            </a:solidFill>
          </c:spPr>
          <c:invertIfNegative val="0"/>
          <c:cat>
            <c:numRef>
              <c:f>'Main Output 2'!$N$5:$V$5</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2'!$N$30:$V$30</c:f>
              <c:numCache>
                <c:formatCode>0</c:formatCode>
                <c:ptCount val="9"/>
                <c:pt idx="0">
                  <c:v>0.99835200000000013</c:v>
                </c:pt>
                <c:pt idx="1">
                  <c:v>1.6018186666666665</c:v>
                </c:pt>
                <c:pt idx="2">
                  <c:v>5.5088565333333328</c:v>
                </c:pt>
                <c:pt idx="3">
                  <c:v>18.438498410958903</c:v>
                </c:pt>
                <c:pt idx="4">
                  <c:v>26.605875999999995</c:v>
                </c:pt>
                <c:pt idx="5">
                  <c:v>30.896329333333327</c:v>
                </c:pt>
                <c:pt idx="6">
                  <c:v>30.572111999999994</c:v>
                </c:pt>
                <c:pt idx="7">
                  <c:v>29.858977176343167</c:v>
                </c:pt>
                <c:pt idx="8">
                  <c:v>28.78223733319879</c:v>
                </c:pt>
              </c:numCache>
            </c:numRef>
          </c:val>
          <c:extLst xmlns:c16r2="http://schemas.microsoft.com/office/drawing/2015/06/chart">
            <c:ext xmlns:c16="http://schemas.microsoft.com/office/drawing/2014/chart" uri="{C3380CC4-5D6E-409C-BE32-E72D297353CC}">
              <c16:uniqueId val="{00000003-2CF9-4300-8B0B-382100D97D91}"/>
            </c:ext>
          </c:extLst>
        </c:ser>
        <c:ser>
          <c:idx val="4"/>
          <c:order val="4"/>
          <c:tx>
            <c:strRef>
              <c:f>'Main Output 2'!$D$31</c:f>
              <c:strCache>
                <c:ptCount val="1"/>
                <c:pt idx="0">
                  <c:v>Others</c:v>
                </c:pt>
              </c:strCache>
            </c:strRef>
          </c:tx>
          <c:spPr>
            <a:solidFill>
              <a:schemeClr val="accent6"/>
            </a:solidFill>
          </c:spPr>
          <c:invertIfNegative val="0"/>
          <c:cat>
            <c:numRef>
              <c:f>'Main Output 2'!$N$5:$V$5</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2'!$N$31:$V$31</c:f>
              <c:numCache>
                <c:formatCode>0</c:formatCode>
                <c:ptCount val="9"/>
                <c:pt idx="0">
                  <c:v>4.3088439999999997</c:v>
                </c:pt>
                <c:pt idx="1">
                  <c:v>6.8706679999999993</c:v>
                </c:pt>
                <c:pt idx="2">
                  <c:v>4.7477079999999994</c:v>
                </c:pt>
                <c:pt idx="3">
                  <c:v>4.4834378301369862</c:v>
                </c:pt>
                <c:pt idx="4">
                  <c:v>4.4711879999999997</c:v>
                </c:pt>
                <c:pt idx="5">
                  <c:v>4.4711879999999997</c:v>
                </c:pt>
                <c:pt idx="6">
                  <c:v>4.4711879999999997</c:v>
                </c:pt>
                <c:pt idx="7">
                  <c:v>4.3896901538615287</c:v>
                </c:pt>
                <c:pt idx="8">
                  <c:v>4.2606247587808159</c:v>
                </c:pt>
              </c:numCache>
            </c:numRef>
          </c:val>
          <c:extLst xmlns:c16r2="http://schemas.microsoft.com/office/drawing/2015/06/chart">
            <c:ext xmlns:c16="http://schemas.microsoft.com/office/drawing/2014/chart" uri="{C3380CC4-5D6E-409C-BE32-E72D297353CC}">
              <c16:uniqueId val="{00000004-2CF9-4300-8B0B-382100D97D91}"/>
            </c:ext>
          </c:extLst>
        </c:ser>
        <c:dLbls>
          <c:showLegendKey val="0"/>
          <c:showVal val="0"/>
          <c:showCatName val="0"/>
          <c:showSerName val="0"/>
          <c:showPercent val="0"/>
          <c:showBubbleSize val="0"/>
        </c:dLbls>
        <c:gapWidth val="150"/>
        <c:overlap val="100"/>
        <c:axId val="836523232"/>
        <c:axId val="836523624"/>
      </c:barChart>
      <c:lineChart>
        <c:grouping val="standard"/>
        <c:varyColors val="0"/>
        <c:ser>
          <c:idx val="5"/>
          <c:order val="5"/>
          <c:tx>
            <c:v>Cost</c:v>
          </c:tx>
          <c:spPr>
            <a:ln>
              <a:solidFill>
                <a:srgbClr val="C00000"/>
              </a:solidFill>
            </a:ln>
          </c:spPr>
          <c:marker>
            <c:spPr>
              <a:solidFill>
                <a:srgbClr val="C00000"/>
              </a:solidFill>
              <a:ln>
                <a:solidFill>
                  <a:srgbClr val="C00000"/>
                </a:solidFill>
              </a:ln>
            </c:spPr>
          </c:marker>
          <c:cat>
            <c:numRef>
              <c:f>'Main Output 2'!$N$5:$V$5</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2'!$N$69:$V$69</c:f>
              <c:numCache>
                <c:formatCode>0.00</c:formatCode>
                <c:ptCount val="9"/>
                <c:pt idx="0">
                  <c:v>8.7328878566255632</c:v>
                </c:pt>
                <c:pt idx="1">
                  <c:v>9.9799289466042271</c:v>
                </c:pt>
                <c:pt idx="2">
                  <c:v>11.796963338447991</c:v>
                </c:pt>
                <c:pt idx="3">
                  <c:v>14.134682503541933</c:v>
                </c:pt>
                <c:pt idx="4">
                  <c:v>15.677516875208267</c:v>
                </c:pt>
                <c:pt idx="5">
                  <c:v>16.881738624716107</c:v>
                </c:pt>
                <c:pt idx="6">
                  <c:v>17.503566831176457</c:v>
                </c:pt>
                <c:pt idx="7">
                  <c:v>19.050791354576731</c:v>
                </c:pt>
                <c:pt idx="8">
                  <c:v>20.627644193788967</c:v>
                </c:pt>
              </c:numCache>
            </c:numRef>
          </c:val>
          <c:smooth val="0"/>
          <c:extLst xmlns:c16r2="http://schemas.microsoft.com/office/drawing/2015/06/chart">
            <c:ext xmlns:c16="http://schemas.microsoft.com/office/drawing/2014/chart" uri="{C3380CC4-5D6E-409C-BE32-E72D297353CC}">
              <c16:uniqueId val="{00000005-2CF9-4300-8B0B-382100D97D91}"/>
            </c:ext>
          </c:extLst>
        </c:ser>
        <c:dLbls>
          <c:showLegendKey val="0"/>
          <c:showVal val="0"/>
          <c:showCatName val="0"/>
          <c:showSerName val="0"/>
          <c:showPercent val="0"/>
          <c:showBubbleSize val="0"/>
        </c:dLbls>
        <c:marker val="1"/>
        <c:smooth val="0"/>
        <c:axId val="983504496"/>
        <c:axId val="983504104"/>
      </c:lineChart>
      <c:catAx>
        <c:axId val="836523232"/>
        <c:scaling>
          <c:orientation val="minMax"/>
        </c:scaling>
        <c:delete val="0"/>
        <c:axPos val="b"/>
        <c:numFmt formatCode="General" sourceLinked="1"/>
        <c:majorTickMark val="out"/>
        <c:minorTickMark val="none"/>
        <c:tickLblPos val="nextTo"/>
        <c:crossAx val="836523624"/>
        <c:crosses val="autoZero"/>
        <c:auto val="1"/>
        <c:lblAlgn val="ctr"/>
        <c:lblOffset val="100"/>
        <c:noMultiLvlLbl val="0"/>
      </c:catAx>
      <c:valAx>
        <c:axId val="836523624"/>
        <c:scaling>
          <c:orientation val="minMax"/>
          <c:max val="120"/>
        </c:scaling>
        <c:delete val="0"/>
        <c:axPos val="l"/>
        <c:majorGridlines>
          <c:spPr>
            <a:ln>
              <a:solidFill>
                <a:schemeClr val="bg1">
                  <a:lumMod val="75000"/>
                </a:schemeClr>
              </a:solidFill>
            </a:ln>
          </c:spPr>
        </c:majorGridlines>
        <c:title>
          <c:tx>
            <c:rich>
              <a:bodyPr rot="0" vert="horz"/>
              <a:lstStyle/>
              <a:p>
                <a:pPr>
                  <a:defRPr/>
                </a:pPr>
                <a:r>
                  <a:rPr lang="en-US"/>
                  <a:t>TWh</a:t>
                </a:r>
              </a:p>
            </c:rich>
          </c:tx>
          <c:layout>
            <c:manualLayout>
              <c:xMode val="edge"/>
              <c:yMode val="edge"/>
              <c:x val="2.7522755496117577E-2"/>
              <c:y val="3.6622387850373667E-2"/>
            </c:manualLayout>
          </c:layout>
          <c:overlay val="0"/>
        </c:title>
        <c:numFmt formatCode="0" sourceLinked="1"/>
        <c:majorTickMark val="out"/>
        <c:minorTickMark val="none"/>
        <c:tickLblPos val="nextTo"/>
        <c:spPr>
          <a:ln>
            <a:noFill/>
          </a:ln>
        </c:spPr>
        <c:crossAx val="836523232"/>
        <c:crosses val="autoZero"/>
        <c:crossBetween val="between"/>
        <c:majorUnit val="20"/>
      </c:valAx>
      <c:valAx>
        <c:axId val="983504104"/>
        <c:scaling>
          <c:orientation val="minMax"/>
          <c:min val="3"/>
        </c:scaling>
        <c:delete val="0"/>
        <c:axPos val="r"/>
        <c:title>
          <c:tx>
            <c:rich>
              <a:bodyPr rot="0" vert="horz"/>
              <a:lstStyle/>
              <a:p>
                <a:pPr>
                  <a:defRPr/>
                </a:pPr>
                <a:r>
                  <a:rPr lang="en-US"/>
                  <a:t>Cost (Tk/kWh)</a:t>
                </a:r>
              </a:p>
            </c:rich>
          </c:tx>
          <c:layout>
            <c:manualLayout>
              <c:xMode val="edge"/>
              <c:yMode val="edge"/>
              <c:x val="0.85804591583764334"/>
              <c:y val="3.9457434232934623E-2"/>
            </c:manualLayout>
          </c:layout>
          <c:overlay val="0"/>
        </c:title>
        <c:numFmt formatCode="0" sourceLinked="0"/>
        <c:majorTickMark val="out"/>
        <c:minorTickMark val="none"/>
        <c:tickLblPos val="nextTo"/>
        <c:spPr>
          <a:ln>
            <a:noFill/>
          </a:ln>
        </c:spPr>
        <c:crossAx val="983504496"/>
        <c:crosses val="max"/>
        <c:crossBetween val="between"/>
      </c:valAx>
      <c:catAx>
        <c:axId val="983504496"/>
        <c:scaling>
          <c:orientation val="minMax"/>
        </c:scaling>
        <c:delete val="1"/>
        <c:axPos val="b"/>
        <c:numFmt formatCode="General" sourceLinked="1"/>
        <c:majorTickMark val="out"/>
        <c:minorTickMark val="none"/>
        <c:tickLblPos val="nextTo"/>
        <c:crossAx val="983504104"/>
        <c:crosses val="autoZero"/>
        <c:auto val="1"/>
        <c:lblAlgn val="ctr"/>
        <c:lblOffset val="100"/>
        <c:noMultiLvlLbl val="0"/>
      </c:catAx>
    </c:plotArea>
    <c:legend>
      <c:legendPos val="b"/>
      <c:layout>
        <c:manualLayout>
          <c:xMode val="edge"/>
          <c:yMode val="edge"/>
          <c:x val="0.11973334004175995"/>
          <c:y val="0.89557612550339583"/>
          <c:w val="0.76053298449514894"/>
          <c:h val="8.5905311454388816E-2"/>
        </c:manualLayout>
      </c:layout>
      <c:overlay val="0"/>
    </c:legend>
    <c:plotVisOnly val="1"/>
    <c:dispBlanksAs val="gap"/>
    <c:showDLblsOverMax val="0"/>
  </c:chart>
  <c:spPr>
    <a:ln>
      <a:noFill/>
    </a:ln>
  </c:spPr>
  <c:txPr>
    <a:bodyPr/>
    <a:lstStyle/>
    <a:p>
      <a:pPr>
        <a:defRPr sz="900"/>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089791407652988E-2"/>
          <c:y val="6.7569357568621674E-2"/>
          <c:w val="0.85681102362204742"/>
          <c:h val="0.81904579684548773"/>
        </c:manualLayout>
      </c:layout>
      <c:barChart>
        <c:barDir val="col"/>
        <c:grouping val="clustered"/>
        <c:varyColors val="0"/>
        <c:ser>
          <c:idx val="0"/>
          <c:order val="0"/>
          <c:spPr>
            <a:solidFill>
              <a:schemeClr val="accent1"/>
            </a:solidFill>
            <a:ln>
              <a:noFill/>
            </a:ln>
            <a:effectLst/>
          </c:spPr>
          <c:invertIfNegative val="0"/>
          <c:cat>
            <c:numRef>
              <c:f>Indices!$N$5:$V$5</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Indices!$N$61:$V$61</c:f>
              <c:numCache>
                <c:formatCode>0.00</c:formatCode>
                <c:ptCount val="9"/>
                <c:pt idx="0">
                  <c:v>32</c:v>
                </c:pt>
                <c:pt idx="1">
                  <c:v>33</c:v>
                </c:pt>
                <c:pt idx="2">
                  <c:v>34</c:v>
                </c:pt>
                <c:pt idx="3">
                  <c:v>35</c:v>
                </c:pt>
                <c:pt idx="4">
                  <c:v>36.5</c:v>
                </c:pt>
                <c:pt idx="5">
                  <c:v>38</c:v>
                </c:pt>
                <c:pt idx="6">
                  <c:v>39.5</c:v>
                </c:pt>
                <c:pt idx="7">
                  <c:v>41</c:v>
                </c:pt>
                <c:pt idx="8">
                  <c:v>42.5</c:v>
                </c:pt>
              </c:numCache>
            </c:numRef>
          </c:val>
          <c:extLst xmlns:c16r2="http://schemas.microsoft.com/office/drawing/2015/06/chart">
            <c:ext xmlns:c16="http://schemas.microsoft.com/office/drawing/2014/chart" uri="{C3380CC4-5D6E-409C-BE32-E72D297353CC}">
              <c16:uniqueId val="{00000000-C758-4EB4-976A-8ED586582C77}"/>
            </c:ext>
          </c:extLst>
        </c:ser>
        <c:dLbls>
          <c:showLegendKey val="0"/>
          <c:showVal val="0"/>
          <c:showCatName val="0"/>
          <c:showSerName val="0"/>
          <c:showPercent val="0"/>
          <c:showBubbleSize val="0"/>
        </c:dLbls>
        <c:gapWidth val="150"/>
        <c:axId val="983505672"/>
        <c:axId val="734492304"/>
      </c:barChart>
      <c:catAx>
        <c:axId val="983505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4492304"/>
        <c:crosses val="autoZero"/>
        <c:auto val="1"/>
        <c:lblAlgn val="ctr"/>
        <c:lblOffset val="100"/>
        <c:noMultiLvlLbl val="0"/>
      </c:catAx>
      <c:valAx>
        <c:axId val="7344923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35056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227440038463681E-2"/>
          <c:y val="8.3474653004618968E-2"/>
          <c:w val="0.84918493296446063"/>
          <c:h val="0.80912560602413786"/>
        </c:manualLayout>
      </c:layout>
      <c:lineChart>
        <c:grouping val="standard"/>
        <c:varyColors val="0"/>
        <c:ser>
          <c:idx val="0"/>
          <c:order val="0"/>
          <c:spPr>
            <a:ln w="28575" cap="rnd">
              <a:solidFill>
                <a:schemeClr val="accent1"/>
              </a:solidFill>
              <a:round/>
            </a:ln>
            <a:effectLst/>
          </c:spPr>
          <c:marker>
            <c:symbol val="none"/>
          </c:marker>
          <c:cat>
            <c:numRef>
              <c:f>Scenarios!$AF$83:$AN$83</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Scenarios!$AF$85:$AN$85</c:f>
              <c:numCache>
                <c:formatCode>0.00</c:formatCode>
                <c:ptCount val="9"/>
                <c:pt idx="0">
                  <c:v>8.9217483095874819</c:v>
                </c:pt>
                <c:pt idx="1">
                  <c:v>9.0436256663063226</c:v>
                </c:pt>
                <c:pt idx="2">
                  <c:v>9.4752565882678024</c:v>
                </c:pt>
                <c:pt idx="3">
                  <c:v>11.258631807392321</c:v>
                </c:pt>
                <c:pt idx="4">
                  <c:v>12.014008095169377</c:v>
                </c:pt>
                <c:pt idx="5">
                  <c:v>13.253143237606592</c:v>
                </c:pt>
                <c:pt idx="6">
                  <c:v>13.546907588491941</c:v>
                </c:pt>
                <c:pt idx="7">
                  <c:v>14.660206822394551</c:v>
                </c:pt>
                <c:pt idx="8">
                  <c:v>15.738000694725393</c:v>
                </c:pt>
              </c:numCache>
            </c:numRef>
          </c:val>
          <c:smooth val="0"/>
          <c:extLst xmlns:c16r2="http://schemas.microsoft.com/office/drawing/2015/06/chart">
            <c:ext xmlns:c16="http://schemas.microsoft.com/office/drawing/2014/chart" uri="{C3380CC4-5D6E-409C-BE32-E72D297353CC}">
              <c16:uniqueId val="{00000000-2E78-4CF0-A832-53595AA4DADB}"/>
            </c:ext>
          </c:extLst>
        </c:ser>
        <c:ser>
          <c:idx val="1"/>
          <c:order val="1"/>
          <c:spPr>
            <a:ln w="28575" cap="rnd">
              <a:solidFill>
                <a:schemeClr val="accent2"/>
              </a:solidFill>
              <a:round/>
            </a:ln>
            <a:effectLst/>
          </c:spPr>
          <c:marker>
            <c:symbol val="none"/>
          </c:marker>
          <c:cat>
            <c:numRef>
              <c:f>Scenarios!$AF$83:$AN$83</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Scenarios!$AF$84:$AN$84</c:f>
              <c:numCache>
                <c:formatCode>0.00</c:formatCode>
                <c:ptCount val="9"/>
                <c:pt idx="0">
                  <c:v>7.4463318636254776</c:v>
                </c:pt>
                <c:pt idx="1">
                  <c:v>7.5756359813645346</c:v>
                </c:pt>
                <c:pt idx="2">
                  <c:v>7.7998253333582044</c:v>
                </c:pt>
                <c:pt idx="3">
                  <c:v>9.2538453180942835</c:v>
                </c:pt>
                <c:pt idx="4">
                  <c:v>9.7698029234346038</c:v>
                </c:pt>
                <c:pt idx="5">
                  <c:v>10.73949908569014</c:v>
                </c:pt>
                <c:pt idx="6">
                  <c:v>10.777181597875668</c:v>
                </c:pt>
                <c:pt idx="7">
                  <c:v>11.664332841176291</c:v>
                </c:pt>
                <c:pt idx="8">
                  <c:v>12.50873441733567</c:v>
                </c:pt>
              </c:numCache>
            </c:numRef>
          </c:val>
          <c:smooth val="0"/>
          <c:extLst xmlns:c16r2="http://schemas.microsoft.com/office/drawing/2015/06/chart">
            <c:ext xmlns:c16="http://schemas.microsoft.com/office/drawing/2014/chart" uri="{C3380CC4-5D6E-409C-BE32-E72D297353CC}">
              <c16:uniqueId val="{00000001-2E78-4CF0-A832-53595AA4DADB}"/>
            </c:ext>
          </c:extLst>
        </c:ser>
        <c:dLbls>
          <c:showLegendKey val="0"/>
          <c:showVal val="0"/>
          <c:showCatName val="0"/>
          <c:showSerName val="0"/>
          <c:showPercent val="0"/>
          <c:showBubbleSize val="0"/>
        </c:dLbls>
        <c:smooth val="0"/>
        <c:axId val="734493088"/>
        <c:axId val="734493480"/>
      </c:lineChart>
      <c:catAx>
        <c:axId val="734493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4493480"/>
        <c:crosses val="autoZero"/>
        <c:auto val="1"/>
        <c:lblAlgn val="ctr"/>
        <c:lblOffset val="100"/>
        <c:noMultiLvlLbl val="0"/>
      </c:catAx>
      <c:valAx>
        <c:axId val="7344934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44930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530316621814675E-2"/>
          <c:y val="0.12593486789761035"/>
          <c:w val="0.83048141134256948"/>
          <c:h val="0.68375648165930492"/>
        </c:manualLayout>
      </c:layout>
      <c:barChart>
        <c:barDir val="col"/>
        <c:grouping val="clustered"/>
        <c:varyColors val="0"/>
        <c:ser>
          <c:idx val="0"/>
          <c:order val="0"/>
          <c:tx>
            <c:strRef>
              <c:f>'Commercial Data'!$G$4</c:f>
              <c:strCache>
                <c:ptCount val="1"/>
                <c:pt idx="0">
                  <c:v>Budget Transfer</c:v>
                </c:pt>
              </c:strCache>
            </c:strRef>
          </c:tx>
          <c:spPr>
            <a:solidFill>
              <a:schemeClr val="tx2">
                <a:lumMod val="20000"/>
                <a:lumOff val="80000"/>
              </a:schemeClr>
            </a:solidFill>
          </c:spPr>
          <c:invertIfNegative val="0"/>
          <c:cat>
            <c:numRef>
              <c:f>'Commercial Data'!$B$6:$B$15</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'Commercial Data'!$G$6:$G$15</c:f>
              <c:numCache>
                <c:formatCode>0</c:formatCode>
                <c:ptCount val="10"/>
                <c:pt idx="0">
                  <c:v>87.30447435431067</c:v>
                </c:pt>
                <c:pt idx="1">
                  <c:v>145.50224020812254</c:v>
                </c:pt>
                <c:pt idx="2">
                  <c:v>138.38259355961705</c:v>
                </c:pt>
                <c:pt idx="3">
                  <c:v>512.42633871380986</c:v>
                </c:pt>
                <c:pt idx="4">
                  <c:v>794.7365130962055</c:v>
                </c:pt>
                <c:pt idx="5">
                  <c:v>576.1191729806086</c:v>
                </c:pt>
                <c:pt idx="6">
                  <c:v>783.20600885921556</c:v>
                </c:pt>
                <c:pt idx="7">
                  <c:v>1151.0371794871794</c:v>
                </c:pt>
                <c:pt idx="8">
                  <c:v>538.46153846153845</c:v>
                </c:pt>
                <c:pt idx="9">
                  <c:v>641.02564102564099</c:v>
                </c:pt>
              </c:numCache>
            </c:numRef>
          </c:val>
          <c:extLst xmlns:c16r2="http://schemas.microsoft.com/office/drawing/2015/06/chart">
            <c:ext xmlns:c16="http://schemas.microsoft.com/office/drawing/2014/chart" uri="{C3380CC4-5D6E-409C-BE32-E72D297353CC}">
              <c16:uniqueId val="{00000000-C720-487E-BF25-9B471B9CF1CE}"/>
            </c:ext>
          </c:extLst>
        </c:ser>
        <c:dLbls>
          <c:showLegendKey val="0"/>
          <c:showVal val="0"/>
          <c:showCatName val="0"/>
          <c:showSerName val="0"/>
          <c:showPercent val="0"/>
          <c:showBubbleSize val="0"/>
        </c:dLbls>
        <c:gapWidth val="150"/>
        <c:axId val="649756656"/>
        <c:axId val="855444376"/>
      </c:barChart>
      <c:lineChart>
        <c:grouping val="standard"/>
        <c:varyColors val="0"/>
        <c:ser>
          <c:idx val="1"/>
          <c:order val="1"/>
          <c:tx>
            <c:strRef>
              <c:f>'Commercial Data'!$H$4</c:f>
              <c:strCache>
                <c:ptCount val="1"/>
                <c:pt idx="0">
                  <c:v>Cost of Power</c:v>
                </c:pt>
              </c:strCache>
            </c:strRef>
          </c:tx>
          <c:cat>
            <c:numRef>
              <c:f>'Commercial Data'!$B$6:$B$15</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'Commercial Data'!$H$6:$H$15</c:f>
              <c:numCache>
                <c:formatCode>General</c:formatCode>
                <c:ptCount val="10"/>
                <c:pt idx="0">
                  <c:v>4.0199999999999996</c:v>
                </c:pt>
                <c:pt idx="1">
                  <c:v>4.3499999999999996</c:v>
                </c:pt>
                <c:pt idx="2">
                  <c:v>4.17</c:v>
                </c:pt>
                <c:pt idx="3">
                  <c:v>5.25</c:v>
                </c:pt>
                <c:pt idx="4">
                  <c:v>6.6</c:v>
                </c:pt>
                <c:pt idx="5">
                  <c:v>7.09</c:v>
                </c:pt>
                <c:pt idx="6">
                  <c:v>7.36</c:v>
                </c:pt>
                <c:pt idx="7">
                  <c:v>7.54</c:v>
                </c:pt>
                <c:pt idx="8">
                  <c:v>7.41</c:v>
                </c:pt>
                <c:pt idx="9">
                  <c:v>7.37</c:v>
                </c:pt>
              </c:numCache>
            </c:numRef>
          </c:val>
          <c:smooth val="0"/>
          <c:extLst xmlns:c16r2="http://schemas.microsoft.com/office/drawing/2015/06/chart">
            <c:ext xmlns:c16="http://schemas.microsoft.com/office/drawing/2014/chart" uri="{C3380CC4-5D6E-409C-BE32-E72D297353CC}">
              <c16:uniqueId val="{00000001-C720-487E-BF25-9B471B9CF1CE}"/>
            </c:ext>
          </c:extLst>
        </c:ser>
        <c:ser>
          <c:idx val="2"/>
          <c:order val="2"/>
          <c:tx>
            <c:strRef>
              <c:f>'Commercial Data'!$I$4</c:f>
              <c:strCache>
                <c:ptCount val="1"/>
                <c:pt idx="0">
                  <c:v>Average retail Tariff</c:v>
                </c:pt>
              </c:strCache>
            </c:strRef>
          </c:tx>
          <c:cat>
            <c:numRef>
              <c:f>'Commercial Data'!$B$6:$B$15</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'Commercial Data'!$I$6:$I$15</c:f>
              <c:numCache>
                <c:formatCode>General</c:formatCode>
                <c:ptCount val="10"/>
                <c:pt idx="0">
                  <c:v>3.51</c:v>
                </c:pt>
                <c:pt idx="1">
                  <c:v>3.75</c:v>
                </c:pt>
                <c:pt idx="2">
                  <c:v>3.85</c:v>
                </c:pt>
                <c:pt idx="3">
                  <c:v>4.05</c:v>
                </c:pt>
                <c:pt idx="4">
                  <c:v>4.68</c:v>
                </c:pt>
                <c:pt idx="5">
                  <c:v>5.15</c:v>
                </c:pt>
                <c:pt idx="6" formatCode="0.00">
                  <c:v>5.9</c:v>
                </c:pt>
                <c:pt idx="7" formatCode="0.00">
                  <c:v>6.0475000000000012</c:v>
                </c:pt>
                <c:pt idx="8" formatCode="0.00">
                  <c:v>6.0475000000000012</c:v>
                </c:pt>
                <c:pt idx="9" formatCode="0.00">
                  <c:v>6.0475000000000012</c:v>
                </c:pt>
              </c:numCache>
            </c:numRef>
          </c:val>
          <c:smooth val="0"/>
          <c:extLst xmlns:c16r2="http://schemas.microsoft.com/office/drawing/2015/06/chart">
            <c:ext xmlns:c16="http://schemas.microsoft.com/office/drawing/2014/chart" uri="{C3380CC4-5D6E-409C-BE32-E72D297353CC}">
              <c16:uniqueId val="{00000002-C720-487E-BF25-9B471B9CF1CE}"/>
            </c:ext>
          </c:extLst>
        </c:ser>
        <c:dLbls>
          <c:showLegendKey val="0"/>
          <c:showVal val="0"/>
          <c:showCatName val="0"/>
          <c:showSerName val="0"/>
          <c:showPercent val="0"/>
          <c:showBubbleSize val="0"/>
        </c:dLbls>
        <c:marker val="1"/>
        <c:smooth val="0"/>
        <c:axId val="855445552"/>
        <c:axId val="855444768"/>
      </c:lineChart>
      <c:catAx>
        <c:axId val="649756656"/>
        <c:scaling>
          <c:orientation val="minMax"/>
        </c:scaling>
        <c:delete val="0"/>
        <c:axPos val="b"/>
        <c:numFmt formatCode="General" sourceLinked="1"/>
        <c:majorTickMark val="out"/>
        <c:minorTickMark val="none"/>
        <c:tickLblPos val="nextTo"/>
        <c:crossAx val="855444376"/>
        <c:crosses val="autoZero"/>
        <c:auto val="1"/>
        <c:lblAlgn val="ctr"/>
        <c:lblOffset val="100"/>
        <c:noMultiLvlLbl val="0"/>
      </c:catAx>
      <c:valAx>
        <c:axId val="855444376"/>
        <c:scaling>
          <c:orientation val="minMax"/>
        </c:scaling>
        <c:delete val="0"/>
        <c:axPos val="l"/>
        <c:majorGridlines/>
        <c:title>
          <c:tx>
            <c:rich>
              <a:bodyPr rot="0" vert="horz"/>
              <a:lstStyle/>
              <a:p>
                <a:pPr>
                  <a:defRPr/>
                </a:pPr>
                <a:r>
                  <a:rPr lang="en-US"/>
                  <a:t>US$ Million</a:t>
                </a:r>
              </a:p>
            </c:rich>
          </c:tx>
          <c:layout>
            <c:manualLayout>
              <c:xMode val="edge"/>
              <c:yMode val="edge"/>
              <c:x val="2.2222222222222223E-2"/>
              <c:y val="2.8077142531096656E-2"/>
            </c:manualLayout>
          </c:layout>
          <c:overlay val="0"/>
        </c:title>
        <c:numFmt formatCode="0" sourceLinked="1"/>
        <c:majorTickMark val="out"/>
        <c:minorTickMark val="none"/>
        <c:tickLblPos val="nextTo"/>
        <c:spPr>
          <a:ln>
            <a:noFill/>
          </a:ln>
        </c:spPr>
        <c:crossAx val="649756656"/>
        <c:crosses val="autoZero"/>
        <c:crossBetween val="between"/>
      </c:valAx>
      <c:valAx>
        <c:axId val="855444768"/>
        <c:scaling>
          <c:orientation val="minMax"/>
          <c:min val="3"/>
        </c:scaling>
        <c:delete val="0"/>
        <c:axPos val="r"/>
        <c:title>
          <c:tx>
            <c:rich>
              <a:bodyPr rot="0" vert="horz"/>
              <a:lstStyle/>
              <a:p>
                <a:pPr>
                  <a:defRPr/>
                </a:pPr>
                <a:r>
                  <a:rPr lang="en-US"/>
                  <a:t>Tk/kWh</a:t>
                </a:r>
              </a:p>
              <a:p>
                <a:pPr>
                  <a:defRPr/>
                </a:pPr>
                <a:endParaRPr lang="en-US"/>
              </a:p>
            </c:rich>
          </c:tx>
          <c:layout>
            <c:manualLayout>
              <c:xMode val="edge"/>
              <c:yMode val="edge"/>
              <c:x val="0.88133333333333319"/>
              <c:y val="4.0937708873347356E-2"/>
            </c:manualLayout>
          </c:layout>
          <c:overlay val="0"/>
        </c:title>
        <c:numFmt formatCode="General" sourceLinked="1"/>
        <c:majorTickMark val="out"/>
        <c:minorTickMark val="none"/>
        <c:tickLblPos val="nextTo"/>
        <c:spPr>
          <a:ln>
            <a:noFill/>
          </a:ln>
        </c:spPr>
        <c:crossAx val="855445552"/>
        <c:crosses val="max"/>
        <c:crossBetween val="between"/>
        <c:majorUnit val="1"/>
      </c:valAx>
      <c:catAx>
        <c:axId val="855445552"/>
        <c:scaling>
          <c:orientation val="minMax"/>
        </c:scaling>
        <c:delete val="1"/>
        <c:axPos val="b"/>
        <c:numFmt formatCode="General" sourceLinked="1"/>
        <c:majorTickMark val="out"/>
        <c:minorTickMark val="none"/>
        <c:tickLblPos val="nextTo"/>
        <c:crossAx val="855444768"/>
        <c:crosses val="autoZero"/>
        <c:auto val="1"/>
        <c:lblAlgn val="ctr"/>
        <c:lblOffset val="100"/>
        <c:noMultiLvlLbl val="0"/>
      </c:catAx>
    </c:plotArea>
    <c:legend>
      <c:legendPos val="b"/>
      <c:layout/>
      <c:overlay val="0"/>
    </c:legend>
    <c:plotVisOnly val="1"/>
    <c:dispBlanksAs val="gap"/>
    <c:showDLblsOverMax val="0"/>
  </c:chart>
  <c:spPr>
    <a:ln>
      <a:noFill/>
    </a:ln>
  </c:spPr>
  <c:txPr>
    <a:bodyPr/>
    <a:lstStyle/>
    <a:p>
      <a:pPr>
        <a:defRPr sz="9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8964247994897"/>
          <c:y val="0.1320286513396032"/>
          <c:w val="0.84690581505997009"/>
          <c:h val="0.72366141732283462"/>
        </c:manualLayout>
      </c:layout>
      <c:lineChart>
        <c:grouping val="standard"/>
        <c:varyColors val="0"/>
        <c:ser>
          <c:idx val="0"/>
          <c:order val="0"/>
          <c:tx>
            <c:strRef>
              <c:f>'Commercial Data'!$C$21</c:f>
              <c:strCache>
                <c:ptCount val="1"/>
                <c:pt idx="0">
                  <c:v>Distribution Loss</c:v>
                </c:pt>
              </c:strCache>
            </c:strRef>
          </c:tx>
          <c:cat>
            <c:numRef>
              <c:f>'Commercial Data'!$B$22:$B$36</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'Commercial Data'!$C$22:$C$36</c:f>
              <c:numCache>
                <c:formatCode>0.00%</c:formatCode>
                <c:ptCount val="15"/>
                <c:pt idx="0">
                  <c:v>0.2392</c:v>
                </c:pt>
                <c:pt idx="1">
                  <c:v>0.21640000000000001</c:v>
                </c:pt>
                <c:pt idx="2">
                  <c:v>0.20039999999999999</c:v>
                </c:pt>
                <c:pt idx="3">
                  <c:v>0.17829999999999999</c:v>
                </c:pt>
                <c:pt idx="4">
                  <c:v>0.1653</c:v>
                </c:pt>
                <c:pt idx="5">
                  <c:v>0.16259999999999999</c:v>
                </c:pt>
                <c:pt idx="6">
                  <c:v>0.15559999999999999</c:v>
                </c:pt>
                <c:pt idx="7">
                  <c:v>0.14330000000000001</c:v>
                </c:pt>
                <c:pt idx="8">
                  <c:v>0.13489999999999999</c:v>
                </c:pt>
                <c:pt idx="9">
                  <c:v>0.1275</c:v>
                </c:pt>
                <c:pt idx="10">
                  <c:v>0.1226</c:v>
                </c:pt>
                <c:pt idx="11">
                  <c:v>0.12029999999999999</c:v>
                </c:pt>
                <c:pt idx="12">
                  <c:v>0.11960000000000001</c:v>
                </c:pt>
                <c:pt idx="13">
                  <c:v>0.11359999999999999</c:v>
                </c:pt>
                <c:pt idx="14">
                  <c:v>0.1096</c:v>
                </c:pt>
              </c:numCache>
            </c:numRef>
          </c:val>
          <c:smooth val="0"/>
        </c:ser>
        <c:ser>
          <c:idx val="1"/>
          <c:order val="1"/>
          <c:tx>
            <c:strRef>
              <c:f>'Commercial Data'!$D$21</c:f>
              <c:strCache>
                <c:ptCount val="1"/>
                <c:pt idx="0">
                  <c:v>Transmission Loss</c:v>
                </c:pt>
              </c:strCache>
            </c:strRef>
          </c:tx>
          <c:cat>
            <c:numRef>
              <c:f>'Commercial Data'!$B$22:$B$36</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'Commercial Data'!$D$22:$D$36</c:f>
              <c:numCache>
                <c:formatCode>0.00%</c:formatCode>
                <c:ptCount val="15"/>
                <c:pt idx="0">
                  <c:v>4.0500000000000001E-2</c:v>
                </c:pt>
                <c:pt idx="1">
                  <c:v>3.7900000000000003E-2</c:v>
                </c:pt>
                <c:pt idx="2">
                  <c:v>3.4799999999999998E-2</c:v>
                </c:pt>
                <c:pt idx="3">
                  <c:v>3.4200000000000001E-2</c:v>
                </c:pt>
                <c:pt idx="4">
                  <c:v>3.44E-2</c:v>
                </c:pt>
                <c:pt idx="5">
                  <c:v>3.15E-2</c:v>
                </c:pt>
                <c:pt idx="6">
                  <c:v>3.5099999999999999E-2</c:v>
                </c:pt>
                <c:pt idx="7">
                  <c:v>3.0599999999999999E-2</c:v>
                </c:pt>
                <c:pt idx="8">
                  <c:v>3.0800000000000001E-2</c:v>
                </c:pt>
                <c:pt idx="9">
                  <c:v>2.6599999999999999E-2</c:v>
                </c:pt>
                <c:pt idx="10">
                  <c:v>2.9600000000000001E-2</c:v>
                </c:pt>
                <c:pt idx="11">
                  <c:v>2.9399999999999999E-2</c:v>
                </c:pt>
                <c:pt idx="12">
                  <c:v>2.7400000000000001E-2</c:v>
                </c:pt>
                <c:pt idx="13">
                  <c:v>2.76E-2</c:v>
                </c:pt>
                <c:pt idx="14">
                  <c:v>2.63E-2</c:v>
                </c:pt>
              </c:numCache>
            </c:numRef>
          </c:val>
          <c:smooth val="0"/>
        </c:ser>
        <c:ser>
          <c:idx val="2"/>
          <c:order val="2"/>
          <c:tx>
            <c:strRef>
              <c:f>'Commercial Data'!$E$21</c:f>
              <c:strCache>
                <c:ptCount val="1"/>
                <c:pt idx="0">
                  <c:v>Total Losses</c:v>
                </c:pt>
              </c:strCache>
            </c:strRef>
          </c:tx>
          <c:cat>
            <c:numRef>
              <c:f>'Commercial Data'!$B$22:$B$36</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'Commercial Data'!$E$22:$E$36</c:f>
              <c:numCache>
                <c:formatCode>0.00%</c:formatCode>
                <c:ptCount val="15"/>
                <c:pt idx="0">
                  <c:v>0.2797</c:v>
                </c:pt>
                <c:pt idx="1">
                  <c:v>0.25430000000000003</c:v>
                </c:pt>
                <c:pt idx="2">
                  <c:v>0.23519999999999999</c:v>
                </c:pt>
                <c:pt idx="3">
                  <c:v>0.21249999999999999</c:v>
                </c:pt>
                <c:pt idx="4">
                  <c:v>0.19969999999999999</c:v>
                </c:pt>
                <c:pt idx="5">
                  <c:v>0.19409999999999999</c:v>
                </c:pt>
                <c:pt idx="6">
                  <c:v>0.19069999999999998</c:v>
                </c:pt>
                <c:pt idx="7">
                  <c:v>0.1739</c:v>
                </c:pt>
                <c:pt idx="8">
                  <c:v>0.16569999999999999</c:v>
                </c:pt>
                <c:pt idx="9">
                  <c:v>0.15410000000000001</c:v>
                </c:pt>
                <c:pt idx="10">
                  <c:v>0.1522</c:v>
                </c:pt>
                <c:pt idx="11">
                  <c:v>0.1497</c:v>
                </c:pt>
                <c:pt idx="12">
                  <c:v>0.14700000000000002</c:v>
                </c:pt>
                <c:pt idx="13">
                  <c:v>0.14119999999999999</c:v>
                </c:pt>
                <c:pt idx="14">
                  <c:v>0.13589999999999999</c:v>
                </c:pt>
              </c:numCache>
            </c:numRef>
          </c:val>
          <c:smooth val="0"/>
        </c:ser>
        <c:dLbls>
          <c:showLegendKey val="0"/>
          <c:showVal val="0"/>
          <c:showCatName val="0"/>
          <c:showSerName val="0"/>
          <c:showPercent val="0"/>
          <c:showBubbleSize val="0"/>
        </c:dLbls>
        <c:marker val="1"/>
        <c:smooth val="0"/>
        <c:axId val="567380696"/>
        <c:axId val="567379912"/>
      </c:lineChart>
      <c:lineChart>
        <c:grouping val="standard"/>
        <c:varyColors val="0"/>
        <c:ser>
          <c:idx val="3"/>
          <c:order val="3"/>
          <c:tx>
            <c:strRef>
              <c:f>'Commercial Data'!$F$21</c:f>
              <c:strCache>
                <c:ptCount val="1"/>
                <c:pt idx="0">
                  <c:v>Accounts Receivable (months)</c:v>
                </c:pt>
              </c:strCache>
            </c:strRef>
          </c:tx>
          <c:cat>
            <c:numRef>
              <c:f>'Commercial Data'!$B$22:$B$36</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'Commercial Data'!$F$22:$F$36</c:f>
              <c:numCache>
                <c:formatCode>General</c:formatCode>
                <c:ptCount val="15"/>
                <c:pt idx="0">
                  <c:v>7.74</c:v>
                </c:pt>
                <c:pt idx="1">
                  <c:v>7.13</c:v>
                </c:pt>
                <c:pt idx="2">
                  <c:v>6.45</c:v>
                </c:pt>
                <c:pt idx="3">
                  <c:v>4.12</c:v>
                </c:pt>
                <c:pt idx="4">
                  <c:v>3.83</c:v>
                </c:pt>
                <c:pt idx="5">
                  <c:v>2.76</c:v>
                </c:pt>
                <c:pt idx="6">
                  <c:v>2.4500000000000002</c:v>
                </c:pt>
                <c:pt idx="7">
                  <c:v>2.44</c:v>
                </c:pt>
                <c:pt idx="8">
                  <c:v>2.4</c:v>
                </c:pt>
                <c:pt idx="9">
                  <c:v>2.2200000000000002</c:v>
                </c:pt>
                <c:pt idx="10">
                  <c:v>2.21</c:v>
                </c:pt>
                <c:pt idx="11">
                  <c:v>2.06</c:v>
                </c:pt>
                <c:pt idx="12">
                  <c:v>2.04</c:v>
                </c:pt>
                <c:pt idx="13">
                  <c:v>2.27</c:v>
                </c:pt>
                <c:pt idx="14">
                  <c:v>1.97</c:v>
                </c:pt>
              </c:numCache>
            </c:numRef>
          </c:val>
          <c:smooth val="0"/>
        </c:ser>
        <c:dLbls>
          <c:showLegendKey val="0"/>
          <c:showVal val="0"/>
          <c:showCatName val="0"/>
          <c:showSerName val="0"/>
          <c:showPercent val="0"/>
          <c:showBubbleSize val="0"/>
        </c:dLbls>
        <c:marker val="1"/>
        <c:smooth val="0"/>
        <c:axId val="652226672"/>
        <c:axId val="652227064"/>
      </c:lineChart>
      <c:catAx>
        <c:axId val="567380696"/>
        <c:scaling>
          <c:orientation val="minMax"/>
        </c:scaling>
        <c:delete val="0"/>
        <c:axPos val="b"/>
        <c:numFmt formatCode="General" sourceLinked="1"/>
        <c:majorTickMark val="out"/>
        <c:minorTickMark val="none"/>
        <c:tickLblPos val="nextTo"/>
        <c:crossAx val="567379912"/>
        <c:crosses val="autoZero"/>
        <c:auto val="1"/>
        <c:lblAlgn val="ctr"/>
        <c:lblOffset val="100"/>
        <c:noMultiLvlLbl val="0"/>
      </c:catAx>
      <c:valAx>
        <c:axId val="567379912"/>
        <c:scaling>
          <c:orientation val="minMax"/>
        </c:scaling>
        <c:delete val="0"/>
        <c:axPos val="l"/>
        <c:majorGridlines/>
        <c:title>
          <c:tx>
            <c:rich>
              <a:bodyPr rot="0" vert="horz"/>
              <a:lstStyle/>
              <a:p>
                <a:pPr>
                  <a:defRPr sz="900"/>
                </a:pPr>
                <a:r>
                  <a:rPr lang="en-US" sz="900"/>
                  <a:t>Losses %</a:t>
                </a:r>
              </a:p>
            </c:rich>
          </c:tx>
          <c:layout>
            <c:manualLayout>
              <c:xMode val="edge"/>
              <c:yMode val="edge"/>
              <c:x val="6.6401062416998674E-3"/>
              <c:y val="2.7605616734117228E-2"/>
            </c:manualLayout>
          </c:layout>
          <c:overlay val="0"/>
        </c:title>
        <c:numFmt formatCode="0.00%" sourceLinked="1"/>
        <c:majorTickMark val="out"/>
        <c:minorTickMark val="none"/>
        <c:tickLblPos val="nextTo"/>
        <c:crossAx val="567380696"/>
        <c:crosses val="autoZero"/>
        <c:crossBetween val="between"/>
        <c:majorUnit val="6.0000000000000012E-2"/>
      </c:valAx>
      <c:valAx>
        <c:axId val="652227064"/>
        <c:scaling>
          <c:orientation val="minMax"/>
          <c:max val="9"/>
        </c:scaling>
        <c:delete val="0"/>
        <c:axPos val="r"/>
        <c:title>
          <c:tx>
            <c:rich>
              <a:bodyPr rot="0" vert="horz"/>
              <a:lstStyle/>
              <a:p>
                <a:pPr algn="r">
                  <a:defRPr sz="900"/>
                </a:pPr>
                <a:r>
                  <a:rPr lang="en-US" sz="900"/>
                  <a:t>Acc. Receivable (months)</a:t>
                </a:r>
              </a:p>
            </c:rich>
          </c:tx>
          <c:layout>
            <c:manualLayout>
              <c:xMode val="edge"/>
              <c:yMode val="edge"/>
              <c:x val="0.84457724656927846"/>
              <c:y val="1.3492663356327121E-2"/>
            </c:manualLayout>
          </c:layout>
          <c:overlay val="0"/>
        </c:title>
        <c:numFmt formatCode="General" sourceLinked="1"/>
        <c:majorTickMark val="out"/>
        <c:minorTickMark val="none"/>
        <c:tickLblPos val="nextTo"/>
        <c:crossAx val="652226672"/>
        <c:crosses val="max"/>
        <c:crossBetween val="between"/>
      </c:valAx>
      <c:catAx>
        <c:axId val="652226672"/>
        <c:scaling>
          <c:orientation val="minMax"/>
        </c:scaling>
        <c:delete val="1"/>
        <c:axPos val="b"/>
        <c:numFmt formatCode="General" sourceLinked="1"/>
        <c:majorTickMark val="out"/>
        <c:minorTickMark val="none"/>
        <c:tickLblPos val="nextTo"/>
        <c:crossAx val="652227064"/>
        <c:crosses val="autoZero"/>
        <c:auto val="1"/>
        <c:lblAlgn val="ctr"/>
        <c:lblOffset val="100"/>
        <c:noMultiLvlLbl val="0"/>
      </c:catAx>
    </c:plotArea>
    <c:legend>
      <c:legendPos val="r"/>
      <c:layout>
        <c:manualLayout>
          <c:xMode val="edge"/>
          <c:yMode val="edge"/>
          <c:x val="0.33678908235839611"/>
          <c:y val="6.3051107375623988E-4"/>
          <c:w val="0.55017201122730319"/>
          <c:h val="0.2684018992008021"/>
        </c:manualLayout>
      </c:layout>
      <c:overlay val="0"/>
      <c:txPr>
        <a:bodyPr/>
        <a:lstStyle/>
        <a:p>
          <a:pPr>
            <a:defRPr sz="9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6109107856845"/>
          <c:y val="7.111379222758446E-2"/>
          <c:w val="0.81382817801980356"/>
          <c:h val="0.68790618914571167"/>
        </c:manualLayout>
      </c:layout>
      <c:barChart>
        <c:barDir val="col"/>
        <c:grouping val="stacked"/>
        <c:varyColors val="0"/>
        <c:ser>
          <c:idx val="0"/>
          <c:order val="0"/>
          <c:tx>
            <c:strRef>
              <c:f>'Main Output 2'!$D$92</c:f>
              <c:strCache>
                <c:ptCount val="1"/>
                <c:pt idx="0">
                  <c:v>Gas</c:v>
                </c:pt>
              </c:strCache>
            </c:strRef>
          </c:tx>
          <c:invertIfNegative val="0"/>
          <c:cat>
            <c:numRef>
              <c:f>'Main Output 2'!$N$5:$V$5</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2'!$N$92:$V$92</c:f>
              <c:numCache>
                <c:formatCode>General</c:formatCode>
                <c:ptCount val="9"/>
                <c:pt idx="0">
                  <c:v>3348</c:v>
                </c:pt>
                <c:pt idx="1">
                  <c:v>341</c:v>
                </c:pt>
                <c:pt idx="2">
                  <c:v>0</c:v>
                </c:pt>
                <c:pt idx="3">
                  <c:v>2750</c:v>
                </c:pt>
                <c:pt idx="4">
                  <c:v>0</c:v>
                </c:pt>
                <c:pt idx="5">
                  <c:v>0</c:v>
                </c:pt>
                <c:pt idx="6">
                  <c:v>0</c:v>
                </c:pt>
                <c:pt idx="7">
                  <c:v>0</c:v>
                </c:pt>
                <c:pt idx="8">
                  <c:v>0</c:v>
                </c:pt>
              </c:numCache>
            </c:numRef>
          </c:val>
          <c:extLst xmlns:c16r2="http://schemas.microsoft.com/office/drawing/2015/06/chart">
            <c:ext xmlns:c16="http://schemas.microsoft.com/office/drawing/2014/chart" uri="{C3380CC4-5D6E-409C-BE32-E72D297353CC}">
              <c16:uniqueId val="{00000000-E1D7-44B8-84EE-05AD7A5FBE0C}"/>
            </c:ext>
          </c:extLst>
        </c:ser>
        <c:ser>
          <c:idx val="1"/>
          <c:order val="1"/>
          <c:tx>
            <c:strRef>
              <c:f>'Main Output 2'!$D$93</c:f>
              <c:strCache>
                <c:ptCount val="1"/>
                <c:pt idx="0">
                  <c:v>RFO</c:v>
                </c:pt>
              </c:strCache>
            </c:strRef>
          </c:tx>
          <c:spPr>
            <a:solidFill>
              <a:schemeClr val="accent3"/>
            </a:solidFill>
          </c:spPr>
          <c:invertIfNegative val="0"/>
          <c:cat>
            <c:numRef>
              <c:f>'Main Output 2'!$N$5:$V$5</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2'!$N$93:$V$93</c:f>
              <c:numCache>
                <c:formatCode>General</c:formatCode>
                <c:ptCount val="9"/>
                <c:pt idx="0">
                  <c:v>50</c:v>
                </c:pt>
                <c:pt idx="1">
                  <c:v>0</c:v>
                </c:pt>
                <c:pt idx="2">
                  <c:v>216</c:v>
                </c:pt>
                <c:pt idx="3">
                  <c:v>0</c:v>
                </c:pt>
                <c:pt idx="4">
                  <c:v>0</c:v>
                </c:pt>
                <c:pt idx="5">
                  <c:v>0</c:v>
                </c:pt>
                <c:pt idx="6">
                  <c:v>0</c:v>
                </c:pt>
                <c:pt idx="7">
                  <c:v>0</c:v>
                </c:pt>
                <c:pt idx="8">
                  <c:v>0</c:v>
                </c:pt>
              </c:numCache>
            </c:numRef>
          </c:val>
          <c:extLst xmlns:c16r2="http://schemas.microsoft.com/office/drawing/2015/06/chart">
            <c:ext xmlns:c16="http://schemas.microsoft.com/office/drawing/2014/chart" uri="{C3380CC4-5D6E-409C-BE32-E72D297353CC}">
              <c16:uniqueId val="{00000001-E1D7-44B8-84EE-05AD7A5FBE0C}"/>
            </c:ext>
          </c:extLst>
        </c:ser>
        <c:ser>
          <c:idx val="2"/>
          <c:order val="2"/>
          <c:tx>
            <c:strRef>
              <c:f>'Main Output 2'!$D$94</c:f>
              <c:strCache>
                <c:ptCount val="1"/>
                <c:pt idx="0">
                  <c:v>HSD</c:v>
                </c:pt>
              </c:strCache>
            </c:strRef>
          </c:tx>
          <c:invertIfNegative val="0"/>
          <c:cat>
            <c:numRef>
              <c:f>'Main Output 2'!$N$5:$V$5</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2'!$K$94:$Q$94</c:f>
            </c:numRef>
          </c:val>
          <c:extLst xmlns:c16r2="http://schemas.microsoft.com/office/drawing/2015/06/chart">
            <c:ext xmlns:c16="http://schemas.microsoft.com/office/drawing/2014/chart" uri="{C3380CC4-5D6E-409C-BE32-E72D297353CC}">
              <c16:uniqueId val="{00000002-E1D7-44B8-84EE-05AD7A5FBE0C}"/>
            </c:ext>
          </c:extLst>
        </c:ser>
        <c:ser>
          <c:idx val="3"/>
          <c:order val="3"/>
          <c:tx>
            <c:strRef>
              <c:f>'Main Output 2'!$D$95</c:f>
              <c:strCache>
                <c:ptCount val="1"/>
                <c:pt idx="0">
                  <c:v>Alt</c:v>
                </c:pt>
              </c:strCache>
            </c:strRef>
          </c:tx>
          <c:invertIfNegative val="0"/>
          <c:cat>
            <c:numRef>
              <c:f>'Main Output 2'!$N$5:$V$5</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2'!$K$95:$Q$95</c:f>
            </c:numRef>
          </c:val>
          <c:extLst xmlns:c16r2="http://schemas.microsoft.com/office/drawing/2015/06/chart">
            <c:ext xmlns:c16="http://schemas.microsoft.com/office/drawing/2014/chart" uri="{C3380CC4-5D6E-409C-BE32-E72D297353CC}">
              <c16:uniqueId val="{00000003-E1D7-44B8-84EE-05AD7A5FBE0C}"/>
            </c:ext>
          </c:extLst>
        </c:ser>
        <c:ser>
          <c:idx val="4"/>
          <c:order val="4"/>
          <c:tx>
            <c:strRef>
              <c:f>'Main Output 2'!$D$96</c:f>
              <c:strCache>
                <c:ptCount val="1"/>
                <c:pt idx="0">
                  <c:v>Local Coal</c:v>
                </c:pt>
              </c:strCache>
            </c:strRef>
          </c:tx>
          <c:invertIfNegative val="0"/>
          <c:cat>
            <c:numRef>
              <c:f>'Main Output 2'!$N$5:$V$5</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2'!$K$96:$Q$96</c:f>
            </c:numRef>
          </c:val>
          <c:extLst xmlns:c16r2="http://schemas.microsoft.com/office/drawing/2015/06/chart">
            <c:ext xmlns:c16="http://schemas.microsoft.com/office/drawing/2014/chart" uri="{C3380CC4-5D6E-409C-BE32-E72D297353CC}">
              <c16:uniqueId val="{00000004-E1D7-44B8-84EE-05AD7A5FBE0C}"/>
            </c:ext>
          </c:extLst>
        </c:ser>
        <c:ser>
          <c:idx val="5"/>
          <c:order val="5"/>
          <c:tx>
            <c:strRef>
              <c:f>'Main Output 2'!$D$97</c:f>
              <c:strCache>
                <c:ptCount val="1"/>
                <c:pt idx="0">
                  <c:v>Dual Fuel</c:v>
                </c:pt>
              </c:strCache>
            </c:strRef>
          </c:tx>
          <c:spPr>
            <a:solidFill>
              <a:schemeClr val="accent6"/>
            </a:solidFill>
          </c:spPr>
          <c:invertIfNegative val="0"/>
          <c:cat>
            <c:numRef>
              <c:f>'Main Output 2'!$N$5:$V$5</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2'!$N$97:$V$97</c:f>
              <c:numCache>
                <c:formatCode>General</c:formatCode>
                <c:ptCount val="9"/>
                <c:pt idx="0">
                  <c:v>0</c:v>
                </c:pt>
                <c:pt idx="1">
                  <c:v>0</c:v>
                </c:pt>
                <c:pt idx="2">
                  <c:v>0</c:v>
                </c:pt>
                <c:pt idx="3">
                  <c:v>0</c:v>
                </c:pt>
                <c:pt idx="4">
                  <c:v>0</c:v>
                </c:pt>
                <c:pt idx="5">
                  <c:v>0</c:v>
                </c:pt>
                <c:pt idx="6">
                  <c:v>0</c:v>
                </c:pt>
                <c:pt idx="7">
                  <c:v>0</c:v>
                </c:pt>
                <c:pt idx="8">
                  <c:v>0</c:v>
                </c:pt>
              </c:numCache>
            </c:numRef>
          </c:val>
          <c:extLst xmlns:c16r2="http://schemas.microsoft.com/office/drawing/2015/06/chart">
            <c:ext xmlns:c16="http://schemas.microsoft.com/office/drawing/2014/chart" uri="{C3380CC4-5D6E-409C-BE32-E72D297353CC}">
              <c16:uniqueId val="{00000005-E1D7-44B8-84EE-05AD7A5FBE0C}"/>
            </c:ext>
          </c:extLst>
        </c:ser>
        <c:ser>
          <c:idx val="6"/>
          <c:order val="6"/>
          <c:tx>
            <c:strRef>
              <c:f>'Main Output 2'!$D$95</c:f>
              <c:strCache>
                <c:ptCount val="1"/>
                <c:pt idx="0">
                  <c:v>Alt</c:v>
                </c:pt>
              </c:strCache>
            </c:strRef>
          </c:tx>
          <c:spPr>
            <a:solidFill>
              <a:schemeClr val="accent5"/>
            </a:solidFill>
          </c:spPr>
          <c:invertIfNegative val="0"/>
          <c:cat>
            <c:numRef>
              <c:f>'Main Output 2'!$N$5:$V$5</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2'!$N$98:$V$98</c:f>
              <c:numCache>
                <c:formatCode>General</c:formatCode>
                <c:ptCount val="9"/>
                <c:pt idx="0">
                  <c:v>100</c:v>
                </c:pt>
                <c:pt idx="1">
                  <c:v>500</c:v>
                </c:pt>
                <c:pt idx="2">
                  <c:v>0</c:v>
                </c:pt>
                <c:pt idx="3">
                  <c:v>0</c:v>
                </c:pt>
                <c:pt idx="4">
                  <c:v>0</c:v>
                </c:pt>
                <c:pt idx="5">
                  <c:v>0</c:v>
                </c:pt>
                <c:pt idx="6">
                  <c:v>0</c:v>
                </c:pt>
                <c:pt idx="7">
                  <c:v>0</c:v>
                </c:pt>
                <c:pt idx="8">
                  <c:v>0</c:v>
                </c:pt>
              </c:numCache>
            </c:numRef>
          </c:val>
          <c:extLst xmlns:c16r2="http://schemas.microsoft.com/office/drawing/2015/06/chart">
            <c:ext xmlns:c16="http://schemas.microsoft.com/office/drawing/2014/chart" uri="{C3380CC4-5D6E-409C-BE32-E72D297353CC}">
              <c16:uniqueId val="{00000006-E1D7-44B8-84EE-05AD7A5FBE0C}"/>
            </c:ext>
          </c:extLst>
        </c:ser>
        <c:ser>
          <c:idx val="7"/>
          <c:order val="7"/>
          <c:tx>
            <c:strRef>
              <c:f>'Main Output 2'!$D$96</c:f>
              <c:strCache>
                <c:ptCount val="1"/>
                <c:pt idx="0">
                  <c:v>Local Coal</c:v>
                </c:pt>
              </c:strCache>
            </c:strRef>
          </c:tx>
          <c:spPr>
            <a:solidFill>
              <a:schemeClr val="accent2"/>
            </a:solidFill>
          </c:spPr>
          <c:invertIfNegative val="0"/>
          <c:cat>
            <c:numRef>
              <c:f>'Main Output 2'!$N$5:$V$5</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2'!$N$99:$V$99</c:f>
              <c:numCache>
                <c:formatCode>General</c:formatCode>
                <c:ptCount val="9"/>
                <c:pt idx="0">
                  <c:v>0</c:v>
                </c:pt>
                <c:pt idx="1">
                  <c:v>0</c:v>
                </c:pt>
                <c:pt idx="2">
                  <c:v>805</c:v>
                </c:pt>
                <c:pt idx="3">
                  <c:v>1865</c:v>
                </c:pt>
                <c:pt idx="4">
                  <c:v>935</c:v>
                </c:pt>
                <c:pt idx="5">
                  <c:v>1300</c:v>
                </c:pt>
                <c:pt idx="6">
                  <c:v>0</c:v>
                </c:pt>
                <c:pt idx="7">
                  <c:v>0</c:v>
                </c:pt>
                <c:pt idx="8">
                  <c:v>0</c:v>
                </c:pt>
              </c:numCache>
            </c:numRef>
          </c:val>
          <c:extLst xmlns:c16r2="http://schemas.microsoft.com/office/drawing/2015/06/chart">
            <c:ext xmlns:c16="http://schemas.microsoft.com/office/drawing/2014/chart" uri="{C3380CC4-5D6E-409C-BE32-E72D297353CC}">
              <c16:uniqueId val="{00000007-E1D7-44B8-84EE-05AD7A5FBE0C}"/>
            </c:ext>
          </c:extLst>
        </c:ser>
        <c:dLbls>
          <c:showLegendKey val="0"/>
          <c:showVal val="0"/>
          <c:showCatName val="0"/>
          <c:showSerName val="0"/>
          <c:showPercent val="0"/>
          <c:showBubbleSize val="0"/>
        </c:dLbls>
        <c:gapWidth val="150"/>
        <c:overlap val="100"/>
        <c:axId val="698435632"/>
        <c:axId val="698436024"/>
      </c:barChart>
      <c:catAx>
        <c:axId val="698435632"/>
        <c:scaling>
          <c:orientation val="minMax"/>
        </c:scaling>
        <c:delete val="0"/>
        <c:axPos val="b"/>
        <c:numFmt formatCode="General" sourceLinked="1"/>
        <c:majorTickMark val="out"/>
        <c:minorTickMark val="none"/>
        <c:tickLblPos val="nextTo"/>
        <c:spPr>
          <a:ln>
            <a:solidFill>
              <a:schemeClr val="accent3"/>
            </a:solidFill>
          </a:ln>
        </c:spPr>
        <c:crossAx val="698436024"/>
        <c:crosses val="autoZero"/>
        <c:auto val="1"/>
        <c:lblAlgn val="ctr"/>
        <c:lblOffset val="100"/>
        <c:noMultiLvlLbl val="0"/>
      </c:catAx>
      <c:valAx>
        <c:axId val="698436024"/>
        <c:scaling>
          <c:orientation val="minMax"/>
        </c:scaling>
        <c:delete val="0"/>
        <c:axPos val="l"/>
        <c:majorGridlines>
          <c:spPr>
            <a:ln>
              <a:solidFill>
                <a:schemeClr val="accent3"/>
              </a:solidFill>
            </a:ln>
          </c:spPr>
        </c:majorGridlines>
        <c:numFmt formatCode="General" sourceLinked="1"/>
        <c:majorTickMark val="out"/>
        <c:minorTickMark val="none"/>
        <c:tickLblPos val="nextTo"/>
        <c:spPr>
          <a:ln>
            <a:noFill/>
          </a:ln>
        </c:spPr>
        <c:crossAx val="698435632"/>
        <c:crosses val="autoZero"/>
        <c:crossBetween val="between"/>
        <c:majorUnit val="1000"/>
      </c:valAx>
    </c:plotArea>
    <c:legend>
      <c:legendPos val="b"/>
      <c:layout>
        <c:manualLayout>
          <c:xMode val="edge"/>
          <c:yMode val="edge"/>
          <c:x val="6.8125362834318609E-2"/>
          <c:y val="0.87052197104394213"/>
          <c:w val="0.88036369285615002"/>
          <c:h val="9.7219964439928877E-2"/>
        </c:manualLayout>
      </c:layout>
      <c:overlay val="0"/>
    </c:legend>
    <c:plotVisOnly val="1"/>
    <c:dispBlanksAs val="gap"/>
    <c:showDLblsOverMax val="0"/>
  </c:chart>
  <c:spPr>
    <a:ln>
      <a:noFill/>
    </a:ln>
  </c:spPr>
  <c:txPr>
    <a:bodyPr/>
    <a:lstStyle/>
    <a:p>
      <a:pPr>
        <a:defRPr sz="9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30114199301247"/>
          <c:y val="8.2784983827229056E-2"/>
          <c:w val="0.82086716433173113"/>
          <c:h val="0.70445511384247705"/>
        </c:manualLayout>
      </c:layout>
      <c:barChart>
        <c:barDir val="col"/>
        <c:grouping val="stacked"/>
        <c:varyColors val="0"/>
        <c:ser>
          <c:idx val="2"/>
          <c:order val="0"/>
          <c:tx>
            <c:strRef>
              <c:f>'Main Output 2'!$D$102</c:f>
              <c:strCache>
                <c:ptCount val="1"/>
                <c:pt idx="0">
                  <c:v>Gas</c:v>
                </c:pt>
              </c:strCache>
            </c:strRef>
          </c:tx>
          <c:spPr>
            <a:solidFill>
              <a:schemeClr val="accent1"/>
            </a:solidFill>
          </c:spPr>
          <c:invertIfNegative val="0"/>
          <c:cat>
            <c:numRef>
              <c:f>'Main Output 2'!$N$5:$V$5</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2'!$N$102:$V$102</c:f>
              <c:numCache>
                <c:formatCode>0</c:formatCode>
                <c:ptCount val="9"/>
                <c:pt idx="0">
                  <c:v>40</c:v>
                </c:pt>
                <c:pt idx="1">
                  <c:v>451</c:v>
                </c:pt>
                <c:pt idx="2">
                  <c:v>537</c:v>
                </c:pt>
                <c:pt idx="3">
                  <c:v>0</c:v>
                </c:pt>
                <c:pt idx="4">
                  <c:v>993</c:v>
                </c:pt>
                <c:pt idx="5">
                  <c:v>1629</c:v>
                </c:pt>
                <c:pt idx="6">
                  <c:v>310</c:v>
                </c:pt>
                <c:pt idx="7">
                  <c:v>948</c:v>
                </c:pt>
                <c:pt idx="8">
                  <c:v>0</c:v>
                </c:pt>
              </c:numCache>
            </c:numRef>
          </c:val>
          <c:extLst xmlns:c16r2="http://schemas.microsoft.com/office/drawing/2015/06/chart">
            <c:ext xmlns:c16="http://schemas.microsoft.com/office/drawing/2014/chart" uri="{C3380CC4-5D6E-409C-BE32-E72D297353CC}">
              <c16:uniqueId val="{00000000-66EB-4EEE-82B2-337243102AC6}"/>
            </c:ext>
          </c:extLst>
        </c:ser>
        <c:ser>
          <c:idx val="3"/>
          <c:order val="1"/>
          <c:tx>
            <c:strRef>
              <c:f>'Main Output 2'!$D$103</c:f>
              <c:strCache>
                <c:ptCount val="1"/>
                <c:pt idx="0">
                  <c:v>RFO</c:v>
                </c:pt>
              </c:strCache>
            </c:strRef>
          </c:tx>
          <c:spPr>
            <a:solidFill>
              <a:schemeClr val="accent3"/>
            </a:solidFill>
          </c:spPr>
          <c:invertIfNegative val="0"/>
          <c:cat>
            <c:numRef>
              <c:f>'Main Output 2'!$N$5:$V$5</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2'!$N$103:$V$103</c:f>
              <c:numCache>
                <c:formatCode>0</c:formatCode>
                <c:ptCount val="9"/>
                <c:pt idx="0">
                  <c:v>100</c:v>
                </c:pt>
                <c:pt idx="1">
                  <c:v>328</c:v>
                </c:pt>
                <c:pt idx="2">
                  <c:v>212.5</c:v>
                </c:pt>
                <c:pt idx="3">
                  <c:v>0</c:v>
                </c:pt>
                <c:pt idx="4">
                  <c:v>0</c:v>
                </c:pt>
                <c:pt idx="5">
                  <c:v>100</c:v>
                </c:pt>
                <c:pt idx="6">
                  <c:v>0</c:v>
                </c:pt>
                <c:pt idx="7">
                  <c:v>123.5</c:v>
                </c:pt>
                <c:pt idx="8">
                  <c:v>0</c:v>
                </c:pt>
              </c:numCache>
            </c:numRef>
          </c:val>
          <c:extLst xmlns:c16r2="http://schemas.microsoft.com/office/drawing/2015/06/chart">
            <c:ext xmlns:c16="http://schemas.microsoft.com/office/drawing/2014/chart" uri="{C3380CC4-5D6E-409C-BE32-E72D297353CC}">
              <c16:uniqueId val="{00000001-66EB-4EEE-82B2-337243102AC6}"/>
            </c:ext>
          </c:extLst>
        </c:ser>
        <c:ser>
          <c:idx val="0"/>
          <c:order val="2"/>
          <c:tx>
            <c:strRef>
              <c:f>'Main Output 2'!$D$104</c:f>
              <c:strCache>
                <c:ptCount val="1"/>
                <c:pt idx="0">
                  <c:v>HSD</c:v>
                </c:pt>
              </c:strCache>
            </c:strRef>
          </c:tx>
          <c:spPr>
            <a:solidFill>
              <a:schemeClr val="accent4"/>
            </a:solidFill>
          </c:spPr>
          <c:invertIfNegative val="0"/>
          <c:cat>
            <c:numRef>
              <c:f>'Main Output 2'!$N$5:$V$5</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2'!$N$104:$V$104</c:f>
              <c:numCache>
                <c:formatCode>0</c:formatCode>
                <c:ptCount val="9"/>
                <c:pt idx="0">
                  <c:v>563</c:v>
                </c:pt>
                <c:pt idx="1">
                  <c:v>0</c:v>
                </c:pt>
                <c:pt idx="2">
                  <c:v>0</c:v>
                </c:pt>
                <c:pt idx="3">
                  <c:v>0</c:v>
                </c:pt>
                <c:pt idx="4">
                  <c:v>0</c:v>
                </c:pt>
                <c:pt idx="5">
                  <c:v>0</c:v>
                </c:pt>
                <c:pt idx="6">
                  <c:v>0</c:v>
                </c:pt>
                <c:pt idx="7">
                  <c:v>0</c:v>
                </c:pt>
                <c:pt idx="8">
                  <c:v>0</c:v>
                </c:pt>
              </c:numCache>
            </c:numRef>
          </c:val>
          <c:extLst xmlns:c16r2="http://schemas.microsoft.com/office/drawing/2015/06/chart">
            <c:ext xmlns:c16="http://schemas.microsoft.com/office/drawing/2014/chart" uri="{C3380CC4-5D6E-409C-BE32-E72D297353CC}">
              <c16:uniqueId val="{00000002-66EB-4EEE-82B2-337243102AC6}"/>
            </c:ext>
          </c:extLst>
        </c:ser>
        <c:dLbls>
          <c:showLegendKey val="0"/>
          <c:showVal val="0"/>
          <c:showCatName val="0"/>
          <c:showSerName val="0"/>
          <c:showPercent val="0"/>
          <c:showBubbleSize val="0"/>
        </c:dLbls>
        <c:gapWidth val="150"/>
        <c:overlap val="100"/>
        <c:axId val="698436808"/>
        <c:axId val="698437200"/>
      </c:barChart>
      <c:catAx>
        <c:axId val="698436808"/>
        <c:scaling>
          <c:orientation val="minMax"/>
        </c:scaling>
        <c:delete val="0"/>
        <c:axPos val="b"/>
        <c:numFmt formatCode="General" sourceLinked="1"/>
        <c:majorTickMark val="out"/>
        <c:minorTickMark val="none"/>
        <c:tickLblPos val="nextTo"/>
        <c:crossAx val="698437200"/>
        <c:crosses val="autoZero"/>
        <c:auto val="1"/>
        <c:lblAlgn val="ctr"/>
        <c:lblOffset val="100"/>
        <c:noMultiLvlLbl val="0"/>
      </c:catAx>
      <c:valAx>
        <c:axId val="698437200"/>
        <c:scaling>
          <c:orientation val="minMax"/>
        </c:scaling>
        <c:delete val="0"/>
        <c:axPos val="l"/>
        <c:majorGridlines>
          <c:spPr>
            <a:ln>
              <a:solidFill>
                <a:schemeClr val="accent3"/>
              </a:solidFill>
            </a:ln>
          </c:spPr>
        </c:majorGridlines>
        <c:numFmt formatCode="0" sourceLinked="1"/>
        <c:majorTickMark val="out"/>
        <c:minorTickMark val="none"/>
        <c:tickLblPos val="nextTo"/>
        <c:spPr>
          <a:ln>
            <a:noFill/>
          </a:ln>
        </c:spPr>
        <c:crossAx val="698436808"/>
        <c:crosses val="autoZero"/>
        <c:crossBetween val="between"/>
        <c:majorUnit val="500"/>
      </c:valAx>
    </c:plotArea>
    <c:legend>
      <c:legendPos val="b"/>
      <c:layout>
        <c:manualLayout>
          <c:xMode val="edge"/>
          <c:yMode val="edge"/>
          <c:x val="0.25590380747861058"/>
          <c:y val="0.89776412094829605"/>
          <c:w val="0.59507465540317395"/>
          <c:h val="8.3717191601049873E-2"/>
        </c:manualLayout>
      </c:layout>
      <c:overlay val="0"/>
    </c:legend>
    <c:plotVisOnly val="1"/>
    <c:dispBlanksAs val="gap"/>
    <c:showDLblsOverMax val="0"/>
  </c:chart>
  <c:spPr>
    <a:ln>
      <a:noFill/>
    </a:ln>
  </c:spPr>
  <c:txPr>
    <a:bodyPr/>
    <a:lstStyle/>
    <a:p>
      <a:pPr>
        <a:defRPr sz="9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69640003486649"/>
          <c:y val="5.8246154630223125E-2"/>
          <c:w val="0.6702044532256346"/>
          <c:h val="0.7892111663558532"/>
        </c:manualLayout>
      </c:layout>
      <c:lineChart>
        <c:grouping val="standard"/>
        <c:varyColors val="0"/>
        <c:ser>
          <c:idx val="0"/>
          <c:order val="0"/>
          <c:tx>
            <c:strRef>
              <c:f>'Main Output 2'!$D$8</c:f>
              <c:strCache>
                <c:ptCount val="1"/>
                <c:pt idx="0">
                  <c:v>Crude Oil</c:v>
                </c:pt>
              </c:strCache>
            </c:strRef>
          </c:tx>
          <c:spPr>
            <a:ln w="12700">
              <a:solidFill>
                <a:schemeClr val="tx1"/>
              </a:solidFill>
              <a:prstDash val="dash"/>
            </a:ln>
          </c:spPr>
          <c:marker>
            <c:symbol val="none"/>
          </c:marker>
          <c:cat>
            <c:numRef>
              <c:f>'Main Output 2'!$N$5:$V$5</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2'!$N$8:$V$8</c:f>
              <c:numCache>
                <c:formatCode>0.00</c:formatCode>
                <c:ptCount val="9"/>
                <c:pt idx="0">
                  <c:v>10.391156462585034</c:v>
                </c:pt>
                <c:pt idx="1">
                  <c:v>11.088435374149661</c:v>
                </c:pt>
                <c:pt idx="2">
                  <c:v>11.836734693877551</c:v>
                </c:pt>
                <c:pt idx="3">
                  <c:v>12.636054421768707</c:v>
                </c:pt>
                <c:pt idx="4">
                  <c:v>13.486394557823129</c:v>
                </c:pt>
                <c:pt idx="5">
                  <c:v>14.404761904761905</c:v>
                </c:pt>
                <c:pt idx="6">
                  <c:v>15.391156462585034</c:v>
                </c:pt>
                <c:pt idx="7">
                  <c:v>16.462585034013607</c:v>
                </c:pt>
                <c:pt idx="8">
                  <c:v>17.585034013605444</c:v>
                </c:pt>
              </c:numCache>
            </c:numRef>
          </c:val>
          <c:smooth val="0"/>
          <c:extLst xmlns:c16r2="http://schemas.microsoft.com/office/drawing/2015/06/chart">
            <c:ext xmlns:c16="http://schemas.microsoft.com/office/drawing/2014/chart" uri="{C3380CC4-5D6E-409C-BE32-E72D297353CC}">
              <c16:uniqueId val="{00000000-A4D0-4A69-B2AD-AA391F20FD73}"/>
            </c:ext>
          </c:extLst>
        </c:ser>
        <c:ser>
          <c:idx val="1"/>
          <c:order val="1"/>
          <c:tx>
            <c:strRef>
              <c:f>'Main Output 2'!$D$9</c:f>
              <c:strCache>
                <c:ptCount val="1"/>
                <c:pt idx="0">
                  <c:v>HSFO</c:v>
                </c:pt>
              </c:strCache>
            </c:strRef>
          </c:tx>
          <c:spPr>
            <a:ln w="19050"/>
          </c:spPr>
          <c:marker>
            <c:spPr>
              <a:ln w="19050"/>
            </c:spPr>
          </c:marker>
          <c:cat>
            <c:numRef>
              <c:f>'Main Output 2'!$N$5:$V$5</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2'!$N$9:$V$9</c:f>
              <c:numCache>
                <c:formatCode>0.00</c:formatCode>
                <c:ptCount val="9"/>
                <c:pt idx="0">
                  <c:v>12.988945578231291</c:v>
                </c:pt>
                <c:pt idx="1">
                  <c:v>13.860544217687076</c:v>
                </c:pt>
                <c:pt idx="2">
                  <c:v>14.795918367346939</c:v>
                </c:pt>
                <c:pt idx="3">
                  <c:v>15.795068027210883</c:v>
                </c:pt>
                <c:pt idx="4">
                  <c:v>16.857993197278912</c:v>
                </c:pt>
                <c:pt idx="5">
                  <c:v>18.00595238095238</c:v>
                </c:pt>
                <c:pt idx="6">
                  <c:v>19.238945578231291</c:v>
                </c:pt>
                <c:pt idx="7">
                  <c:v>20.57823129251701</c:v>
                </c:pt>
                <c:pt idx="8">
                  <c:v>21.981292517006807</c:v>
                </c:pt>
              </c:numCache>
            </c:numRef>
          </c:val>
          <c:smooth val="0"/>
          <c:extLst xmlns:c16r2="http://schemas.microsoft.com/office/drawing/2015/06/chart">
            <c:ext xmlns:c16="http://schemas.microsoft.com/office/drawing/2014/chart" uri="{C3380CC4-5D6E-409C-BE32-E72D297353CC}">
              <c16:uniqueId val="{00000001-A4D0-4A69-B2AD-AA391F20FD73}"/>
            </c:ext>
          </c:extLst>
        </c:ser>
        <c:ser>
          <c:idx val="2"/>
          <c:order val="2"/>
          <c:tx>
            <c:strRef>
              <c:f>'Main Output 2'!$D$10</c:f>
              <c:strCache>
                <c:ptCount val="1"/>
                <c:pt idx="0">
                  <c:v>HSD</c:v>
                </c:pt>
              </c:strCache>
            </c:strRef>
          </c:tx>
          <c:spPr>
            <a:ln w="19050"/>
          </c:spPr>
          <c:marker>
            <c:spPr>
              <a:ln w="19050"/>
            </c:spPr>
          </c:marker>
          <c:cat>
            <c:numRef>
              <c:f>'Main Output 2'!$N$5:$V$5</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2'!$N$10:$V$10</c:f>
              <c:numCache>
                <c:formatCode>0.00</c:formatCode>
                <c:ptCount val="9"/>
                <c:pt idx="0">
                  <c:v>16.106292517006803</c:v>
                </c:pt>
                <c:pt idx="1">
                  <c:v>17.187074829931976</c:v>
                </c:pt>
                <c:pt idx="2">
                  <c:v>18.346938775510203</c:v>
                </c:pt>
                <c:pt idx="3">
                  <c:v>19.585884353741495</c:v>
                </c:pt>
                <c:pt idx="4">
                  <c:v>20.903911564625851</c:v>
                </c:pt>
                <c:pt idx="5">
                  <c:v>22.327380952380953</c:v>
                </c:pt>
                <c:pt idx="6">
                  <c:v>23.856292517006803</c:v>
                </c:pt>
                <c:pt idx="7">
                  <c:v>25.517006802721092</c:v>
                </c:pt>
                <c:pt idx="8">
                  <c:v>27.256802721088441</c:v>
                </c:pt>
              </c:numCache>
            </c:numRef>
          </c:val>
          <c:smooth val="0"/>
          <c:extLst xmlns:c16r2="http://schemas.microsoft.com/office/drawing/2015/06/chart">
            <c:ext xmlns:c16="http://schemas.microsoft.com/office/drawing/2014/chart" uri="{C3380CC4-5D6E-409C-BE32-E72D297353CC}">
              <c16:uniqueId val="{00000002-A4D0-4A69-B2AD-AA391F20FD73}"/>
            </c:ext>
          </c:extLst>
        </c:ser>
        <c:ser>
          <c:idx val="3"/>
          <c:order val="3"/>
          <c:tx>
            <c:strRef>
              <c:f>'Main Output 2'!$D$11</c:f>
              <c:strCache>
                <c:ptCount val="1"/>
                <c:pt idx="0">
                  <c:v>Domestic Gas</c:v>
                </c:pt>
              </c:strCache>
            </c:strRef>
          </c:tx>
          <c:spPr>
            <a:ln w="19050">
              <a:solidFill>
                <a:srgbClr val="FFC000"/>
              </a:solidFill>
            </a:ln>
          </c:spPr>
          <c:marker>
            <c:spPr>
              <a:ln w="19050">
                <a:solidFill>
                  <a:srgbClr val="FFC000"/>
                </a:solidFill>
              </a:ln>
            </c:spPr>
          </c:marker>
          <c:cat>
            <c:numRef>
              <c:f>'Main Output 2'!$N$5:$V$5</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2'!$N$11:$V$11</c:f>
              <c:numCache>
                <c:formatCode>0.00</c:formatCode>
                <c:ptCount val="9"/>
                <c:pt idx="0">
                  <c:v>1.0632885591715995</c:v>
                </c:pt>
                <c:pt idx="1">
                  <c:v>1.0845543303550313</c:v>
                </c:pt>
                <c:pt idx="2">
                  <c:v>1.1062454169621319</c:v>
                </c:pt>
                <c:pt idx="3">
                  <c:v>1.1283703253013744</c:v>
                </c:pt>
                <c:pt idx="4">
                  <c:v>1.1509377318074021</c:v>
                </c:pt>
                <c:pt idx="5">
                  <c:v>1.1739564864435501</c:v>
                </c:pt>
                <c:pt idx="6">
                  <c:v>1.1974356161724211</c:v>
                </c:pt>
                <c:pt idx="7">
                  <c:v>1.2213843284958696</c:v>
                </c:pt>
                <c:pt idx="8">
                  <c:v>1.2458120150657872</c:v>
                </c:pt>
              </c:numCache>
            </c:numRef>
          </c:val>
          <c:smooth val="0"/>
          <c:extLst xmlns:c16r2="http://schemas.microsoft.com/office/drawing/2015/06/chart">
            <c:ext xmlns:c16="http://schemas.microsoft.com/office/drawing/2014/chart" uri="{C3380CC4-5D6E-409C-BE32-E72D297353CC}">
              <c16:uniqueId val="{00000003-A4D0-4A69-B2AD-AA391F20FD73}"/>
            </c:ext>
          </c:extLst>
        </c:ser>
        <c:ser>
          <c:idx val="4"/>
          <c:order val="4"/>
          <c:tx>
            <c:strRef>
              <c:f>'Main Output 2'!$D$13</c:f>
              <c:strCache>
                <c:ptCount val="1"/>
                <c:pt idx="0">
                  <c:v>Local Coal</c:v>
                </c:pt>
              </c:strCache>
            </c:strRef>
          </c:tx>
          <c:spPr>
            <a:ln w="19050">
              <a:solidFill>
                <a:srgbClr val="7030A0"/>
              </a:solidFill>
            </a:ln>
          </c:spPr>
          <c:marker>
            <c:spPr>
              <a:ln w="19050">
                <a:solidFill>
                  <a:srgbClr val="7030A0"/>
                </a:solidFill>
              </a:ln>
            </c:spPr>
          </c:marker>
          <c:cat>
            <c:numRef>
              <c:f>'Main Output 2'!$N$5:$V$5</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2'!$N$13:$V$13</c:f>
              <c:numCache>
                <c:formatCode>0.00</c:formatCode>
                <c:ptCount val="9"/>
                <c:pt idx="0">
                  <c:v>4.2964841625511196</c:v>
                </c:pt>
                <c:pt idx="1">
                  <c:v>4.2964841625511196</c:v>
                </c:pt>
                <c:pt idx="2">
                  <c:v>4.026709012352784</c:v>
                </c:pt>
                <c:pt idx="3">
                  <c:v>4.1917380702360942</c:v>
                </c:pt>
                <c:pt idx="4">
                  <c:v>4.3608928545664885</c:v>
                </c:pt>
                <c:pt idx="5">
                  <c:v>4.538299091791048</c:v>
                </c:pt>
                <c:pt idx="6">
                  <c:v>4.7239567819097719</c:v>
                </c:pt>
                <c:pt idx="7">
                  <c:v>4.8229742166397589</c:v>
                </c:pt>
                <c:pt idx="8">
                  <c:v>4.9302431042639103</c:v>
                </c:pt>
              </c:numCache>
            </c:numRef>
          </c:val>
          <c:smooth val="0"/>
          <c:extLst xmlns:c16r2="http://schemas.microsoft.com/office/drawing/2015/06/chart">
            <c:ext xmlns:c16="http://schemas.microsoft.com/office/drawing/2014/chart" uri="{C3380CC4-5D6E-409C-BE32-E72D297353CC}">
              <c16:uniqueId val="{00000004-A4D0-4A69-B2AD-AA391F20FD73}"/>
            </c:ext>
          </c:extLst>
        </c:ser>
        <c:ser>
          <c:idx val="5"/>
          <c:order val="5"/>
          <c:tx>
            <c:strRef>
              <c:f>'Main Output 2'!$D$14</c:f>
              <c:strCache>
                <c:ptCount val="1"/>
                <c:pt idx="0">
                  <c:v>Imported Coal</c:v>
                </c:pt>
              </c:strCache>
            </c:strRef>
          </c:tx>
          <c:marker>
            <c:symbol val="circle"/>
            <c:size val="5"/>
          </c:marker>
          <c:cat>
            <c:numRef>
              <c:f>'Main Output 2'!$N$5:$V$5</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2'!$N$14:$V$14</c:f>
              <c:numCache>
                <c:formatCode>0.00</c:formatCode>
                <c:ptCount val="9"/>
                <c:pt idx="0">
                  <c:v>3.7131538023744937</c:v>
                </c:pt>
                <c:pt idx="1">
                  <c:v>3.8658056809165555</c:v>
                </c:pt>
                <c:pt idx="2">
                  <c:v>4.026709012352784</c:v>
                </c:pt>
                <c:pt idx="3">
                  <c:v>4.1917380702360942</c:v>
                </c:pt>
                <c:pt idx="4">
                  <c:v>4.3608928545664885</c:v>
                </c:pt>
                <c:pt idx="5">
                  <c:v>4.538299091791048</c:v>
                </c:pt>
                <c:pt idx="6">
                  <c:v>4.7239567819097719</c:v>
                </c:pt>
                <c:pt idx="7">
                  <c:v>4.8229742166397589</c:v>
                </c:pt>
                <c:pt idx="8">
                  <c:v>4.9302431042639103</c:v>
                </c:pt>
              </c:numCache>
            </c:numRef>
          </c:val>
          <c:smooth val="0"/>
          <c:extLst xmlns:c16r2="http://schemas.microsoft.com/office/drawing/2015/06/chart">
            <c:ext xmlns:c16="http://schemas.microsoft.com/office/drawing/2014/chart" uri="{C3380CC4-5D6E-409C-BE32-E72D297353CC}">
              <c16:uniqueId val="{00000005-A4D0-4A69-B2AD-AA391F20FD73}"/>
            </c:ext>
          </c:extLst>
        </c:ser>
        <c:ser>
          <c:idx val="6"/>
          <c:order val="6"/>
          <c:tx>
            <c:strRef>
              <c:f>'Main Output 2'!$D$12</c:f>
              <c:strCache>
                <c:ptCount val="1"/>
                <c:pt idx="0">
                  <c:v>LNG</c:v>
                </c:pt>
              </c:strCache>
            </c:strRef>
          </c:tx>
          <c:spPr>
            <a:ln>
              <a:solidFill>
                <a:schemeClr val="accent5"/>
              </a:solidFill>
            </a:ln>
          </c:spPr>
          <c:marker>
            <c:symbol val="plus"/>
            <c:size val="7"/>
            <c:spPr>
              <a:noFill/>
              <a:ln>
                <a:solidFill>
                  <a:schemeClr val="accent5"/>
                </a:solidFill>
              </a:ln>
            </c:spPr>
          </c:marker>
          <c:cat>
            <c:numRef>
              <c:f>'Main Output 2'!$N$5:$V$5</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2'!$N$12:$V$12</c:f>
              <c:numCache>
                <c:formatCode>0.00</c:formatCode>
                <c:ptCount val="9"/>
                <c:pt idx="0">
                  <c:v>8.5540000000000003</c:v>
                </c:pt>
                <c:pt idx="1">
                  <c:v>9.1280000000000019</c:v>
                </c:pt>
                <c:pt idx="2">
                  <c:v>9.7439999999999998</c:v>
                </c:pt>
                <c:pt idx="3">
                  <c:v>10.402000000000001</c:v>
                </c:pt>
                <c:pt idx="4">
                  <c:v>11.102</c:v>
                </c:pt>
                <c:pt idx="5">
                  <c:v>11.858000000000002</c:v>
                </c:pt>
                <c:pt idx="6">
                  <c:v>12.670000000000002</c:v>
                </c:pt>
                <c:pt idx="7">
                  <c:v>13.552000000000001</c:v>
                </c:pt>
                <c:pt idx="8">
                  <c:v>14.476000000000003</c:v>
                </c:pt>
              </c:numCache>
            </c:numRef>
          </c:val>
          <c:smooth val="0"/>
          <c:extLst xmlns:c16r2="http://schemas.microsoft.com/office/drawing/2015/06/chart">
            <c:ext xmlns:c16="http://schemas.microsoft.com/office/drawing/2014/chart" uri="{C3380CC4-5D6E-409C-BE32-E72D297353CC}">
              <c16:uniqueId val="{00000006-A4D0-4A69-B2AD-AA391F20FD73}"/>
            </c:ext>
          </c:extLst>
        </c:ser>
        <c:dLbls>
          <c:showLegendKey val="0"/>
          <c:showVal val="0"/>
          <c:showCatName val="0"/>
          <c:showSerName val="0"/>
          <c:showPercent val="0"/>
          <c:showBubbleSize val="0"/>
        </c:dLbls>
        <c:smooth val="0"/>
        <c:axId val="559948328"/>
        <c:axId val="559948720"/>
      </c:lineChart>
      <c:catAx>
        <c:axId val="559948328"/>
        <c:scaling>
          <c:orientation val="minMax"/>
        </c:scaling>
        <c:delete val="0"/>
        <c:axPos val="b"/>
        <c:numFmt formatCode="General" sourceLinked="1"/>
        <c:majorTickMark val="out"/>
        <c:minorTickMark val="none"/>
        <c:tickLblPos val="nextTo"/>
        <c:spPr>
          <a:ln w="19050"/>
        </c:spPr>
        <c:txPr>
          <a:bodyPr rot="0" vert="horz"/>
          <a:lstStyle/>
          <a:p>
            <a:pPr>
              <a:defRPr/>
            </a:pPr>
            <a:endParaRPr lang="en-US"/>
          </a:p>
        </c:txPr>
        <c:crossAx val="559948720"/>
        <c:crosses val="autoZero"/>
        <c:auto val="1"/>
        <c:lblAlgn val="ctr"/>
        <c:lblOffset val="100"/>
        <c:noMultiLvlLbl val="0"/>
      </c:catAx>
      <c:valAx>
        <c:axId val="559948720"/>
        <c:scaling>
          <c:orientation val="minMax"/>
        </c:scaling>
        <c:delete val="0"/>
        <c:axPos val="l"/>
        <c:majorGridlines>
          <c:spPr>
            <a:ln>
              <a:solidFill>
                <a:schemeClr val="bg1">
                  <a:lumMod val="75000"/>
                </a:schemeClr>
              </a:solidFill>
            </a:ln>
          </c:spPr>
        </c:majorGridlines>
        <c:numFmt formatCode="_(* #,##0_);_(* \(#,##0\);_(* &quot;-&quot;_);_(@_)" sourceLinked="0"/>
        <c:majorTickMark val="out"/>
        <c:minorTickMark val="none"/>
        <c:tickLblPos val="nextTo"/>
        <c:spPr>
          <a:ln>
            <a:noFill/>
          </a:ln>
        </c:spPr>
        <c:crossAx val="559948328"/>
        <c:crosses val="autoZero"/>
        <c:crossBetween val="between"/>
        <c:majorUnit val="5"/>
      </c:valAx>
      <c:spPr>
        <a:ln w="6350"/>
      </c:spPr>
    </c:plotArea>
    <c:legend>
      <c:legendPos val="r"/>
      <c:layout>
        <c:manualLayout>
          <c:xMode val="edge"/>
          <c:yMode val="edge"/>
          <c:x val="0.80886325556168948"/>
          <c:y val="4.6858429161490356E-2"/>
          <c:w val="0.19113674443831055"/>
          <c:h val="0.91425849588069585"/>
        </c:manualLayout>
      </c:layout>
      <c:overlay val="0"/>
    </c:legend>
    <c:plotVisOnly val="1"/>
    <c:dispBlanksAs val="gap"/>
    <c:showDLblsOverMax val="0"/>
  </c:chart>
  <c:spPr>
    <a:solidFill>
      <a:schemeClr val="bg1"/>
    </a:solidFill>
    <a:ln>
      <a:noFill/>
    </a:ln>
  </c:spPr>
  <c:txPr>
    <a:bodyPr/>
    <a:lstStyle/>
    <a:p>
      <a:pPr>
        <a:defRPr sz="9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16907261592302"/>
          <c:y val="0.17177092446777487"/>
          <c:w val="0.85727537182852143"/>
          <c:h val="0.6377912656751239"/>
        </c:manualLayout>
      </c:layout>
      <c:barChart>
        <c:barDir val="col"/>
        <c:grouping val="clustered"/>
        <c:varyColors val="0"/>
        <c:ser>
          <c:idx val="3"/>
          <c:order val="3"/>
          <c:tx>
            <c:v>Amount of Losses</c:v>
          </c:tx>
          <c:spPr>
            <a:solidFill>
              <a:schemeClr val="bg1">
                <a:lumMod val="85000"/>
              </a:schemeClr>
            </a:solidFill>
          </c:spPr>
          <c:invertIfNegative val="0"/>
          <c:cat>
            <c:numRef>
              <c:f>'Main Output 2'!$N$5:$V$5</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2'!$N$46:$V$46</c:f>
              <c:numCache>
                <c:formatCode>0</c:formatCode>
                <c:ptCount val="9"/>
                <c:pt idx="0">
                  <c:v>7103.3180951275062</c:v>
                </c:pt>
                <c:pt idx="1">
                  <c:v>8677.9420786115224</c:v>
                </c:pt>
                <c:pt idx="2">
                  <c:v>8518.5317361962298</c:v>
                </c:pt>
                <c:pt idx="3">
                  <c:v>9605.1890764621785</c:v>
                </c:pt>
                <c:pt idx="4">
                  <c:v>10142.448075224325</c:v>
                </c:pt>
                <c:pt idx="5">
                  <c:v>10363.462919632526</c:v>
                </c:pt>
                <c:pt idx="6">
                  <c:v>10051.196583656172</c:v>
                </c:pt>
                <c:pt idx="7">
                  <c:v>8807.2814741891634</c:v>
                </c:pt>
                <c:pt idx="8">
                  <c:v>7275.5111575333431</c:v>
                </c:pt>
              </c:numCache>
            </c:numRef>
          </c:val>
          <c:extLst xmlns:c16r2="http://schemas.microsoft.com/office/drawing/2015/06/chart">
            <c:ext xmlns:c16="http://schemas.microsoft.com/office/drawing/2014/chart" uri="{C3380CC4-5D6E-409C-BE32-E72D297353CC}">
              <c16:uniqueId val="{00000000-64D8-43F1-9F5F-0CC8025511A3}"/>
            </c:ext>
          </c:extLst>
        </c:ser>
        <c:dLbls>
          <c:showLegendKey val="0"/>
          <c:showVal val="0"/>
          <c:showCatName val="0"/>
          <c:showSerName val="0"/>
          <c:showPercent val="0"/>
          <c:showBubbleSize val="0"/>
        </c:dLbls>
        <c:gapWidth val="150"/>
        <c:axId val="1181455584"/>
        <c:axId val="1181455192"/>
      </c:barChart>
      <c:lineChart>
        <c:grouping val="standard"/>
        <c:varyColors val="0"/>
        <c:ser>
          <c:idx val="0"/>
          <c:order val="0"/>
          <c:tx>
            <c:strRef>
              <c:f>'Main Output 2'!$D$47</c:f>
              <c:strCache>
                <c:ptCount val="1"/>
                <c:pt idx="0">
                  <c:v>T&amp;D Loss Rate</c:v>
                </c:pt>
              </c:strCache>
            </c:strRef>
          </c:tx>
          <c:spPr>
            <a:ln>
              <a:solidFill>
                <a:schemeClr val="tx2">
                  <a:lumMod val="75000"/>
                </a:schemeClr>
              </a:solidFill>
            </a:ln>
          </c:spPr>
          <c:marker>
            <c:symbol val="none"/>
          </c:marker>
          <c:cat>
            <c:numRef>
              <c:f>'Main Output 2'!$N$5:$V$5</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2'!$N$47:$V$47</c:f>
              <c:numCache>
                <c:formatCode>0%</c:formatCode>
                <c:ptCount val="9"/>
                <c:pt idx="0">
                  <c:v>0.13652145249297865</c:v>
                </c:pt>
                <c:pt idx="1">
                  <c:v>0.13170941192830177</c:v>
                </c:pt>
                <c:pt idx="2">
                  <c:v>0.12680954940577793</c:v>
                </c:pt>
                <c:pt idx="3">
                  <c:v>0.12246056296808194</c:v>
                </c:pt>
                <c:pt idx="4">
                  <c:v>0.11849417335736889</c:v>
                </c:pt>
                <c:pt idx="5">
                  <c:v>0.11868192079229634</c:v>
                </c:pt>
                <c:pt idx="6">
                  <c:v>0.11886112403591431</c:v>
                </c:pt>
                <c:pt idx="7">
                  <c:v>0.10754928549503584</c:v>
                </c:pt>
                <c:pt idx="8">
                  <c:v>9.2466188059345589E-2</c:v>
                </c:pt>
              </c:numCache>
            </c:numRef>
          </c:val>
          <c:smooth val="0"/>
          <c:extLst xmlns:c16r2="http://schemas.microsoft.com/office/drawing/2015/06/chart">
            <c:ext xmlns:c16="http://schemas.microsoft.com/office/drawing/2014/chart" uri="{C3380CC4-5D6E-409C-BE32-E72D297353CC}">
              <c16:uniqueId val="{00000001-64D8-43F1-9F5F-0CC8025511A3}"/>
            </c:ext>
          </c:extLst>
        </c:ser>
        <c:ser>
          <c:idx val="1"/>
          <c:order val="1"/>
          <c:tx>
            <c:strRef>
              <c:f>'Main Output 2'!$D$48</c:f>
              <c:strCache>
                <c:ptCount val="1"/>
                <c:pt idx="0">
                  <c:v>Avg. Dist. Loss Rate</c:v>
                </c:pt>
              </c:strCache>
            </c:strRef>
          </c:tx>
          <c:marker>
            <c:symbol val="none"/>
          </c:marker>
          <c:cat>
            <c:numRef>
              <c:f>'Main Output 2'!$N$5:$V$5</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2'!$N$48:$V$48</c:f>
              <c:numCache>
                <c:formatCode>0%</c:formatCode>
                <c:ptCount val="9"/>
                <c:pt idx="0">
                  <c:v>0.10956158379949597</c:v>
                </c:pt>
                <c:pt idx="1">
                  <c:v>0.10597284420569289</c:v>
                </c:pt>
                <c:pt idx="2">
                  <c:v>0.10229628265404284</c:v>
                </c:pt>
                <c:pt idx="3">
                  <c:v>9.8460562968081949E-2</c:v>
                </c:pt>
                <c:pt idx="4">
                  <c:v>9.4494173357368899E-2</c:v>
                </c:pt>
                <c:pt idx="5">
                  <c:v>9.4681920792296342E-2</c:v>
                </c:pt>
                <c:pt idx="6">
                  <c:v>9.4861124035914318E-2</c:v>
                </c:pt>
                <c:pt idx="7">
                  <c:v>8.3549285495035847E-2</c:v>
                </c:pt>
                <c:pt idx="8">
                  <c:v>6.8466188059345595E-2</c:v>
                </c:pt>
              </c:numCache>
            </c:numRef>
          </c:val>
          <c:smooth val="0"/>
          <c:extLst xmlns:c16r2="http://schemas.microsoft.com/office/drawing/2015/06/chart">
            <c:ext xmlns:c16="http://schemas.microsoft.com/office/drawing/2014/chart" uri="{C3380CC4-5D6E-409C-BE32-E72D297353CC}">
              <c16:uniqueId val="{00000002-64D8-43F1-9F5F-0CC8025511A3}"/>
            </c:ext>
          </c:extLst>
        </c:ser>
        <c:ser>
          <c:idx val="2"/>
          <c:order val="2"/>
          <c:tx>
            <c:strRef>
              <c:f>'Main Output 2'!$D$49</c:f>
              <c:strCache>
                <c:ptCount val="1"/>
                <c:pt idx="0">
                  <c:v>Trans. Loss Rate</c:v>
                </c:pt>
              </c:strCache>
            </c:strRef>
          </c:tx>
          <c:marker>
            <c:symbol val="none"/>
          </c:marker>
          <c:cat>
            <c:numRef>
              <c:f>'Main Output 2'!$N$5:$V$5</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'Main Output 2'!$N$49:$V$49</c:f>
              <c:numCache>
                <c:formatCode>0%</c:formatCode>
                <c:ptCount val="9"/>
                <c:pt idx="0">
                  <c:v>2.6959868693482669E-2</c:v>
                </c:pt>
                <c:pt idx="1">
                  <c:v>2.5736567722608881E-2</c:v>
                </c:pt>
                <c:pt idx="2">
                  <c:v>2.4513266751735093E-2</c:v>
                </c:pt>
                <c:pt idx="3">
                  <c:v>2.4E-2</c:v>
                </c:pt>
                <c:pt idx="4">
                  <c:v>2.4E-2</c:v>
                </c:pt>
                <c:pt idx="5">
                  <c:v>2.4E-2</c:v>
                </c:pt>
                <c:pt idx="6">
                  <c:v>2.4E-2</c:v>
                </c:pt>
                <c:pt idx="7">
                  <c:v>2.4E-2</c:v>
                </c:pt>
                <c:pt idx="8">
                  <c:v>2.4E-2</c:v>
                </c:pt>
              </c:numCache>
            </c:numRef>
          </c:val>
          <c:smooth val="0"/>
          <c:extLst xmlns:c16r2="http://schemas.microsoft.com/office/drawing/2015/06/chart">
            <c:ext xmlns:c16="http://schemas.microsoft.com/office/drawing/2014/chart" uri="{C3380CC4-5D6E-409C-BE32-E72D297353CC}">
              <c16:uniqueId val="{00000003-64D8-43F1-9F5F-0CC8025511A3}"/>
            </c:ext>
          </c:extLst>
        </c:ser>
        <c:dLbls>
          <c:showLegendKey val="0"/>
          <c:showVal val="0"/>
          <c:showCatName val="0"/>
          <c:showSerName val="0"/>
          <c:showPercent val="0"/>
          <c:showBubbleSize val="0"/>
        </c:dLbls>
        <c:marker val="1"/>
        <c:smooth val="0"/>
        <c:axId val="559949504"/>
        <c:axId val="1181454800"/>
      </c:lineChart>
      <c:catAx>
        <c:axId val="559949504"/>
        <c:scaling>
          <c:orientation val="minMax"/>
        </c:scaling>
        <c:delete val="0"/>
        <c:axPos val="b"/>
        <c:numFmt formatCode="General" sourceLinked="1"/>
        <c:majorTickMark val="out"/>
        <c:minorTickMark val="none"/>
        <c:tickLblPos val="nextTo"/>
        <c:crossAx val="1181454800"/>
        <c:crosses val="autoZero"/>
        <c:auto val="1"/>
        <c:lblAlgn val="ctr"/>
        <c:lblOffset val="100"/>
        <c:noMultiLvlLbl val="0"/>
      </c:catAx>
      <c:valAx>
        <c:axId val="1181454800"/>
        <c:scaling>
          <c:orientation val="minMax"/>
        </c:scaling>
        <c:delete val="0"/>
        <c:axPos val="l"/>
        <c:majorGridlines/>
        <c:title>
          <c:tx>
            <c:rich>
              <a:bodyPr rot="0" vert="horz"/>
              <a:lstStyle/>
              <a:p>
                <a:pPr>
                  <a:defRPr/>
                </a:pPr>
                <a:r>
                  <a:rPr lang="en-US"/>
                  <a:t>Losses as a % of Generation</a:t>
                </a:r>
              </a:p>
            </c:rich>
          </c:tx>
          <c:layout>
            <c:manualLayout>
              <c:xMode val="edge"/>
              <c:yMode val="edge"/>
              <c:x val="0"/>
              <c:y val="1.7658209390493077E-3"/>
            </c:manualLayout>
          </c:layout>
          <c:overlay val="0"/>
        </c:title>
        <c:numFmt formatCode="0%" sourceLinked="1"/>
        <c:majorTickMark val="out"/>
        <c:minorTickMark val="none"/>
        <c:tickLblPos val="nextTo"/>
        <c:spPr>
          <a:ln>
            <a:noFill/>
          </a:ln>
        </c:spPr>
        <c:crossAx val="559949504"/>
        <c:crosses val="autoZero"/>
        <c:crossBetween val="between"/>
        <c:majorUnit val="4.0000000000000008E-2"/>
      </c:valAx>
      <c:valAx>
        <c:axId val="1181455192"/>
        <c:scaling>
          <c:orientation val="minMax"/>
        </c:scaling>
        <c:delete val="0"/>
        <c:axPos val="r"/>
        <c:title>
          <c:tx>
            <c:rich>
              <a:bodyPr rot="0" vert="horz"/>
              <a:lstStyle/>
              <a:p>
                <a:pPr>
                  <a:defRPr/>
                </a:pPr>
                <a:r>
                  <a:rPr lang="en-US"/>
                  <a:t>GWh</a:t>
                </a:r>
              </a:p>
            </c:rich>
          </c:tx>
          <c:layout>
            <c:manualLayout>
              <c:xMode val="edge"/>
              <c:yMode val="edge"/>
              <c:x val="0.87855555555555542"/>
              <c:y val="3.4173228346456717E-2"/>
            </c:manualLayout>
          </c:layout>
          <c:overlay val="0"/>
        </c:title>
        <c:numFmt formatCode="0" sourceLinked="1"/>
        <c:majorTickMark val="out"/>
        <c:minorTickMark val="none"/>
        <c:tickLblPos val="nextTo"/>
        <c:spPr>
          <a:ln>
            <a:noFill/>
          </a:ln>
        </c:spPr>
        <c:crossAx val="1181455584"/>
        <c:crosses val="max"/>
        <c:crossBetween val="between"/>
        <c:majorUnit val="2500"/>
      </c:valAx>
      <c:catAx>
        <c:axId val="1181455584"/>
        <c:scaling>
          <c:orientation val="minMax"/>
        </c:scaling>
        <c:delete val="1"/>
        <c:axPos val="b"/>
        <c:numFmt formatCode="General" sourceLinked="1"/>
        <c:majorTickMark val="out"/>
        <c:minorTickMark val="none"/>
        <c:tickLblPos val="nextTo"/>
        <c:crossAx val="1181455192"/>
        <c:crosses val="autoZero"/>
        <c:auto val="1"/>
        <c:lblAlgn val="ctr"/>
        <c:lblOffset val="100"/>
        <c:noMultiLvlLbl val="0"/>
      </c:catAx>
    </c:plotArea>
    <c:legend>
      <c:legendPos val="b"/>
      <c:layout>
        <c:manualLayout>
          <c:xMode val="edge"/>
          <c:yMode val="edge"/>
          <c:x val="5.5555555555555558E-3"/>
          <c:y val="0.88387540099154271"/>
          <c:w val="0.99444444444444446"/>
          <c:h val="0.11612459900845727"/>
        </c:manualLayout>
      </c:layout>
      <c:overlay val="0"/>
    </c:legend>
    <c:plotVisOnly val="1"/>
    <c:dispBlanksAs val="gap"/>
    <c:showDLblsOverMax val="0"/>
  </c:chart>
  <c:spPr>
    <a:ln>
      <a:noFill/>
    </a:ln>
  </c:spPr>
  <c:txPr>
    <a:bodyPr/>
    <a:lstStyle/>
    <a:p>
      <a:pPr>
        <a:defRPr sz="900"/>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433648624110666"/>
          <c:y val="5.3921568627450983E-2"/>
          <c:w val="0.7695419204674887"/>
          <c:h val="0.69878184344603989"/>
        </c:manualLayout>
      </c:layout>
      <c:barChart>
        <c:barDir val="col"/>
        <c:grouping val="clustered"/>
        <c:varyColors val="0"/>
        <c:ser>
          <c:idx val="0"/>
          <c:order val="0"/>
          <c:tx>
            <c:v>Capacity Req'd for Peak Demand</c:v>
          </c:tx>
          <c:invertIfNegative val="0"/>
          <c:cat>
            <c:numRef>
              <c:f>'Main Output 1'!$K$4:$V$4</c:f>
              <c:numCache>
                <c:formatCode>General</c:formatCode>
                <c:ptCount val="12"/>
                <c:pt idx="0">
                  <c:v>2014</c:v>
                </c:pt>
                <c:pt idx="1">
                  <c:v>2015</c:v>
                </c:pt>
                <c:pt idx="2">
                  <c:v>2016</c:v>
                </c:pt>
                <c:pt idx="3">
                  <c:v>2017</c:v>
                </c:pt>
                <c:pt idx="4">
                  <c:v>2018</c:v>
                </c:pt>
                <c:pt idx="5">
                  <c:v>2019</c:v>
                </c:pt>
                <c:pt idx="6">
                  <c:v>2020</c:v>
                </c:pt>
                <c:pt idx="7">
                  <c:v>2021</c:v>
                </c:pt>
                <c:pt idx="8">
                  <c:v>2022</c:v>
                </c:pt>
                <c:pt idx="9">
                  <c:v>2023</c:v>
                </c:pt>
                <c:pt idx="10">
                  <c:v>2024</c:v>
                </c:pt>
                <c:pt idx="11">
                  <c:v>2025</c:v>
                </c:pt>
              </c:numCache>
            </c:numRef>
          </c:cat>
          <c:val>
            <c:numRef>
              <c:f>'Main Output 2'!$K$151:$V$151</c:f>
              <c:numCache>
                <c:formatCode>_(* #,##0_);_(* \(#,##0\);_(* "-"??_);_(@_)</c:formatCode>
                <c:ptCount val="12"/>
                <c:pt idx="0">
                  <c:v>7774.5699228417889</c:v>
                </c:pt>
                <c:pt idx="1">
                  <c:v>8537.7103754216132</c:v>
                </c:pt>
                <c:pt idx="2">
                  <c:v>9079.9411761607425</c:v>
                </c:pt>
                <c:pt idx="3">
                  <c:v>9266.0390425699406</c:v>
                </c:pt>
                <c:pt idx="4">
                  <c:v>10211.059627468156</c:v>
                </c:pt>
                <c:pt idx="5">
                  <c:v>11636.944300740692</c:v>
                </c:pt>
                <c:pt idx="6">
                  <c:v>12737.533750751194</c:v>
                </c:pt>
                <c:pt idx="7">
                  <c:v>14649.545487132636</c:v>
                </c:pt>
                <c:pt idx="8">
                  <c:v>16918.058420332414</c:v>
                </c:pt>
                <c:pt idx="9">
                  <c:v>19928.844004926381</c:v>
                </c:pt>
                <c:pt idx="10">
                  <c:v>23164.973682726297</c:v>
                </c:pt>
                <c:pt idx="11">
                  <c:v>27147.663637752896</c:v>
                </c:pt>
              </c:numCache>
            </c:numRef>
          </c:val>
          <c:extLst xmlns:c16r2="http://schemas.microsoft.com/office/drawing/2015/06/chart">
            <c:ext xmlns:c16="http://schemas.microsoft.com/office/drawing/2014/chart" uri="{C3380CC4-5D6E-409C-BE32-E72D297353CC}">
              <c16:uniqueId val="{00000000-6B93-42DB-8DF1-D14FCF975C9B}"/>
            </c:ext>
          </c:extLst>
        </c:ser>
        <c:ser>
          <c:idx val="1"/>
          <c:order val="1"/>
          <c:tx>
            <c:v>Derated Online Capacity</c:v>
          </c:tx>
          <c:invertIfNegative val="0"/>
          <c:cat>
            <c:numRef>
              <c:f>'Main Output 1'!$K$4:$V$4</c:f>
              <c:numCache>
                <c:formatCode>General</c:formatCode>
                <c:ptCount val="12"/>
                <c:pt idx="0">
                  <c:v>2014</c:v>
                </c:pt>
                <c:pt idx="1">
                  <c:v>2015</c:v>
                </c:pt>
                <c:pt idx="2">
                  <c:v>2016</c:v>
                </c:pt>
                <c:pt idx="3">
                  <c:v>2017</c:v>
                </c:pt>
                <c:pt idx="4">
                  <c:v>2018</c:v>
                </c:pt>
                <c:pt idx="5">
                  <c:v>2019</c:v>
                </c:pt>
                <c:pt idx="6">
                  <c:v>2020</c:v>
                </c:pt>
                <c:pt idx="7">
                  <c:v>2021</c:v>
                </c:pt>
                <c:pt idx="8">
                  <c:v>2022</c:v>
                </c:pt>
                <c:pt idx="9">
                  <c:v>2023</c:v>
                </c:pt>
                <c:pt idx="10">
                  <c:v>2024</c:v>
                </c:pt>
                <c:pt idx="11">
                  <c:v>2025</c:v>
                </c:pt>
              </c:numCache>
            </c:numRef>
          </c:cat>
          <c:val>
            <c:numRef>
              <c:f>'Main Output 2'!$K$166:$V$166</c:f>
              <c:numCache>
                <c:formatCode>_(* #,##0_);_(* \(#,##0\);_(* "-"??_);_(@_)</c:formatCode>
                <c:ptCount val="12"/>
                <c:pt idx="0">
                  <c:v>10201.848</c:v>
                </c:pt>
                <c:pt idx="1">
                  <c:v>10333.848</c:v>
                </c:pt>
                <c:pt idx="2">
                  <c:v>11619.848</c:v>
                </c:pt>
                <c:pt idx="3">
                  <c:v>14531.848</c:v>
                </c:pt>
                <c:pt idx="4">
                  <c:v>14869.848</c:v>
                </c:pt>
                <c:pt idx="5">
                  <c:v>14661.848</c:v>
                </c:pt>
                <c:pt idx="6">
                  <c:v>18027.347999999998</c:v>
                </c:pt>
                <c:pt idx="7">
                  <c:v>18962.347999999998</c:v>
                </c:pt>
                <c:pt idx="8">
                  <c:v>19269.347999999998</c:v>
                </c:pt>
                <c:pt idx="9">
                  <c:v>16605.347999999998</c:v>
                </c:pt>
                <c:pt idx="10">
                  <c:v>16295.348</c:v>
                </c:pt>
                <c:pt idx="11">
                  <c:v>15223.848</c:v>
                </c:pt>
              </c:numCache>
            </c:numRef>
          </c:val>
          <c:extLst xmlns:c16r2="http://schemas.microsoft.com/office/drawing/2015/06/chart">
            <c:ext xmlns:c16="http://schemas.microsoft.com/office/drawing/2014/chart" uri="{C3380CC4-5D6E-409C-BE32-E72D297353CC}">
              <c16:uniqueId val="{00000001-6B93-42DB-8DF1-D14FCF975C9B}"/>
            </c:ext>
          </c:extLst>
        </c:ser>
        <c:dLbls>
          <c:showLegendKey val="0"/>
          <c:showVal val="0"/>
          <c:showCatName val="0"/>
          <c:showSerName val="0"/>
          <c:showPercent val="0"/>
          <c:showBubbleSize val="0"/>
        </c:dLbls>
        <c:gapWidth val="150"/>
        <c:axId val="1181456368"/>
        <c:axId val="825712232"/>
      </c:barChart>
      <c:catAx>
        <c:axId val="1181456368"/>
        <c:scaling>
          <c:orientation val="minMax"/>
        </c:scaling>
        <c:delete val="0"/>
        <c:axPos val="b"/>
        <c:numFmt formatCode="General" sourceLinked="1"/>
        <c:majorTickMark val="out"/>
        <c:minorTickMark val="none"/>
        <c:tickLblPos val="nextTo"/>
        <c:txPr>
          <a:bodyPr rot="0"/>
          <a:lstStyle/>
          <a:p>
            <a:pPr>
              <a:defRPr/>
            </a:pPr>
            <a:endParaRPr lang="en-US"/>
          </a:p>
        </c:txPr>
        <c:crossAx val="825712232"/>
        <c:crosses val="autoZero"/>
        <c:auto val="1"/>
        <c:lblAlgn val="ctr"/>
        <c:lblOffset val="100"/>
        <c:noMultiLvlLbl val="0"/>
      </c:catAx>
      <c:valAx>
        <c:axId val="825712232"/>
        <c:scaling>
          <c:orientation val="minMax"/>
          <c:max val="28000"/>
          <c:min val="0"/>
        </c:scaling>
        <c:delete val="0"/>
        <c:axPos val="l"/>
        <c:majorGridlines>
          <c:spPr>
            <a:ln>
              <a:solidFill>
                <a:schemeClr val="bg1">
                  <a:lumMod val="75000"/>
                </a:schemeClr>
              </a:solidFill>
            </a:ln>
          </c:spPr>
        </c:majorGridlines>
        <c:numFmt formatCode="_(* #,##0_);_(* \(#,##0\);_(* &quot;-&quot;??_);_(@_)" sourceLinked="1"/>
        <c:majorTickMark val="out"/>
        <c:minorTickMark val="none"/>
        <c:tickLblPos val="nextTo"/>
        <c:spPr>
          <a:ln>
            <a:noFill/>
          </a:ln>
        </c:spPr>
        <c:crossAx val="1181456368"/>
        <c:crosses val="autoZero"/>
        <c:crossBetween val="between"/>
        <c:majorUnit val="4000"/>
      </c:valAx>
    </c:plotArea>
    <c:legend>
      <c:legendPos val="b"/>
      <c:layout>
        <c:manualLayout>
          <c:xMode val="edge"/>
          <c:yMode val="edge"/>
          <c:x val="4.840654352168243E-2"/>
          <c:y val="0.8545792805311101"/>
          <c:w val="0.91576552930883626"/>
          <c:h val="0.12581287633163502"/>
        </c:manualLayout>
      </c:layout>
      <c:overlay val="0"/>
    </c:legend>
    <c:plotVisOnly val="1"/>
    <c:dispBlanksAs val="gap"/>
    <c:showDLblsOverMax val="0"/>
  </c:chart>
  <c:spPr>
    <a:ln>
      <a:noFill/>
    </a:ln>
  </c:spPr>
  <c:txPr>
    <a:bodyPr/>
    <a:lstStyle/>
    <a:p>
      <a:pPr>
        <a:defRPr sz="900"/>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49460484106155"/>
          <c:y val="5.7516339869281043E-2"/>
          <c:w val="0.8129759537633553"/>
          <c:h val="0.75321167207040285"/>
        </c:manualLayout>
      </c:layout>
      <c:lineChart>
        <c:grouping val="standard"/>
        <c:varyColors val="0"/>
        <c:ser>
          <c:idx val="0"/>
          <c:order val="0"/>
          <c:marker>
            <c:symbol val="none"/>
          </c:marker>
          <c:dLbls>
            <c:dLbl>
              <c:idx val="5"/>
              <c:layout>
                <c:manualLayout>
                  <c:x val="-3.1425364758698095E-2"/>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103-47CD-9760-2F17131D6960}"/>
                </c:ext>
                <c:ext xmlns:c15="http://schemas.microsoft.com/office/drawing/2012/chart" uri="{CE6537A1-D6FC-4f65-9D91-7224C49458BB}">
                  <c15:layout/>
                </c:ext>
              </c:extLst>
            </c:dLbl>
            <c:dLbl>
              <c:idx val="6"/>
              <c:layout>
                <c:manualLayout>
                  <c:x val="0"/>
                  <c:y val="-1.38888888888888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103-47CD-9760-2F17131D6960}"/>
                </c:ext>
                <c:ext xmlns:c15="http://schemas.microsoft.com/office/drawing/2012/chart" uri="{CE6537A1-D6FC-4f65-9D91-7224C49458BB}">
                  <c15:layout/>
                </c:ext>
              </c:extLst>
            </c:dLbl>
            <c:dLbl>
              <c:idx val="8"/>
              <c:layout>
                <c:manualLayout>
                  <c:x val="-1.3468013468013386E-2"/>
                  <c:y val="-3.24074074074074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103-47CD-9760-2F17131D6960}"/>
                </c:ext>
                <c:ext xmlns:c15="http://schemas.microsoft.com/office/drawing/2012/chart" uri="{CE6537A1-D6FC-4f65-9D91-7224C49458BB}">
                  <c15:layout/>
                </c:ext>
              </c:extLst>
            </c:dLbl>
            <c:dLbl>
              <c:idx val="9"/>
              <c:layout>
                <c:manualLayout>
                  <c:x val="-3.1425364758698095E-2"/>
                  <c:y val="5.09259259259259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103-47CD-9760-2F17131D6960}"/>
                </c:ext>
                <c:ext xmlns:c15="http://schemas.microsoft.com/office/drawing/2012/chart" uri="{CE6537A1-D6FC-4f65-9D91-7224C49458BB}">
                  <c15:layout/>
                </c:ext>
              </c:extLst>
            </c:dLbl>
            <c:dLbl>
              <c:idx val="10"/>
              <c:layout>
                <c:manualLayout>
                  <c:x val="0"/>
                  <c:y val="3.24074074074073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103-47CD-9760-2F17131D6960}"/>
                </c:ext>
                <c:ext xmlns:c15="http://schemas.microsoft.com/office/drawing/2012/chart" uri="{CE6537A1-D6FC-4f65-9D91-7224C49458BB}">
                  <c15:layout/>
                </c:ext>
              </c:extLst>
            </c:dLbl>
            <c:dLbl>
              <c:idx val="11"/>
              <c:layout>
                <c:manualLayout>
                  <c:x val="-6.2850729517396189E-2"/>
                  <c:y val="-3.70370370370370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103-47CD-9760-2F17131D6960}"/>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'Main Output 1'!$K$4:$V$4</c:f>
              <c:numCache>
                <c:formatCode>General</c:formatCode>
                <c:ptCount val="12"/>
                <c:pt idx="0">
                  <c:v>2014</c:v>
                </c:pt>
                <c:pt idx="1">
                  <c:v>2015</c:v>
                </c:pt>
                <c:pt idx="2">
                  <c:v>2016</c:v>
                </c:pt>
                <c:pt idx="3">
                  <c:v>2017</c:v>
                </c:pt>
                <c:pt idx="4">
                  <c:v>2018</c:v>
                </c:pt>
                <c:pt idx="5">
                  <c:v>2019</c:v>
                </c:pt>
                <c:pt idx="6">
                  <c:v>2020</c:v>
                </c:pt>
                <c:pt idx="7">
                  <c:v>2021</c:v>
                </c:pt>
                <c:pt idx="8">
                  <c:v>2022</c:v>
                </c:pt>
                <c:pt idx="9">
                  <c:v>2023</c:v>
                </c:pt>
                <c:pt idx="10">
                  <c:v>2024</c:v>
                </c:pt>
                <c:pt idx="11">
                  <c:v>2025</c:v>
                </c:pt>
              </c:numCache>
            </c:numRef>
          </c:cat>
          <c:val>
            <c:numRef>
              <c:f>'Main Output 2'!$K$169:$V$169</c:f>
              <c:numCache>
                <c:formatCode>0%</c:formatCode>
                <c:ptCount val="12"/>
                <c:pt idx="0">
                  <c:v>0.49806015411020621</c:v>
                </c:pt>
                <c:pt idx="1">
                  <c:v>0.52434836718300704</c:v>
                </c:pt>
                <c:pt idx="2">
                  <c:v>0.5741020315892561</c:v>
                </c:pt>
                <c:pt idx="3">
                  <c:v>0.45247474244856839</c:v>
                </c:pt>
                <c:pt idx="4">
                  <c:v>0.53641356469581414</c:v>
                </c:pt>
                <c:pt idx="5">
                  <c:v>0.5821951401763239</c:v>
                </c:pt>
                <c:pt idx="6">
                  <c:v>0.58183558692719628</c:v>
                </c:pt>
                <c:pt idx="7">
                  <c:v>0.53367153739870532</c:v>
                </c:pt>
                <c:pt idx="8">
                  <c:v>0.58695972696903487</c:v>
                </c:pt>
                <c:pt idx="9">
                  <c:v>0.58666387056462888</c:v>
                </c:pt>
                <c:pt idx="10">
                  <c:v>0.59020311704828843</c:v>
                </c:pt>
                <c:pt idx="11">
                  <c:v>0.59</c:v>
                </c:pt>
              </c:numCache>
            </c:numRef>
          </c:val>
          <c:smooth val="0"/>
          <c:extLst xmlns:c16r2="http://schemas.microsoft.com/office/drawing/2015/06/chart">
            <c:ext xmlns:c16="http://schemas.microsoft.com/office/drawing/2014/chart" uri="{C3380CC4-5D6E-409C-BE32-E72D297353CC}">
              <c16:uniqueId val="{00000000-8103-47CD-9760-2F17131D6960}"/>
            </c:ext>
          </c:extLst>
        </c:ser>
        <c:dLbls>
          <c:showLegendKey val="0"/>
          <c:showVal val="0"/>
          <c:showCatName val="0"/>
          <c:showSerName val="0"/>
          <c:showPercent val="0"/>
          <c:showBubbleSize val="0"/>
        </c:dLbls>
        <c:smooth val="0"/>
        <c:axId val="825713016"/>
        <c:axId val="825713408"/>
      </c:lineChart>
      <c:catAx>
        <c:axId val="825713016"/>
        <c:scaling>
          <c:orientation val="minMax"/>
        </c:scaling>
        <c:delete val="0"/>
        <c:axPos val="b"/>
        <c:numFmt formatCode="General" sourceLinked="1"/>
        <c:majorTickMark val="out"/>
        <c:minorTickMark val="none"/>
        <c:tickLblPos val="nextTo"/>
        <c:txPr>
          <a:bodyPr rot="0"/>
          <a:lstStyle/>
          <a:p>
            <a:pPr>
              <a:defRPr/>
            </a:pPr>
            <a:endParaRPr lang="en-US"/>
          </a:p>
        </c:txPr>
        <c:crossAx val="825713408"/>
        <c:crosses val="autoZero"/>
        <c:auto val="1"/>
        <c:lblAlgn val="ctr"/>
        <c:lblOffset val="100"/>
        <c:noMultiLvlLbl val="0"/>
      </c:catAx>
      <c:valAx>
        <c:axId val="825713408"/>
        <c:scaling>
          <c:orientation val="minMax"/>
        </c:scaling>
        <c:delete val="0"/>
        <c:axPos val="l"/>
        <c:majorGridlines>
          <c:spPr>
            <a:ln>
              <a:solidFill>
                <a:schemeClr val="bg1">
                  <a:lumMod val="75000"/>
                </a:schemeClr>
              </a:solidFill>
            </a:ln>
          </c:spPr>
        </c:majorGridlines>
        <c:numFmt formatCode="0%" sourceLinked="1"/>
        <c:majorTickMark val="out"/>
        <c:minorTickMark val="none"/>
        <c:tickLblPos val="nextTo"/>
        <c:spPr>
          <a:ln>
            <a:noFill/>
          </a:ln>
        </c:spPr>
        <c:crossAx val="825713016"/>
        <c:crosses val="autoZero"/>
        <c:crossBetween val="between"/>
      </c:valAx>
      <c:spPr>
        <a:ln>
          <a:noFill/>
        </a:ln>
      </c:spPr>
    </c:plotArea>
    <c:plotVisOnly val="1"/>
    <c:dispBlanksAs val="gap"/>
    <c:showDLblsOverMax val="0"/>
  </c:chart>
  <c:spPr>
    <a:ln>
      <a:noFill/>
    </a:ln>
  </c:spPr>
  <c:txPr>
    <a:bodyPr/>
    <a:lstStyle/>
    <a:p>
      <a:pPr>
        <a:defRPr sz="900"/>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3.36496E-7</cdr:x>
      <cdr:y>0.00701</cdr:y>
    </cdr:from>
    <cdr:to>
      <cdr:x>0.16987</cdr:x>
      <cdr:y>0.09561</cdr:y>
    </cdr:to>
    <cdr:sp macro="" textlink="">
      <cdr:nvSpPr>
        <cdr:cNvPr id="2" name="TextBox 1"/>
        <cdr:cNvSpPr txBox="1"/>
      </cdr:nvSpPr>
      <cdr:spPr>
        <a:xfrm xmlns:a="http://schemas.openxmlformats.org/drawingml/2006/main">
          <a:off x="1" y="19715"/>
          <a:ext cx="504824" cy="2491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b="1" i="0"/>
            <a:t>mmcf/d</a:t>
          </a:r>
        </a:p>
      </cdr:txBody>
    </cdr:sp>
  </cdr:relSizeAnchor>
  <cdr:relSizeAnchor xmlns:cdr="http://schemas.openxmlformats.org/drawingml/2006/chartDrawing">
    <cdr:from>
      <cdr:x>0.77564</cdr:x>
      <cdr:y>0.00197</cdr:y>
    </cdr:from>
    <cdr:to>
      <cdr:x>1</cdr:x>
      <cdr:y>0.09056</cdr:y>
    </cdr:to>
    <cdr:sp macro="" textlink="">
      <cdr:nvSpPr>
        <cdr:cNvPr id="3" name="TextBox 1"/>
        <cdr:cNvSpPr txBox="1"/>
      </cdr:nvSpPr>
      <cdr:spPr>
        <a:xfrm xmlns:a="http://schemas.openxmlformats.org/drawingml/2006/main">
          <a:off x="2305051" y="5540"/>
          <a:ext cx="666749" cy="24915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b="1" i="0"/>
            <a:t>US$/mcf</a:t>
          </a:r>
        </a:p>
      </cdr:txBody>
    </cdr:sp>
  </cdr:relSizeAnchor>
</c:userShapes>
</file>

<file path=word/drawings/drawing2.xml><?xml version="1.0" encoding="utf-8"?>
<c:userShapes xmlns:c="http://schemas.openxmlformats.org/drawingml/2006/chart">
  <cdr:relSizeAnchor xmlns:cdr="http://schemas.openxmlformats.org/drawingml/2006/chartDrawing">
    <cdr:from>
      <cdr:x>0.43243</cdr:x>
      <cdr:y>0.18448</cdr:y>
    </cdr:from>
    <cdr:to>
      <cdr:x>0.77416</cdr:x>
      <cdr:y>0.2866</cdr:y>
    </cdr:to>
    <cdr:sp macro="" textlink="">
      <cdr:nvSpPr>
        <cdr:cNvPr id="3" name="TextBox 3"/>
        <cdr:cNvSpPr txBox="1"/>
      </cdr:nvSpPr>
      <cdr:spPr>
        <a:xfrm xmlns:a="http://schemas.openxmlformats.org/drawingml/2006/main">
          <a:off x="1371600" y="402387"/>
          <a:ext cx="1083903" cy="222746"/>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900">
              <a:solidFill>
                <a:schemeClr val="accent1"/>
              </a:solidFill>
            </a:rPr>
            <a:t>With CO2 tax</a:t>
          </a:r>
        </a:p>
      </cdr:txBody>
    </cdr:sp>
  </cdr:relSizeAnchor>
  <cdr:relSizeAnchor xmlns:cdr="http://schemas.openxmlformats.org/drawingml/2006/chartDrawing">
    <cdr:from>
      <cdr:x>0.54955</cdr:x>
      <cdr:y>0.436</cdr:y>
    </cdr:from>
    <cdr:to>
      <cdr:x>0.91148</cdr:x>
      <cdr:y>0.53812</cdr:y>
    </cdr:to>
    <cdr:sp macro="" textlink="">
      <cdr:nvSpPr>
        <cdr:cNvPr id="4" name="TextBox 3"/>
        <cdr:cNvSpPr txBox="1"/>
      </cdr:nvSpPr>
      <cdr:spPr>
        <a:xfrm xmlns:a="http://schemas.openxmlformats.org/drawingml/2006/main">
          <a:off x="1743076" y="1196041"/>
          <a:ext cx="1147974" cy="280136"/>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900">
              <a:solidFill>
                <a:schemeClr val="accent2"/>
              </a:solidFill>
            </a:rPr>
            <a:t>Without CO2 tax</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Authors xmlns="b99a068c-3844-4a16-badd-77233eea0529">000175752:Shaukat Javed:sjaved@worldbank.org;</DocAuthors>
    <Authors xmlns="b99a068c-3844-4a16-badd-77233eea0529">
      <UserInfo>
        <DisplayName>i:0#.w|wb\wb175752</DisplayName>
        <AccountId>1100</AccountId>
        <AccountType/>
      </UserInfo>
      <UserInfo>
        <DisplayName/>
        <AccountId xsi:nil="true"/>
        <AccountType/>
      </UserInfo>
    </Authors>
    <Cordis_x0020_ID xmlns="b99a068c-3844-4a16-badd-77233eea0529" xsi:nil="true"/>
    <Stage xmlns="b99a068c-3844-4a16-badd-77233eea0529">IMP</Stage>
    <PolicyExceptions xmlns="b99a068c-3844-4a16-badd-77233eea0529">PE09:9.Deliberative;</PolicyExceptions>
    <IsTemplate xmlns="b99a068c-3844-4a16-badd-77233eea0529">false</IsTemplate>
    <HasUserUploaded xmlns="b99a068c-3844-4a16-badd-77233eea0529">true</HasUserUploaded>
    <DocumentDate xmlns="b99a068c-3844-4a16-badd-77233eea0529">2017-12-18T05:00:00+00:00</DocumentDate>
    <WBDocType xmlns="b99a068c-3844-4a16-badd-77233eea0529">Report</WBDocType>
    <SecurityClassification xmlns="b99a068c-3844-4a16-badd-77233eea0529">Official use only</SecurityClassification>
    <DeliverableID xmlns="b99a068c-3844-4a16-badd-77233eea0529">DLV0217624</DeliverableID>
    <ProjectID xmlns="b99a068c-3844-4a16-badd-77233eea0529">P150086</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B26C796B440DBF4C8203E21939325E0B" ma:contentTypeVersion="3" ma:contentTypeDescription="" ma:contentTypeScope="" ma:versionID="08991a2aec00b74d3d93cf0e3174463a">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58F2C732-E1B1-4EB4-8295-97EA10F89B91}"/>
</file>

<file path=customXml/itemProps2.xml><?xml version="1.0" encoding="utf-8"?>
<ds:datastoreItem xmlns:ds="http://schemas.openxmlformats.org/officeDocument/2006/customXml" ds:itemID="{78763462-CE57-4AB4-AEB7-0E1E35A2210D}"/>
</file>

<file path=customXml/itemProps3.xml><?xml version="1.0" encoding="utf-8"?>
<ds:datastoreItem xmlns:ds="http://schemas.openxmlformats.org/officeDocument/2006/customXml" ds:itemID="{2E5420D4-3833-4D65-AEE3-7788BDA2B129}"/>
</file>

<file path=customXml/itemProps4.xml><?xml version="1.0" encoding="utf-8"?>
<ds:datastoreItem xmlns:ds="http://schemas.openxmlformats.org/officeDocument/2006/customXml" ds:itemID="{FECA03E8-0AA8-4374-B090-87A352A4429B}"/>
</file>

<file path=customXml/itemProps5.xml><?xml version="1.0" encoding="utf-8"?>
<ds:datastoreItem xmlns:ds="http://schemas.openxmlformats.org/officeDocument/2006/customXml" ds:itemID="{634B1133-F01C-479F-9BAB-F12B25737C4D}"/>
</file>

<file path=docProps/app.xml><?xml version="1.0" encoding="utf-8"?>
<Properties xmlns="http://schemas.openxmlformats.org/officeDocument/2006/extended-properties" xmlns:vt="http://schemas.openxmlformats.org/officeDocument/2006/docPropsVTypes">
  <Template>Normal.dotm</Template>
  <TotalTime>4</TotalTime>
  <Pages>16</Pages>
  <Words>5062</Words>
  <Characters>28860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bottom-up financial model of power generation in Bangladesh -  P150086 2017-05-22 19</dc:title>
  <dc:subject/>
  <dc:creator>bankutim</dc:creator>
  <cp:keywords/>
  <dc:description/>
  <cp:lastModifiedBy>Sheoli Pargal</cp:lastModifiedBy>
  <cp:revision>3</cp:revision>
  <cp:lastPrinted>2016-03-09T06:15:00Z</cp:lastPrinted>
  <dcterms:created xsi:type="dcterms:W3CDTF">2017-05-22T23:31:00Z</dcterms:created>
  <dcterms:modified xsi:type="dcterms:W3CDTF">2017-05-22T23:35:00Z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0x01010054E0FEF4951F9D49A6F48A35419983C700B26C796B440DBF4C8203E21939325E0B</vt:lpwstr>
  </property>
  <property fmtid="{D5CDD505-2E9C-101B-9397-08002B2CF9AE}" pid="5" name="RatedBy">
    <vt:lpwstr/>
  </property>
  <property fmtid="{D5CDD505-2E9C-101B-9397-08002B2CF9AE}" pid="7" name="LikedBy">
    <vt:lpwstr/>
  </property>
</Properties>
</file>