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A" w:rsidRDefault="00283684">
      <w:pPr>
        <w:jc w:val="center"/>
        <w:rPr>
          <w:b/>
          <w:bCs/>
        </w:rPr>
      </w:pPr>
      <w:r>
        <w:rPr>
          <w:b/>
          <w:bCs/>
        </w:rPr>
        <w:t xml:space="preserve">PROGRAM </w:t>
      </w:r>
      <w:r w:rsidR="00A126FA">
        <w:rPr>
          <w:b/>
          <w:bCs/>
        </w:rPr>
        <w:t>INFORMATION DOCUMENT (PID)</w:t>
      </w:r>
    </w:p>
    <w:p w:rsidR="00A126FA" w:rsidRDefault="00A126FA">
      <w:pPr>
        <w:jc w:val="center"/>
        <w:rPr>
          <w:b/>
          <w:bCs/>
        </w:rPr>
      </w:pPr>
      <w:r>
        <w:rPr>
          <w:b/>
          <w:bCs/>
        </w:rPr>
        <w:t>CONCEPT STAGE</w:t>
      </w:r>
    </w:p>
    <w:p w:rsidR="00283684" w:rsidRDefault="002D3A5B" w:rsidP="00C67E15">
      <w:pPr>
        <w:jc w:val="right"/>
      </w:pPr>
      <w:r>
        <w:t>March 31, 2014</w:t>
      </w:r>
    </w:p>
    <w:p w:rsidR="002D3A5B" w:rsidRDefault="002D3A5B" w:rsidP="00C67E15">
      <w:pPr>
        <w:jc w:val="right"/>
      </w:pPr>
    </w:p>
    <w:p w:rsidR="001D607D" w:rsidRDefault="001D607D" w:rsidP="001D607D">
      <w:pPr>
        <w:ind w:right="720"/>
        <w:jc w:val="right"/>
      </w:pPr>
      <w:r>
        <w:t xml:space="preserve">Report No.:  </w:t>
      </w:r>
      <w:bookmarkStart w:id="0" w:name="ReportNo"/>
      <w:r w:rsidR="00901950">
        <w:t>AB7501</w:t>
      </w:r>
      <w:bookmarkEnd w:id="0"/>
    </w:p>
    <w:p w:rsidR="00C67E15" w:rsidRDefault="001D607D" w:rsidP="001D607D">
      <w:pPr>
        <w:jc w:val="right"/>
      </w:pPr>
      <w:r>
        <w:rPr>
          <w:sz w:val="16"/>
          <w:szCs w:val="16"/>
        </w:rPr>
        <w:t xml:space="preserve"> </w:t>
      </w:r>
      <w:r w:rsidR="00C67E15">
        <w:rPr>
          <w:sz w:val="16"/>
          <w:szCs w:val="16"/>
        </w:rPr>
        <w:t>(</w:t>
      </w:r>
      <w:r w:rsidR="00C67E15" w:rsidRPr="00C82216">
        <w:rPr>
          <w:sz w:val="16"/>
          <w:szCs w:val="16"/>
        </w:rPr>
        <w:t xml:space="preserve">The report </w:t>
      </w:r>
      <w:r w:rsidR="00C67E15">
        <w:rPr>
          <w:sz w:val="16"/>
          <w:szCs w:val="16"/>
        </w:rPr>
        <w:t># is automatically generated by IDU and should not be changed)</w:t>
      </w:r>
    </w:p>
    <w:p w:rsidR="00C67E15" w:rsidRPr="00AA5A30" w:rsidRDefault="00C67E15">
      <w:pPr>
        <w:jc w:val="cente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1D607D" w:rsidRDefault="00901950" w:rsidP="009835DC">
            <w:bookmarkStart w:id="1" w:name="PROJECTNAME"/>
            <w:r>
              <w:t>Financial sector stability DPC2</w:t>
            </w:r>
            <w:bookmarkEnd w:id="1"/>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Region</w:t>
            </w:r>
          </w:p>
        </w:tc>
        <w:tc>
          <w:tcPr>
            <w:tcW w:w="6120" w:type="dxa"/>
            <w:tcBorders>
              <w:top w:val="single" w:sz="4" w:space="0" w:color="auto"/>
              <w:left w:val="single" w:sz="4" w:space="0" w:color="auto"/>
              <w:bottom w:val="single" w:sz="4" w:space="0" w:color="auto"/>
              <w:right w:val="single" w:sz="4" w:space="0" w:color="auto"/>
            </w:tcBorders>
          </w:tcPr>
          <w:p w:rsidR="001D607D" w:rsidRDefault="00901950" w:rsidP="009835DC">
            <w:bookmarkStart w:id="2" w:name="REGION"/>
            <w:r>
              <w:t>SOUTH ASIA</w:t>
            </w:r>
            <w:bookmarkEnd w:id="2"/>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Country</w:t>
            </w:r>
          </w:p>
        </w:tc>
        <w:tc>
          <w:tcPr>
            <w:tcW w:w="6120" w:type="dxa"/>
            <w:tcBorders>
              <w:top w:val="single" w:sz="4" w:space="0" w:color="auto"/>
              <w:left w:val="single" w:sz="4" w:space="0" w:color="auto"/>
              <w:bottom w:val="single" w:sz="4" w:space="0" w:color="auto"/>
              <w:right w:val="single" w:sz="4" w:space="0" w:color="auto"/>
            </w:tcBorders>
          </w:tcPr>
          <w:p w:rsidR="001D607D" w:rsidRDefault="00901950" w:rsidP="009835DC">
            <w:bookmarkStart w:id="3" w:name="COUNTRY"/>
            <w:r>
              <w:t>Nepal</w:t>
            </w:r>
            <w:bookmarkEnd w:id="3"/>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Sector</w:t>
            </w:r>
          </w:p>
        </w:tc>
        <w:tc>
          <w:tcPr>
            <w:tcW w:w="6120" w:type="dxa"/>
            <w:tcBorders>
              <w:top w:val="single" w:sz="4" w:space="0" w:color="auto"/>
              <w:left w:val="single" w:sz="4" w:space="0" w:color="auto"/>
              <w:bottom w:val="single" w:sz="4" w:space="0" w:color="auto"/>
              <w:right w:val="single" w:sz="4" w:space="0" w:color="auto"/>
            </w:tcBorders>
          </w:tcPr>
          <w:p w:rsidR="001D607D" w:rsidRDefault="00901950" w:rsidP="009835DC">
            <w:bookmarkStart w:id="4" w:name="SECTOR"/>
            <w:r>
              <w:t>Banking (50%);</w:t>
            </w:r>
            <w:r w:rsidR="00B861D4">
              <w:t xml:space="preserve"> </w:t>
            </w:r>
            <w:r>
              <w:t>General finance sector (25%);</w:t>
            </w:r>
            <w:r w:rsidR="00B861D4">
              <w:t xml:space="preserve"> </w:t>
            </w:r>
            <w:r>
              <w:t>Central government administration (25%)</w:t>
            </w:r>
            <w:bookmarkEnd w:id="4"/>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Operation ID</w:t>
            </w:r>
          </w:p>
        </w:tc>
        <w:tc>
          <w:tcPr>
            <w:tcW w:w="6120" w:type="dxa"/>
            <w:tcBorders>
              <w:top w:val="single" w:sz="4" w:space="0" w:color="auto"/>
              <w:left w:val="single" w:sz="4" w:space="0" w:color="auto"/>
              <w:bottom w:val="single" w:sz="4" w:space="0" w:color="auto"/>
              <w:right w:val="single" w:sz="4" w:space="0" w:color="auto"/>
            </w:tcBorders>
          </w:tcPr>
          <w:p w:rsidR="001D607D" w:rsidRDefault="00901950" w:rsidP="009835DC">
            <w:bookmarkStart w:id="5" w:name="PROJECTCODE"/>
            <w:r>
              <w:t>P133777</w:t>
            </w:r>
            <w:bookmarkEnd w:id="5"/>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1D607D" w:rsidRDefault="00901950" w:rsidP="009835DC">
            <w:bookmarkStart w:id="6" w:name="INSTR_NAME"/>
            <w:r>
              <w:t>Development Policy Lending</w:t>
            </w:r>
            <w:bookmarkEnd w:id="6"/>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Borrower(s)</w:t>
            </w:r>
          </w:p>
        </w:tc>
        <w:tc>
          <w:tcPr>
            <w:tcW w:w="6120" w:type="dxa"/>
            <w:tcBorders>
              <w:top w:val="single" w:sz="4" w:space="0" w:color="auto"/>
              <w:left w:val="single" w:sz="4" w:space="0" w:color="auto"/>
              <w:bottom w:val="single" w:sz="4" w:space="0" w:color="auto"/>
              <w:right w:val="single" w:sz="4" w:space="0" w:color="auto"/>
            </w:tcBorders>
          </w:tcPr>
          <w:p w:rsidR="001D607D" w:rsidRDefault="00B928FB" w:rsidP="009835DC">
            <w:r w:rsidRPr="00B71A20">
              <w:t>Ministry of Finance</w:t>
            </w:r>
          </w:p>
        </w:tc>
      </w:tr>
      <w:tr w:rsidR="001D607D" w:rsidTr="00AD1793">
        <w:trPr>
          <w:trHeight w:val="197"/>
        </w:trPr>
        <w:tc>
          <w:tcPr>
            <w:tcW w:w="3420" w:type="dxa"/>
            <w:tcBorders>
              <w:top w:val="single" w:sz="4" w:space="0" w:color="auto"/>
              <w:left w:val="single" w:sz="4" w:space="0" w:color="auto"/>
              <w:bottom w:val="nil"/>
              <w:right w:val="single" w:sz="4" w:space="0" w:color="auto"/>
            </w:tcBorders>
          </w:tcPr>
          <w:p w:rsidR="001D607D" w:rsidRDefault="001D607D" w:rsidP="009835DC">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rsidR="001D607D" w:rsidRDefault="00C978C9" w:rsidP="00A500A6">
            <w:bookmarkStart w:id="7" w:name="IMPLEMENTINGAGENCY"/>
            <w:bookmarkEnd w:id="7"/>
            <w:r>
              <w:t xml:space="preserve">Ministry of Finance </w:t>
            </w:r>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1D607D" w:rsidRDefault="00901950" w:rsidP="009835DC">
            <w:bookmarkStart w:id="8" w:name="DATEPREPARED"/>
            <w:r>
              <w:t>January 27, 2014</w:t>
            </w:r>
            <w:bookmarkEnd w:id="8"/>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sidRPr="00DE739D">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1D607D" w:rsidRDefault="00901950" w:rsidP="009835DC">
            <w:bookmarkStart w:id="9" w:name="APPRAISALDATE"/>
            <w:r>
              <w:t>August 11, 2014</w:t>
            </w:r>
            <w:bookmarkEnd w:id="9"/>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rsidR="001D607D" w:rsidRDefault="00901950" w:rsidP="009835DC">
            <w:bookmarkStart w:id="10" w:name="BOARDAPPROVALDATE"/>
            <w:r>
              <w:t>December 15, 2014</w:t>
            </w:r>
            <w:bookmarkEnd w:id="10"/>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1D607D" w:rsidRPr="00DE739D" w:rsidRDefault="001D607D" w:rsidP="009835DC">
            <w:pPr>
              <w:rPr>
                <w:i/>
                <w:u w:val="single"/>
              </w:rPr>
            </w:pPr>
            <w:r w:rsidRPr="00577870">
              <w:t xml:space="preserve">Following the </w:t>
            </w:r>
            <w:r>
              <w:t xml:space="preserve">corporate </w:t>
            </w:r>
            <w:r w:rsidRPr="00577870">
              <w:t>review, the decision was taken to proceed with the preparation of the operation.</w:t>
            </w:r>
            <w:r>
              <w:rPr>
                <w:i/>
                <w:u w:val="single"/>
              </w:rPr>
              <w:t xml:space="preserve"> </w:t>
            </w:r>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Del="00AD4588" w:rsidRDefault="001D607D" w:rsidP="009835DC">
            <w:pPr>
              <w:rPr>
                <w:b/>
                <w:bCs/>
              </w:rPr>
            </w:pPr>
            <w:r>
              <w:rPr>
                <w:b/>
                <w:bCs/>
              </w:rPr>
              <w:t xml:space="preserve">Other Decision </w:t>
            </w:r>
            <w:r w:rsidRPr="00577870">
              <w:rPr>
                <w:i/>
                <w:u w:val="single"/>
              </w:rPr>
              <w:t>{</w:t>
            </w:r>
            <w:r>
              <w:rPr>
                <w:i/>
                <w:u w:val="single"/>
              </w:rPr>
              <w:t>Optional}</w:t>
            </w:r>
          </w:p>
        </w:tc>
        <w:tc>
          <w:tcPr>
            <w:tcW w:w="6120" w:type="dxa"/>
            <w:tcBorders>
              <w:top w:val="single" w:sz="4" w:space="0" w:color="auto"/>
              <w:left w:val="single" w:sz="4" w:space="0" w:color="auto"/>
              <w:bottom w:val="single" w:sz="4" w:space="0" w:color="auto"/>
              <w:right w:val="single" w:sz="4" w:space="0" w:color="auto"/>
            </w:tcBorders>
          </w:tcPr>
          <w:p w:rsidR="001D607D" w:rsidRPr="00577870" w:rsidRDefault="00802A74" w:rsidP="009835DC">
            <w:r>
              <w:t>N/A</w:t>
            </w:r>
          </w:p>
        </w:tc>
      </w:tr>
    </w:tbl>
    <w:p w:rsidR="00671A99" w:rsidRDefault="00671A99" w:rsidP="00A126FA"/>
    <w:p w:rsidR="00671A99" w:rsidRPr="002D3A5B" w:rsidRDefault="00671A99" w:rsidP="00671A99">
      <w:pPr>
        <w:numPr>
          <w:ilvl w:val="0"/>
          <w:numId w:val="24"/>
        </w:numPr>
        <w:rPr>
          <w:b/>
          <w:i/>
        </w:rPr>
      </w:pPr>
      <w:r w:rsidRPr="00671A99">
        <w:rPr>
          <w:b/>
          <w:sz w:val="23"/>
          <w:szCs w:val="23"/>
        </w:rPr>
        <w:t xml:space="preserve">Key development issues and rationale for Bank involvement </w:t>
      </w:r>
    </w:p>
    <w:p w:rsidR="002D3A5B" w:rsidRPr="00671A99" w:rsidRDefault="002D3A5B" w:rsidP="002D3A5B">
      <w:pPr>
        <w:ind w:left="720"/>
        <w:rPr>
          <w:b/>
          <w:i/>
        </w:rPr>
      </w:pPr>
    </w:p>
    <w:p w:rsidR="002A3D8D" w:rsidRDefault="002A3D8D" w:rsidP="002A3D8D">
      <w:pPr>
        <w:ind w:left="720"/>
        <w:jc w:val="both"/>
        <w:rPr>
          <w:bCs/>
        </w:rPr>
      </w:pPr>
      <w:r w:rsidRPr="007B666C">
        <w:t xml:space="preserve">In mid-2011, a financial sector crisis </w:t>
      </w:r>
      <w:r>
        <w:t>nearly</w:t>
      </w:r>
      <w:r w:rsidRPr="007B666C">
        <w:t xml:space="preserve"> unfold</w:t>
      </w:r>
      <w:r>
        <w:t>ed</w:t>
      </w:r>
      <w:r w:rsidRPr="007B666C">
        <w:t xml:space="preserve"> in Nepal. Withdrawals of deposits from smaller financial institutions a</w:t>
      </w:r>
      <w:bookmarkStart w:id="11" w:name="_GoBack"/>
      <w:bookmarkEnd w:id="11"/>
      <w:r w:rsidRPr="007B666C">
        <w:t xml:space="preserve">nd severe liquidity constraints across the banking sector exposed the vulnerabilities of the financial system and required urgent intervention by Nepal’s central bank and bank regulator, the Nepal </w:t>
      </w:r>
      <w:proofErr w:type="spellStart"/>
      <w:r w:rsidRPr="007B666C">
        <w:t>Rastra</w:t>
      </w:r>
      <w:proofErr w:type="spellEnd"/>
      <w:r w:rsidRPr="007B666C">
        <w:t xml:space="preserve"> Bank (NRB). The World Bank, together with the International Monetary Fund (IMF), was called on by</w:t>
      </w:r>
      <w:r>
        <w:t xml:space="preserve"> the</w:t>
      </w:r>
      <w:r w:rsidRPr="007B666C">
        <w:t xml:space="preserve"> NRB and the Government of Nepal (</w:t>
      </w:r>
      <w:proofErr w:type="spellStart"/>
      <w:r w:rsidRPr="007B666C">
        <w:t>GoN</w:t>
      </w:r>
      <w:proofErr w:type="spellEnd"/>
      <w:r w:rsidRPr="007B666C">
        <w:t xml:space="preserve">) to provide assistance, both technical and financial, to support efforts to contain the </w:t>
      </w:r>
      <w:r>
        <w:t xml:space="preserve">unfolding </w:t>
      </w:r>
      <w:r w:rsidRPr="007B666C">
        <w:t xml:space="preserve">crisis and to provide longer-term support for institutional and regulatory changes that would contribute over time to a more robust system. Due to quick and effective intervention by </w:t>
      </w:r>
      <w:r>
        <w:t xml:space="preserve">the </w:t>
      </w:r>
      <w:r w:rsidRPr="007B666C">
        <w:t>NRB, with technical assistance from the Bank</w:t>
      </w:r>
      <w:r>
        <w:t>, DFID</w:t>
      </w:r>
      <w:r w:rsidRPr="007B666C">
        <w:t xml:space="preserve"> and the IMF, and thanks to a favorable environment (notably continuing large flows of remittances which contributed liquidity to the system), a full-blown financial crisis was averted. In this process, </w:t>
      </w:r>
      <w:r>
        <w:t>substantive</w:t>
      </w:r>
      <w:r w:rsidRPr="007B666C">
        <w:t xml:space="preserve"> dialogue between the authorities and the </w:t>
      </w:r>
      <w:r>
        <w:t xml:space="preserve">World </w:t>
      </w:r>
      <w:r w:rsidRPr="007B666C">
        <w:t>Bank developed, leading to the articulation of a medium-term program to address the underlying vulnerabilities of the financial sector</w:t>
      </w:r>
      <w:r>
        <w:t xml:space="preserve">. This included </w:t>
      </w:r>
      <w:r w:rsidRPr="007B666C">
        <w:t xml:space="preserve">the insolvency and governance challenges posed by the two largest state-controlled commercial banks, the excessive number of small financial institutions with weak governance and supervision, the nascent bank restructuring and resolution frameworks, and issues of transparency in the financial system. As a result of this dialogue, and to support the Government of Nepal’s medium-term program, the </w:t>
      </w:r>
      <w:r>
        <w:t xml:space="preserve">World </w:t>
      </w:r>
      <w:r w:rsidRPr="007B666C">
        <w:t xml:space="preserve">Bank’s Board approved a stand-alone, single tranche Financial Sector Stability </w:t>
      </w:r>
      <w:r>
        <w:t xml:space="preserve">Development Policy </w:t>
      </w:r>
      <w:r w:rsidRPr="007B666C">
        <w:lastRenderedPageBreak/>
        <w:t xml:space="preserve">Credit </w:t>
      </w:r>
      <w:r>
        <w:t xml:space="preserve">(DPC1) </w:t>
      </w:r>
      <w:r w:rsidRPr="007B666C">
        <w:t>of US$ 30 million on June 25, 2013.</w:t>
      </w:r>
      <w:r>
        <w:t xml:space="preserve"> The </w:t>
      </w:r>
      <w:r>
        <w:rPr>
          <w:bCs/>
        </w:rPr>
        <w:t xml:space="preserve">Bank’s involvement with the Government of Nepal through </w:t>
      </w:r>
      <w:r w:rsidRPr="00824E53">
        <w:rPr>
          <w:bCs/>
        </w:rPr>
        <w:t>DPC1</w:t>
      </w:r>
      <w:r>
        <w:rPr>
          <w:bCs/>
        </w:rPr>
        <w:t xml:space="preserve"> has facilitated identification of </w:t>
      </w:r>
      <w:r w:rsidRPr="00824E53">
        <w:rPr>
          <w:bCs/>
        </w:rPr>
        <w:t xml:space="preserve">clearly articulated </w:t>
      </w:r>
      <w:r>
        <w:rPr>
          <w:bCs/>
        </w:rPr>
        <w:t xml:space="preserve">action steps </w:t>
      </w:r>
      <w:r w:rsidRPr="00824E53">
        <w:rPr>
          <w:bCs/>
        </w:rPr>
        <w:t xml:space="preserve">which are to be fulfilled </w:t>
      </w:r>
      <w:r>
        <w:rPr>
          <w:bCs/>
        </w:rPr>
        <w:t>through a second DPC</w:t>
      </w:r>
      <w:r w:rsidRPr="00824E53">
        <w:rPr>
          <w:bCs/>
        </w:rPr>
        <w:t xml:space="preserve">. This approach </w:t>
      </w:r>
      <w:r>
        <w:rPr>
          <w:bCs/>
        </w:rPr>
        <w:t>is</w:t>
      </w:r>
      <w:r w:rsidRPr="00824E53">
        <w:rPr>
          <w:bCs/>
        </w:rPr>
        <w:t xml:space="preserve"> closely linked to DFID’s capacity building program which is designed to ensure that the authorities have </w:t>
      </w:r>
      <w:r>
        <w:rPr>
          <w:bCs/>
        </w:rPr>
        <w:t>the</w:t>
      </w:r>
      <w:r w:rsidRPr="00824E53">
        <w:rPr>
          <w:bCs/>
        </w:rPr>
        <w:t xml:space="preserve"> </w:t>
      </w:r>
      <w:r>
        <w:rPr>
          <w:bCs/>
        </w:rPr>
        <w:t xml:space="preserve">requisite </w:t>
      </w:r>
      <w:r w:rsidRPr="00824E53">
        <w:rPr>
          <w:bCs/>
        </w:rPr>
        <w:t xml:space="preserve">resources to implement </w:t>
      </w:r>
      <w:r>
        <w:rPr>
          <w:bCs/>
        </w:rPr>
        <w:t>DPC2’s prior actions.</w:t>
      </w:r>
    </w:p>
    <w:p w:rsidR="002A3D8D" w:rsidRDefault="002A3D8D" w:rsidP="002A3D8D">
      <w:pPr>
        <w:ind w:left="720"/>
        <w:contextualSpacing/>
        <w:jc w:val="both"/>
      </w:pPr>
    </w:p>
    <w:p w:rsidR="001866D9" w:rsidRPr="007B666C" w:rsidRDefault="001866D9" w:rsidP="00DD7C01">
      <w:pPr>
        <w:ind w:left="720"/>
        <w:contextualSpacing/>
        <w:jc w:val="both"/>
      </w:pPr>
    </w:p>
    <w:p w:rsidR="0020003C" w:rsidRDefault="0020003C" w:rsidP="006D1FA2">
      <w:pPr>
        <w:pStyle w:val="Default"/>
        <w:ind w:left="720"/>
        <w:jc w:val="both"/>
      </w:pPr>
      <w:r>
        <w:rPr>
          <w:rFonts w:eastAsia="Times New Roman"/>
          <w:color w:val="auto"/>
        </w:rPr>
        <w:t xml:space="preserve">The </w:t>
      </w:r>
      <w:r w:rsidR="002A3D8D">
        <w:rPr>
          <w:rFonts w:eastAsia="Times New Roman"/>
          <w:color w:val="auto"/>
        </w:rPr>
        <w:t>draft Nepal</w:t>
      </w:r>
      <w:r>
        <w:rPr>
          <w:rFonts w:eastAsia="Times New Roman"/>
          <w:color w:val="auto"/>
        </w:rPr>
        <w:t xml:space="preserve"> Country Partnership Strategy (CPS) 2014-2017, </w:t>
      </w:r>
      <w:r w:rsidR="002A3D8D">
        <w:rPr>
          <w:rFonts w:eastAsia="Times New Roman"/>
          <w:color w:val="auto"/>
        </w:rPr>
        <w:t>highlights the importance of</w:t>
      </w:r>
      <w:r>
        <w:rPr>
          <w:rFonts w:eastAsia="Times New Roman"/>
          <w:color w:val="auto"/>
        </w:rPr>
        <w:t xml:space="preserve"> </w:t>
      </w:r>
      <w:r>
        <w:t xml:space="preserve">enhancing financial sector stability. </w:t>
      </w:r>
      <w:r w:rsidR="006D1FA2">
        <w:t>It</w:t>
      </w:r>
      <w:r>
        <w:t xml:space="preserve"> underlines persistent financial sector weakness and the risk this poses to macroeconomic stability and economic growth</w:t>
      </w:r>
      <w:r w:rsidR="006D1FA2">
        <w:t xml:space="preserve">. The </w:t>
      </w:r>
      <w:r>
        <w:t xml:space="preserve">CPS makes the case for the use of </w:t>
      </w:r>
      <w:r w:rsidR="006D1FA2">
        <w:t>DPCs</w:t>
      </w:r>
      <w:r>
        <w:t xml:space="preserve"> to support the reform efforts of the authorities.</w:t>
      </w:r>
    </w:p>
    <w:p w:rsidR="0020003C" w:rsidRDefault="0020003C" w:rsidP="00B928FB">
      <w:pPr>
        <w:ind w:left="720"/>
        <w:jc w:val="both"/>
        <w:rPr>
          <w:bCs/>
        </w:rPr>
      </w:pPr>
    </w:p>
    <w:p w:rsidR="003103C4" w:rsidRDefault="003103C4" w:rsidP="003103C4">
      <w:pPr>
        <w:numPr>
          <w:ilvl w:val="0"/>
          <w:numId w:val="24"/>
        </w:numPr>
        <w:rPr>
          <w:b/>
        </w:rPr>
      </w:pPr>
      <w:r w:rsidRPr="008D1059">
        <w:rPr>
          <w:b/>
        </w:rPr>
        <w:t>Proposed</w:t>
      </w:r>
      <w:r>
        <w:rPr>
          <w:b/>
        </w:rPr>
        <w:t xml:space="preserve"> O</w:t>
      </w:r>
      <w:r w:rsidRPr="008D1059">
        <w:rPr>
          <w:b/>
        </w:rPr>
        <w:t>bjective(s)</w:t>
      </w:r>
    </w:p>
    <w:p w:rsidR="002D3A5B" w:rsidRDefault="002D3A5B" w:rsidP="002D3A5B">
      <w:pPr>
        <w:ind w:left="720"/>
        <w:rPr>
          <w:b/>
        </w:rPr>
      </w:pPr>
    </w:p>
    <w:p w:rsidR="006454F4" w:rsidRDefault="00DD7C01" w:rsidP="00B928FB">
      <w:pPr>
        <w:ind w:left="720"/>
        <w:jc w:val="both"/>
      </w:pPr>
      <w:r w:rsidRPr="00DD7C01">
        <w:t xml:space="preserve">This </w:t>
      </w:r>
      <w:r w:rsidR="002A3D8D">
        <w:t xml:space="preserve">objective of the </w:t>
      </w:r>
      <w:r w:rsidRPr="00DD7C01">
        <w:t xml:space="preserve">Second Financial Sector Stability </w:t>
      </w:r>
      <w:r w:rsidR="002A3D8D">
        <w:t xml:space="preserve">Development Policy </w:t>
      </w:r>
      <w:r w:rsidRPr="00DD7C01">
        <w:t xml:space="preserve">Credit </w:t>
      </w:r>
      <w:r w:rsidR="002A3D8D">
        <w:t>is</w:t>
      </w:r>
      <w:r w:rsidRPr="00DD7C01">
        <w:t xml:space="preserve"> to support the continuation of the Government’s efforts to address financ</w:t>
      </w:r>
      <w:r w:rsidR="002A3D8D">
        <w:t xml:space="preserve">ial sector vulnerabilities </w:t>
      </w:r>
      <w:r w:rsidR="006454F4" w:rsidRPr="00A500A6">
        <w:t xml:space="preserve">and increase the </w:t>
      </w:r>
      <w:r w:rsidR="00A500A6">
        <w:t>t</w:t>
      </w:r>
      <w:r w:rsidR="006454F4" w:rsidRPr="00A500A6">
        <w:t>ransparency of the banking sector.</w:t>
      </w:r>
      <w:r w:rsidR="006454F4">
        <w:t xml:space="preserve"> </w:t>
      </w:r>
    </w:p>
    <w:p w:rsidR="0068411B" w:rsidRDefault="0068411B" w:rsidP="00B928FB">
      <w:pPr>
        <w:ind w:left="720"/>
        <w:jc w:val="both"/>
      </w:pPr>
    </w:p>
    <w:p w:rsidR="0068411B" w:rsidRDefault="0068411B" w:rsidP="0068411B">
      <w:pPr>
        <w:ind w:left="720"/>
      </w:pPr>
      <w:r w:rsidRPr="007B666C">
        <w:t>The actions supported under the proposed DPC</w:t>
      </w:r>
      <w:r>
        <w:t xml:space="preserve"> thus </w:t>
      </w:r>
      <w:r w:rsidRPr="007B666C">
        <w:t>form part of a broader, medium-term Government program aimed at reinforcing banking sector stability and paving the way for the development of a robust and more inclusive financial sector.</w:t>
      </w:r>
    </w:p>
    <w:p w:rsidR="00234283" w:rsidRDefault="00234283" w:rsidP="00234283">
      <w:pPr>
        <w:ind w:left="720"/>
      </w:pPr>
    </w:p>
    <w:p w:rsidR="00A126FA" w:rsidRDefault="002D3A5B" w:rsidP="00A126FA">
      <w:pPr>
        <w:numPr>
          <w:ilvl w:val="0"/>
          <w:numId w:val="24"/>
        </w:numPr>
        <w:rPr>
          <w:b/>
        </w:rPr>
      </w:pPr>
      <w:r>
        <w:rPr>
          <w:b/>
        </w:rPr>
        <w:t>Preliminary Description</w:t>
      </w:r>
    </w:p>
    <w:p w:rsidR="002D3A5B" w:rsidRDefault="002D3A5B" w:rsidP="002D3A5B">
      <w:pPr>
        <w:ind w:left="720"/>
        <w:rPr>
          <w:b/>
        </w:rPr>
      </w:pPr>
    </w:p>
    <w:p w:rsidR="00554DE1" w:rsidRDefault="00554DE1" w:rsidP="00554DE1">
      <w:pPr>
        <w:pStyle w:val="Default"/>
        <w:ind w:left="720"/>
        <w:jc w:val="both"/>
      </w:pPr>
      <w:r>
        <w:rPr>
          <w:rFonts w:eastAsia="MS Mincho"/>
          <w:lang w:eastAsia="ja-JP"/>
        </w:rPr>
        <w:t>The proposed</w:t>
      </w:r>
      <w:r w:rsidRPr="00C10DE8">
        <w:rPr>
          <w:rFonts w:eastAsia="MS Mincho"/>
          <w:lang w:eastAsia="ja-JP"/>
        </w:rPr>
        <w:t xml:space="preserve"> DPC2 </w:t>
      </w:r>
      <w:r>
        <w:rPr>
          <w:rFonts w:eastAsia="MS Mincho"/>
          <w:lang w:eastAsia="ja-JP"/>
        </w:rPr>
        <w:t xml:space="preserve">is likely to </w:t>
      </w:r>
      <w:r w:rsidRPr="00C10DE8">
        <w:rPr>
          <w:rFonts w:eastAsia="MS Mincho"/>
          <w:lang w:eastAsia="ja-JP"/>
        </w:rPr>
        <w:t xml:space="preserve">continue </w:t>
      </w:r>
      <w:r>
        <w:rPr>
          <w:rFonts w:eastAsia="MS Mincho"/>
          <w:lang w:eastAsia="ja-JP"/>
        </w:rPr>
        <w:t xml:space="preserve">with </w:t>
      </w:r>
      <w:r w:rsidRPr="00C10DE8">
        <w:rPr>
          <w:rFonts w:eastAsia="MS Mincho"/>
          <w:lang w:eastAsia="ja-JP"/>
        </w:rPr>
        <w:t xml:space="preserve">the </w:t>
      </w:r>
      <w:r w:rsidRPr="00C10DE8">
        <w:t xml:space="preserve">approach taken </w:t>
      </w:r>
      <w:r>
        <w:t>by</w:t>
      </w:r>
      <w:r w:rsidRPr="00C10DE8">
        <w:t xml:space="preserve"> DPC1</w:t>
      </w:r>
      <w:r w:rsidRPr="00C10DE8">
        <w:rPr>
          <w:rFonts w:eastAsia="MS Mincho"/>
          <w:lang w:eastAsia="ja-JP"/>
        </w:rPr>
        <w:t>.</w:t>
      </w:r>
      <w:r w:rsidRPr="00771541">
        <w:rPr>
          <w:rFonts w:eastAsia="MS Mincho"/>
          <w:lang w:eastAsia="ja-JP"/>
        </w:rPr>
        <w:t xml:space="preserve"> </w:t>
      </w:r>
      <w:r>
        <w:rPr>
          <w:rFonts w:eastAsia="MS Mincho"/>
          <w:lang w:eastAsia="ja-JP"/>
        </w:rPr>
        <w:t xml:space="preserve">The latter </w:t>
      </w:r>
      <w:r w:rsidRPr="00824E53">
        <w:t xml:space="preserve">focused on laying the ground for deeper reforms while </w:t>
      </w:r>
      <w:r>
        <w:t>the former</w:t>
      </w:r>
      <w:r w:rsidRPr="00824E53">
        <w:t xml:space="preserve"> would aim at supporting the implementation of these reforms to foster the development of a robust, inclusive, and more stable financial sector.</w:t>
      </w:r>
    </w:p>
    <w:p w:rsidR="00554DE1" w:rsidRPr="00824E53" w:rsidRDefault="00554DE1" w:rsidP="00554DE1">
      <w:pPr>
        <w:pStyle w:val="Default"/>
        <w:ind w:left="720"/>
        <w:jc w:val="both"/>
        <w:rPr>
          <w:iCs/>
          <w:color w:val="auto"/>
        </w:rPr>
      </w:pPr>
    </w:p>
    <w:p w:rsidR="00554DE1" w:rsidRDefault="00554DE1" w:rsidP="00554DE1">
      <w:pPr>
        <w:ind w:left="720"/>
        <w:jc w:val="both"/>
      </w:pPr>
      <w:r w:rsidRPr="00BD0D45">
        <w:t>The Bank team w</w:t>
      </w:r>
      <w:r>
        <w:t>ould</w:t>
      </w:r>
      <w:r w:rsidRPr="00BD0D45">
        <w:t xml:space="preserve"> focus on th</w:t>
      </w:r>
      <w:r>
        <w:t>e</w:t>
      </w:r>
      <w:r w:rsidRPr="00BD0D45">
        <w:t xml:space="preserve"> impact outcomes of DPC1 and identify the adjustments needed, particularly for the subsequent selection of triggers and prior actions, to take into account the country’s political developments, stakeholder support, and feasible options for realizing the intended goals.</w:t>
      </w:r>
    </w:p>
    <w:p w:rsidR="00554DE1" w:rsidRDefault="00554DE1" w:rsidP="00554DE1">
      <w:pPr>
        <w:ind w:left="720"/>
        <w:jc w:val="both"/>
        <w:rPr>
          <w:b/>
        </w:rPr>
      </w:pPr>
    </w:p>
    <w:p w:rsidR="00B928FB" w:rsidRDefault="00B928FB" w:rsidP="00B928FB">
      <w:pPr>
        <w:ind w:left="720"/>
        <w:jc w:val="both"/>
      </w:pPr>
      <w:r>
        <w:t xml:space="preserve">The credit will support the following </w:t>
      </w:r>
      <w:r w:rsidR="00AC0174">
        <w:t xml:space="preserve">specific </w:t>
      </w:r>
      <w:r>
        <w:t>policy areas:</w:t>
      </w:r>
    </w:p>
    <w:p w:rsidR="00B928FB" w:rsidRDefault="00B928FB" w:rsidP="00B928FB">
      <w:pPr>
        <w:ind w:left="720"/>
        <w:jc w:val="both"/>
      </w:pPr>
    </w:p>
    <w:p w:rsidR="00244556" w:rsidRPr="00244556" w:rsidRDefault="00244556" w:rsidP="00244556">
      <w:pPr>
        <w:numPr>
          <w:ilvl w:val="0"/>
          <w:numId w:val="29"/>
        </w:numPr>
        <w:contextualSpacing/>
        <w:jc w:val="both"/>
      </w:pPr>
      <w:r w:rsidRPr="00244556">
        <w:t xml:space="preserve">Formulating a long term financial sector development strategy based on extensive consultation with a broad range of stakeholders; </w:t>
      </w:r>
    </w:p>
    <w:p w:rsidR="00244556" w:rsidRPr="00244556" w:rsidRDefault="00244556" w:rsidP="00244556">
      <w:pPr>
        <w:numPr>
          <w:ilvl w:val="0"/>
          <w:numId w:val="29"/>
        </w:numPr>
        <w:contextualSpacing/>
        <w:jc w:val="both"/>
      </w:pPr>
      <w:r w:rsidRPr="00244556">
        <w:t xml:space="preserve">Restructuring of two state-controlled banks through recapitalization to above minimum prudential ratios; </w:t>
      </w:r>
    </w:p>
    <w:p w:rsidR="00244556" w:rsidRPr="00244556" w:rsidRDefault="00244556" w:rsidP="00244556">
      <w:pPr>
        <w:numPr>
          <w:ilvl w:val="0"/>
          <w:numId w:val="29"/>
        </w:numPr>
        <w:contextualSpacing/>
        <w:jc w:val="both"/>
      </w:pPr>
      <w:r w:rsidRPr="00244556">
        <w:t xml:space="preserve">Completing a program of in-depth diagnostics of all at-risk and systemic banks covering at least 50 percent of banking system assets, followed by appropriate measures to ensure that all banks are in regulatory compliance; </w:t>
      </w:r>
    </w:p>
    <w:p w:rsidR="00244556" w:rsidRPr="00244556" w:rsidRDefault="00244556" w:rsidP="00244556">
      <w:pPr>
        <w:numPr>
          <w:ilvl w:val="0"/>
          <w:numId w:val="29"/>
        </w:numPr>
        <w:contextualSpacing/>
        <w:jc w:val="both"/>
      </w:pPr>
      <w:r w:rsidRPr="00244556">
        <w:t xml:space="preserve">Putting in place a functioning financial sector safety net through enacting the DCGT Bill and operationalizing the deposit insurance system; </w:t>
      </w:r>
    </w:p>
    <w:p w:rsidR="00244556" w:rsidRPr="00244556" w:rsidRDefault="00244556" w:rsidP="00244556">
      <w:pPr>
        <w:numPr>
          <w:ilvl w:val="0"/>
          <w:numId w:val="29"/>
        </w:numPr>
        <w:contextualSpacing/>
        <w:jc w:val="both"/>
      </w:pPr>
      <w:r w:rsidRPr="00244556">
        <w:lastRenderedPageBreak/>
        <w:t>Adopting amendments to the NRB Act and BAFIA to give supervisors stronger legal tools for bank resolution and issuance of new regulations reflecting the enhanced bank resolution framework;</w:t>
      </w:r>
    </w:p>
    <w:p w:rsidR="002A3D8D" w:rsidRDefault="00244556" w:rsidP="002A3D8D">
      <w:pPr>
        <w:numPr>
          <w:ilvl w:val="0"/>
          <w:numId w:val="29"/>
        </w:numPr>
        <w:contextualSpacing/>
        <w:jc w:val="both"/>
      </w:pPr>
      <w:r w:rsidRPr="00244556">
        <w:t xml:space="preserve">Improving the transparency of the financial system through a staged adoption of NFRS and issuance of NFRS-compliant regulations by the NRB; </w:t>
      </w:r>
    </w:p>
    <w:p w:rsidR="00B928FB" w:rsidRPr="00244556" w:rsidRDefault="00244556" w:rsidP="002A3D8D">
      <w:pPr>
        <w:numPr>
          <w:ilvl w:val="0"/>
          <w:numId w:val="29"/>
        </w:numPr>
        <w:contextualSpacing/>
        <w:jc w:val="both"/>
      </w:pPr>
      <w:r w:rsidRPr="00244556">
        <w:t>Parliamentary approval/ratification of ordinances already issued by the President to fight against money laundering and counter financing of terrorism.</w:t>
      </w:r>
    </w:p>
    <w:p w:rsidR="00244556" w:rsidRDefault="00244556" w:rsidP="00244556">
      <w:pPr>
        <w:ind w:firstLine="720"/>
        <w:rPr>
          <w:b/>
        </w:rPr>
      </w:pPr>
    </w:p>
    <w:p w:rsidR="00AA5A30" w:rsidRDefault="00AA5A30" w:rsidP="00AA5A30">
      <w:pPr>
        <w:numPr>
          <w:ilvl w:val="0"/>
          <w:numId w:val="24"/>
        </w:numPr>
        <w:rPr>
          <w:b/>
        </w:rPr>
      </w:pPr>
      <w:r>
        <w:rPr>
          <w:b/>
        </w:rPr>
        <w:t>Poverty and Social Impacts and Environment Aspects</w:t>
      </w:r>
    </w:p>
    <w:p w:rsidR="009634F3" w:rsidRDefault="009634F3" w:rsidP="006454F4">
      <w:pPr>
        <w:ind w:left="720"/>
        <w:contextualSpacing/>
        <w:jc w:val="both"/>
      </w:pPr>
    </w:p>
    <w:p w:rsidR="006454F4" w:rsidRPr="00CC05EF" w:rsidRDefault="00252214" w:rsidP="006454F4">
      <w:pPr>
        <w:ind w:left="720"/>
        <w:contextualSpacing/>
        <w:jc w:val="both"/>
      </w:pPr>
      <w:r w:rsidRPr="009F6320">
        <w:t xml:space="preserve">Nepal is making progress on consolidating peace and building a new political system. Still emerging from a-ten year armed conflict that ended in </w:t>
      </w:r>
      <w:proofErr w:type="gramStart"/>
      <w:r w:rsidRPr="009F6320">
        <w:t>2006,</w:t>
      </w:r>
      <w:proofErr w:type="gramEnd"/>
      <w:r w:rsidRPr="009F6320">
        <w:t xml:space="preserve"> the country is currently passing through a prolonged political transition. It has made significant progress towards alleviating poverty and improving its economic growth. However, country’s </w:t>
      </w:r>
      <w:r w:rsidRPr="009F6320">
        <w:rPr>
          <w:bCs/>
        </w:rPr>
        <w:t xml:space="preserve">financial sector remains vulnerable to stress. A financial crisis could cause a loss of 30 percent of Nepal’s GDP and result in severe fiscal distress. </w:t>
      </w:r>
      <w:r w:rsidR="006454F4" w:rsidRPr="009F6320">
        <w:t xml:space="preserve">According to the </w:t>
      </w:r>
      <w:r w:rsidRPr="009F6320">
        <w:t>recent estimates,</w:t>
      </w:r>
      <w:r w:rsidR="006454F4" w:rsidRPr="009F6320">
        <w:t xml:space="preserve"> a financial crisis in Nepal </w:t>
      </w:r>
      <w:r w:rsidRPr="009F6320">
        <w:t xml:space="preserve">would result in </w:t>
      </w:r>
      <w:r w:rsidR="006454F4" w:rsidRPr="009F6320">
        <w:t>an additional two million people remaining below the poverty line over 10 years</w:t>
      </w:r>
      <w:r w:rsidR="006454F4" w:rsidRPr="009F6320">
        <w:rPr>
          <w:rStyle w:val="FootnoteReference"/>
        </w:rPr>
        <w:footnoteReference w:id="1"/>
      </w:r>
      <w:r w:rsidR="002A3D8D">
        <w:t xml:space="preserve">. </w:t>
      </w:r>
      <w:r w:rsidR="006454F4" w:rsidRPr="009F6320">
        <w:t>DPC2 proposes to support continued measures to safeguard the banking system and to provide stability while giving priority to individual depositors in the process of bank resolution. By leveraging on the actions undertaken through DPC1, it makes a case for strengthening the legislative and regulatory framework of the financial sector, which in turn would develop the financial sector, and enhance its transparency through a mature regime</w:t>
      </w:r>
      <w:r w:rsidR="009F6320" w:rsidRPr="009F6320">
        <w:t xml:space="preserve"> for Anti Money Laundering and Combatting</w:t>
      </w:r>
      <w:r w:rsidR="009F6320">
        <w:t xml:space="preserve"> Financing of Terrorism (AML/CFT)</w:t>
      </w:r>
      <w:r w:rsidR="006454F4" w:rsidRPr="00CC05EF">
        <w:t>.</w:t>
      </w:r>
      <w:r w:rsidR="009F6320">
        <w:t xml:space="preserve"> </w:t>
      </w:r>
      <w:r w:rsidR="009F6320" w:rsidRPr="00394A2F">
        <w:rPr>
          <w:bCs/>
        </w:rPr>
        <w:t xml:space="preserve">Any non-compliance with the international standards on AML/CFT can have an adverse bearing on </w:t>
      </w:r>
      <w:r w:rsidR="00394A2F">
        <w:rPr>
          <w:bCs/>
        </w:rPr>
        <w:t>financial sector credibility</w:t>
      </w:r>
      <w:r w:rsidR="00F81AF1">
        <w:rPr>
          <w:bCs/>
        </w:rPr>
        <w:t>,</w:t>
      </w:r>
      <w:r w:rsidR="00394A2F">
        <w:rPr>
          <w:bCs/>
        </w:rPr>
        <w:t xml:space="preserve"> thereby reducing </w:t>
      </w:r>
      <w:r w:rsidR="009F6320" w:rsidRPr="00394A2F">
        <w:rPr>
          <w:bCs/>
        </w:rPr>
        <w:t>the</w:t>
      </w:r>
      <w:r w:rsidR="006454F4" w:rsidRPr="00CC05EF">
        <w:t xml:space="preserve"> remittances inflows and direct foreign investment</w:t>
      </w:r>
      <w:r w:rsidR="00394A2F">
        <w:t xml:space="preserve">. This could </w:t>
      </w:r>
      <w:r w:rsidR="009F6320">
        <w:t>aggravat</w:t>
      </w:r>
      <w:r w:rsidR="00394A2F">
        <w:t>e</w:t>
      </w:r>
      <w:r w:rsidR="009F6320">
        <w:t xml:space="preserve"> poverty statistics for the country, and </w:t>
      </w:r>
      <w:r w:rsidR="006454F4" w:rsidRPr="00CC05EF">
        <w:t>curtail Nepal’s international financial tr</w:t>
      </w:r>
      <w:r w:rsidR="009F6320">
        <w:t xml:space="preserve">ansactions. </w:t>
      </w:r>
    </w:p>
    <w:p w:rsidR="006454F4" w:rsidRPr="006454F4" w:rsidRDefault="006454F4" w:rsidP="006454F4"/>
    <w:p w:rsidR="00AA5A30" w:rsidRDefault="00AA5A30" w:rsidP="002D3A5B">
      <w:pPr>
        <w:pStyle w:val="CM4"/>
        <w:spacing w:after="252" w:line="253" w:lineRule="atLeast"/>
        <w:ind w:firstLine="720"/>
        <w:rPr>
          <w:i/>
          <w:iCs/>
          <w:color w:val="00007F"/>
          <w:sz w:val="22"/>
          <w:szCs w:val="22"/>
        </w:rPr>
      </w:pPr>
      <w:r>
        <w:rPr>
          <w:i/>
          <w:iCs/>
          <w:color w:val="00007F"/>
          <w:sz w:val="22"/>
          <w:szCs w:val="22"/>
        </w:rPr>
        <w:t xml:space="preserve">Environment Aspects </w:t>
      </w:r>
    </w:p>
    <w:p w:rsidR="00747E25" w:rsidRPr="00CC05EF" w:rsidRDefault="00747E25" w:rsidP="00747E25">
      <w:pPr>
        <w:ind w:left="720"/>
        <w:contextualSpacing/>
        <w:jc w:val="both"/>
        <w:rPr>
          <w:iCs/>
        </w:rPr>
      </w:pPr>
      <w:r w:rsidRPr="00CC05EF">
        <w:rPr>
          <w:iCs/>
        </w:rPr>
        <w:t>Actions proposed under this operation are not expected to have any negative effect on the environment.</w:t>
      </w:r>
    </w:p>
    <w:p w:rsidR="003723D9" w:rsidRDefault="003723D9" w:rsidP="003723D9">
      <w:pPr>
        <w:rPr>
          <w:b/>
        </w:rPr>
      </w:pPr>
    </w:p>
    <w:p w:rsidR="00A126FA" w:rsidRPr="00B14B1C" w:rsidRDefault="00A126FA" w:rsidP="00A126FA">
      <w:pPr>
        <w:numPr>
          <w:ilvl w:val="0"/>
          <w:numId w:val="24"/>
        </w:numPr>
        <w:rPr>
          <w:b/>
        </w:rPr>
      </w:pPr>
      <w:r w:rsidRPr="00B14B1C">
        <w:rPr>
          <w:b/>
        </w:rPr>
        <w:t>Tentative financing</w:t>
      </w:r>
    </w:p>
    <w:p w:rsidR="00F34B6F" w:rsidRDefault="00F34B6F" w:rsidP="0059349F">
      <w:pPr>
        <w:ind w:firstLine="720"/>
      </w:pPr>
    </w:p>
    <w:tbl>
      <w:tblPr>
        <w:tblW w:w="0" w:type="auto"/>
        <w:tblLook w:val="0000" w:firstRow="0" w:lastRow="0" w:firstColumn="0" w:lastColumn="0" w:noHBand="0" w:noVBand="0"/>
      </w:tblPr>
      <w:tblGrid>
        <w:gridCol w:w="7488"/>
        <w:gridCol w:w="1980"/>
      </w:tblGrid>
      <w:tr w:rsidR="00A126FA" w:rsidTr="00F34B6F">
        <w:tc>
          <w:tcPr>
            <w:tcW w:w="7488" w:type="dxa"/>
          </w:tcPr>
          <w:p w:rsidR="00A126FA" w:rsidRDefault="00A126FA" w:rsidP="00A126FA">
            <w:r>
              <w:t>Source:</w:t>
            </w:r>
            <w:bookmarkStart w:id="12" w:name="FINANCINGTAB_PID"/>
            <w:bookmarkEnd w:id="12"/>
          </w:p>
        </w:tc>
        <w:tc>
          <w:tcPr>
            <w:tcW w:w="1980" w:type="dxa"/>
          </w:tcPr>
          <w:p w:rsidR="00A126FA" w:rsidRDefault="00A126FA" w:rsidP="00A126FA">
            <w:pPr>
              <w:tabs>
                <w:tab w:val="decimal" w:pos="252"/>
              </w:tabs>
              <w:jc w:val="center"/>
            </w:pPr>
            <w:r>
              <w:t>($m.)</w:t>
            </w:r>
          </w:p>
        </w:tc>
      </w:tr>
      <w:tr w:rsidR="00901950" w:rsidTr="00F34B6F">
        <w:tc>
          <w:tcPr>
            <w:tcW w:w="7488" w:type="dxa"/>
          </w:tcPr>
          <w:p w:rsidR="00901950" w:rsidRDefault="00901950" w:rsidP="00A126FA">
            <w:pPr>
              <w:tabs>
                <w:tab w:val="right" w:pos="7200"/>
              </w:tabs>
            </w:pPr>
            <w:r>
              <w:t>BORROWER/RECIPIENT</w:t>
            </w:r>
          </w:p>
        </w:tc>
        <w:tc>
          <w:tcPr>
            <w:tcW w:w="1980" w:type="dxa"/>
          </w:tcPr>
          <w:p w:rsidR="00901950" w:rsidRDefault="00901950" w:rsidP="00A126FA">
            <w:pPr>
              <w:tabs>
                <w:tab w:val="decimal" w:pos="252"/>
              </w:tabs>
              <w:jc w:val="center"/>
            </w:pPr>
            <w:r>
              <w:t>0</w:t>
            </w:r>
          </w:p>
        </w:tc>
      </w:tr>
      <w:tr w:rsidR="00901950" w:rsidTr="00F34B6F">
        <w:tc>
          <w:tcPr>
            <w:tcW w:w="7488" w:type="dxa"/>
          </w:tcPr>
          <w:p w:rsidR="00901950" w:rsidRDefault="00901950" w:rsidP="00A126FA">
            <w:pPr>
              <w:tabs>
                <w:tab w:val="right" w:pos="7200"/>
              </w:tabs>
            </w:pPr>
            <w:r>
              <w:t>International Development Association (IDA)</w:t>
            </w:r>
          </w:p>
        </w:tc>
        <w:tc>
          <w:tcPr>
            <w:tcW w:w="1980" w:type="dxa"/>
          </w:tcPr>
          <w:p w:rsidR="00901950" w:rsidRDefault="00901950" w:rsidP="00A126FA">
            <w:pPr>
              <w:tabs>
                <w:tab w:val="decimal" w:pos="252"/>
              </w:tabs>
              <w:jc w:val="center"/>
            </w:pPr>
            <w:r>
              <w:t>70</w:t>
            </w:r>
          </w:p>
        </w:tc>
      </w:tr>
      <w:tr w:rsidR="00A126FA" w:rsidTr="00F34B6F">
        <w:tc>
          <w:tcPr>
            <w:tcW w:w="7488" w:type="dxa"/>
          </w:tcPr>
          <w:p w:rsidR="00A126FA" w:rsidRDefault="00A126FA" w:rsidP="00A126FA">
            <w:pPr>
              <w:tabs>
                <w:tab w:val="right" w:pos="7200"/>
              </w:tabs>
            </w:pPr>
            <w:r>
              <w:t>Borrower/Recipient</w:t>
            </w:r>
          </w:p>
        </w:tc>
        <w:tc>
          <w:tcPr>
            <w:tcW w:w="1980" w:type="dxa"/>
          </w:tcPr>
          <w:p w:rsidR="00A126FA" w:rsidRDefault="00A126FA" w:rsidP="00A126FA">
            <w:pPr>
              <w:tabs>
                <w:tab w:val="decimal" w:pos="252"/>
              </w:tabs>
              <w:jc w:val="center"/>
            </w:pPr>
          </w:p>
        </w:tc>
      </w:tr>
      <w:tr w:rsidR="00A126FA" w:rsidTr="00F34B6F">
        <w:tc>
          <w:tcPr>
            <w:tcW w:w="7488" w:type="dxa"/>
          </w:tcPr>
          <w:p w:rsidR="00A126FA" w:rsidRDefault="00A126FA" w:rsidP="00A126FA">
            <w:pPr>
              <w:tabs>
                <w:tab w:val="right" w:pos="7200"/>
              </w:tabs>
            </w:pPr>
            <w:r>
              <w:t>IBRD</w:t>
            </w:r>
          </w:p>
          <w:p w:rsidR="00071B65" w:rsidRDefault="00B861D4" w:rsidP="00A126FA">
            <w:pPr>
              <w:tabs>
                <w:tab w:val="right" w:pos="7200"/>
              </w:tabs>
            </w:pPr>
            <w:r>
              <w:t>Others (specif</w:t>
            </w:r>
            <w:r w:rsidR="00071B65">
              <w:t>y)</w:t>
            </w:r>
          </w:p>
        </w:tc>
        <w:tc>
          <w:tcPr>
            <w:tcW w:w="1980" w:type="dxa"/>
          </w:tcPr>
          <w:p w:rsidR="00A126FA" w:rsidRDefault="00A126FA" w:rsidP="00A126FA">
            <w:pPr>
              <w:tabs>
                <w:tab w:val="decimal" w:pos="252"/>
              </w:tabs>
              <w:jc w:val="center"/>
            </w:pPr>
          </w:p>
        </w:tc>
      </w:tr>
      <w:tr w:rsidR="00A126FA" w:rsidTr="00F34B6F">
        <w:tc>
          <w:tcPr>
            <w:tcW w:w="7488" w:type="dxa"/>
          </w:tcPr>
          <w:p w:rsidR="00A126FA" w:rsidRDefault="00A126FA" w:rsidP="00A126FA">
            <w:pPr>
              <w:tabs>
                <w:tab w:val="right" w:pos="7200"/>
              </w:tabs>
            </w:pPr>
            <w:r>
              <w:t>Total</w:t>
            </w:r>
          </w:p>
        </w:tc>
        <w:tc>
          <w:tcPr>
            <w:tcW w:w="1980" w:type="dxa"/>
          </w:tcPr>
          <w:p w:rsidR="00A126FA" w:rsidRDefault="002D3A5B" w:rsidP="00A126FA">
            <w:pPr>
              <w:tabs>
                <w:tab w:val="decimal" w:pos="252"/>
              </w:tabs>
              <w:jc w:val="center"/>
            </w:pPr>
            <w:r>
              <w:t>70</w:t>
            </w:r>
          </w:p>
        </w:tc>
      </w:tr>
    </w:tbl>
    <w:p w:rsidR="00F34B6F" w:rsidRDefault="00F34B6F" w:rsidP="00F34B6F">
      <w:pPr>
        <w:ind w:left="720"/>
        <w:rPr>
          <w:b/>
        </w:rPr>
      </w:pPr>
    </w:p>
    <w:p w:rsidR="002D3A5B" w:rsidRDefault="002D3A5B" w:rsidP="00F34B6F">
      <w:pPr>
        <w:ind w:left="720"/>
        <w:rPr>
          <w:b/>
        </w:rPr>
      </w:pPr>
    </w:p>
    <w:p w:rsidR="00A126FA" w:rsidRPr="003E3D6A" w:rsidRDefault="00A126FA" w:rsidP="00A126FA">
      <w:pPr>
        <w:numPr>
          <w:ilvl w:val="0"/>
          <w:numId w:val="24"/>
        </w:numPr>
        <w:rPr>
          <w:b/>
        </w:rPr>
      </w:pPr>
      <w:r w:rsidRPr="00B14B1C">
        <w:rPr>
          <w:b/>
        </w:rPr>
        <w:lastRenderedPageBreak/>
        <w:t>Contact point</w:t>
      </w:r>
    </w:p>
    <w:p w:rsidR="008F0B46" w:rsidRDefault="008F0B46" w:rsidP="008F0B46">
      <w:pPr>
        <w:pStyle w:val="ListParagraph"/>
        <w:ind w:left="0"/>
      </w:pPr>
      <w:r w:rsidRPr="00225112">
        <w:rPr>
          <w:b/>
        </w:rPr>
        <w:t>World Bank</w:t>
      </w:r>
      <w:r w:rsidR="00F34B6F">
        <w:rPr>
          <w:b/>
        </w:rPr>
        <w:t xml:space="preserve"> </w:t>
      </w:r>
    </w:p>
    <w:p w:rsidR="00901950" w:rsidRDefault="00901950" w:rsidP="008F0B46">
      <w:bookmarkStart w:id="13" w:name="ContactInfo"/>
      <w:r>
        <w:t xml:space="preserve">Contact: Gabi George </w:t>
      </w:r>
      <w:proofErr w:type="spellStart"/>
      <w:r>
        <w:t>Afram</w:t>
      </w:r>
      <w:proofErr w:type="spellEnd"/>
    </w:p>
    <w:p w:rsidR="00901950" w:rsidRDefault="00901950" w:rsidP="008F0B46">
      <w:r>
        <w:t xml:space="preserve">Title: </w:t>
      </w:r>
      <w:proofErr w:type="spellStart"/>
      <w:r>
        <w:t>Sr</w:t>
      </w:r>
      <w:proofErr w:type="spellEnd"/>
      <w:r>
        <w:t xml:space="preserve"> Financial Economist</w:t>
      </w:r>
    </w:p>
    <w:p w:rsidR="00901950" w:rsidRDefault="00901950" w:rsidP="008F0B46">
      <w:r>
        <w:t>Tel: (202) 473-4432</w:t>
      </w:r>
    </w:p>
    <w:p w:rsidR="00901950" w:rsidRDefault="00901950" w:rsidP="008F0B46">
      <w:r>
        <w:t xml:space="preserve">Fax: </w:t>
      </w:r>
    </w:p>
    <w:p w:rsidR="008F0B46" w:rsidRDefault="00901950" w:rsidP="008F0B46">
      <w:r>
        <w:t>Email: gafram@worldbank.org</w:t>
      </w:r>
      <w:bookmarkEnd w:id="13"/>
    </w:p>
    <w:p w:rsidR="00244556" w:rsidRDefault="00244556" w:rsidP="008F0B46">
      <w:pPr>
        <w:rPr>
          <w:b/>
        </w:rPr>
      </w:pPr>
    </w:p>
    <w:p w:rsidR="008F0B46" w:rsidRPr="00225112" w:rsidRDefault="008F0B46" w:rsidP="008F0B46">
      <w:pPr>
        <w:rPr>
          <w:b/>
        </w:rPr>
      </w:pPr>
      <w:r w:rsidRPr="00B71A20">
        <w:rPr>
          <w:b/>
        </w:rPr>
        <w:t>Borrower</w:t>
      </w:r>
    </w:p>
    <w:p w:rsidR="008F0B46" w:rsidRDefault="008F0B46" w:rsidP="008F0B46">
      <w:r w:rsidRPr="00A30F2B">
        <w:t>Contact</w:t>
      </w:r>
      <w:r>
        <w:t>:</w:t>
      </w:r>
      <w:r w:rsidR="009F6320">
        <w:t xml:space="preserve"> </w:t>
      </w:r>
      <w:r w:rsidR="00B71A20">
        <w:t xml:space="preserve">Mr. </w:t>
      </w:r>
      <w:proofErr w:type="spellStart"/>
      <w:r w:rsidR="00B71A20">
        <w:t>S</w:t>
      </w:r>
      <w:r w:rsidR="00B71A20" w:rsidRPr="00B71A20">
        <w:rPr>
          <w:color w:val="000000"/>
        </w:rPr>
        <w:t>hanta</w:t>
      </w:r>
      <w:proofErr w:type="spellEnd"/>
      <w:r w:rsidR="00B71A20" w:rsidRPr="00B71A20">
        <w:rPr>
          <w:color w:val="000000"/>
        </w:rPr>
        <w:t xml:space="preserve"> Raj </w:t>
      </w:r>
      <w:proofErr w:type="spellStart"/>
      <w:r w:rsidR="00B71A20" w:rsidRPr="00B71A20">
        <w:rPr>
          <w:color w:val="000000"/>
        </w:rPr>
        <w:t>Subedi</w:t>
      </w:r>
      <w:proofErr w:type="spellEnd"/>
      <w:r>
        <w:tab/>
      </w:r>
    </w:p>
    <w:p w:rsidR="008F0B46" w:rsidRDefault="00BB6311" w:rsidP="008F0B46">
      <w:r>
        <w:t>Title: Secretary Finance</w:t>
      </w:r>
      <w:r w:rsidR="00B71A20">
        <w:t>, Ministry of Finance</w:t>
      </w:r>
      <w:r w:rsidR="008F0B46">
        <w:tab/>
      </w:r>
    </w:p>
    <w:p w:rsidR="00155312" w:rsidRPr="00AE61C7" w:rsidRDefault="008F0B46" w:rsidP="00155312">
      <w:pPr>
        <w:autoSpaceDE w:val="0"/>
        <w:autoSpaceDN w:val="0"/>
        <w:adjustRightInd w:val="0"/>
        <w:rPr>
          <w:color w:val="000000"/>
        </w:rPr>
      </w:pPr>
      <w:r w:rsidRPr="00AE61C7">
        <w:t>Tel:</w:t>
      </w:r>
      <w:r w:rsidR="00155312" w:rsidRPr="00AE61C7">
        <w:t xml:space="preserve"> </w:t>
      </w:r>
      <w:r w:rsidR="00155312" w:rsidRPr="00AE61C7">
        <w:rPr>
          <w:color w:val="000000"/>
        </w:rPr>
        <w:t>977-1-4211338</w:t>
      </w:r>
    </w:p>
    <w:p w:rsidR="008F0B46" w:rsidRDefault="00155312" w:rsidP="008F0B46">
      <w:r w:rsidRPr="00AE61C7">
        <w:rPr>
          <w:color w:val="000000"/>
        </w:rPr>
        <w:t>Email: mail@mof.gov.np</w:t>
      </w:r>
      <w:r w:rsidR="008F0B46">
        <w:tab/>
      </w:r>
      <w:r w:rsidR="008F0B46">
        <w:tab/>
      </w:r>
      <w:r w:rsidR="008F0B46">
        <w:tab/>
      </w:r>
      <w:r w:rsidR="008F0B46">
        <w:tab/>
      </w:r>
      <w:r w:rsidR="008F0B46">
        <w:tab/>
      </w:r>
    </w:p>
    <w:p w:rsidR="0059349F" w:rsidRDefault="0059349F" w:rsidP="00A126FA"/>
    <w:p w:rsidR="0059349F" w:rsidRPr="0059349F" w:rsidRDefault="0059349F" w:rsidP="0059349F">
      <w:pPr>
        <w:numPr>
          <w:ilvl w:val="0"/>
          <w:numId w:val="24"/>
        </w:numPr>
        <w:rPr>
          <w:b/>
        </w:rPr>
      </w:pPr>
      <w:r w:rsidRPr="0059349F">
        <w:rPr>
          <w:b/>
        </w:rPr>
        <w:t>For more information contact:</w:t>
      </w:r>
    </w:p>
    <w:p w:rsidR="0059349F" w:rsidRPr="00C82216" w:rsidRDefault="0059349F" w:rsidP="008F0B46">
      <w:r w:rsidRPr="00C82216">
        <w:t xml:space="preserve">The </w:t>
      </w:r>
      <w:proofErr w:type="spellStart"/>
      <w:r w:rsidRPr="00C82216">
        <w:t>InfoShop</w:t>
      </w:r>
      <w:proofErr w:type="spellEnd"/>
    </w:p>
    <w:p w:rsidR="0059349F" w:rsidRPr="00C82216" w:rsidRDefault="0059349F" w:rsidP="008F0B46">
      <w:r w:rsidRPr="00C82216">
        <w:t>The World Bank</w:t>
      </w:r>
    </w:p>
    <w:p w:rsidR="0059349F" w:rsidRPr="00C82216" w:rsidRDefault="0059349F" w:rsidP="008F0B46">
      <w:r w:rsidRPr="00C82216">
        <w:t>1818 H Street, NW</w:t>
      </w:r>
    </w:p>
    <w:p w:rsidR="0059349F" w:rsidRPr="00C82216" w:rsidRDefault="0059349F" w:rsidP="008F0B46">
      <w:r w:rsidRPr="00C82216">
        <w:t>Washington, D.C. 20433</w:t>
      </w:r>
    </w:p>
    <w:p w:rsidR="0059349F" w:rsidRPr="00C82216" w:rsidRDefault="0059349F" w:rsidP="008F0B46">
      <w:r w:rsidRPr="00C82216">
        <w:t>Telephone:  (202) 458-</w:t>
      </w:r>
      <w:r w:rsidR="00C070C8">
        <w:t>4500</w:t>
      </w:r>
    </w:p>
    <w:p w:rsidR="0059349F" w:rsidRPr="00C82216" w:rsidRDefault="0059349F" w:rsidP="008F0B46">
      <w:r w:rsidRPr="00C82216">
        <w:t>Fax:  (202) 522-1500</w:t>
      </w:r>
    </w:p>
    <w:p w:rsidR="0059349F" w:rsidRPr="00C82216" w:rsidRDefault="0059349F" w:rsidP="008F0B46">
      <w:r w:rsidRPr="00C82216">
        <w:t>Web: http://www.worldbank.org/infoshop</w:t>
      </w:r>
    </w:p>
    <w:p w:rsidR="0059349F" w:rsidRPr="00A30F2B" w:rsidRDefault="0059349F" w:rsidP="00A126FA"/>
    <w:sectPr w:rsidR="0059349F" w:rsidRPr="00A30F2B"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42A" w:rsidRDefault="00E1242A">
      <w:r>
        <w:separator/>
      </w:r>
    </w:p>
  </w:endnote>
  <w:endnote w:type="continuationSeparator" w:id="0">
    <w:p w:rsidR="00E1242A" w:rsidRDefault="00E1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42A" w:rsidRDefault="00E1242A">
      <w:r>
        <w:separator/>
      </w:r>
    </w:p>
  </w:footnote>
  <w:footnote w:type="continuationSeparator" w:id="0">
    <w:p w:rsidR="00E1242A" w:rsidRDefault="00E1242A">
      <w:r>
        <w:continuationSeparator/>
      </w:r>
    </w:p>
  </w:footnote>
  <w:footnote w:id="1">
    <w:p w:rsidR="006454F4" w:rsidRPr="00653BCC" w:rsidRDefault="006454F4" w:rsidP="006454F4">
      <w:pPr>
        <w:pStyle w:val="FootnoteText"/>
        <w:jc w:val="both"/>
      </w:pPr>
      <w:r w:rsidRPr="00653BCC">
        <w:rPr>
          <w:rStyle w:val="FootnoteReference"/>
        </w:rPr>
        <w:footnoteRef/>
      </w:r>
      <w:r w:rsidRPr="00653BCC">
        <w:t xml:space="preserve"> DFID Nepal </w:t>
      </w:r>
      <w:r w:rsidRPr="00653BCC">
        <w:rPr>
          <w:i/>
        </w:rPr>
        <w:t xml:space="preserve">Business Case &amp; Intervention Summary, Macroeconomic Reform Project, </w:t>
      </w:r>
      <w:r w:rsidRPr="00653BCC">
        <w:t>January 201</w:t>
      </w:r>
      <w:r>
        <w:t>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A34DA9"/>
    <w:multiLevelType w:val="hybridMultilevel"/>
    <w:tmpl w:val="23A6FBA6"/>
    <w:lvl w:ilvl="0" w:tplc="51E88F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3F073A"/>
    <w:multiLevelType w:val="hybridMultilevel"/>
    <w:tmpl w:val="91FE3C06"/>
    <w:lvl w:ilvl="0" w:tplc="51E88F9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44031D"/>
    <w:multiLevelType w:val="hybridMultilevel"/>
    <w:tmpl w:val="9B6C2F86"/>
    <w:lvl w:ilvl="0" w:tplc="515EE936">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82BC0B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5">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27"/>
  </w:num>
  <w:num w:numId="4">
    <w:abstractNumId w:val="2"/>
  </w:num>
  <w:num w:numId="5">
    <w:abstractNumId w:val="14"/>
  </w:num>
  <w:num w:numId="6">
    <w:abstractNumId w:val="0"/>
  </w:num>
  <w:num w:numId="7">
    <w:abstractNumId w:val="22"/>
  </w:num>
  <w:num w:numId="8">
    <w:abstractNumId w:val="8"/>
  </w:num>
  <w:num w:numId="9">
    <w:abstractNumId w:val="16"/>
  </w:num>
  <w:num w:numId="10">
    <w:abstractNumId w:val="3"/>
  </w:num>
  <w:num w:numId="11">
    <w:abstractNumId w:val="11"/>
  </w:num>
  <w:num w:numId="12">
    <w:abstractNumId w:val="15"/>
  </w:num>
  <w:num w:numId="13">
    <w:abstractNumId w:val="10"/>
  </w:num>
  <w:num w:numId="14">
    <w:abstractNumId w:val="24"/>
  </w:num>
  <w:num w:numId="15">
    <w:abstractNumId w:val="28"/>
  </w:num>
  <w:num w:numId="16">
    <w:abstractNumId w:val="9"/>
  </w:num>
  <w:num w:numId="17">
    <w:abstractNumId w:val="12"/>
  </w:num>
  <w:num w:numId="18">
    <w:abstractNumId w:val="26"/>
  </w:num>
  <w:num w:numId="19">
    <w:abstractNumId w:val="17"/>
  </w:num>
  <w:num w:numId="20">
    <w:abstractNumId w:val="4"/>
  </w:num>
  <w:num w:numId="21">
    <w:abstractNumId w:val="23"/>
  </w:num>
  <w:num w:numId="22">
    <w:abstractNumId w:val="19"/>
  </w:num>
  <w:num w:numId="23">
    <w:abstractNumId w:val="6"/>
  </w:num>
  <w:num w:numId="24">
    <w:abstractNumId w:val="25"/>
  </w:num>
  <w:num w:numId="25">
    <w:abstractNumId w:val="21"/>
  </w:num>
  <w:num w:numId="26">
    <w:abstractNumId w:val="5"/>
  </w:num>
  <w:num w:numId="27">
    <w:abstractNumId w:val="20"/>
  </w:num>
  <w:num w:numId="28">
    <w:abstractNumId w:val="1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07917"/>
    <w:rsid w:val="00030402"/>
    <w:rsid w:val="00071B65"/>
    <w:rsid w:val="000736A2"/>
    <w:rsid w:val="00086692"/>
    <w:rsid w:val="000D2D1B"/>
    <w:rsid w:val="00101C42"/>
    <w:rsid w:val="001527BE"/>
    <w:rsid w:val="00155312"/>
    <w:rsid w:val="00171E5D"/>
    <w:rsid w:val="00182A0D"/>
    <w:rsid w:val="001866D9"/>
    <w:rsid w:val="001936A8"/>
    <w:rsid w:val="001A4469"/>
    <w:rsid w:val="001D607D"/>
    <w:rsid w:val="001E638A"/>
    <w:rsid w:val="0020003C"/>
    <w:rsid w:val="00234283"/>
    <w:rsid w:val="002428DC"/>
    <w:rsid w:val="00244556"/>
    <w:rsid w:val="00252214"/>
    <w:rsid w:val="00283684"/>
    <w:rsid w:val="002A3D8D"/>
    <w:rsid w:val="002D3A5B"/>
    <w:rsid w:val="003103C4"/>
    <w:rsid w:val="00335C23"/>
    <w:rsid w:val="00337CE7"/>
    <w:rsid w:val="003723D9"/>
    <w:rsid w:val="00383CBB"/>
    <w:rsid w:val="00387058"/>
    <w:rsid w:val="00394A2F"/>
    <w:rsid w:val="003E3E86"/>
    <w:rsid w:val="003F02CA"/>
    <w:rsid w:val="00444F81"/>
    <w:rsid w:val="004C6525"/>
    <w:rsid w:val="004D6196"/>
    <w:rsid w:val="004F0B6B"/>
    <w:rsid w:val="004F0F64"/>
    <w:rsid w:val="00554DE1"/>
    <w:rsid w:val="00577870"/>
    <w:rsid w:val="00586A53"/>
    <w:rsid w:val="0059349F"/>
    <w:rsid w:val="006454F4"/>
    <w:rsid w:val="00671A99"/>
    <w:rsid w:val="00674243"/>
    <w:rsid w:val="0067697E"/>
    <w:rsid w:val="0068411B"/>
    <w:rsid w:val="00690F9A"/>
    <w:rsid w:val="006C5D18"/>
    <w:rsid w:val="006D1FA2"/>
    <w:rsid w:val="006F3FC6"/>
    <w:rsid w:val="00701460"/>
    <w:rsid w:val="007150F6"/>
    <w:rsid w:val="007179AF"/>
    <w:rsid w:val="00731BC4"/>
    <w:rsid w:val="00747E25"/>
    <w:rsid w:val="007863D3"/>
    <w:rsid w:val="00787B7C"/>
    <w:rsid w:val="00793D7D"/>
    <w:rsid w:val="007B7DB3"/>
    <w:rsid w:val="00802A74"/>
    <w:rsid w:val="008451FE"/>
    <w:rsid w:val="00873233"/>
    <w:rsid w:val="008F0B46"/>
    <w:rsid w:val="00901950"/>
    <w:rsid w:val="00914E33"/>
    <w:rsid w:val="00915DAE"/>
    <w:rsid w:val="00921E31"/>
    <w:rsid w:val="00923AC9"/>
    <w:rsid w:val="0094040B"/>
    <w:rsid w:val="009634F3"/>
    <w:rsid w:val="00963593"/>
    <w:rsid w:val="00996EEB"/>
    <w:rsid w:val="009B1BF2"/>
    <w:rsid w:val="009B6060"/>
    <w:rsid w:val="009C3418"/>
    <w:rsid w:val="009F5E4D"/>
    <w:rsid w:val="009F6320"/>
    <w:rsid w:val="00A05BC0"/>
    <w:rsid w:val="00A126FA"/>
    <w:rsid w:val="00A25C56"/>
    <w:rsid w:val="00A47141"/>
    <w:rsid w:val="00A500A6"/>
    <w:rsid w:val="00A96446"/>
    <w:rsid w:val="00AA5A30"/>
    <w:rsid w:val="00AB0F65"/>
    <w:rsid w:val="00AC0174"/>
    <w:rsid w:val="00AD1793"/>
    <w:rsid w:val="00AE61C7"/>
    <w:rsid w:val="00B17C5F"/>
    <w:rsid w:val="00B677C4"/>
    <w:rsid w:val="00B71A20"/>
    <w:rsid w:val="00B861D4"/>
    <w:rsid w:val="00B928FB"/>
    <w:rsid w:val="00BB6311"/>
    <w:rsid w:val="00C070C8"/>
    <w:rsid w:val="00C10DE8"/>
    <w:rsid w:val="00C63E52"/>
    <w:rsid w:val="00C67E15"/>
    <w:rsid w:val="00C96CBF"/>
    <w:rsid w:val="00C978C9"/>
    <w:rsid w:val="00D1753C"/>
    <w:rsid w:val="00D2365D"/>
    <w:rsid w:val="00D545E4"/>
    <w:rsid w:val="00DC4178"/>
    <w:rsid w:val="00DD7C01"/>
    <w:rsid w:val="00DE739D"/>
    <w:rsid w:val="00E1242A"/>
    <w:rsid w:val="00E528E0"/>
    <w:rsid w:val="00E90867"/>
    <w:rsid w:val="00E95119"/>
    <w:rsid w:val="00EC042A"/>
    <w:rsid w:val="00F0622C"/>
    <w:rsid w:val="00F10E92"/>
    <w:rsid w:val="00F34A55"/>
    <w:rsid w:val="00F34B6F"/>
    <w:rsid w:val="00F41703"/>
    <w:rsid w:val="00F7168A"/>
    <w:rsid w:val="00F81AF1"/>
    <w:rsid w:val="00F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ftref,fr,16 Point,Superscript 6 Point,Footnote Reference Number,Times 10 Point,Exposant 3 Point,Footnote symbol,Footnote reference number,EN Footnote Reference,note TESI,BVI fnr,Error-Fußnotenzeichen5,Error-Fußnotenzeichen6, BVI fnr"/>
    <w:basedOn w:val="DefaultParagraphFont"/>
    <w:rsid w:val="00731BC4"/>
    <w:rPr>
      <w:vertAlign w:val="superscript"/>
    </w:rPr>
  </w:style>
  <w:style w:type="paragraph" w:styleId="FootnoteText">
    <w:name w:val="footnote text"/>
    <w:aliases w:val="FOOTNOTES,fn,single space,footnote text,ft,Footnote Text Char1,Footnote Text Char2,Footnote Text Char3,Footnote Text Char4,Geneva 9,Font: Geneva 9,Boston 10,f,Footnote Text Char Char Char Char Char Char,ADB,WB-Fußnotentext,Footnote,Fußnote"/>
    <w:basedOn w:val="Normal"/>
    <w:link w:val="FootnoteTextChar"/>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ft Char,Footnote Text Char1 Char,Footnote Text Char2 Char,Footnote Text Char3 Char,Footnote Text Char4 Char,Geneva 9 Char,Font: Geneva 9 Char,Boston 10 Char,f Char,ADB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character" w:customStyle="1" w:styleId="ColorfulList-Accent1Char">
    <w:name w:val="Colorful List - Accent 1 Char"/>
    <w:aliases w:val="References Char,ReferencesCxSpLast Char,lp1 Char,List Paragraph (numbered (a)) Char"/>
    <w:link w:val="ColorfulList-Accent1"/>
    <w:uiPriority w:val="34"/>
    <w:rsid w:val="006454F4"/>
    <w:rPr>
      <w:rFonts w:ascii="Times New Roman" w:eastAsia="Cambria" w:hAnsi="Times New Roman"/>
      <w:iCs/>
      <w:sz w:val="24"/>
      <w:szCs w:val="24"/>
    </w:rPr>
  </w:style>
  <w:style w:type="table" w:styleId="ColorfulList-Accent1">
    <w:name w:val="Colorful List Accent 1"/>
    <w:basedOn w:val="TableNormal"/>
    <w:link w:val="ColorfulList-Accent1Char"/>
    <w:uiPriority w:val="34"/>
    <w:rsid w:val="006454F4"/>
    <w:rPr>
      <w:rFonts w:eastAsia="Cambria"/>
      <w:iCs/>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rsid w:val="00B928FB"/>
    <w:pPr>
      <w:autoSpaceDE w:val="0"/>
      <w:autoSpaceDN w:val="0"/>
      <w:adjustRightInd w:val="0"/>
    </w:pPr>
    <w:rPr>
      <w:rFonts w:eastAsia="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ftref,fr,16 Point,Superscript 6 Point,Footnote Reference Number,Times 10 Point,Exposant 3 Point,Footnote symbol,Footnote reference number,EN Footnote Reference,note TESI,BVI fnr,Error-Fußnotenzeichen5,Error-Fußnotenzeichen6, BVI fnr"/>
    <w:basedOn w:val="DefaultParagraphFont"/>
    <w:rsid w:val="00731BC4"/>
    <w:rPr>
      <w:vertAlign w:val="superscript"/>
    </w:rPr>
  </w:style>
  <w:style w:type="paragraph" w:styleId="FootnoteText">
    <w:name w:val="footnote text"/>
    <w:aliases w:val="FOOTNOTES,fn,single space,footnote text,ft,Footnote Text Char1,Footnote Text Char2,Footnote Text Char3,Footnote Text Char4,Geneva 9,Font: Geneva 9,Boston 10,f,Footnote Text Char Char Char Char Char Char,ADB,WB-Fußnotentext,Footnote,Fußnote"/>
    <w:basedOn w:val="Normal"/>
    <w:link w:val="FootnoteTextChar"/>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ft Char,Footnote Text Char1 Char,Footnote Text Char2 Char,Footnote Text Char3 Char,Footnote Text Char4 Char,Geneva 9 Char,Font: Geneva 9 Char,Boston 10 Char,f Char,ADB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character" w:customStyle="1" w:styleId="ColorfulList-Accent1Char">
    <w:name w:val="Colorful List - Accent 1 Char"/>
    <w:aliases w:val="References Char,ReferencesCxSpLast Char,lp1 Char,List Paragraph (numbered (a)) Char"/>
    <w:link w:val="ColorfulList-Accent1"/>
    <w:uiPriority w:val="34"/>
    <w:rsid w:val="006454F4"/>
    <w:rPr>
      <w:rFonts w:ascii="Times New Roman" w:eastAsia="Cambria" w:hAnsi="Times New Roman"/>
      <w:iCs/>
      <w:sz w:val="24"/>
      <w:szCs w:val="24"/>
    </w:rPr>
  </w:style>
  <w:style w:type="table" w:styleId="ColorfulList-Accent1">
    <w:name w:val="Colorful List Accent 1"/>
    <w:basedOn w:val="TableNormal"/>
    <w:link w:val="ColorfulList-Accent1Char"/>
    <w:uiPriority w:val="34"/>
    <w:rsid w:val="006454F4"/>
    <w:rPr>
      <w:rFonts w:eastAsia="Cambria"/>
      <w:iCs/>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rsid w:val="00B928FB"/>
    <w:pPr>
      <w:autoSpaceDE w:val="0"/>
      <w:autoSpaceDN w:val="0"/>
      <w:adjustRightInd w:val="0"/>
    </w:pPr>
    <w:rPr>
      <w:rFonts w:eastAsia="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69132-A9A9-4D85-B52A-A41B1C8D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1138</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7856</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Kiran Afzal</cp:lastModifiedBy>
  <cp:revision>5</cp:revision>
  <cp:lastPrinted>2009-11-17T16:33:00Z</cp:lastPrinted>
  <dcterms:created xsi:type="dcterms:W3CDTF">2014-03-31T10:37:00Z</dcterms:created>
  <dcterms:modified xsi:type="dcterms:W3CDTF">2014-03-31T10:39:00Z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AB7501</vt:lpwstr>
  </property>
  <property fmtid="{D5CDD505-2E9C-101B-9397-08002B2CF9AE}" pid="3" name="TEAMLEADER">
    <vt:lpwstr>Mr Gabi George Afram</vt:lpwstr>
  </property>
</Properties>
</file>