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charts/colors8.xml" ContentType="application/vnd.ms-office.chartcolorstyle+xml"/>
  <Override PartName="/word/charts/style8.xml" ContentType="application/vnd.ms-office.chartstyle+xml"/>
  <Override PartName="/word/charts/chart8.xml" ContentType="application/vnd.openxmlformats-officedocument.drawingml.chart+xml"/>
  <Override PartName="/word/charts/colors7.xml" ContentType="application/vnd.ms-office.chartcolorstyle+xml"/>
  <Override PartName="/word/theme/theme1.xml" ContentType="application/vnd.openxmlformats-officedocument.theme+xml"/>
  <Override PartName="/word/charts/style7.xml" ContentType="application/vnd.ms-office.chartstyle+xml"/>
  <Override PartName="/word/charts/colors6.xml" ContentType="application/vnd.ms-office.chartcolorstyle+xml"/>
  <Override PartName="/word/charts/colors2.xml" ContentType="application/vnd.ms-office.chartcolorstyle+xml"/>
  <Override PartName="/word/charts/chart3.xml" ContentType="application/vnd.openxmlformats-officedocument.drawingml.chart+xml"/>
  <Override PartName="/word/charts/chart7.xml" ContentType="application/vnd.openxmlformats-officedocument.drawingml.chart+xml"/>
  <Override PartName="/word/charts/colors3.xml" ContentType="application/vnd.ms-office.chartcolorstyle+xml"/>
  <Override PartName="/word/charts/style2.xml" ContentType="application/vnd.ms-office.chartstyle+xml"/>
  <Override PartName="/word/charts/chart2.xml" ContentType="application/vnd.openxmlformats-officedocument.drawingml.chart+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charts/style3.xml" ContentType="application/vnd.ms-office.chartstyle+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hart5.xml" ContentType="application/vnd.openxmlformats-officedocument.drawingml.chart+xml"/>
  <Override PartName="/word/charts/colors4.xml" ContentType="application/vnd.ms-office.chartcolorstyle+xml"/>
  <Override PartName="/word/charts/chart4.xml" ContentType="application/vnd.openxmlformats-officedocument.drawingml.chart+xml"/>
  <Override PartName="/word/charts/style4.xml" ContentType="application/vnd.ms-office.chartstyl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B16D" w14:textId="77777777" w:rsidR="004A2B91" w:rsidRDefault="004A2B91" w:rsidP="00D26995">
      <w:pPr>
        <w:jc w:val="right"/>
      </w:pPr>
    </w:p>
    <w:p w14:paraId="55D1D463" w14:textId="3068F4E6" w:rsidR="00B923BA" w:rsidRDefault="00B923BA" w:rsidP="00D26995">
      <w:pPr>
        <w:jc w:val="right"/>
      </w:pPr>
    </w:p>
    <w:p w14:paraId="25D22EBD" w14:textId="77777777" w:rsidR="00D26995" w:rsidRDefault="00D26995" w:rsidP="00844A57">
      <w:pPr>
        <w:rPr>
          <w:b/>
          <w:sz w:val="56"/>
        </w:rPr>
      </w:pPr>
    </w:p>
    <w:p w14:paraId="115655D7" w14:textId="26C40092" w:rsidR="009C49F5" w:rsidRDefault="0080334F" w:rsidP="0080334F">
      <w:pPr>
        <w:tabs>
          <w:tab w:val="left" w:pos="6228"/>
        </w:tabs>
        <w:rPr>
          <w:b/>
          <w:sz w:val="56"/>
        </w:rPr>
      </w:pPr>
      <w:r>
        <w:rPr>
          <w:b/>
          <w:sz w:val="56"/>
        </w:rPr>
        <w:tab/>
      </w:r>
    </w:p>
    <w:p w14:paraId="32855CD0" w14:textId="77777777" w:rsidR="005B0431" w:rsidRDefault="0055462B" w:rsidP="00183A67">
      <w:pPr>
        <w:pStyle w:val="Heading1"/>
        <w:jc w:val="right"/>
        <w:rPr>
          <w:b/>
          <w:sz w:val="52"/>
          <w:szCs w:val="52"/>
        </w:rPr>
      </w:pPr>
      <w:r>
        <w:rPr>
          <w:b/>
          <w:sz w:val="52"/>
          <w:szCs w:val="52"/>
        </w:rPr>
        <w:t xml:space="preserve">Kosovo: A Future of </w:t>
      </w:r>
    </w:p>
    <w:p w14:paraId="508DAB2A" w14:textId="7D369880" w:rsidR="005B7AB0" w:rsidRPr="00183A67" w:rsidRDefault="0055462B" w:rsidP="00183A67">
      <w:pPr>
        <w:pStyle w:val="Heading1"/>
        <w:jc w:val="right"/>
        <w:rPr>
          <w:b/>
          <w:sz w:val="52"/>
          <w:szCs w:val="52"/>
        </w:rPr>
      </w:pPr>
      <w:r>
        <w:rPr>
          <w:b/>
          <w:sz w:val="52"/>
          <w:szCs w:val="52"/>
        </w:rPr>
        <w:t>Green Transport and Clean Air</w:t>
      </w:r>
      <w:r w:rsidR="005B7AB0" w:rsidRPr="00183A67">
        <w:rPr>
          <w:b/>
          <w:sz w:val="52"/>
          <w:szCs w:val="52"/>
        </w:rPr>
        <w:t xml:space="preserve"> </w:t>
      </w:r>
    </w:p>
    <w:p w14:paraId="6E7CB295" w14:textId="54A786D3" w:rsidR="00D26995" w:rsidRDefault="00D26995" w:rsidP="00D26995"/>
    <w:p w14:paraId="717DF54E" w14:textId="021394B7" w:rsidR="00B97B3C" w:rsidRDefault="00B97B3C" w:rsidP="00D26995"/>
    <w:p w14:paraId="443CE874" w14:textId="6FAE77EA" w:rsidR="003F173E" w:rsidRDefault="003F173E" w:rsidP="00D26995"/>
    <w:p w14:paraId="133B51AF" w14:textId="77777777" w:rsidR="003F173E" w:rsidRDefault="003F173E" w:rsidP="00D26995"/>
    <w:p w14:paraId="2B44BB73" w14:textId="076FD382" w:rsidR="00D26995" w:rsidRPr="00B94575" w:rsidRDefault="00D26995" w:rsidP="009C49F5">
      <w:pPr>
        <w:pStyle w:val="NoSpacing"/>
        <w:jc w:val="right"/>
        <w:rPr>
          <w:sz w:val="2"/>
        </w:rPr>
      </w:pPr>
      <w:r>
        <w:rPr>
          <w:noProof/>
          <w:sz w:val="2"/>
        </w:rPr>
        <w:t xml:space="preserve">  </w:t>
      </w:r>
    </w:p>
    <w:p w14:paraId="4AAA81A6" w14:textId="6673F062" w:rsidR="00AE6E53" w:rsidRDefault="00AE6E53" w:rsidP="009C49F5">
      <w:pPr>
        <w:pStyle w:val="NoSpacing"/>
        <w:rPr>
          <w:b/>
          <w:sz w:val="56"/>
        </w:rPr>
      </w:pPr>
    </w:p>
    <w:p w14:paraId="50B8E109" w14:textId="50B316A0" w:rsidR="00AE6E53" w:rsidRPr="00454FEC" w:rsidRDefault="00942E58" w:rsidP="009C49F5">
      <w:pPr>
        <w:pStyle w:val="NoSpacing"/>
        <w:rPr>
          <w:b/>
          <w:sz w:val="56"/>
        </w:rPr>
      </w:pPr>
      <w:r w:rsidRPr="00797B1F">
        <w:rPr>
          <w:i/>
          <w:noProof/>
          <w:lang w:eastAsia="zh-CN"/>
        </w:rPr>
        <w:drawing>
          <wp:anchor distT="0" distB="0" distL="114300" distR="114300" simplePos="0" relativeHeight="251659264" behindDoc="0" locked="0" layoutInCell="1" allowOverlap="1" wp14:anchorId="65062086" wp14:editId="244CAE5F">
            <wp:simplePos x="0" y="0"/>
            <wp:positionH relativeFrom="margin">
              <wp:posOffset>3046730</wp:posOffset>
            </wp:positionH>
            <wp:positionV relativeFrom="margin">
              <wp:posOffset>4516120</wp:posOffset>
            </wp:positionV>
            <wp:extent cx="2644140" cy="518795"/>
            <wp:effectExtent l="0" t="0" r="3810" b="0"/>
            <wp:wrapSquare wrapText="bothSides"/>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WBG-Transport-Horizontal-RGB-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4140" cy="518795"/>
                    </a:xfrm>
                    <a:prstGeom prst="rect">
                      <a:avLst/>
                    </a:prstGeom>
                  </pic:spPr>
                </pic:pic>
              </a:graphicData>
            </a:graphic>
            <wp14:sizeRelH relativeFrom="margin">
              <wp14:pctWidth>0</wp14:pctWidth>
            </wp14:sizeRelH>
            <wp14:sizeRelV relativeFrom="margin">
              <wp14:pctHeight>0</wp14:pctHeight>
            </wp14:sizeRelV>
          </wp:anchor>
        </w:drawing>
      </w:r>
    </w:p>
    <w:p w14:paraId="1CC9C916" w14:textId="4587F266" w:rsidR="00D26995" w:rsidRDefault="00D26995"/>
    <w:p w14:paraId="5A2D3FDB" w14:textId="719F528F" w:rsidR="00D26995" w:rsidRDefault="00D26995"/>
    <w:p w14:paraId="3DBB8EF9" w14:textId="5F68AF10" w:rsidR="00D26995" w:rsidRDefault="00D26995"/>
    <w:p w14:paraId="4E10D307" w14:textId="767C81B1" w:rsidR="00D26995" w:rsidRDefault="00D26995"/>
    <w:p w14:paraId="21884E73" w14:textId="75ED8A81" w:rsidR="00D26995" w:rsidRDefault="00D6548E" w:rsidP="004E5E0C">
      <w:pPr>
        <w:pStyle w:val="Heading1"/>
        <w:tabs>
          <w:tab w:val="left" w:pos="2508"/>
        </w:tabs>
      </w:pPr>
      <w:bookmarkStart w:id="0" w:name="_Toc7256789"/>
      <w:r>
        <w:br w:type="column"/>
      </w:r>
      <w:r w:rsidR="00D26995">
        <w:lastRenderedPageBreak/>
        <w:t>Abbreviations</w:t>
      </w:r>
      <w:bookmarkEnd w:id="0"/>
    </w:p>
    <w:p w14:paraId="6E5AA79D" w14:textId="26DD2594" w:rsidR="00D26995" w:rsidRDefault="00D26995" w:rsidP="00D26995"/>
    <w:p w14:paraId="64FDB932" w14:textId="77777777" w:rsidR="00445D54" w:rsidRDefault="00445D54" w:rsidP="00445D54">
      <w:pPr>
        <w:pStyle w:val="NoSpacing"/>
        <w:tabs>
          <w:tab w:val="left" w:pos="1418"/>
        </w:tabs>
        <w:rPr>
          <w:sz w:val="20"/>
          <w:szCs w:val="20"/>
        </w:rPr>
      </w:pPr>
      <w:bookmarkStart w:id="1" w:name="_Hlk4226561"/>
      <w:r w:rsidRPr="004E2C67">
        <w:rPr>
          <w:sz w:val="20"/>
          <w:szCs w:val="20"/>
        </w:rPr>
        <w:t>AC</w:t>
      </w:r>
      <w:r w:rsidRPr="004E2C67">
        <w:rPr>
          <w:sz w:val="20"/>
          <w:szCs w:val="20"/>
        </w:rPr>
        <w:tab/>
        <w:t>Air Conditioning</w:t>
      </w:r>
    </w:p>
    <w:p w14:paraId="74B6AF51" w14:textId="77777777" w:rsidR="00445D54" w:rsidRDefault="00445D54" w:rsidP="00445D54">
      <w:pPr>
        <w:pStyle w:val="NoSpacing"/>
        <w:tabs>
          <w:tab w:val="left" w:pos="1418"/>
        </w:tabs>
        <w:rPr>
          <w:sz w:val="20"/>
          <w:szCs w:val="20"/>
        </w:rPr>
      </w:pPr>
      <w:r>
        <w:rPr>
          <w:sz w:val="20"/>
          <w:szCs w:val="20"/>
        </w:rPr>
        <w:t>ADB</w:t>
      </w:r>
      <w:r>
        <w:rPr>
          <w:sz w:val="20"/>
          <w:szCs w:val="20"/>
        </w:rPr>
        <w:tab/>
        <w:t>Asian Development Bank</w:t>
      </w:r>
    </w:p>
    <w:p w14:paraId="1F70B5CE" w14:textId="77777777" w:rsidR="00445D54" w:rsidRDefault="00445D54" w:rsidP="00445D54">
      <w:pPr>
        <w:pStyle w:val="NoSpacing"/>
        <w:tabs>
          <w:tab w:val="left" w:pos="1418"/>
        </w:tabs>
        <w:rPr>
          <w:sz w:val="20"/>
          <w:szCs w:val="20"/>
        </w:rPr>
      </w:pPr>
      <w:r>
        <w:rPr>
          <w:sz w:val="20"/>
          <w:szCs w:val="20"/>
        </w:rPr>
        <w:t>ASI</w:t>
      </w:r>
      <w:r>
        <w:rPr>
          <w:sz w:val="20"/>
          <w:szCs w:val="20"/>
        </w:rPr>
        <w:tab/>
        <w:t>Avoid – Shift - Improve</w:t>
      </w:r>
    </w:p>
    <w:p w14:paraId="41FB7195" w14:textId="77777777" w:rsidR="00445D54" w:rsidRPr="004E2C67" w:rsidRDefault="00445D54" w:rsidP="00445D54">
      <w:pPr>
        <w:pStyle w:val="NoSpacing"/>
        <w:tabs>
          <w:tab w:val="left" w:pos="1418"/>
        </w:tabs>
        <w:rPr>
          <w:sz w:val="20"/>
          <w:szCs w:val="20"/>
        </w:rPr>
      </w:pPr>
      <w:r w:rsidRPr="004E2C67">
        <w:rPr>
          <w:sz w:val="20"/>
          <w:szCs w:val="20"/>
        </w:rPr>
        <w:t>BAU</w:t>
      </w:r>
      <w:r w:rsidRPr="004E2C67">
        <w:rPr>
          <w:sz w:val="20"/>
          <w:szCs w:val="20"/>
        </w:rPr>
        <w:tab/>
        <w:t>Business as Usual</w:t>
      </w:r>
    </w:p>
    <w:p w14:paraId="6641417C" w14:textId="77777777" w:rsidR="00445D54" w:rsidRPr="004E2C67" w:rsidRDefault="00445D54" w:rsidP="00445D54">
      <w:pPr>
        <w:pStyle w:val="NoSpacing"/>
        <w:tabs>
          <w:tab w:val="left" w:pos="1418"/>
        </w:tabs>
        <w:rPr>
          <w:sz w:val="20"/>
          <w:szCs w:val="20"/>
        </w:rPr>
      </w:pPr>
      <w:r w:rsidRPr="004E2C67">
        <w:rPr>
          <w:sz w:val="20"/>
          <w:szCs w:val="20"/>
        </w:rPr>
        <w:t>BC</w:t>
      </w:r>
      <w:r w:rsidRPr="004E2C67">
        <w:rPr>
          <w:sz w:val="20"/>
          <w:szCs w:val="20"/>
        </w:rPr>
        <w:tab/>
        <w:t>Black Carbon</w:t>
      </w:r>
    </w:p>
    <w:p w14:paraId="707A2283" w14:textId="77777777" w:rsidR="00445D54" w:rsidRPr="004E2C67" w:rsidRDefault="00445D54" w:rsidP="00445D54">
      <w:pPr>
        <w:pStyle w:val="NoSpacing"/>
        <w:tabs>
          <w:tab w:val="left" w:pos="1418"/>
        </w:tabs>
        <w:rPr>
          <w:sz w:val="20"/>
          <w:szCs w:val="20"/>
        </w:rPr>
      </w:pPr>
      <w:r w:rsidRPr="004E2C67">
        <w:rPr>
          <w:sz w:val="20"/>
          <w:szCs w:val="20"/>
        </w:rPr>
        <w:t>BEB</w:t>
      </w:r>
      <w:r w:rsidRPr="004E2C67">
        <w:rPr>
          <w:sz w:val="20"/>
          <w:szCs w:val="20"/>
        </w:rPr>
        <w:tab/>
        <w:t>Battery Electric Bus</w:t>
      </w:r>
    </w:p>
    <w:p w14:paraId="188AEE15" w14:textId="77777777" w:rsidR="00445D54" w:rsidRDefault="00445D54" w:rsidP="00445D54">
      <w:pPr>
        <w:pStyle w:val="NoSpacing"/>
        <w:tabs>
          <w:tab w:val="left" w:pos="1418"/>
        </w:tabs>
        <w:rPr>
          <w:sz w:val="20"/>
          <w:szCs w:val="20"/>
        </w:rPr>
      </w:pPr>
      <w:r>
        <w:rPr>
          <w:sz w:val="20"/>
          <w:szCs w:val="20"/>
        </w:rPr>
        <w:t>BRT</w:t>
      </w:r>
      <w:r>
        <w:rPr>
          <w:sz w:val="20"/>
          <w:szCs w:val="20"/>
        </w:rPr>
        <w:tab/>
        <w:t>Bus Rapid Transit</w:t>
      </w:r>
    </w:p>
    <w:p w14:paraId="24DC6416" w14:textId="77777777" w:rsidR="00445D54" w:rsidRPr="004E2C67" w:rsidRDefault="00445D54" w:rsidP="00445D54">
      <w:pPr>
        <w:pStyle w:val="NoSpacing"/>
        <w:tabs>
          <w:tab w:val="left" w:pos="1418"/>
        </w:tabs>
        <w:rPr>
          <w:sz w:val="20"/>
          <w:szCs w:val="20"/>
        </w:rPr>
      </w:pPr>
      <w:r w:rsidRPr="004E2C67">
        <w:rPr>
          <w:sz w:val="20"/>
          <w:szCs w:val="20"/>
        </w:rPr>
        <w:t>CAPEX</w:t>
      </w:r>
      <w:r w:rsidRPr="004E2C67">
        <w:rPr>
          <w:sz w:val="20"/>
          <w:szCs w:val="20"/>
        </w:rPr>
        <w:tab/>
        <w:t>Capital Expenditure</w:t>
      </w:r>
    </w:p>
    <w:p w14:paraId="35F86C45" w14:textId="77777777" w:rsidR="00445D54" w:rsidRPr="004E2C67" w:rsidRDefault="00445D54" w:rsidP="00445D54">
      <w:pPr>
        <w:pStyle w:val="NoSpacing"/>
        <w:tabs>
          <w:tab w:val="left" w:pos="1418"/>
        </w:tabs>
        <w:rPr>
          <w:sz w:val="20"/>
          <w:szCs w:val="20"/>
        </w:rPr>
      </w:pPr>
      <w:r w:rsidRPr="004E2C67">
        <w:rPr>
          <w:sz w:val="20"/>
          <w:szCs w:val="20"/>
        </w:rPr>
        <w:t>CNG</w:t>
      </w:r>
      <w:r w:rsidRPr="004E2C67">
        <w:rPr>
          <w:sz w:val="20"/>
          <w:szCs w:val="20"/>
        </w:rPr>
        <w:tab/>
        <w:t>Compressed Natural Gas</w:t>
      </w:r>
    </w:p>
    <w:p w14:paraId="165E6976" w14:textId="77777777" w:rsidR="00445D54" w:rsidRDefault="00445D54" w:rsidP="00445D54">
      <w:pPr>
        <w:pStyle w:val="NoSpacing"/>
        <w:tabs>
          <w:tab w:val="left" w:pos="1418"/>
        </w:tabs>
        <w:rPr>
          <w:sz w:val="20"/>
          <w:szCs w:val="20"/>
        </w:rPr>
      </w:pPr>
      <w:r>
        <w:rPr>
          <w:sz w:val="20"/>
          <w:szCs w:val="20"/>
        </w:rPr>
        <w:t>EBRD</w:t>
      </w:r>
      <w:r>
        <w:rPr>
          <w:sz w:val="20"/>
          <w:szCs w:val="20"/>
        </w:rPr>
        <w:tab/>
        <w:t>European Bank for Reconstruction and Development</w:t>
      </w:r>
    </w:p>
    <w:p w14:paraId="3F0097E7" w14:textId="77777777" w:rsidR="00445D54" w:rsidRDefault="00445D54" w:rsidP="00445D54">
      <w:pPr>
        <w:pStyle w:val="NoSpacing"/>
        <w:tabs>
          <w:tab w:val="left" w:pos="1418"/>
        </w:tabs>
        <w:rPr>
          <w:sz w:val="20"/>
          <w:szCs w:val="20"/>
        </w:rPr>
      </w:pPr>
      <w:r>
        <w:rPr>
          <w:sz w:val="20"/>
          <w:szCs w:val="20"/>
        </w:rPr>
        <w:t>EOBD</w:t>
      </w:r>
      <w:r>
        <w:rPr>
          <w:sz w:val="20"/>
          <w:szCs w:val="20"/>
        </w:rPr>
        <w:tab/>
      </w:r>
      <w:r w:rsidRPr="00732685">
        <w:rPr>
          <w:sz w:val="20"/>
          <w:szCs w:val="20"/>
        </w:rPr>
        <w:t>European On-Board Diagnostic System</w:t>
      </w:r>
    </w:p>
    <w:p w14:paraId="14D05010" w14:textId="77777777" w:rsidR="00445D54" w:rsidRDefault="00445D54" w:rsidP="00445D54">
      <w:pPr>
        <w:pStyle w:val="NoSpacing"/>
        <w:tabs>
          <w:tab w:val="left" w:pos="1418"/>
        </w:tabs>
        <w:rPr>
          <w:sz w:val="20"/>
          <w:szCs w:val="20"/>
        </w:rPr>
      </w:pPr>
      <w:r>
        <w:rPr>
          <w:sz w:val="20"/>
          <w:szCs w:val="20"/>
        </w:rPr>
        <w:t>EU</w:t>
      </w:r>
      <w:r>
        <w:rPr>
          <w:sz w:val="20"/>
          <w:szCs w:val="20"/>
        </w:rPr>
        <w:tab/>
        <w:t>European Union</w:t>
      </w:r>
    </w:p>
    <w:p w14:paraId="169C32CF" w14:textId="77777777" w:rsidR="00445D54" w:rsidRPr="004E2C67" w:rsidRDefault="00445D54" w:rsidP="00445D54">
      <w:pPr>
        <w:pStyle w:val="NoSpacing"/>
        <w:tabs>
          <w:tab w:val="left" w:pos="1418"/>
        </w:tabs>
        <w:rPr>
          <w:sz w:val="20"/>
          <w:szCs w:val="20"/>
        </w:rPr>
      </w:pPr>
      <w:r w:rsidRPr="004E2C67">
        <w:rPr>
          <w:sz w:val="20"/>
          <w:szCs w:val="20"/>
        </w:rPr>
        <w:t>EV</w:t>
      </w:r>
      <w:r w:rsidRPr="004E2C67">
        <w:rPr>
          <w:sz w:val="20"/>
          <w:szCs w:val="20"/>
        </w:rPr>
        <w:tab/>
        <w:t>Electric Vehicle</w:t>
      </w:r>
    </w:p>
    <w:p w14:paraId="0155DD22" w14:textId="77777777" w:rsidR="00445D54" w:rsidRDefault="00445D54" w:rsidP="00445D54">
      <w:pPr>
        <w:pStyle w:val="NoSpacing"/>
        <w:tabs>
          <w:tab w:val="left" w:pos="1418"/>
        </w:tabs>
        <w:rPr>
          <w:sz w:val="20"/>
          <w:szCs w:val="20"/>
        </w:rPr>
      </w:pPr>
      <w:r>
        <w:rPr>
          <w:sz w:val="20"/>
          <w:szCs w:val="20"/>
        </w:rPr>
        <w:t>FCEV</w:t>
      </w:r>
      <w:r>
        <w:rPr>
          <w:sz w:val="20"/>
          <w:szCs w:val="20"/>
        </w:rPr>
        <w:tab/>
        <w:t>Fuel Cell Electric Vehicle</w:t>
      </w:r>
    </w:p>
    <w:p w14:paraId="56112217" w14:textId="77777777" w:rsidR="00445D54" w:rsidRDefault="00445D54" w:rsidP="00445D54">
      <w:pPr>
        <w:pStyle w:val="NoSpacing"/>
        <w:tabs>
          <w:tab w:val="left" w:pos="1418"/>
        </w:tabs>
        <w:rPr>
          <w:sz w:val="20"/>
          <w:szCs w:val="20"/>
        </w:rPr>
      </w:pPr>
      <w:r>
        <w:rPr>
          <w:sz w:val="20"/>
          <w:szCs w:val="20"/>
        </w:rPr>
        <w:t>GDP</w:t>
      </w:r>
      <w:r>
        <w:rPr>
          <w:sz w:val="20"/>
          <w:szCs w:val="20"/>
        </w:rPr>
        <w:tab/>
        <w:t>Gross Domestic Product</w:t>
      </w:r>
    </w:p>
    <w:p w14:paraId="6A55A3CC" w14:textId="77777777" w:rsidR="00445D54" w:rsidRPr="004E2C67" w:rsidRDefault="00445D54" w:rsidP="00445D54">
      <w:pPr>
        <w:pStyle w:val="NoSpacing"/>
        <w:tabs>
          <w:tab w:val="left" w:pos="1418"/>
        </w:tabs>
        <w:rPr>
          <w:sz w:val="20"/>
          <w:szCs w:val="20"/>
        </w:rPr>
      </w:pPr>
      <w:r w:rsidRPr="004E2C67">
        <w:rPr>
          <w:sz w:val="20"/>
          <w:szCs w:val="20"/>
        </w:rPr>
        <w:t>GHG</w:t>
      </w:r>
      <w:r w:rsidRPr="004E2C67">
        <w:rPr>
          <w:sz w:val="20"/>
          <w:szCs w:val="20"/>
        </w:rPr>
        <w:tab/>
        <w:t>Greenhouse Gas</w:t>
      </w:r>
    </w:p>
    <w:p w14:paraId="7279AD70" w14:textId="77777777" w:rsidR="00445D54" w:rsidRPr="004E2C67" w:rsidRDefault="00445D54" w:rsidP="00445D54">
      <w:pPr>
        <w:pStyle w:val="NoSpacing"/>
        <w:tabs>
          <w:tab w:val="left" w:pos="1418"/>
        </w:tabs>
        <w:rPr>
          <w:sz w:val="20"/>
          <w:szCs w:val="20"/>
        </w:rPr>
      </w:pPr>
      <w:r w:rsidRPr="004E2C67">
        <w:rPr>
          <w:sz w:val="20"/>
          <w:szCs w:val="20"/>
        </w:rPr>
        <w:t>GWP</w:t>
      </w:r>
      <w:r w:rsidRPr="004E2C67">
        <w:rPr>
          <w:sz w:val="20"/>
          <w:szCs w:val="20"/>
        </w:rPr>
        <w:tab/>
        <w:t>Global Warming Potential</w:t>
      </w:r>
    </w:p>
    <w:p w14:paraId="40FF83D8" w14:textId="77777777" w:rsidR="00445D54" w:rsidRPr="004E2C67" w:rsidRDefault="00445D54" w:rsidP="00445D54">
      <w:pPr>
        <w:pStyle w:val="NoSpacing"/>
        <w:tabs>
          <w:tab w:val="left" w:pos="1418"/>
        </w:tabs>
        <w:rPr>
          <w:sz w:val="20"/>
          <w:szCs w:val="20"/>
        </w:rPr>
      </w:pPr>
      <w:r w:rsidRPr="004E2C67">
        <w:rPr>
          <w:sz w:val="20"/>
          <w:szCs w:val="20"/>
        </w:rPr>
        <w:t>HDV</w:t>
      </w:r>
      <w:r w:rsidRPr="004E2C67">
        <w:rPr>
          <w:sz w:val="20"/>
          <w:szCs w:val="20"/>
        </w:rPr>
        <w:tab/>
        <w:t>Heavy Duty Vehicle</w:t>
      </w:r>
    </w:p>
    <w:p w14:paraId="2571CD83" w14:textId="77777777" w:rsidR="00445D54" w:rsidRPr="004E2C67" w:rsidRDefault="00445D54" w:rsidP="00445D54">
      <w:pPr>
        <w:pStyle w:val="NoSpacing"/>
        <w:tabs>
          <w:tab w:val="left" w:pos="1418"/>
        </w:tabs>
        <w:rPr>
          <w:sz w:val="20"/>
          <w:szCs w:val="20"/>
        </w:rPr>
      </w:pPr>
      <w:r w:rsidRPr="004E2C67">
        <w:rPr>
          <w:sz w:val="20"/>
          <w:szCs w:val="20"/>
        </w:rPr>
        <w:t>IEA</w:t>
      </w:r>
      <w:r w:rsidRPr="004E2C67">
        <w:rPr>
          <w:sz w:val="20"/>
          <w:szCs w:val="20"/>
        </w:rPr>
        <w:tab/>
        <w:t>International Energy Agency</w:t>
      </w:r>
    </w:p>
    <w:p w14:paraId="19E5DE7A" w14:textId="77777777" w:rsidR="00445D54" w:rsidRDefault="00445D54" w:rsidP="00445D54">
      <w:pPr>
        <w:pStyle w:val="NoSpacing"/>
        <w:tabs>
          <w:tab w:val="left" w:pos="1418"/>
        </w:tabs>
        <w:rPr>
          <w:sz w:val="20"/>
          <w:szCs w:val="20"/>
        </w:rPr>
      </w:pPr>
      <w:r>
        <w:rPr>
          <w:sz w:val="20"/>
          <w:szCs w:val="20"/>
        </w:rPr>
        <w:t>IM</w:t>
      </w:r>
      <w:r>
        <w:rPr>
          <w:sz w:val="20"/>
          <w:szCs w:val="20"/>
        </w:rPr>
        <w:tab/>
      </w:r>
      <w:r w:rsidRPr="005539DC">
        <w:rPr>
          <w:sz w:val="20"/>
          <w:szCs w:val="20"/>
        </w:rPr>
        <w:t>Inspection/Maintenance</w:t>
      </w:r>
    </w:p>
    <w:p w14:paraId="2294B787" w14:textId="77777777" w:rsidR="00445D54" w:rsidRPr="004E2C67" w:rsidRDefault="00445D54" w:rsidP="00445D54">
      <w:pPr>
        <w:pStyle w:val="NoSpacing"/>
        <w:tabs>
          <w:tab w:val="left" w:pos="1418"/>
        </w:tabs>
        <w:rPr>
          <w:sz w:val="20"/>
          <w:szCs w:val="20"/>
        </w:rPr>
      </w:pPr>
      <w:r w:rsidRPr="004E2C67">
        <w:rPr>
          <w:sz w:val="20"/>
          <w:szCs w:val="20"/>
        </w:rPr>
        <w:t>IPCC</w:t>
      </w:r>
      <w:r w:rsidRPr="004E2C67">
        <w:rPr>
          <w:sz w:val="20"/>
          <w:szCs w:val="20"/>
        </w:rPr>
        <w:tab/>
        <w:t>Inter-Governmental Panel on Climate Change</w:t>
      </w:r>
    </w:p>
    <w:p w14:paraId="3E517B47" w14:textId="77777777" w:rsidR="00445D54" w:rsidRDefault="00445D54" w:rsidP="00445D54">
      <w:pPr>
        <w:pStyle w:val="NoSpacing"/>
        <w:tabs>
          <w:tab w:val="left" w:pos="1418"/>
        </w:tabs>
        <w:rPr>
          <w:sz w:val="20"/>
          <w:lang w:val="en"/>
        </w:rPr>
      </w:pPr>
      <w:r>
        <w:rPr>
          <w:sz w:val="20"/>
          <w:szCs w:val="20"/>
        </w:rPr>
        <w:t>LNG</w:t>
      </w:r>
      <w:r>
        <w:rPr>
          <w:sz w:val="20"/>
          <w:szCs w:val="20"/>
        </w:rPr>
        <w:tab/>
      </w:r>
      <w:r>
        <w:rPr>
          <w:sz w:val="20"/>
          <w:lang w:val="en"/>
        </w:rPr>
        <w:t>Liquefied Natural Gas</w:t>
      </w:r>
    </w:p>
    <w:p w14:paraId="56F32656" w14:textId="77777777" w:rsidR="00445D54" w:rsidRDefault="00445D54" w:rsidP="00445D54">
      <w:pPr>
        <w:pStyle w:val="NoSpacing"/>
        <w:tabs>
          <w:tab w:val="left" w:pos="1418"/>
        </w:tabs>
        <w:rPr>
          <w:sz w:val="20"/>
          <w:szCs w:val="20"/>
        </w:rPr>
      </w:pPr>
      <w:r>
        <w:rPr>
          <w:sz w:val="20"/>
          <w:lang w:val="en"/>
        </w:rPr>
        <w:t xml:space="preserve">LPG </w:t>
      </w:r>
      <w:r>
        <w:rPr>
          <w:sz w:val="20"/>
          <w:lang w:val="en"/>
        </w:rPr>
        <w:tab/>
        <w:t>Liquefied Petroleum Gas</w:t>
      </w:r>
    </w:p>
    <w:p w14:paraId="49129F63" w14:textId="77777777" w:rsidR="00445D54" w:rsidRDefault="00445D54" w:rsidP="00445D54">
      <w:pPr>
        <w:pStyle w:val="NoSpacing"/>
        <w:tabs>
          <w:tab w:val="left" w:pos="1418"/>
        </w:tabs>
        <w:rPr>
          <w:sz w:val="20"/>
          <w:szCs w:val="20"/>
        </w:rPr>
      </w:pPr>
      <w:r>
        <w:rPr>
          <w:sz w:val="20"/>
          <w:szCs w:val="20"/>
        </w:rPr>
        <w:t>MOF</w:t>
      </w:r>
      <w:r>
        <w:rPr>
          <w:sz w:val="20"/>
          <w:szCs w:val="20"/>
        </w:rPr>
        <w:tab/>
        <w:t>ministry of Finance</w:t>
      </w:r>
    </w:p>
    <w:p w14:paraId="6A797340" w14:textId="77777777" w:rsidR="00445D54" w:rsidRPr="004E2C67" w:rsidRDefault="00445D54" w:rsidP="00445D54">
      <w:pPr>
        <w:pStyle w:val="NoSpacing"/>
        <w:tabs>
          <w:tab w:val="left" w:pos="1418"/>
        </w:tabs>
        <w:rPr>
          <w:sz w:val="20"/>
          <w:szCs w:val="20"/>
        </w:rPr>
      </w:pPr>
      <w:r w:rsidRPr="004E2C67">
        <w:rPr>
          <w:sz w:val="20"/>
          <w:szCs w:val="20"/>
        </w:rPr>
        <w:t>NCV</w:t>
      </w:r>
      <w:r w:rsidRPr="004E2C67">
        <w:rPr>
          <w:sz w:val="20"/>
          <w:szCs w:val="20"/>
        </w:rPr>
        <w:tab/>
        <w:t>Net Calorific Value</w:t>
      </w:r>
    </w:p>
    <w:p w14:paraId="504759BB" w14:textId="77777777" w:rsidR="00445D54" w:rsidRDefault="00445D54" w:rsidP="00445D54">
      <w:pPr>
        <w:pStyle w:val="NoSpacing"/>
        <w:tabs>
          <w:tab w:val="left" w:pos="1418"/>
        </w:tabs>
        <w:rPr>
          <w:sz w:val="20"/>
          <w:szCs w:val="20"/>
        </w:rPr>
      </w:pPr>
      <w:r>
        <w:rPr>
          <w:sz w:val="20"/>
          <w:szCs w:val="20"/>
        </w:rPr>
        <w:t>NMT</w:t>
      </w:r>
      <w:r>
        <w:rPr>
          <w:sz w:val="20"/>
          <w:szCs w:val="20"/>
        </w:rPr>
        <w:tab/>
        <w:t>Non-Motorized Transport</w:t>
      </w:r>
    </w:p>
    <w:p w14:paraId="5C4A41F5" w14:textId="77777777" w:rsidR="00445D54" w:rsidRDefault="00445D54" w:rsidP="00445D54">
      <w:pPr>
        <w:pStyle w:val="NoSpacing"/>
        <w:tabs>
          <w:tab w:val="left" w:pos="1418"/>
        </w:tabs>
        <w:rPr>
          <w:sz w:val="20"/>
          <w:szCs w:val="20"/>
        </w:rPr>
      </w:pPr>
      <w:r>
        <w:rPr>
          <w:sz w:val="20"/>
          <w:szCs w:val="20"/>
        </w:rPr>
        <w:t>OBD</w:t>
      </w:r>
      <w:r>
        <w:rPr>
          <w:sz w:val="20"/>
          <w:szCs w:val="20"/>
        </w:rPr>
        <w:tab/>
        <w:t>On-Board Diagnostics</w:t>
      </w:r>
    </w:p>
    <w:p w14:paraId="27D14AD8" w14:textId="77777777" w:rsidR="00445D54" w:rsidRPr="004E2C67" w:rsidRDefault="00445D54" w:rsidP="00445D54">
      <w:pPr>
        <w:pStyle w:val="NoSpacing"/>
        <w:tabs>
          <w:tab w:val="left" w:pos="1418"/>
        </w:tabs>
        <w:rPr>
          <w:sz w:val="20"/>
          <w:szCs w:val="20"/>
        </w:rPr>
      </w:pPr>
      <w:r w:rsidRPr="004E2C67">
        <w:rPr>
          <w:sz w:val="20"/>
          <w:szCs w:val="20"/>
        </w:rPr>
        <w:t>OPEX</w:t>
      </w:r>
      <w:r w:rsidRPr="004E2C67">
        <w:rPr>
          <w:sz w:val="20"/>
          <w:szCs w:val="20"/>
        </w:rPr>
        <w:tab/>
        <w:t>Operational Expenditure</w:t>
      </w:r>
    </w:p>
    <w:p w14:paraId="2330F718" w14:textId="77777777" w:rsidR="00445D54" w:rsidRDefault="00445D54" w:rsidP="00445D54">
      <w:pPr>
        <w:pStyle w:val="NoSpacing"/>
        <w:tabs>
          <w:tab w:val="left" w:pos="1418"/>
        </w:tabs>
        <w:rPr>
          <w:sz w:val="20"/>
          <w:szCs w:val="20"/>
        </w:rPr>
      </w:pPr>
      <w:r>
        <w:rPr>
          <w:sz w:val="20"/>
          <w:szCs w:val="20"/>
        </w:rPr>
        <w:t>PHEV</w:t>
      </w:r>
      <w:r>
        <w:rPr>
          <w:sz w:val="20"/>
          <w:szCs w:val="20"/>
        </w:rPr>
        <w:tab/>
      </w:r>
      <w:r w:rsidRPr="005539DC">
        <w:rPr>
          <w:sz w:val="20"/>
          <w:szCs w:val="20"/>
          <w:lang w:val="en"/>
        </w:rPr>
        <w:t>Plug-in Hybrid Electric Vehicle</w:t>
      </w:r>
    </w:p>
    <w:p w14:paraId="28841728" w14:textId="77777777" w:rsidR="00445D54" w:rsidRPr="004E2C67" w:rsidRDefault="00445D54" w:rsidP="00445D54">
      <w:pPr>
        <w:pStyle w:val="NoSpacing"/>
        <w:tabs>
          <w:tab w:val="left" w:pos="1418"/>
        </w:tabs>
        <w:rPr>
          <w:sz w:val="20"/>
          <w:szCs w:val="20"/>
        </w:rPr>
      </w:pPr>
      <w:r w:rsidRPr="004E2C67">
        <w:rPr>
          <w:sz w:val="20"/>
          <w:szCs w:val="20"/>
        </w:rPr>
        <w:t>PM</w:t>
      </w:r>
      <w:r w:rsidRPr="004E2C67">
        <w:rPr>
          <w:sz w:val="20"/>
          <w:szCs w:val="20"/>
        </w:rPr>
        <w:tab/>
        <w:t>Particulate Matter</w:t>
      </w:r>
    </w:p>
    <w:p w14:paraId="6E791F49" w14:textId="77777777" w:rsidR="00445D54" w:rsidRPr="004E2C67" w:rsidRDefault="00445D54" w:rsidP="00445D54">
      <w:pPr>
        <w:pStyle w:val="NoSpacing"/>
        <w:tabs>
          <w:tab w:val="left" w:pos="1418"/>
        </w:tabs>
        <w:rPr>
          <w:sz w:val="20"/>
          <w:szCs w:val="20"/>
        </w:rPr>
      </w:pPr>
      <w:r w:rsidRPr="004E2C67">
        <w:rPr>
          <w:sz w:val="20"/>
          <w:szCs w:val="20"/>
        </w:rPr>
        <w:t>PRC</w:t>
      </w:r>
      <w:r w:rsidRPr="004E2C67">
        <w:rPr>
          <w:sz w:val="20"/>
          <w:szCs w:val="20"/>
        </w:rPr>
        <w:tab/>
        <w:t>People’s Republic of China</w:t>
      </w:r>
    </w:p>
    <w:p w14:paraId="37B237D8" w14:textId="77777777" w:rsidR="00445D54" w:rsidRPr="004E2C67" w:rsidRDefault="00445D54" w:rsidP="00445D54">
      <w:pPr>
        <w:pStyle w:val="NoSpacing"/>
        <w:tabs>
          <w:tab w:val="left" w:pos="1418"/>
        </w:tabs>
        <w:rPr>
          <w:sz w:val="20"/>
          <w:szCs w:val="20"/>
        </w:rPr>
      </w:pPr>
      <w:r w:rsidRPr="004E2C67">
        <w:rPr>
          <w:sz w:val="20"/>
          <w:szCs w:val="20"/>
        </w:rPr>
        <w:t>SOC</w:t>
      </w:r>
      <w:r w:rsidRPr="004E2C67">
        <w:rPr>
          <w:sz w:val="20"/>
          <w:szCs w:val="20"/>
        </w:rPr>
        <w:tab/>
        <w:t>State of Charge</w:t>
      </w:r>
    </w:p>
    <w:p w14:paraId="4B152AEA" w14:textId="77777777" w:rsidR="00445D54" w:rsidRDefault="00445D54" w:rsidP="00445D54">
      <w:pPr>
        <w:pStyle w:val="NoSpacing"/>
        <w:tabs>
          <w:tab w:val="left" w:pos="1418"/>
        </w:tabs>
        <w:rPr>
          <w:sz w:val="20"/>
          <w:szCs w:val="20"/>
        </w:rPr>
      </w:pPr>
      <w:r>
        <w:rPr>
          <w:sz w:val="20"/>
          <w:szCs w:val="20"/>
        </w:rPr>
        <w:t>SUMP</w:t>
      </w:r>
      <w:r>
        <w:rPr>
          <w:sz w:val="20"/>
          <w:szCs w:val="20"/>
        </w:rPr>
        <w:tab/>
      </w:r>
      <w:r w:rsidRPr="005539DC">
        <w:rPr>
          <w:sz w:val="20"/>
          <w:szCs w:val="20"/>
        </w:rPr>
        <w:t>Sustainable Urban Mobility Plan</w:t>
      </w:r>
    </w:p>
    <w:p w14:paraId="061C3DDC" w14:textId="77777777" w:rsidR="00445D54" w:rsidRPr="004E2C67" w:rsidRDefault="00445D54" w:rsidP="00445D54">
      <w:pPr>
        <w:pStyle w:val="NoSpacing"/>
        <w:tabs>
          <w:tab w:val="left" w:pos="1418"/>
        </w:tabs>
        <w:rPr>
          <w:sz w:val="20"/>
          <w:szCs w:val="20"/>
        </w:rPr>
      </w:pPr>
      <w:r w:rsidRPr="004E2C67">
        <w:rPr>
          <w:sz w:val="20"/>
          <w:szCs w:val="20"/>
        </w:rPr>
        <w:t>TCO</w:t>
      </w:r>
      <w:r w:rsidRPr="004E2C67">
        <w:rPr>
          <w:sz w:val="20"/>
          <w:szCs w:val="20"/>
        </w:rPr>
        <w:tab/>
        <w:t>Total Cost of Ownership</w:t>
      </w:r>
    </w:p>
    <w:p w14:paraId="047DD527" w14:textId="77777777" w:rsidR="00445D54" w:rsidRPr="004E2C67" w:rsidRDefault="00445D54" w:rsidP="00445D54">
      <w:pPr>
        <w:pStyle w:val="NoSpacing"/>
        <w:tabs>
          <w:tab w:val="left" w:pos="1418"/>
        </w:tabs>
        <w:rPr>
          <w:sz w:val="20"/>
          <w:szCs w:val="20"/>
        </w:rPr>
      </w:pPr>
      <w:r w:rsidRPr="004E2C67">
        <w:rPr>
          <w:sz w:val="20"/>
          <w:szCs w:val="20"/>
        </w:rPr>
        <w:t>TTW</w:t>
      </w:r>
      <w:r w:rsidRPr="004E2C67">
        <w:rPr>
          <w:sz w:val="20"/>
          <w:szCs w:val="20"/>
        </w:rPr>
        <w:tab/>
      </w:r>
      <w:r w:rsidRPr="004E2C67">
        <w:rPr>
          <w:rFonts w:cstheme="minorHAnsi"/>
          <w:sz w:val="20"/>
          <w:szCs w:val="20"/>
        </w:rPr>
        <w:t>Tank-to-Wheel</w:t>
      </w:r>
    </w:p>
    <w:p w14:paraId="6A66DD6E" w14:textId="77777777" w:rsidR="00445D54" w:rsidRDefault="00445D54" w:rsidP="00445D54">
      <w:pPr>
        <w:pStyle w:val="NoSpacing"/>
        <w:tabs>
          <w:tab w:val="left" w:pos="1418"/>
        </w:tabs>
        <w:rPr>
          <w:sz w:val="20"/>
          <w:szCs w:val="20"/>
        </w:rPr>
      </w:pPr>
      <w:r>
        <w:rPr>
          <w:sz w:val="20"/>
          <w:szCs w:val="20"/>
        </w:rPr>
        <w:t>ULEZ</w:t>
      </w:r>
      <w:r>
        <w:rPr>
          <w:sz w:val="20"/>
          <w:szCs w:val="20"/>
        </w:rPr>
        <w:tab/>
      </w:r>
      <w:r w:rsidRPr="00F455D9">
        <w:t>Ultra</w:t>
      </w:r>
      <w:r>
        <w:t>-</w:t>
      </w:r>
      <w:r w:rsidRPr="00F455D9">
        <w:t>Low Emissions Zone</w:t>
      </w:r>
    </w:p>
    <w:p w14:paraId="0749C1DF" w14:textId="77777777" w:rsidR="00445D54" w:rsidRPr="004E2C67" w:rsidRDefault="00445D54" w:rsidP="00445D54">
      <w:pPr>
        <w:pStyle w:val="NoSpacing"/>
        <w:tabs>
          <w:tab w:val="left" w:pos="1418"/>
        </w:tabs>
        <w:rPr>
          <w:sz w:val="20"/>
          <w:szCs w:val="20"/>
        </w:rPr>
      </w:pPr>
      <w:r w:rsidRPr="004E2C67">
        <w:rPr>
          <w:sz w:val="20"/>
          <w:szCs w:val="20"/>
        </w:rPr>
        <w:t>UNFCCC</w:t>
      </w:r>
      <w:r w:rsidRPr="004E2C67">
        <w:rPr>
          <w:sz w:val="20"/>
          <w:szCs w:val="20"/>
        </w:rPr>
        <w:tab/>
        <w:t>United Nations Framework on Climate Change Convention</w:t>
      </w:r>
    </w:p>
    <w:p w14:paraId="339F339F" w14:textId="77777777" w:rsidR="00445D54" w:rsidRPr="004E2C67" w:rsidRDefault="00445D54" w:rsidP="00445D54">
      <w:pPr>
        <w:pStyle w:val="NoSpacing"/>
        <w:tabs>
          <w:tab w:val="left" w:pos="1418"/>
        </w:tabs>
        <w:rPr>
          <w:sz w:val="20"/>
          <w:szCs w:val="20"/>
        </w:rPr>
      </w:pPr>
      <w:r w:rsidRPr="004E2C67">
        <w:rPr>
          <w:sz w:val="20"/>
          <w:szCs w:val="20"/>
        </w:rPr>
        <w:t>WTT</w:t>
      </w:r>
      <w:r w:rsidRPr="004E2C67">
        <w:rPr>
          <w:sz w:val="20"/>
          <w:szCs w:val="20"/>
        </w:rPr>
        <w:tab/>
        <w:t>Well-to-Tank</w:t>
      </w:r>
    </w:p>
    <w:p w14:paraId="1D5C0074" w14:textId="046AD502" w:rsidR="00E1642B" w:rsidRDefault="00445D54" w:rsidP="007673F2">
      <w:pPr>
        <w:pStyle w:val="NoSpacing"/>
        <w:tabs>
          <w:tab w:val="left" w:pos="1418"/>
        </w:tabs>
        <w:rPr>
          <w:sz w:val="20"/>
          <w:szCs w:val="20"/>
        </w:rPr>
      </w:pPr>
      <w:r w:rsidRPr="004E2C67">
        <w:rPr>
          <w:sz w:val="20"/>
          <w:szCs w:val="20"/>
        </w:rPr>
        <w:t>WTW</w:t>
      </w:r>
      <w:r w:rsidRPr="004E2C67">
        <w:rPr>
          <w:sz w:val="20"/>
          <w:szCs w:val="20"/>
        </w:rPr>
        <w:tab/>
        <w:t>Well-to-Wheel</w:t>
      </w:r>
    </w:p>
    <w:bookmarkEnd w:id="1"/>
    <w:p w14:paraId="64EDA5C2" w14:textId="38D1231E" w:rsidR="00E1642B" w:rsidRPr="00E1642B" w:rsidRDefault="00E1642B" w:rsidP="007673F2">
      <w:pPr>
        <w:pStyle w:val="NoSpacing"/>
        <w:tabs>
          <w:tab w:val="left" w:pos="1418"/>
        </w:tabs>
        <w:rPr>
          <w:i/>
          <w:sz w:val="20"/>
          <w:szCs w:val="20"/>
        </w:rPr>
      </w:pPr>
    </w:p>
    <w:p w14:paraId="156C56AB" w14:textId="77777777" w:rsidR="00C50BF2" w:rsidRDefault="00C50BF2">
      <w:pPr>
        <w:rPr>
          <w:rFonts w:asciiTheme="majorHAnsi" w:eastAsiaTheme="majorEastAsia" w:hAnsiTheme="majorHAnsi" w:cstheme="majorBidi"/>
          <w:color w:val="2F5496" w:themeColor="accent1" w:themeShade="BF"/>
          <w:sz w:val="32"/>
          <w:szCs w:val="32"/>
        </w:rPr>
      </w:pPr>
      <w:r>
        <w:br w:type="page"/>
      </w:r>
    </w:p>
    <w:p w14:paraId="6C7C3CAF" w14:textId="1AFBBB8A" w:rsidR="00A67FBF" w:rsidRDefault="00A67FBF" w:rsidP="00A67FBF">
      <w:pPr>
        <w:pStyle w:val="Heading1"/>
      </w:pPr>
      <w:bookmarkStart w:id="2" w:name="_Toc7525991"/>
      <w:r w:rsidRPr="00797B1F">
        <w:lastRenderedPageBreak/>
        <w:t>Acknowledgments</w:t>
      </w:r>
      <w:bookmarkEnd w:id="2"/>
    </w:p>
    <w:p w14:paraId="465658C7" w14:textId="77777777" w:rsidR="00A67FBF" w:rsidRPr="00A67FBF" w:rsidRDefault="00A67FBF" w:rsidP="00A67FBF"/>
    <w:p w14:paraId="7530F43E" w14:textId="02B98726" w:rsidR="00A67FBF" w:rsidRDefault="00A67FBF" w:rsidP="00AB013C">
      <w:pPr>
        <w:jc w:val="both"/>
      </w:pPr>
      <w:r>
        <w:t>This report was prepared by Jing Xiong, Senior Transport Specialist</w:t>
      </w:r>
      <w:r w:rsidR="00EC1426">
        <w:t xml:space="preserve">, for the Technical Assistance (TA) for the </w:t>
      </w:r>
      <w:r w:rsidR="00EC1426" w:rsidRPr="00A70566">
        <w:t>S</w:t>
      </w:r>
      <w:r w:rsidR="00EC1426">
        <w:t>mart Urban Transport Solutions</w:t>
      </w:r>
      <w:r>
        <w:t xml:space="preserve">. </w:t>
      </w:r>
      <w:r w:rsidR="00EC1426">
        <w:t xml:space="preserve">The World Bank team includes Simon Ellis, Program Leader for Western Balkans, </w:t>
      </w:r>
      <w:r w:rsidR="00EC1426" w:rsidRPr="007469B6">
        <w:t>Rhedon Begolli</w:t>
      </w:r>
      <w:r w:rsidR="00EC1426">
        <w:t xml:space="preserve">, </w:t>
      </w:r>
      <w:r w:rsidR="00EC1426" w:rsidRPr="007469B6">
        <w:t>Senior Energy Specialist,</w:t>
      </w:r>
      <w:r w:rsidR="00EC1426">
        <w:t xml:space="preserve"> and </w:t>
      </w:r>
      <w:r w:rsidR="00EC1426" w:rsidRPr="007469B6">
        <w:t>Yin Qiu</w:t>
      </w:r>
      <w:r w:rsidR="00EC1426">
        <w:t xml:space="preserve">, </w:t>
      </w:r>
      <w:r w:rsidR="00EC1426" w:rsidRPr="007469B6">
        <w:t>Transport Consultant</w:t>
      </w:r>
      <w:r w:rsidR="00EC1426">
        <w:t xml:space="preserve">. </w:t>
      </w:r>
      <w:r>
        <w:t>The report consolidates the</w:t>
      </w:r>
      <w:r w:rsidR="00EC1426">
        <w:t xml:space="preserve"> findings and recommendations </w:t>
      </w:r>
      <w:r>
        <w:t xml:space="preserve">carried out by </w:t>
      </w:r>
      <w:r w:rsidR="00D42CB9">
        <w:t>Jurg Grutter at</w:t>
      </w:r>
      <w:r>
        <w:t xml:space="preserve"> </w:t>
      </w:r>
      <w:r w:rsidR="00711F91">
        <w:t>Grutter Consulting.</w:t>
      </w:r>
      <w:r w:rsidR="00EC1426">
        <w:t xml:space="preserve"> </w:t>
      </w:r>
    </w:p>
    <w:p w14:paraId="45359E5E" w14:textId="6338FF60" w:rsidR="00CE6E37" w:rsidRPr="00BE4494" w:rsidRDefault="00A67FBF" w:rsidP="00AB013C">
      <w:pPr>
        <w:jc w:val="both"/>
      </w:pPr>
      <w:r>
        <w:t xml:space="preserve">The team would like to acknowledge the timely and valuable support, guidance and advice received from </w:t>
      </w:r>
      <w:r w:rsidR="00711F91" w:rsidRPr="007469B6">
        <w:t>Marco Mantovanelli</w:t>
      </w:r>
      <w:r w:rsidR="00711F91">
        <w:t xml:space="preserve">, </w:t>
      </w:r>
      <w:r w:rsidR="00711F91" w:rsidRPr="007469B6">
        <w:t>Country Manager</w:t>
      </w:r>
      <w:r w:rsidR="00711F91">
        <w:t xml:space="preserve"> of Kosovo</w:t>
      </w:r>
      <w:r>
        <w:t>,</w:t>
      </w:r>
      <w:r w:rsidR="00EC1426">
        <w:t xml:space="preserve"> and</w:t>
      </w:r>
      <w:r>
        <w:t xml:space="preserve"> Karla Gonzalez Carvajal, Practice Manage of Europe Transport.</w:t>
      </w:r>
      <w:r w:rsidR="009020E7">
        <w:t xml:space="preserve"> </w:t>
      </w:r>
      <w:r>
        <w:t xml:space="preserve">Special thanks go to peer reviewers </w:t>
      </w:r>
      <w:r w:rsidR="00CE6E37" w:rsidRPr="00A70566">
        <w:t>Arturo Ardila Gomez, Lead Transport Economist, Klas Sander</w:t>
      </w:r>
      <w:r w:rsidR="003A75C0" w:rsidRPr="00A70566">
        <w:t xml:space="preserve">, </w:t>
      </w:r>
      <w:r w:rsidR="00CE6E37" w:rsidRPr="00A70566">
        <w:t>Senior Environmental Economist, and Richard Martin Humphreys</w:t>
      </w:r>
      <w:r w:rsidR="003A75C0" w:rsidRPr="00A70566">
        <w:t xml:space="preserve">, </w:t>
      </w:r>
      <w:r w:rsidR="00CE6E37" w:rsidRPr="00A70566">
        <w:t>Lead Transport Economist</w:t>
      </w:r>
      <w:r w:rsidR="002F0E43">
        <w:t>.</w:t>
      </w:r>
      <w:r w:rsidR="00CE6E37" w:rsidRPr="00A70566">
        <w:t xml:space="preserve"> </w:t>
      </w:r>
      <w:r>
        <w:t>The team also received support from</w:t>
      </w:r>
      <w:r w:rsidR="00BE4494">
        <w:t xml:space="preserve"> </w:t>
      </w:r>
      <w:r w:rsidR="00F823F1" w:rsidRPr="007469B6">
        <w:t>Diego Garrido Martin</w:t>
      </w:r>
      <w:r w:rsidR="00F823F1">
        <w:t xml:space="preserve">, </w:t>
      </w:r>
      <w:r w:rsidR="00F823F1" w:rsidRPr="007469B6">
        <w:t>Senior Operations Officer</w:t>
      </w:r>
      <w:r w:rsidR="00F823F1">
        <w:t>,</w:t>
      </w:r>
      <w:r w:rsidR="00F823F1" w:rsidRPr="00BE4494">
        <w:t xml:space="preserve"> </w:t>
      </w:r>
      <w:r w:rsidR="00BE4494" w:rsidRPr="00BE4494">
        <w:t>Mjellma Rrecaj</w:t>
      </w:r>
      <w:r w:rsidR="00BE4494">
        <w:t>,</w:t>
      </w:r>
      <w:r>
        <w:t xml:space="preserve"> Program Assistant, and Andoria Indah Purwaningtyas, Program Assistant.</w:t>
      </w:r>
    </w:p>
    <w:p w14:paraId="31A73F0E" w14:textId="29EDD750" w:rsidR="00511FE6" w:rsidRPr="005E54D6" w:rsidRDefault="00A67FBF" w:rsidP="00AB013C">
      <w:pPr>
        <w:jc w:val="both"/>
        <w:rPr>
          <w:color w:val="000000"/>
        </w:rPr>
      </w:pPr>
      <w:r>
        <w:t xml:space="preserve">Most importantly, the team would also like to acknowledge the support and contributions from our counterparts in </w:t>
      </w:r>
      <w:r w:rsidR="00BE4494">
        <w:t>Kosovo</w:t>
      </w:r>
      <w:r>
        <w:t xml:space="preserve">: Ministry of Infrastructure and </w:t>
      </w:r>
      <w:r w:rsidR="00BE4494">
        <w:t>Transport,</w:t>
      </w:r>
      <w:r>
        <w:t xml:space="preserve"> </w:t>
      </w:r>
      <w:r w:rsidR="00511FE6">
        <w:rPr>
          <w:color w:val="000000"/>
        </w:rPr>
        <w:t xml:space="preserve">Ministry of Environment and Spatial Planning, Ministry of Finance, </w:t>
      </w:r>
      <w:r w:rsidR="00BC2F42">
        <w:rPr>
          <w:color w:val="000000"/>
        </w:rPr>
        <w:t>City</w:t>
      </w:r>
      <w:r w:rsidR="00511FE6">
        <w:rPr>
          <w:color w:val="000000"/>
        </w:rPr>
        <w:t xml:space="preserve"> of Pristina, Pristina bus company </w:t>
      </w:r>
      <w:proofErr w:type="spellStart"/>
      <w:r w:rsidR="00511FE6">
        <w:rPr>
          <w:color w:val="000000"/>
        </w:rPr>
        <w:t>Trafiku</w:t>
      </w:r>
      <w:proofErr w:type="spellEnd"/>
      <w:r w:rsidR="00511FE6">
        <w:rPr>
          <w:color w:val="000000"/>
        </w:rPr>
        <w:t xml:space="preserve"> Urban, the homologation </w:t>
      </w:r>
      <w:proofErr w:type="spellStart"/>
      <w:r w:rsidR="00511FE6">
        <w:rPr>
          <w:color w:val="000000"/>
        </w:rPr>
        <w:t>center</w:t>
      </w:r>
      <w:proofErr w:type="spellEnd"/>
      <w:r w:rsidR="00511FE6">
        <w:rPr>
          <w:color w:val="000000"/>
        </w:rPr>
        <w:t xml:space="preserve"> </w:t>
      </w:r>
      <w:proofErr w:type="spellStart"/>
      <w:r w:rsidR="00511FE6">
        <w:rPr>
          <w:color w:val="000000"/>
        </w:rPr>
        <w:t>Eurolab</w:t>
      </w:r>
      <w:proofErr w:type="spellEnd"/>
      <w:r w:rsidR="00863769">
        <w:rPr>
          <w:color w:val="000000"/>
        </w:rPr>
        <w:t xml:space="preserve">, and </w:t>
      </w:r>
      <w:r w:rsidR="00863769" w:rsidRPr="00F87E2E">
        <w:t xml:space="preserve">Kosovo Electricity </w:t>
      </w:r>
      <w:r w:rsidR="00863769" w:rsidRPr="005E54D6">
        <w:rPr>
          <w:color w:val="000000"/>
        </w:rPr>
        <w:t>Distribution and Supply Company</w:t>
      </w:r>
      <w:r w:rsidR="00511FE6">
        <w:rPr>
          <w:color w:val="000000"/>
        </w:rPr>
        <w:t xml:space="preserve">. </w:t>
      </w:r>
      <w:r w:rsidR="00EC27F1">
        <w:rPr>
          <w:color w:val="000000"/>
        </w:rPr>
        <w:t xml:space="preserve">Finally, the team would like to thank partnership with the </w:t>
      </w:r>
      <w:r w:rsidR="00C82501" w:rsidRPr="005E54D6">
        <w:rPr>
          <w:color w:val="000000"/>
        </w:rPr>
        <w:t>European Bank for Reconstruction and Development</w:t>
      </w:r>
      <w:r w:rsidR="00367D20">
        <w:rPr>
          <w:color w:val="000000"/>
        </w:rPr>
        <w:t xml:space="preserve"> (EBRD)</w:t>
      </w:r>
      <w:r w:rsidR="007A1342">
        <w:rPr>
          <w:color w:val="000000"/>
        </w:rPr>
        <w:t xml:space="preserve">, </w:t>
      </w:r>
      <w:r w:rsidR="00EC27F1">
        <w:rPr>
          <w:color w:val="000000"/>
        </w:rPr>
        <w:t xml:space="preserve">and </w:t>
      </w:r>
      <w:r w:rsidR="007A1342" w:rsidRPr="005E54D6">
        <w:rPr>
          <w:color w:val="000000"/>
        </w:rPr>
        <w:t>International Motor Vehicle Inspection Committee (CITA)</w:t>
      </w:r>
      <w:r w:rsidR="005E54D6">
        <w:rPr>
          <w:color w:val="000000"/>
        </w:rPr>
        <w:t>.</w:t>
      </w:r>
    </w:p>
    <w:p w14:paraId="614CD8BA" w14:textId="6F0CD692" w:rsidR="007469B6" w:rsidRPr="007469B6" w:rsidRDefault="007469B6" w:rsidP="001E033B">
      <w:pPr>
        <w:jc w:val="both"/>
      </w:pPr>
    </w:p>
    <w:p w14:paraId="2D9DD4DC" w14:textId="5CC90845" w:rsidR="00A67FBF" w:rsidRPr="007469B6" w:rsidRDefault="00A67FBF" w:rsidP="00A67FBF">
      <w:pPr>
        <w:rPr>
          <w:lang w:val="de-CH"/>
        </w:rPr>
      </w:pPr>
    </w:p>
    <w:p w14:paraId="274F32AF" w14:textId="24582178" w:rsidR="007469B6" w:rsidRDefault="007469B6" w:rsidP="00A67FBF"/>
    <w:p w14:paraId="6408AD6B" w14:textId="77777777" w:rsidR="007469B6" w:rsidRPr="00E47068" w:rsidRDefault="007469B6" w:rsidP="00A67FBF"/>
    <w:p w14:paraId="04B4D532" w14:textId="1AF3C8D5" w:rsidR="00504263" w:rsidRDefault="00D26995" w:rsidP="00617308">
      <w:pPr>
        <w:pStyle w:val="Heading1"/>
      </w:pPr>
      <w:r>
        <w:br w:type="column"/>
      </w:r>
      <w:bookmarkStart w:id="3" w:name="_Toc7256790"/>
      <w:r w:rsidR="001C409C">
        <w:lastRenderedPageBreak/>
        <w:t xml:space="preserve">Executive </w:t>
      </w:r>
      <w:r w:rsidR="00844A57">
        <w:t>Summary</w:t>
      </w:r>
      <w:bookmarkStart w:id="4" w:name="_Hlk6497860"/>
      <w:bookmarkEnd w:id="3"/>
    </w:p>
    <w:p w14:paraId="30F5F50A" w14:textId="77777777" w:rsidR="0080334F" w:rsidRPr="0080334F" w:rsidRDefault="0080334F" w:rsidP="0080334F"/>
    <w:p w14:paraId="192535EB" w14:textId="35EEAFBA" w:rsidR="0080334F" w:rsidRDefault="0080334F" w:rsidP="0080334F">
      <w:pPr>
        <w:jc w:val="both"/>
        <w:rPr>
          <w:lang w:val="en-US"/>
        </w:rPr>
      </w:pPr>
      <w:r>
        <w:rPr>
          <w:lang w:val="en-US"/>
        </w:rPr>
        <w:t xml:space="preserve">1. </w:t>
      </w:r>
      <w:r w:rsidRPr="007F0A5D">
        <w:rPr>
          <w:lang w:val="en-US"/>
        </w:rPr>
        <w:t xml:space="preserve">The objective </w:t>
      </w:r>
      <w:r>
        <w:rPr>
          <w:lang w:val="en-US"/>
        </w:rPr>
        <w:t xml:space="preserve">of the report </w:t>
      </w:r>
      <w:r w:rsidRPr="007F0A5D">
        <w:rPr>
          <w:lang w:val="en-US"/>
        </w:rPr>
        <w:t xml:space="preserve">is to support </w:t>
      </w:r>
      <w:r w:rsidR="000763D6">
        <w:rPr>
          <w:lang w:val="en-US"/>
        </w:rPr>
        <w:t xml:space="preserve">the Government of </w:t>
      </w:r>
      <w:r>
        <w:rPr>
          <w:lang w:val="en-US"/>
        </w:rPr>
        <w:t xml:space="preserve">Kosovo </w:t>
      </w:r>
      <w:r w:rsidR="00A810B7">
        <w:rPr>
          <w:lang w:val="en-US"/>
        </w:rPr>
        <w:t xml:space="preserve">and City of Pristina </w:t>
      </w:r>
      <w:r w:rsidRPr="007F0A5D">
        <w:rPr>
          <w:lang w:val="en-US"/>
        </w:rPr>
        <w:t xml:space="preserve">to develop strategies to reduce emissions and pollutions from </w:t>
      </w:r>
      <w:r>
        <w:rPr>
          <w:lang w:val="en-US"/>
        </w:rPr>
        <w:t xml:space="preserve">the </w:t>
      </w:r>
      <w:r w:rsidRPr="007F0A5D">
        <w:rPr>
          <w:lang w:val="en-US"/>
        </w:rPr>
        <w:t>transport</w:t>
      </w:r>
      <w:r>
        <w:rPr>
          <w:lang w:val="en-US"/>
        </w:rPr>
        <w:t xml:space="preserve">ation sector. Policies assessed include </w:t>
      </w:r>
      <w:r w:rsidR="00503D2B">
        <w:rPr>
          <w:lang w:val="en-US"/>
        </w:rPr>
        <w:t xml:space="preserve">(i) </w:t>
      </w:r>
      <w:r>
        <w:rPr>
          <w:lang w:val="en-US"/>
        </w:rPr>
        <w:t>low-emitting buses</w:t>
      </w:r>
      <w:r w:rsidR="00A810B7">
        <w:rPr>
          <w:lang w:val="en-US"/>
        </w:rPr>
        <w:t xml:space="preserve">, aiming </w:t>
      </w:r>
      <w:r w:rsidR="0064292C">
        <w:rPr>
          <w:lang w:val="en-US"/>
        </w:rPr>
        <w:t xml:space="preserve">to </w:t>
      </w:r>
      <w:r w:rsidR="00503D2B">
        <w:rPr>
          <w:lang w:val="en-US"/>
        </w:rPr>
        <w:t>introduce</w:t>
      </w:r>
      <w:r w:rsidR="0064292C">
        <w:rPr>
          <w:lang w:val="en-US"/>
        </w:rPr>
        <w:t xml:space="preserve"> </w:t>
      </w:r>
      <w:r w:rsidR="00503D2B">
        <w:rPr>
          <w:lang w:val="en-US"/>
        </w:rPr>
        <w:t>different options for bus renewals</w:t>
      </w:r>
      <w:r>
        <w:rPr>
          <w:lang w:val="en-US"/>
        </w:rPr>
        <w:t xml:space="preserve">, </w:t>
      </w:r>
      <w:r w:rsidR="003E5C90">
        <w:rPr>
          <w:lang w:val="en-US"/>
        </w:rPr>
        <w:t xml:space="preserve">(ii) </w:t>
      </w:r>
      <w:r>
        <w:rPr>
          <w:lang w:val="en-US"/>
        </w:rPr>
        <w:t>vehicle taxes</w:t>
      </w:r>
      <w:r w:rsidR="00DE5EFF">
        <w:rPr>
          <w:lang w:val="en-US"/>
        </w:rPr>
        <w:t xml:space="preserve">, aiming </w:t>
      </w:r>
      <w:r w:rsidR="0064292C">
        <w:rPr>
          <w:lang w:val="en-US"/>
        </w:rPr>
        <w:t xml:space="preserve">to influence private vehicle purchasing </w:t>
      </w:r>
      <w:r w:rsidR="00DE5EFF">
        <w:rPr>
          <w:lang w:val="en-US"/>
        </w:rPr>
        <w:t xml:space="preserve">and renewal </w:t>
      </w:r>
      <w:r w:rsidR="0064292C">
        <w:rPr>
          <w:lang w:val="en-US"/>
        </w:rPr>
        <w:t>decision</w:t>
      </w:r>
      <w:r w:rsidR="00DE5EFF">
        <w:rPr>
          <w:lang w:val="en-US"/>
        </w:rPr>
        <w:t>s,</w:t>
      </w:r>
      <w:r>
        <w:rPr>
          <w:lang w:val="en-US"/>
        </w:rPr>
        <w:t xml:space="preserve"> and </w:t>
      </w:r>
      <w:r w:rsidR="003E5C90">
        <w:rPr>
          <w:lang w:val="en-US"/>
        </w:rPr>
        <w:t xml:space="preserve">(iii) </w:t>
      </w:r>
      <w:r>
        <w:rPr>
          <w:lang w:val="en-US"/>
        </w:rPr>
        <w:t>in-service vehicle emission inspection</w:t>
      </w:r>
      <w:r w:rsidR="00DE5EFF">
        <w:rPr>
          <w:lang w:val="en-US"/>
        </w:rPr>
        <w:t xml:space="preserve">, aiming </w:t>
      </w:r>
      <w:r w:rsidR="0064292C">
        <w:rPr>
          <w:lang w:val="en-US"/>
        </w:rPr>
        <w:t>to better manage the existing vehicle fleet</w:t>
      </w:r>
      <w:r>
        <w:rPr>
          <w:lang w:val="en-US"/>
        </w:rPr>
        <w:t>.</w:t>
      </w:r>
      <w:r w:rsidR="0003459A">
        <w:rPr>
          <w:lang w:val="en-US"/>
        </w:rPr>
        <w:t xml:space="preserve"> These three areas were </w:t>
      </w:r>
      <w:r w:rsidR="0064292C">
        <w:rPr>
          <w:lang w:val="en-US"/>
        </w:rPr>
        <w:t xml:space="preserve">chosen </w:t>
      </w:r>
      <w:r w:rsidR="00D74162" w:rsidRPr="00D74162">
        <w:rPr>
          <w:lang w:val="en-US"/>
        </w:rPr>
        <w:t xml:space="preserve">to meet </w:t>
      </w:r>
      <w:r w:rsidR="006636AD">
        <w:rPr>
          <w:lang w:val="en-US"/>
        </w:rPr>
        <w:t>government</w:t>
      </w:r>
      <w:r w:rsidR="003F6F8C">
        <w:rPr>
          <w:lang w:val="en-US"/>
        </w:rPr>
        <w:t>’s</w:t>
      </w:r>
      <w:r w:rsidR="00D74162" w:rsidRPr="00D74162">
        <w:rPr>
          <w:lang w:val="en-US"/>
        </w:rPr>
        <w:t xml:space="preserve"> request</w:t>
      </w:r>
      <w:r w:rsidR="006636AD">
        <w:rPr>
          <w:lang w:val="en-US"/>
        </w:rPr>
        <w:t>s</w:t>
      </w:r>
      <w:r w:rsidR="00D74162" w:rsidRPr="00D74162">
        <w:rPr>
          <w:lang w:val="en-US"/>
        </w:rPr>
        <w:t xml:space="preserve"> and fill knowledge gaps, </w:t>
      </w:r>
      <w:r w:rsidR="003F6F8C">
        <w:rPr>
          <w:lang w:val="en-US"/>
        </w:rPr>
        <w:t>and</w:t>
      </w:r>
      <w:r w:rsidR="00D74162" w:rsidRPr="00D74162">
        <w:rPr>
          <w:lang w:val="en-US"/>
        </w:rPr>
        <w:t xml:space="preserve"> </w:t>
      </w:r>
      <w:r w:rsidR="0064292C">
        <w:rPr>
          <w:lang w:val="en-US"/>
        </w:rPr>
        <w:t xml:space="preserve">not </w:t>
      </w:r>
      <w:r w:rsidR="00D74162">
        <w:rPr>
          <w:lang w:val="en-US"/>
        </w:rPr>
        <w:t xml:space="preserve">to </w:t>
      </w:r>
      <w:r w:rsidR="0064292C">
        <w:rPr>
          <w:lang w:val="en-US"/>
        </w:rPr>
        <w:t>overlap with</w:t>
      </w:r>
      <w:r w:rsidR="003E5C90">
        <w:rPr>
          <w:lang w:val="en-US"/>
        </w:rPr>
        <w:t xml:space="preserve"> </w:t>
      </w:r>
      <w:r w:rsidR="001C409C">
        <w:rPr>
          <w:lang w:val="en-US"/>
        </w:rPr>
        <w:t xml:space="preserve">interventions included in the </w:t>
      </w:r>
      <w:r w:rsidR="0064292C">
        <w:rPr>
          <w:lang w:val="en-US"/>
        </w:rPr>
        <w:t>recently completed EBRD report: Sustainable Urban Mobility Plan</w:t>
      </w:r>
      <w:r w:rsidR="00367D20">
        <w:rPr>
          <w:lang w:val="en-US"/>
        </w:rPr>
        <w:t xml:space="preserve"> (SUMP)</w:t>
      </w:r>
      <w:r w:rsidR="001C409C">
        <w:rPr>
          <w:lang w:val="en-US"/>
        </w:rPr>
        <w:t xml:space="preserve">. The </w:t>
      </w:r>
      <w:r w:rsidR="00367D20">
        <w:rPr>
          <w:lang w:val="en-US"/>
        </w:rPr>
        <w:t>SUMP</w:t>
      </w:r>
      <w:r w:rsidR="003E5C90">
        <w:rPr>
          <w:lang w:val="en-US"/>
        </w:rPr>
        <w:t xml:space="preserve"> </w:t>
      </w:r>
      <w:r w:rsidR="000A3284">
        <w:rPr>
          <w:lang w:val="en-US"/>
        </w:rPr>
        <w:t xml:space="preserve">is comprehensive, </w:t>
      </w:r>
      <w:r w:rsidR="001C409C">
        <w:rPr>
          <w:lang w:val="en-US"/>
        </w:rPr>
        <w:t>analyz</w:t>
      </w:r>
      <w:r w:rsidR="000A3284">
        <w:rPr>
          <w:lang w:val="en-US"/>
        </w:rPr>
        <w:t>ing</w:t>
      </w:r>
      <w:r w:rsidR="001C409C">
        <w:rPr>
          <w:lang w:val="en-US"/>
        </w:rPr>
        <w:t xml:space="preserve"> strategies</w:t>
      </w:r>
      <w:r w:rsidR="0064292C">
        <w:rPr>
          <w:lang w:val="en-US"/>
        </w:rPr>
        <w:t xml:space="preserve"> related to </w:t>
      </w:r>
      <w:r w:rsidR="00EE6747">
        <w:rPr>
          <w:lang w:val="en-US"/>
        </w:rPr>
        <w:t>improve</w:t>
      </w:r>
      <w:r w:rsidR="0064292C">
        <w:rPr>
          <w:lang w:val="en-US"/>
        </w:rPr>
        <w:t xml:space="preserve"> public transport</w:t>
      </w:r>
      <w:r w:rsidR="004D7D26">
        <w:rPr>
          <w:lang w:val="en-US"/>
        </w:rPr>
        <w:t>ation</w:t>
      </w:r>
      <w:r w:rsidR="0064292C">
        <w:rPr>
          <w:lang w:val="en-US"/>
        </w:rPr>
        <w:t xml:space="preserve">, </w:t>
      </w:r>
      <w:r w:rsidR="00655DA2">
        <w:rPr>
          <w:lang w:val="en-US"/>
        </w:rPr>
        <w:t xml:space="preserve">reduce congestion from </w:t>
      </w:r>
      <w:r w:rsidR="0064292C">
        <w:rPr>
          <w:lang w:val="en-US"/>
        </w:rPr>
        <w:t>traffic management</w:t>
      </w:r>
      <w:r w:rsidR="00655DA2">
        <w:rPr>
          <w:lang w:val="en-US"/>
        </w:rPr>
        <w:t xml:space="preserve">, encourage </w:t>
      </w:r>
      <w:r w:rsidR="006636AD">
        <w:rPr>
          <w:lang w:val="en-US"/>
        </w:rPr>
        <w:t>alternative</w:t>
      </w:r>
      <w:r w:rsidR="00EE6747">
        <w:rPr>
          <w:lang w:val="en-US"/>
        </w:rPr>
        <w:t xml:space="preserve"> modes of travel e.g. </w:t>
      </w:r>
      <w:r w:rsidR="00655DA2">
        <w:rPr>
          <w:lang w:val="en-US"/>
        </w:rPr>
        <w:t xml:space="preserve">biking and walking, and </w:t>
      </w:r>
      <w:r w:rsidR="004D7D26">
        <w:rPr>
          <w:lang w:val="en-US"/>
        </w:rPr>
        <w:t>promote</w:t>
      </w:r>
      <w:r w:rsidR="00655DA2">
        <w:rPr>
          <w:lang w:val="en-US"/>
        </w:rPr>
        <w:t xml:space="preserve"> mixed land use planning etc</w:t>
      </w:r>
      <w:r w:rsidR="00EE6747">
        <w:rPr>
          <w:lang w:val="en-US"/>
        </w:rPr>
        <w:t>.</w:t>
      </w:r>
    </w:p>
    <w:p w14:paraId="4392372A" w14:textId="3067EC57" w:rsidR="0080334F" w:rsidRDefault="0080334F" w:rsidP="0080334F">
      <w:pPr>
        <w:jc w:val="both"/>
      </w:pPr>
      <w:r>
        <w:t>2. In 201</w:t>
      </w:r>
      <w:r w:rsidR="008E0A84">
        <w:t>8</w:t>
      </w:r>
      <w:r w:rsidR="006602F5">
        <w:t>,</w:t>
      </w:r>
      <w:r>
        <w:t xml:space="preserve"> around 3</w:t>
      </w:r>
      <w:r w:rsidR="008E0A84">
        <w:t>4</w:t>
      </w:r>
      <w:r>
        <w:t>0,000 vehicles were registered in Kosovo. The annual average vehicle growth rate is 8.5</w:t>
      </w:r>
      <w:r w:rsidR="002516C9">
        <w:t xml:space="preserve"> percent</w:t>
      </w:r>
      <w:r>
        <w:t xml:space="preserve"> for the last 6 years.</w:t>
      </w:r>
      <w:r w:rsidR="00E00814">
        <w:t xml:space="preserve"> The study estimates</w:t>
      </w:r>
      <w:r w:rsidR="00DA1EAB">
        <w:t xml:space="preserve"> that</w:t>
      </w:r>
      <w:r w:rsidR="00E00814">
        <w:t xml:space="preserve"> t</w:t>
      </w:r>
      <w:r>
        <w:t>ransport is responsible for 1.</w:t>
      </w:r>
      <w:r w:rsidR="008E0A84">
        <w:t>1</w:t>
      </w:r>
      <w:r>
        <w:t xml:space="preserve"> MtCO</w:t>
      </w:r>
      <w:r w:rsidRPr="00AC1E7A">
        <w:rPr>
          <w:vertAlign w:val="subscript"/>
        </w:rPr>
        <w:t>2</w:t>
      </w:r>
      <w:r>
        <w:t xml:space="preserve"> or 1</w:t>
      </w:r>
      <w:r w:rsidR="008E0A84">
        <w:t>0</w:t>
      </w:r>
      <w:r w:rsidR="00DA1EAB">
        <w:t xml:space="preserve"> percent</w:t>
      </w:r>
      <w:r>
        <w:t xml:space="preserve"> of total Greenhouse Gas (GHG) emissions of the country. The</w:t>
      </w:r>
      <w:r w:rsidR="00117453">
        <w:t xml:space="preserve"> study also estimates that the</w:t>
      </w:r>
      <w:r>
        <w:t xml:space="preserve"> economic cost </w:t>
      </w:r>
      <w:r w:rsidR="0037123A">
        <w:t>of</w:t>
      </w:r>
      <w:r>
        <w:t xml:space="preserve"> NO</w:t>
      </w:r>
      <w:r w:rsidRPr="0009304D">
        <w:rPr>
          <w:vertAlign w:val="subscript"/>
        </w:rPr>
        <w:t>x</w:t>
      </w:r>
      <w:r>
        <w:t xml:space="preserve"> and PM</w:t>
      </w:r>
      <w:r w:rsidRPr="0009304D">
        <w:rPr>
          <w:vertAlign w:val="subscript"/>
        </w:rPr>
        <w:t>2.5</w:t>
      </w:r>
      <w:r>
        <w:t xml:space="preserve"> emissions from vehicles for 201</w:t>
      </w:r>
      <w:r w:rsidR="006A51E8">
        <w:t>8</w:t>
      </w:r>
      <w:r>
        <w:t xml:space="preserve"> </w:t>
      </w:r>
      <w:r w:rsidR="0037123A">
        <w:t xml:space="preserve">is </w:t>
      </w:r>
      <w:r w:rsidR="008E0A84">
        <w:t>46</w:t>
      </w:r>
      <w:r>
        <w:t xml:space="preserve"> million Euro</w:t>
      </w:r>
      <w:r w:rsidR="00A62B2E">
        <w:t>,</w:t>
      </w:r>
      <w:r>
        <w:t xml:space="preserve"> of which </w:t>
      </w:r>
      <w:r w:rsidR="008E0A84">
        <w:t>15</w:t>
      </w:r>
      <w:r w:rsidR="00A62B2E">
        <w:t xml:space="preserve"> percent</w:t>
      </w:r>
      <w:r>
        <w:t xml:space="preserve"> are due to NO</w:t>
      </w:r>
      <w:r w:rsidRPr="0009304D">
        <w:rPr>
          <w:vertAlign w:val="subscript"/>
        </w:rPr>
        <w:t>x</w:t>
      </w:r>
      <w:r>
        <w:t xml:space="preserve"> and 8</w:t>
      </w:r>
      <w:r w:rsidR="008E0A84">
        <w:t>5</w:t>
      </w:r>
      <w:r w:rsidR="00A62B2E">
        <w:t xml:space="preserve"> percent</w:t>
      </w:r>
      <w:r>
        <w:t xml:space="preserve"> due to PM</w:t>
      </w:r>
      <w:r w:rsidRPr="0009304D">
        <w:rPr>
          <w:vertAlign w:val="subscript"/>
        </w:rPr>
        <w:t>2.5</w:t>
      </w:r>
      <w:r>
        <w:t xml:space="preserve"> emissions. Whilst pollution levels from vehicles will decrease due to gradual introduction of more modern vehicles, the </w:t>
      </w:r>
      <w:r w:rsidR="008E0A84">
        <w:t>decrease is slow due to usage of old vehicles with an average age of 19 years and the</w:t>
      </w:r>
      <w:r w:rsidR="0003362F">
        <w:t xml:space="preserve"> very</w:t>
      </w:r>
      <w:r w:rsidR="008E0A84">
        <w:t xml:space="preserve"> high share of diesel cars. </w:t>
      </w:r>
      <w:r>
        <w:t xml:space="preserve">GHG emissions will </w:t>
      </w:r>
      <w:r w:rsidR="00A62B2E">
        <w:t xml:space="preserve">likely </w:t>
      </w:r>
      <w:r>
        <w:t>grow almost in-line with economic growth under a Business as Usual</w:t>
      </w:r>
      <w:r w:rsidR="002E001E">
        <w:t xml:space="preserve"> (BAU)</w:t>
      </w:r>
      <w:r>
        <w:t xml:space="preserve"> scenario.</w:t>
      </w:r>
    </w:p>
    <w:p w14:paraId="11EA9FC3" w14:textId="49B26FE3" w:rsidR="0080334F" w:rsidRPr="0080334F" w:rsidRDefault="0080334F" w:rsidP="0080334F">
      <w:pPr>
        <w:jc w:val="both"/>
        <w:rPr>
          <w:b/>
        </w:rPr>
      </w:pPr>
      <w:r w:rsidRPr="0080334F">
        <w:rPr>
          <w:b/>
        </w:rPr>
        <w:t>Low-Emission Buses</w:t>
      </w:r>
    </w:p>
    <w:p w14:paraId="5B5B0D7A" w14:textId="330C0CFF" w:rsidR="0080334F" w:rsidRDefault="0080334F" w:rsidP="0080334F">
      <w:pPr>
        <w:jc w:val="both"/>
      </w:pPr>
      <w:r>
        <w:t>3. From an environmental perspective</w:t>
      </w:r>
      <w:r w:rsidR="00E774C9">
        <w:t>, the study concludes that</w:t>
      </w:r>
      <w:r>
        <w:t xml:space="preserve"> hybrid buses are currently the optimal solution for Kosovo as they reduce energy usage, emissions and noise by around 25</w:t>
      </w:r>
      <w:r w:rsidR="00BF486F">
        <w:t xml:space="preserve"> percent</w:t>
      </w:r>
      <w:r>
        <w:t xml:space="preserve"> compared to Euro VI diesel units. With the current very high carbon grid factor of Kosovo (1.34 kgCO</w:t>
      </w:r>
      <w:r w:rsidRPr="00C91767">
        <w:rPr>
          <w:vertAlign w:val="subscript"/>
        </w:rPr>
        <w:t>2</w:t>
      </w:r>
      <w:r>
        <w:t>/kWh)</w:t>
      </w:r>
      <w:r w:rsidR="00DF5B91">
        <w:t>,</w:t>
      </w:r>
      <w:r>
        <w:t xml:space="preserve"> e</w:t>
      </w:r>
      <w:r w:rsidR="00BF486F">
        <w:t xml:space="preserve">lectric </w:t>
      </w:r>
      <w:r>
        <w:t xml:space="preserve">buses result in increased </w:t>
      </w:r>
      <w:r w:rsidR="00CE6F23">
        <w:t>G</w:t>
      </w:r>
      <w:r>
        <w:t>HG emissions</w:t>
      </w:r>
      <w:r w:rsidR="00274356">
        <w:t>.</w:t>
      </w:r>
      <w:r>
        <w:t xml:space="preserve"> </w:t>
      </w:r>
      <w:r w:rsidR="006A51E8">
        <w:t xml:space="preserve">If electricity </w:t>
      </w:r>
      <w:r w:rsidR="00761111">
        <w:t>p</w:t>
      </w:r>
      <w:r w:rsidR="006A51E8">
        <w:t xml:space="preserve">roduced in Kosovo </w:t>
      </w:r>
      <w:r w:rsidR="00761111">
        <w:t>becomes cleaner, with</w:t>
      </w:r>
      <w:r w:rsidR="006A51E8">
        <w:t xml:space="preserve"> a carbon factor of at least 30% lower</w:t>
      </w:r>
      <w:r w:rsidR="00761111">
        <w:t>,</w:t>
      </w:r>
      <w:r w:rsidR="006A51E8">
        <w:t xml:space="preserve"> then e</w:t>
      </w:r>
      <w:r w:rsidR="00CC4C60">
        <w:t xml:space="preserve">lectric </w:t>
      </w:r>
      <w:r w:rsidR="006A51E8">
        <w:t xml:space="preserve">buses would be the best solution concerning GHG emissions. </w:t>
      </w:r>
      <w:r w:rsidR="0028252C">
        <w:t>Regarding</w:t>
      </w:r>
      <w:r w:rsidR="00274356">
        <w:t xml:space="preserve"> local pollutants, electric bus has</w:t>
      </w:r>
      <w:r w:rsidR="00513A55">
        <w:t xml:space="preserve"> zero combustion emissions</w:t>
      </w:r>
      <w:r w:rsidR="0028252C">
        <w:t xml:space="preserve"> for NO</w:t>
      </w:r>
      <w:r w:rsidR="0028252C" w:rsidRPr="0009304D">
        <w:rPr>
          <w:vertAlign w:val="subscript"/>
        </w:rPr>
        <w:t>x</w:t>
      </w:r>
      <w:r w:rsidR="0028252C">
        <w:t xml:space="preserve"> and PM</w:t>
      </w:r>
      <w:r w:rsidR="0028252C" w:rsidRPr="0009304D">
        <w:rPr>
          <w:vertAlign w:val="subscript"/>
        </w:rPr>
        <w:t>2.5</w:t>
      </w:r>
      <w:r w:rsidR="00513A55">
        <w:t xml:space="preserve">, while non-combustion related </w:t>
      </w:r>
      <w:r w:rsidR="0028252C">
        <w:t>PM</w:t>
      </w:r>
      <w:r w:rsidR="0028252C" w:rsidRPr="0009304D">
        <w:rPr>
          <w:vertAlign w:val="subscript"/>
        </w:rPr>
        <w:t>2.5</w:t>
      </w:r>
      <w:r w:rsidR="0028252C">
        <w:t xml:space="preserve"> </w:t>
      </w:r>
      <w:r w:rsidR="0028252C" w:rsidRPr="00BD0078">
        <w:t>emissions from brake, tire and particle re-suspension</w:t>
      </w:r>
      <w:r w:rsidR="0028252C">
        <w:t xml:space="preserve"> should not </w:t>
      </w:r>
      <w:r w:rsidR="00765985">
        <w:t>be ignored.</w:t>
      </w:r>
    </w:p>
    <w:p w14:paraId="62D0F2C5" w14:textId="77777777" w:rsidR="00AF2AEE" w:rsidRDefault="00AF2AEE" w:rsidP="00AF2AEE">
      <w:pPr>
        <w:jc w:val="both"/>
      </w:pPr>
      <w:r>
        <w:t xml:space="preserve">4. Fast-charged Battery Electric Buses (BEBs) are the option with the lowest total cost of ownership for Pristina. Although their investment is around double of a diesel unit, they can recover this investment due to much lower energy costs. This is due to the prevailing very low electricity prices. With the modernization of the grid it is expected that electricity prices will increase </w:t>
      </w:r>
      <w:proofErr w:type="gramStart"/>
      <w:r>
        <w:t>in the near future</w:t>
      </w:r>
      <w:proofErr w:type="gramEnd"/>
      <w:r>
        <w:t>. Fast-charged BEBs could support up to double the current electricity price before being costlier than diesel buses. However, the electric grid is currently not in a condition to take on high loads which are required with high-powered chargers of 300-400kW for fast-charged BEBs. Therefore, in the short-term hybrid units are more appropriate. Once the grid is stabilized and the carbon grid factor drops electric buses would be the financially and environmentally most attractive option.</w:t>
      </w:r>
    </w:p>
    <w:p w14:paraId="04FE62E3" w14:textId="77777777" w:rsidR="00AF2AEE" w:rsidRPr="00C91767" w:rsidRDefault="00AF2AEE" w:rsidP="00AF2AEE">
      <w:pPr>
        <w:jc w:val="both"/>
        <w:rPr>
          <w:sz w:val="20"/>
        </w:rPr>
      </w:pPr>
      <w:r>
        <w:t>5. The largest pollution impact would result from replacing old and small units with large new buses if service quality levels are maintained. One new large diesel Euro VI bus reduces emissions by over 95 percent of PM</w:t>
      </w:r>
      <w:r w:rsidRPr="00690CCD">
        <w:rPr>
          <w:vertAlign w:val="subscript"/>
        </w:rPr>
        <w:t>2.5</w:t>
      </w:r>
      <w:r>
        <w:t xml:space="preserve"> and NO</w:t>
      </w:r>
      <w:r w:rsidRPr="00690CCD">
        <w:rPr>
          <w:vertAlign w:val="subscript"/>
        </w:rPr>
        <w:t>x</w:t>
      </w:r>
      <w:r>
        <w:t xml:space="preserve"> and around 40 percent of GHG compared to operating the same routes with small diesel units. The largest impact is therefore clearly on replacing the current small units with larger modern buses.</w:t>
      </w:r>
    </w:p>
    <w:p w14:paraId="2E24407C" w14:textId="77777777" w:rsidR="00AF2AEE" w:rsidRPr="0080334F" w:rsidRDefault="00AF2AEE" w:rsidP="00AF2AEE">
      <w:pPr>
        <w:jc w:val="both"/>
        <w:rPr>
          <w:b/>
        </w:rPr>
      </w:pPr>
      <w:r w:rsidRPr="0080334F">
        <w:rPr>
          <w:b/>
        </w:rPr>
        <w:t>Fiscal Instrume</w:t>
      </w:r>
      <w:r>
        <w:rPr>
          <w:b/>
        </w:rPr>
        <w:t>nt</w:t>
      </w:r>
      <w:r w:rsidRPr="0080334F">
        <w:rPr>
          <w:b/>
        </w:rPr>
        <w:t>s for Promoting Low-Emission Cars</w:t>
      </w:r>
    </w:p>
    <w:p w14:paraId="3FCA9A5B" w14:textId="77777777" w:rsidR="00AF2AEE" w:rsidRDefault="00AF2AEE" w:rsidP="00AF2AEE">
      <w:pPr>
        <w:jc w:val="both"/>
      </w:pPr>
      <w:r>
        <w:lastRenderedPageBreak/>
        <w:t xml:space="preserve">6. The average age of cars in service in Kosovo is nineteen years, ten more years than on average in Western European countries. The average age of imported vehicles in 2018 was 6-7 years with 90 percent of imported vehicles being diesel units. </w:t>
      </w:r>
      <w:r w:rsidRPr="00227F60">
        <w:t xml:space="preserve">Age is a very relevant criteria </w:t>
      </w:r>
      <w:r>
        <w:t xml:space="preserve">especially </w:t>
      </w:r>
      <w:r w:rsidRPr="00227F60">
        <w:t>for diesel cars</w:t>
      </w:r>
      <w:r>
        <w:t xml:space="preserve"> as o</w:t>
      </w:r>
      <w:r w:rsidRPr="00DF2689">
        <w:t>lder diesel vehicles (Euro 4 and 5) are very dirty and emit far more than Euro 6 units</w:t>
      </w:r>
      <w:r>
        <w:t>.</w:t>
      </w:r>
      <w:r w:rsidRPr="00AC3B2E">
        <w:t xml:space="preserve"> </w:t>
      </w:r>
      <w:r w:rsidRPr="009F0B07">
        <w:t>Gasoline vehicles have overall</w:t>
      </w:r>
      <w:r>
        <w:t xml:space="preserve"> far</w:t>
      </w:r>
      <w:r w:rsidRPr="009F0B07">
        <w:t xml:space="preserve"> l</w:t>
      </w:r>
      <w:r>
        <w:t>ower</w:t>
      </w:r>
      <w:r w:rsidRPr="009F0B07">
        <w:t xml:space="preserve"> emissions than diesel units</w:t>
      </w:r>
      <w:r>
        <w:t xml:space="preserve"> and their emission levels degrade less over time.</w:t>
      </w:r>
    </w:p>
    <w:p w14:paraId="5A906F92" w14:textId="77777777" w:rsidR="00AF2AEE" w:rsidRDefault="00AF2AEE" w:rsidP="00AF2AEE">
      <w:pPr>
        <w:jc w:val="both"/>
      </w:pPr>
      <w:r>
        <w:t>7. Old diesel cars have dropped in price as people in Western Europe are switching from these vehicles due to existing or looming driving bans on diesel vehicles. This results in high exports of old dirty cars to Eastern Europe including Kosovo.</w:t>
      </w:r>
      <w:r w:rsidRPr="00F455D9">
        <w:rPr>
          <w:color w:val="281E1E"/>
          <w:sz w:val="29"/>
          <w:szCs w:val="29"/>
        </w:rPr>
        <w:t xml:space="preserve"> </w:t>
      </w:r>
      <w:r w:rsidRPr="00DF2689">
        <w:t xml:space="preserve">In Germany, the largest supplier of used cars to Kosovo, it is expected that 9 </w:t>
      </w:r>
      <w:r>
        <w:t xml:space="preserve">million </w:t>
      </w:r>
      <w:r w:rsidRPr="00DF2689">
        <w:t>out of 15 million registered diesel cars do not meet the Euro 6 standard and will thus be affected by driving bans</w:t>
      </w:r>
      <w:r>
        <w:t>.</w:t>
      </w:r>
    </w:p>
    <w:p w14:paraId="72151E0F" w14:textId="77777777" w:rsidR="00AF2AEE" w:rsidRDefault="00AF2AEE" w:rsidP="00AF2AEE">
      <w:pPr>
        <w:jc w:val="both"/>
      </w:pPr>
      <w:r>
        <w:t>8. The ecological tax in Kosovo is currently fixed at 10 Euros for all vehicles and collected as part of the annual registration. The Ministry of Infrastructure and Transport (</w:t>
      </w:r>
      <w:proofErr w:type="spellStart"/>
      <w:r>
        <w:t>MoIT</w:t>
      </w:r>
      <w:proofErr w:type="spellEnd"/>
      <w:r>
        <w:t xml:space="preserve">) is considering increasing this tax and differentiating it by the age of vehicles. The main objective of the differentiated ecological tax is to incentivize people to renew their vehicle by increasing the costs of maintaining an old car. However, the influence of an annual road tax on car purchase decisions is limited, as it is not visible at the time of purchasing and as its magnitude is relatively small, especially in relation to the vehicle investment. Over time, the ecological tax </w:t>
      </w:r>
      <w:proofErr w:type="gramStart"/>
      <w:r>
        <w:t>could  influence</w:t>
      </w:r>
      <w:proofErr w:type="gramEnd"/>
      <w:r>
        <w:t xml:space="preserve"> the decision of a person to scrap the old vehicle and purchase a newer model. To achieve this target the ecological tax needs to be high enough and needs to differentiate sufficiently between a new and an old vehicle. To allow for </w:t>
      </w:r>
      <w:proofErr w:type="gramStart"/>
      <w:r>
        <w:t>a sufficient</w:t>
      </w:r>
      <w:proofErr w:type="gramEnd"/>
      <w:r>
        <w:t xml:space="preserve"> differentiation, whilst keeping the system simple, it is suggested to use fewer categories and a sufficient separation of payments. The following table shows a suggested grading for the ecological tax. It is also suggested to differentiate between diesel and petrol cars as well as EVs/Hybrids to create awareness of the pollution impact of different vehicle fuels.</w:t>
      </w:r>
    </w:p>
    <w:p w14:paraId="2F2F267A" w14:textId="77777777" w:rsidR="00AF2AEE" w:rsidRPr="001B11FD" w:rsidRDefault="00AF2AEE" w:rsidP="00AF2AEE">
      <w:pPr>
        <w:pStyle w:val="NoSpacing"/>
        <w:rPr>
          <w:b/>
        </w:rPr>
      </w:pPr>
      <w:r w:rsidRPr="001B11FD">
        <w:rPr>
          <w:b/>
        </w:rPr>
        <w:t>Proposed Ecological Tax (in Euro per annum)</w:t>
      </w:r>
    </w:p>
    <w:tbl>
      <w:tblPr>
        <w:tblStyle w:val="TableGrid"/>
        <w:tblW w:w="0" w:type="auto"/>
        <w:tblLook w:val="04A0" w:firstRow="1" w:lastRow="0" w:firstColumn="1" w:lastColumn="0" w:noHBand="0" w:noVBand="1"/>
      </w:tblPr>
      <w:tblGrid>
        <w:gridCol w:w="3235"/>
        <w:gridCol w:w="1927"/>
        <w:gridCol w:w="1927"/>
        <w:gridCol w:w="1927"/>
      </w:tblGrid>
      <w:tr w:rsidR="00AF2AEE" w:rsidRPr="001B11FD" w14:paraId="53D10351" w14:textId="77777777" w:rsidTr="00C34748">
        <w:tc>
          <w:tcPr>
            <w:tcW w:w="3235" w:type="dxa"/>
            <w:shd w:val="clear" w:color="auto" w:fill="D9E2F3" w:themeFill="accent1" w:themeFillTint="33"/>
          </w:tcPr>
          <w:p w14:paraId="3EE3E811" w14:textId="77777777" w:rsidR="00AF2AEE" w:rsidRPr="001B11FD" w:rsidRDefault="00AF2AEE" w:rsidP="00C34748">
            <w:pPr>
              <w:pStyle w:val="NoSpacing"/>
              <w:rPr>
                <w:b/>
              </w:rPr>
            </w:pPr>
            <w:r w:rsidRPr="001B11FD">
              <w:rPr>
                <w:b/>
              </w:rPr>
              <w:t>Vehicle age</w:t>
            </w:r>
          </w:p>
        </w:tc>
        <w:tc>
          <w:tcPr>
            <w:tcW w:w="1927" w:type="dxa"/>
            <w:shd w:val="clear" w:color="auto" w:fill="D9E2F3" w:themeFill="accent1" w:themeFillTint="33"/>
          </w:tcPr>
          <w:p w14:paraId="484AB489" w14:textId="77777777" w:rsidR="00AF2AEE" w:rsidRPr="001B11FD" w:rsidRDefault="00AF2AEE" w:rsidP="00C34748">
            <w:pPr>
              <w:pStyle w:val="NoSpacing"/>
              <w:jc w:val="center"/>
              <w:rPr>
                <w:b/>
              </w:rPr>
            </w:pPr>
            <w:r w:rsidRPr="001B11FD">
              <w:rPr>
                <w:b/>
              </w:rPr>
              <w:t>Diesel cars</w:t>
            </w:r>
          </w:p>
        </w:tc>
        <w:tc>
          <w:tcPr>
            <w:tcW w:w="1927" w:type="dxa"/>
            <w:shd w:val="clear" w:color="auto" w:fill="D9E2F3" w:themeFill="accent1" w:themeFillTint="33"/>
          </w:tcPr>
          <w:p w14:paraId="74FCB5DF" w14:textId="77777777" w:rsidR="00AF2AEE" w:rsidRPr="001B11FD" w:rsidRDefault="00AF2AEE" w:rsidP="00C34748">
            <w:pPr>
              <w:pStyle w:val="NoSpacing"/>
              <w:jc w:val="center"/>
              <w:rPr>
                <w:b/>
              </w:rPr>
            </w:pPr>
            <w:r w:rsidRPr="001B11FD">
              <w:rPr>
                <w:b/>
              </w:rPr>
              <w:t>Gasoline cars</w:t>
            </w:r>
          </w:p>
        </w:tc>
        <w:tc>
          <w:tcPr>
            <w:tcW w:w="1927" w:type="dxa"/>
            <w:shd w:val="clear" w:color="auto" w:fill="D9E2F3" w:themeFill="accent1" w:themeFillTint="33"/>
          </w:tcPr>
          <w:p w14:paraId="1DDA1E81" w14:textId="77777777" w:rsidR="00AF2AEE" w:rsidRPr="001B11FD" w:rsidRDefault="00AF2AEE" w:rsidP="00C34748">
            <w:pPr>
              <w:pStyle w:val="NoSpacing"/>
              <w:jc w:val="center"/>
              <w:rPr>
                <w:b/>
              </w:rPr>
            </w:pPr>
            <w:r w:rsidRPr="001B11FD">
              <w:rPr>
                <w:b/>
              </w:rPr>
              <w:t>EVs and hybrids</w:t>
            </w:r>
          </w:p>
        </w:tc>
      </w:tr>
      <w:tr w:rsidR="00AF2AEE" w14:paraId="2ACBAD5A" w14:textId="77777777" w:rsidTr="00C34748">
        <w:tc>
          <w:tcPr>
            <w:tcW w:w="3235" w:type="dxa"/>
          </w:tcPr>
          <w:p w14:paraId="14792D12" w14:textId="77777777" w:rsidR="00AF2AEE" w:rsidRDefault="00AF2AEE" w:rsidP="00C34748">
            <w:pPr>
              <w:pStyle w:val="NoSpacing"/>
            </w:pPr>
            <w:r>
              <w:t>0 to 5 years</w:t>
            </w:r>
          </w:p>
        </w:tc>
        <w:tc>
          <w:tcPr>
            <w:tcW w:w="1927" w:type="dxa"/>
          </w:tcPr>
          <w:p w14:paraId="07C2BB92" w14:textId="77777777" w:rsidR="00AF2AEE" w:rsidRDefault="00AF2AEE" w:rsidP="00C34748">
            <w:pPr>
              <w:pStyle w:val="NoSpacing"/>
              <w:jc w:val="center"/>
            </w:pPr>
            <w:r>
              <w:t>10 Euro</w:t>
            </w:r>
          </w:p>
        </w:tc>
        <w:tc>
          <w:tcPr>
            <w:tcW w:w="1927" w:type="dxa"/>
          </w:tcPr>
          <w:p w14:paraId="54A29413" w14:textId="77777777" w:rsidR="00AF2AEE" w:rsidRDefault="00AF2AEE" w:rsidP="00C34748">
            <w:pPr>
              <w:pStyle w:val="NoSpacing"/>
              <w:jc w:val="center"/>
            </w:pPr>
            <w:r>
              <w:t>0 Euro</w:t>
            </w:r>
          </w:p>
        </w:tc>
        <w:tc>
          <w:tcPr>
            <w:tcW w:w="1927" w:type="dxa"/>
          </w:tcPr>
          <w:p w14:paraId="7C17740A" w14:textId="77777777" w:rsidR="00AF2AEE" w:rsidRDefault="00AF2AEE" w:rsidP="00C34748">
            <w:pPr>
              <w:pStyle w:val="NoSpacing"/>
              <w:jc w:val="center"/>
            </w:pPr>
            <w:r>
              <w:t>0 Euro</w:t>
            </w:r>
          </w:p>
        </w:tc>
      </w:tr>
      <w:tr w:rsidR="00AF2AEE" w14:paraId="31A4A9FB" w14:textId="77777777" w:rsidTr="00C34748">
        <w:tc>
          <w:tcPr>
            <w:tcW w:w="3235" w:type="dxa"/>
          </w:tcPr>
          <w:p w14:paraId="62C62A23" w14:textId="77777777" w:rsidR="00AF2AEE" w:rsidRDefault="00AF2AEE" w:rsidP="00C34748">
            <w:pPr>
              <w:pStyle w:val="NoSpacing"/>
            </w:pPr>
            <w:r>
              <w:t>5 to 10 years</w:t>
            </w:r>
          </w:p>
        </w:tc>
        <w:tc>
          <w:tcPr>
            <w:tcW w:w="1927" w:type="dxa"/>
          </w:tcPr>
          <w:p w14:paraId="674B75C0" w14:textId="77777777" w:rsidR="00AF2AEE" w:rsidRDefault="00AF2AEE" w:rsidP="00C34748">
            <w:pPr>
              <w:pStyle w:val="NoSpacing"/>
              <w:jc w:val="center"/>
            </w:pPr>
            <w:r>
              <w:t>30</w:t>
            </w:r>
            <w:r w:rsidRPr="006F585B">
              <w:t xml:space="preserve"> Euro</w:t>
            </w:r>
          </w:p>
        </w:tc>
        <w:tc>
          <w:tcPr>
            <w:tcW w:w="1927" w:type="dxa"/>
          </w:tcPr>
          <w:p w14:paraId="54F13C50" w14:textId="77777777" w:rsidR="00AF2AEE" w:rsidRDefault="00AF2AEE" w:rsidP="00C34748">
            <w:pPr>
              <w:pStyle w:val="NoSpacing"/>
              <w:jc w:val="center"/>
            </w:pPr>
            <w:r>
              <w:t>1</w:t>
            </w:r>
            <w:r w:rsidRPr="006F585B">
              <w:t>0 Euro</w:t>
            </w:r>
          </w:p>
        </w:tc>
        <w:tc>
          <w:tcPr>
            <w:tcW w:w="1927" w:type="dxa"/>
          </w:tcPr>
          <w:p w14:paraId="45A3A2AD" w14:textId="77777777" w:rsidR="00AF2AEE" w:rsidRDefault="00AF2AEE" w:rsidP="00C34748">
            <w:pPr>
              <w:pStyle w:val="NoSpacing"/>
              <w:jc w:val="center"/>
            </w:pPr>
            <w:r w:rsidRPr="006F585B">
              <w:t>0 Euro</w:t>
            </w:r>
          </w:p>
        </w:tc>
      </w:tr>
      <w:tr w:rsidR="00AF2AEE" w14:paraId="31EE6058" w14:textId="77777777" w:rsidTr="00C34748">
        <w:tc>
          <w:tcPr>
            <w:tcW w:w="3235" w:type="dxa"/>
          </w:tcPr>
          <w:p w14:paraId="1519C193" w14:textId="77777777" w:rsidR="00AF2AEE" w:rsidRDefault="00AF2AEE" w:rsidP="00C34748">
            <w:pPr>
              <w:pStyle w:val="NoSpacing"/>
            </w:pPr>
            <w:r>
              <w:t>over 10 years</w:t>
            </w:r>
          </w:p>
        </w:tc>
        <w:tc>
          <w:tcPr>
            <w:tcW w:w="1927" w:type="dxa"/>
          </w:tcPr>
          <w:p w14:paraId="1823F182" w14:textId="77777777" w:rsidR="00AF2AEE" w:rsidRDefault="00AF2AEE" w:rsidP="00C34748">
            <w:pPr>
              <w:pStyle w:val="NoSpacing"/>
              <w:jc w:val="center"/>
            </w:pPr>
            <w:r w:rsidRPr="006F585B">
              <w:t>10</w:t>
            </w:r>
            <w:r>
              <w:t>0</w:t>
            </w:r>
            <w:r w:rsidRPr="006F585B">
              <w:t xml:space="preserve"> Euro</w:t>
            </w:r>
          </w:p>
        </w:tc>
        <w:tc>
          <w:tcPr>
            <w:tcW w:w="1927" w:type="dxa"/>
          </w:tcPr>
          <w:p w14:paraId="35F4B82E" w14:textId="77777777" w:rsidR="00AF2AEE" w:rsidRDefault="00AF2AEE" w:rsidP="00C34748">
            <w:pPr>
              <w:pStyle w:val="NoSpacing"/>
              <w:jc w:val="center"/>
            </w:pPr>
            <w:r>
              <w:t>30</w:t>
            </w:r>
            <w:r w:rsidRPr="006F585B">
              <w:t xml:space="preserve"> Euro</w:t>
            </w:r>
          </w:p>
        </w:tc>
        <w:tc>
          <w:tcPr>
            <w:tcW w:w="1927" w:type="dxa"/>
          </w:tcPr>
          <w:p w14:paraId="084AA025" w14:textId="77777777" w:rsidR="00AF2AEE" w:rsidRDefault="00AF2AEE" w:rsidP="00C34748">
            <w:pPr>
              <w:pStyle w:val="NoSpacing"/>
              <w:jc w:val="center"/>
            </w:pPr>
            <w:r>
              <w:t>1</w:t>
            </w:r>
            <w:r w:rsidRPr="006F585B">
              <w:t>0 Euro</w:t>
            </w:r>
          </w:p>
        </w:tc>
      </w:tr>
    </w:tbl>
    <w:p w14:paraId="20F2CC97" w14:textId="77777777" w:rsidR="00AF2AEE" w:rsidRDefault="00AF2AEE" w:rsidP="00AF2AEE">
      <w:pPr>
        <w:pStyle w:val="NoSpacing"/>
      </w:pPr>
    </w:p>
    <w:p w14:paraId="1D9F6E50" w14:textId="77777777" w:rsidR="00AF2AEE" w:rsidRDefault="00AF2AEE" w:rsidP="00AF2AEE">
      <w:pPr>
        <w:jc w:val="both"/>
      </w:pPr>
      <w:r>
        <w:t xml:space="preserve">9. The objective of a vehicle excise tax based on environmental criteria is to influence purchase decisions towards lower emitting vehicles being gasoline or EVs/hybrids and towards newer vehicles. These shall be financially more attractive than old diesel cars. The tax influences the purchase decision and has the potential to divert car purchases towards newer and cleaner models. </w:t>
      </w:r>
    </w:p>
    <w:p w14:paraId="0857A20C" w14:textId="77777777" w:rsidR="00AF2AEE" w:rsidRDefault="00AF2AEE" w:rsidP="00AF2AEE">
      <w:pPr>
        <w:jc w:val="both"/>
      </w:pPr>
      <w:r>
        <w:t xml:space="preserve">10. The proposal is to re-structure the existing vehicle excise tax which uses vehicle age and engine power as criteria and to use instead the vehicle emission standard (Euro standard) and the fuel type as criteria. Both the euro standard and fuel type have a direct correlation to vehicle emissions whilst engine power has no correlation with the emission of pollutants. It is proposed to adjust the excise tax level in regular intervals until the target is reached to import dominantly Euro 6 gasoline cars, EVs and hybrid vehicles, whilst maintaining the desired tax income levels. </w:t>
      </w:r>
    </w:p>
    <w:p w14:paraId="24F05591" w14:textId="77777777" w:rsidR="00AF2AEE" w:rsidRPr="001B11FD" w:rsidRDefault="00AF2AEE" w:rsidP="00AF2AEE">
      <w:pPr>
        <w:pStyle w:val="NoSpacing"/>
        <w:rPr>
          <w:b/>
        </w:rPr>
      </w:pPr>
      <w:r w:rsidRPr="001B11FD">
        <w:rPr>
          <w:b/>
        </w:rPr>
        <w:t xml:space="preserve">Proposed </w:t>
      </w:r>
      <w:r>
        <w:rPr>
          <w:b/>
        </w:rPr>
        <w:t xml:space="preserve">Vehicle Excise </w:t>
      </w:r>
      <w:r w:rsidRPr="001B11FD">
        <w:rPr>
          <w:b/>
        </w:rPr>
        <w:t xml:space="preserve">Tax (in Euro per </w:t>
      </w:r>
      <w:r>
        <w:rPr>
          <w:b/>
        </w:rPr>
        <w:t>vehicle</w:t>
      </w:r>
      <w:r w:rsidRPr="001B11FD">
        <w:rPr>
          <w:b/>
        </w:rPr>
        <w:t>)</w:t>
      </w:r>
    </w:p>
    <w:tbl>
      <w:tblPr>
        <w:tblStyle w:val="TableGrid"/>
        <w:tblW w:w="0" w:type="auto"/>
        <w:tblLook w:val="04A0" w:firstRow="1" w:lastRow="0" w:firstColumn="1" w:lastColumn="0" w:noHBand="0" w:noVBand="1"/>
      </w:tblPr>
      <w:tblGrid>
        <w:gridCol w:w="2631"/>
        <w:gridCol w:w="1608"/>
        <w:gridCol w:w="1673"/>
        <w:gridCol w:w="1456"/>
        <w:gridCol w:w="1456"/>
      </w:tblGrid>
      <w:tr w:rsidR="00AF2AEE" w:rsidRPr="001B11FD" w14:paraId="4B1F4F3B" w14:textId="77777777" w:rsidTr="00C34748">
        <w:tc>
          <w:tcPr>
            <w:tcW w:w="2631" w:type="dxa"/>
            <w:shd w:val="clear" w:color="auto" w:fill="D9E2F3" w:themeFill="accent1" w:themeFillTint="33"/>
          </w:tcPr>
          <w:p w14:paraId="330F5FC9" w14:textId="77777777" w:rsidR="00AF2AEE" w:rsidRPr="001B11FD" w:rsidRDefault="00AF2AEE" w:rsidP="00C34748">
            <w:pPr>
              <w:pStyle w:val="NoSpacing"/>
              <w:rPr>
                <w:b/>
              </w:rPr>
            </w:pPr>
            <w:r>
              <w:rPr>
                <w:b/>
              </w:rPr>
              <w:t>Euro Standard</w:t>
            </w:r>
          </w:p>
        </w:tc>
        <w:tc>
          <w:tcPr>
            <w:tcW w:w="1608" w:type="dxa"/>
            <w:shd w:val="clear" w:color="auto" w:fill="D9E2F3" w:themeFill="accent1" w:themeFillTint="33"/>
          </w:tcPr>
          <w:p w14:paraId="6FDA8020" w14:textId="77777777" w:rsidR="00AF2AEE" w:rsidRPr="001B11FD" w:rsidRDefault="00AF2AEE" w:rsidP="00C34748">
            <w:pPr>
              <w:pStyle w:val="NoSpacing"/>
              <w:jc w:val="center"/>
              <w:rPr>
                <w:b/>
              </w:rPr>
            </w:pPr>
            <w:r w:rsidRPr="001B11FD">
              <w:rPr>
                <w:b/>
              </w:rPr>
              <w:t>Diesel cars</w:t>
            </w:r>
          </w:p>
        </w:tc>
        <w:tc>
          <w:tcPr>
            <w:tcW w:w="1673" w:type="dxa"/>
            <w:shd w:val="clear" w:color="auto" w:fill="D9E2F3" w:themeFill="accent1" w:themeFillTint="33"/>
          </w:tcPr>
          <w:p w14:paraId="2C725139" w14:textId="77777777" w:rsidR="00AF2AEE" w:rsidRPr="001B11FD" w:rsidRDefault="00AF2AEE" w:rsidP="00C34748">
            <w:pPr>
              <w:pStyle w:val="NoSpacing"/>
              <w:jc w:val="center"/>
              <w:rPr>
                <w:b/>
              </w:rPr>
            </w:pPr>
            <w:r w:rsidRPr="001B11FD">
              <w:rPr>
                <w:b/>
              </w:rPr>
              <w:t>Gasoline cars</w:t>
            </w:r>
          </w:p>
        </w:tc>
        <w:tc>
          <w:tcPr>
            <w:tcW w:w="1456" w:type="dxa"/>
            <w:shd w:val="clear" w:color="auto" w:fill="D9E2F3" w:themeFill="accent1" w:themeFillTint="33"/>
          </w:tcPr>
          <w:p w14:paraId="38A2CC74" w14:textId="77777777" w:rsidR="00AF2AEE" w:rsidRDefault="00AF2AEE" w:rsidP="00C34748">
            <w:pPr>
              <w:pStyle w:val="NoSpacing"/>
              <w:jc w:val="center"/>
              <w:rPr>
                <w:b/>
              </w:rPr>
            </w:pPr>
            <w:r>
              <w:rPr>
                <w:b/>
              </w:rPr>
              <w:t>H</w:t>
            </w:r>
            <w:r w:rsidRPr="001B11FD">
              <w:rPr>
                <w:b/>
              </w:rPr>
              <w:t>ybrids</w:t>
            </w:r>
          </w:p>
        </w:tc>
        <w:tc>
          <w:tcPr>
            <w:tcW w:w="1456" w:type="dxa"/>
            <w:shd w:val="clear" w:color="auto" w:fill="D9E2F3" w:themeFill="accent1" w:themeFillTint="33"/>
          </w:tcPr>
          <w:p w14:paraId="588A4253" w14:textId="77777777" w:rsidR="00AF2AEE" w:rsidRDefault="00AF2AEE" w:rsidP="00C34748">
            <w:pPr>
              <w:pStyle w:val="NoSpacing"/>
              <w:jc w:val="center"/>
              <w:rPr>
                <w:b/>
              </w:rPr>
            </w:pPr>
            <w:r>
              <w:rPr>
                <w:b/>
              </w:rPr>
              <w:t>EVs</w:t>
            </w:r>
          </w:p>
        </w:tc>
      </w:tr>
      <w:tr w:rsidR="00AF2AEE" w14:paraId="423DA338" w14:textId="77777777" w:rsidTr="00C34748">
        <w:tc>
          <w:tcPr>
            <w:tcW w:w="2631" w:type="dxa"/>
          </w:tcPr>
          <w:p w14:paraId="0B2F658D" w14:textId="77777777" w:rsidR="00AF2AEE" w:rsidRDefault="00AF2AEE" w:rsidP="00C34748">
            <w:pPr>
              <w:pStyle w:val="NoSpacing"/>
            </w:pPr>
            <w:r>
              <w:t>Euro 6</w:t>
            </w:r>
          </w:p>
        </w:tc>
        <w:tc>
          <w:tcPr>
            <w:tcW w:w="1608" w:type="dxa"/>
          </w:tcPr>
          <w:p w14:paraId="345780E7" w14:textId="77777777" w:rsidR="00AF2AEE" w:rsidRDefault="00AF2AEE" w:rsidP="00C34748">
            <w:pPr>
              <w:pStyle w:val="NoSpacing"/>
              <w:jc w:val="center"/>
            </w:pPr>
            <w:r>
              <w:t>800 Euro</w:t>
            </w:r>
          </w:p>
        </w:tc>
        <w:tc>
          <w:tcPr>
            <w:tcW w:w="1673" w:type="dxa"/>
          </w:tcPr>
          <w:p w14:paraId="1BF8FDFB" w14:textId="77777777" w:rsidR="00AF2AEE" w:rsidRDefault="00AF2AEE" w:rsidP="00C34748">
            <w:pPr>
              <w:pStyle w:val="NoSpacing"/>
              <w:jc w:val="center"/>
            </w:pPr>
            <w:r>
              <w:t>300 Euro</w:t>
            </w:r>
          </w:p>
        </w:tc>
        <w:tc>
          <w:tcPr>
            <w:tcW w:w="1456" w:type="dxa"/>
          </w:tcPr>
          <w:p w14:paraId="3A34346A" w14:textId="77777777" w:rsidR="00AF2AEE" w:rsidRDefault="00AF2AEE" w:rsidP="00C34748">
            <w:pPr>
              <w:pStyle w:val="NoSpacing"/>
              <w:jc w:val="center"/>
            </w:pPr>
            <w:r>
              <w:t>0 Euro</w:t>
            </w:r>
          </w:p>
        </w:tc>
        <w:tc>
          <w:tcPr>
            <w:tcW w:w="1456" w:type="dxa"/>
            <w:vMerge w:val="restart"/>
            <w:vAlign w:val="center"/>
          </w:tcPr>
          <w:p w14:paraId="7FCBA31E" w14:textId="77777777" w:rsidR="00AF2AEE" w:rsidRDefault="00AF2AEE" w:rsidP="00C34748">
            <w:pPr>
              <w:pStyle w:val="NoSpacing"/>
              <w:jc w:val="center"/>
            </w:pPr>
            <w:r>
              <w:t>0 Euro</w:t>
            </w:r>
          </w:p>
        </w:tc>
      </w:tr>
      <w:tr w:rsidR="00AF2AEE" w14:paraId="3B4A0CC5" w14:textId="77777777" w:rsidTr="00C34748">
        <w:tc>
          <w:tcPr>
            <w:tcW w:w="2631" w:type="dxa"/>
          </w:tcPr>
          <w:p w14:paraId="51AB75C8" w14:textId="77777777" w:rsidR="00AF2AEE" w:rsidRDefault="00AF2AEE" w:rsidP="00C34748">
            <w:pPr>
              <w:pStyle w:val="NoSpacing"/>
            </w:pPr>
            <w:r>
              <w:t xml:space="preserve">Euro 5 </w:t>
            </w:r>
          </w:p>
        </w:tc>
        <w:tc>
          <w:tcPr>
            <w:tcW w:w="1608" w:type="dxa"/>
          </w:tcPr>
          <w:p w14:paraId="39D25CB6" w14:textId="77777777" w:rsidR="00AF2AEE" w:rsidRDefault="00AF2AEE" w:rsidP="00C34748">
            <w:pPr>
              <w:pStyle w:val="NoSpacing"/>
              <w:jc w:val="center"/>
            </w:pPr>
            <w:r>
              <w:t>1,500 Euro</w:t>
            </w:r>
          </w:p>
        </w:tc>
        <w:tc>
          <w:tcPr>
            <w:tcW w:w="1673" w:type="dxa"/>
          </w:tcPr>
          <w:p w14:paraId="563B90E7" w14:textId="77777777" w:rsidR="00AF2AEE" w:rsidRDefault="00AF2AEE" w:rsidP="00C34748">
            <w:pPr>
              <w:pStyle w:val="NoSpacing"/>
              <w:jc w:val="center"/>
            </w:pPr>
            <w:r>
              <w:t>500 Euro</w:t>
            </w:r>
          </w:p>
        </w:tc>
        <w:tc>
          <w:tcPr>
            <w:tcW w:w="1456" w:type="dxa"/>
          </w:tcPr>
          <w:p w14:paraId="4632BF24" w14:textId="77777777" w:rsidR="00AF2AEE" w:rsidRDefault="00AF2AEE" w:rsidP="00C34748">
            <w:pPr>
              <w:pStyle w:val="NoSpacing"/>
              <w:jc w:val="center"/>
            </w:pPr>
            <w:r>
              <w:t>200 Euro</w:t>
            </w:r>
          </w:p>
        </w:tc>
        <w:tc>
          <w:tcPr>
            <w:tcW w:w="1456" w:type="dxa"/>
            <w:vMerge/>
          </w:tcPr>
          <w:p w14:paraId="23DB9E06" w14:textId="77777777" w:rsidR="00AF2AEE" w:rsidRDefault="00AF2AEE" w:rsidP="00C34748">
            <w:pPr>
              <w:pStyle w:val="NoSpacing"/>
              <w:jc w:val="center"/>
            </w:pPr>
          </w:p>
        </w:tc>
      </w:tr>
      <w:tr w:rsidR="00AF2AEE" w14:paraId="59834492" w14:textId="77777777" w:rsidTr="00C34748">
        <w:tc>
          <w:tcPr>
            <w:tcW w:w="2631" w:type="dxa"/>
          </w:tcPr>
          <w:p w14:paraId="22D8AB13" w14:textId="77777777" w:rsidR="00AF2AEE" w:rsidRDefault="00AF2AEE" w:rsidP="00C34748">
            <w:pPr>
              <w:pStyle w:val="NoSpacing"/>
            </w:pPr>
            <w:r>
              <w:t>Euro 4 or less</w:t>
            </w:r>
          </w:p>
        </w:tc>
        <w:tc>
          <w:tcPr>
            <w:tcW w:w="1608" w:type="dxa"/>
          </w:tcPr>
          <w:p w14:paraId="6D27B2A5" w14:textId="77777777" w:rsidR="00AF2AEE" w:rsidRDefault="00AF2AEE" w:rsidP="00C34748">
            <w:pPr>
              <w:pStyle w:val="NoSpacing"/>
              <w:jc w:val="center"/>
            </w:pPr>
            <w:r>
              <w:t>3,000</w:t>
            </w:r>
            <w:r w:rsidRPr="006F585B">
              <w:t xml:space="preserve"> Euro</w:t>
            </w:r>
          </w:p>
        </w:tc>
        <w:tc>
          <w:tcPr>
            <w:tcW w:w="1673" w:type="dxa"/>
          </w:tcPr>
          <w:p w14:paraId="26FD4D5E" w14:textId="77777777" w:rsidR="00AF2AEE" w:rsidRDefault="00AF2AEE" w:rsidP="00C34748">
            <w:pPr>
              <w:pStyle w:val="NoSpacing"/>
              <w:jc w:val="center"/>
            </w:pPr>
            <w:r>
              <w:t>1,00</w:t>
            </w:r>
            <w:r w:rsidRPr="006F585B">
              <w:t>0 Euro</w:t>
            </w:r>
          </w:p>
        </w:tc>
        <w:tc>
          <w:tcPr>
            <w:tcW w:w="1456" w:type="dxa"/>
          </w:tcPr>
          <w:p w14:paraId="5E8DD880" w14:textId="77777777" w:rsidR="00AF2AEE" w:rsidRDefault="00AF2AEE" w:rsidP="00C34748">
            <w:pPr>
              <w:pStyle w:val="NoSpacing"/>
              <w:jc w:val="center"/>
            </w:pPr>
            <w:r>
              <w:t>1,000</w:t>
            </w:r>
            <w:r w:rsidRPr="006F585B">
              <w:t xml:space="preserve"> Euro</w:t>
            </w:r>
          </w:p>
        </w:tc>
        <w:tc>
          <w:tcPr>
            <w:tcW w:w="1456" w:type="dxa"/>
            <w:vMerge/>
          </w:tcPr>
          <w:p w14:paraId="02B7A00A" w14:textId="77777777" w:rsidR="00AF2AEE" w:rsidRDefault="00AF2AEE" w:rsidP="00C34748">
            <w:pPr>
              <w:pStyle w:val="NoSpacing"/>
              <w:jc w:val="center"/>
            </w:pPr>
          </w:p>
        </w:tc>
      </w:tr>
    </w:tbl>
    <w:p w14:paraId="1BEA83F0" w14:textId="77777777" w:rsidR="00AF2AEE" w:rsidRPr="00E645C2" w:rsidRDefault="00AF2AEE" w:rsidP="00AF2AEE">
      <w:pPr>
        <w:jc w:val="both"/>
        <w:rPr>
          <w:sz w:val="20"/>
        </w:rPr>
      </w:pPr>
      <w:r w:rsidRPr="00E645C2">
        <w:rPr>
          <w:sz w:val="20"/>
        </w:rPr>
        <w:t xml:space="preserve">Note: this tax is additional to the current charged </w:t>
      </w:r>
      <w:r>
        <w:rPr>
          <w:sz w:val="20"/>
        </w:rPr>
        <w:t xml:space="preserve">vehicle import </w:t>
      </w:r>
      <w:r w:rsidRPr="00E645C2">
        <w:rPr>
          <w:sz w:val="20"/>
        </w:rPr>
        <w:t>taxes</w:t>
      </w:r>
      <w:r>
        <w:rPr>
          <w:sz w:val="20"/>
        </w:rPr>
        <w:t xml:space="preserve"> (VAT and import duty)</w:t>
      </w:r>
    </w:p>
    <w:p w14:paraId="0ED45213" w14:textId="77777777" w:rsidR="00AF2AEE" w:rsidRDefault="00AF2AEE" w:rsidP="00AF2AEE">
      <w:pPr>
        <w:jc w:val="both"/>
      </w:pPr>
      <w:r w:rsidRPr="00CE6F23">
        <w:lastRenderedPageBreak/>
        <w:t>With these excise t</w:t>
      </w:r>
      <w:r>
        <w:t>a</w:t>
      </w:r>
      <w:r w:rsidRPr="00CE6F23">
        <w:t>x levels</w:t>
      </w:r>
      <w:r>
        <w:t>,</w:t>
      </w:r>
      <w:r w:rsidRPr="00CE6F23">
        <w:t xml:space="preserve"> the </w:t>
      </w:r>
      <w:r>
        <w:t xml:space="preserve">projected </w:t>
      </w:r>
      <w:r w:rsidRPr="00CE6F23">
        <w:t xml:space="preserve">excise income levels remain constant </w:t>
      </w:r>
      <w:r>
        <w:t>i.e. the measure is fiscally neutral whilst total transport emissions of NO</w:t>
      </w:r>
      <w:r w:rsidRPr="003757AD">
        <w:rPr>
          <w:vertAlign w:val="subscript"/>
        </w:rPr>
        <w:t>x</w:t>
      </w:r>
      <w:r>
        <w:t xml:space="preserve"> could be reduced by 8 percent and of PM</w:t>
      </w:r>
      <w:r w:rsidRPr="003757AD">
        <w:rPr>
          <w:vertAlign w:val="subscript"/>
        </w:rPr>
        <w:t>2.5</w:t>
      </w:r>
      <w:r>
        <w:t xml:space="preserve"> by 21 percent compared to a BAU scenario. </w:t>
      </w:r>
    </w:p>
    <w:p w14:paraId="025D6C1D" w14:textId="77777777" w:rsidR="00AF2AEE" w:rsidRPr="0080334F" w:rsidRDefault="00AF2AEE" w:rsidP="00AF2AEE">
      <w:pPr>
        <w:jc w:val="both"/>
        <w:rPr>
          <w:b/>
        </w:rPr>
      </w:pPr>
      <w:r w:rsidRPr="0080334F">
        <w:rPr>
          <w:b/>
        </w:rPr>
        <w:t>Vehicle Emission Testing</w:t>
      </w:r>
    </w:p>
    <w:p w14:paraId="55093368" w14:textId="3850C4C2" w:rsidR="00AF2AEE" w:rsidRDefault="00AF2AEE" w:rsidP="00AF2AEE">
      <w:pPr>
        <w:jc w:val="both"/>
      </w:pPr>
      <w:r>
        <w:t xml:space="preserve">11. Kosovo will start a vehicle emission inspection program in July 2019 as part of the vehicle roadworthiness check. The in-service emission control testing procedure is based on the one applied in the EU i.e. gasoline vehicles are tested for </w:t>
      </w:r>
      <w:r w:rsidR="004C27F4" w:rsidRPr="004C27F4">
        <w:t>hydrocarbons</w:t>
      </w:r>
      <w:r w:rsidR="00522F09">
        <w:t xml:space="preserve"> (HC) /</w:t>
      </w:r>
      <w:r w:rsidR="00522F09" w:rsidRPr="00522F09">
        <w:t>carbon monoxide</w:t>
      </w:r>
      <w:r w:rsidR="00522F09">
        <w:t xml:space="preserve"> (CO)</w:t>
      </w:r>
      <w:r w:rsidR="004C27F4">
        <w:t xml:space="preserve"> </w:t>
      </w:r>
      <w:r>
        <w:t>emissions during idling and with increased revolution whilst for diesel vehicles a smoke test is performed using a free acceleration “snap” test.</w:t>
      </w:r>
    </w:p>
    <w:p w14:paraId="5D05F054" w14:textId="77777777" w:rsidR="00AF2AEE" w:rsidRPr="0085425A" w:rsidRDefault="00AF2AEE" w:rsidP="00AF2AEE">
      <w:pPr>
        <w:jc w:val="both"/>
      </w:pPr>
      <w:r>
        <w:t xml:space="preserve">12. </w:t>
      </w:r>
      <w:r w:rsidRPr="0085425A">
        <w:t xml:space="preserve">Idle gasoline tests and Snap-On diesel tests as proposed in Kosovo have limited relation with actual vehicle emissions and are </w:t>
      </w:r>
      <w:r>
        <w:t xml:space="preserve">relatively </w:t>
      </w:r>
      <w:r w:rsidRPr="0085425A">
        <w:t xml:space="preserve">easy to circumvent. </w:t>
      </w:r>
      <w:r>
        <w:t xml:space="preserve">Usage of </w:t>
      </w:r>
      <w:r w:rsidRPr="0085425A">
        <w:t>OBD</w:t>
      </w:r>
      <w:r>
        <w:t xml:space="preserve"> or EOBD</w:t>
      </w:r>
      <w:r>
        <w:rPr>
          <w:rFonts w:eastAsiaTheme="minorEastAsia" w:hAnsi="Century Gothic"/>
          <w:color w:val="404040" w:themeColor="text1" w:themeTint="BF"/>
          <w:kern w:val="24"/>
          <w:sz w:val="36"/>
          <w:szCs w:val="36"/>
        </w:rPr>
        <w:t xml:space="preserve"> </w:t>
      </w:r>
      <w:r>
        <w:t>(E</w:t>
      </w:r>
      <w:r w:rsidRPr="008E0A84">
        <w:t>uropean On-Board Diagnostic System</w:t>
      </w:r>
      <w:r>
        <w:t>)</w:t>
      </w:r>
      <w:r w:rsidRPr="0085425A">
        <w:t xml:space="preserve"> </w:t>
      </w:r>
      <w:r>
        <w:t xml:space="preserve">compulsory in the EU for 18 years for gasoline cars and for 15 years for diesel units </w:t>
      </w:r>
      <w:r w:rsidRPr="0085425A">
        <w:t>mak</w:t>
      </w:r>
      <w:r>
        <w:t>es</w:t>
      </w:r>
      <w:r w:rsidRPr="0085425A">
        <w:t xml:space="preserve"> emission testing faster and cheaper than using measur</w:t>
      </w:r>
      <w:bookmarkStart w:id="5" w:name="_GoBack"/>
      <w:bookmarkEnd w:id="5"/>
      <w:r w:rsidRPr="0085425A">
        <w:t>ement equipment.</w:t>
      </w:r>
      <w:r>
        <w:t xml:space="preserve"> However, due to relatively large share of old vehicles still circulating in Kosovo, equipment-based emission measurement could still be justified for vehicles without EOBD.</w:t>
      </w:r>
    </w:p>
    <w:p w14:paraId="47E1A54D" w14:textId="77777777" w:rsidR="00AF2AEE" w:rsidRDefault="00AF2AEE" w:rsidP="00AF2AEE">
      <w:pPr>
        <w:jc w:val="both"/>
      </w:pPr>
      <w:r>
        <w:t xml:space="preserve">13. </w:t>
      </w:r>
      <w:r w:rsidRPr="00506B25">
        <w:t xml:space="preserve">In-service emission testing could be simplified to only test </w:t>
      </w:r>
      <w:r>
        <w:t xml:space="preserve">older gasoline </w:t>
      </w:r>
      <w:r w:rsidRPr="00506B25">
        <w:t xml:space="preserve">vehicles without </w:t>
      </w:r>
      <w:r>
        <w:t>E</w:t>
      </w:r>
      <w:r w:rsidRPr="00506B25">
        <w:t xml:space="preserve">OBD </w:t>
      </w:r>
      <w:r>
        <w:t xml:space="preserve">whilst </w:t>
      </w:r>
      <w:r w:rsidRPr="00506B25">
        <w:t>verify</w:t>
      </w:r>
      <w:r>
        <w:t>ing</w:t>
      </w:r>
      <w:r w:rsidRPr="00506B25">
        <w:t xml:space="preserve"> the status of the emission control equipment</w:t>
      </w:r>
      <w:r>
        <w:t xml:space="preserve"> using EOBD for cars equipped with this system</w:t>
      </w:r>
      <w:r w:rsidRPr="00506B25">
        <w:t>.</w:t>
      </w:r>
      <w:r>
        <w:t xml:space="preserve"> For diesel cars older than 5 years testing is still considered as useful</w:t>
      </w:r>
      <w:r w:rsidRPr="00506B25">
        <w:t xml:space="preserve"> </w:t>
      </w:r>
      <w:r>
        <w:t xml:space="preserve">as diesel units degrade faster and have more maintenance problems. In-use vehicle emission inspection while useful is not expected to result in a large impact concerning emissions as the emission standard to which the vehicle was registered defines its emission level. </w:t>
      </w:r>
      <w:r w:rsidRPr="00506B25">
        <w:t xml:space="preserve">The focus for reducing vehicle emissions </w:t>
      </w:r>
      <w:r>
        <w:t xml:space="preserve">thus should </w:t>
      </w:r>
      <w:r w:rsidRPr="00506B25">
        <w:t>be on the emission standard (type approval standard) of new/imported vehicles</w:t>
      </w:r>
      <w:r>
        <w:t xml:space="preserve">, where </w:t>
      </w:r>
      <w:r w:rsidRPr="00506B25">
        <w:t xml:space="preserve">the emission level of vehicles is defined. </w:t>
      </w:r>
      <w:r>
        <w:t xml:space="preserve">This is especially important </w:t>
      </w:r>
      <w:proofErr w:type="gramStart"/>
      <w:r>
        <w:t>in light of</w:t>
      </w:r>
      <w:proofErr w:type="gramEnd"/>
      <w:r>
        <w:t xml:space="preserve"> the very long usage of vehicles in Kosovo.</w:t>
      </w:r>
    </w:p>
    <w:p w14:paraId="368F4C32" w14:textId="77777777" w:rsidR="00AF2AEE" w:rsidRDefault="00AF2AEE" w:rsidP="00AF2AEE">
      <w:pPr>
        <w:jc w:val="both"/>
        <w:rPr>
          <w:b/>
        </w:rPr>
      </w:pPr>
      <w:r w:rsidRPr="00B066B8">
        <w:rPr>
          <w:b/>
        </w:rPr>
        <w:t>Final Remarks</w:t>
      </w:r>
    </w:p>
    <w:p w14:paraId="326AF01C" w14:textId="77777777" w:rsidR="00AF2AEE" w:rsidRPr="00FC33AE" w:rsidRDefault="00AF2AEE" w:rsidP="00AF2AEE">
      <w:pPr>
        <w:jc w:val="both"/>
      </w:pPr>
      <w:r w:rsidRPr="00B066B8">
        <w:t>14. If the government of Kosovo decides to adopt policy recommendations</w:t>
      </w:r>
      <w:r>
        <w:t xml:space="preserve"> from this study</w:t>
      </w:r>
      <w:r w:rsidRPr="00B066B8">
        <w:t>,</w:t>
      </w:r>
      <w:r>
        <w:t xml:space="preserve"> particularly</w:t>
      </w:r>
      <w:r w:rsidRPr="00B066B8">
        <w:t xml:space="preserve"> </w:t>
      </w:r>
      <w:r>
        <w:t xml:space="preserve">related to the restructuring of vehicle tax and vehicle emission inspection, </w:t>
      </w:r>
      <w:r w:rsidRPr="00B066B8">
        <w:t>it is highly recommended that</w:t>
      </w:r>
      <w:r w:rsidRPr="00537D62">
        <w:t xml:space="preserve"> a communication plan be developed for the public and stakeholders to explain </w:t>
      </w:r>
      <w:r>
        <w:t>reasoning behind the changes and their potential impacts. At the same time, government should offer better</w:t>
      </w:r>
      <w:r w:rsidRPr="00537D62">
        <w:t xml:space="preserve"> public transport system</w:t>
      </w:r>
      <w:r>
        <w:t xml:space="preserve"> and encourage non-motorized modes of travel, to</w:t>
      </w:r>
      <w:r w:rsidRPr="00537D62">
        <w:t xml:space="preserve"> maintain or improv</w:t>
      </w:r>
      <w:r>
        <w:t>e</w:t>
      </w:r>
      <w:r w:rsidRPr="00537D62">
        <w:t xml:space="preserve"> </w:t>
      </w:r>
      <w:r>
        <w:t>citizen’s</w:t>
      </w:r>
      <w:r w:rsidRPr="00537D62">
        <w:t xml:space="preserve"> level of mobility (i.e. efficiency, cleanness, affordability and equity). It should also be noted that behaviour change</w:t>
      </w:r>
      <w:r>
        <w:t xml:space="preserve">, e.g. </w:t>
      </w:r>
      <w:r w:rsidRPr="00537D62">
        <w:t xml:space="preserve">from </w:t>
      </w:r>
      <w:r>
        <w:t xml:space="preserve">purchasing </w:t>
      </w:r>
      <w:r w:rsidRPr="00537D62">
        <w:t xml:space="preserve">old luxury diesel cars to newer gasoline standard cars is a gradual process and needs </w:t>
      </w:r>
      <w:r>
        <w:t xml:space="preserve">not only financial incentives but also </w:t>
      </w:r>
      <w:r w:rsidRPr="00537D62">
        <w:t>a good package of comprehensive measures.</w:t>
      </w:r>
    </w:p>
    <w:p w14:paraId="07B7EA10" w14:textId="77777777" w:rsidR="00463487" w:rsidRPr="00463487" w:rsidRDefault="00463487" w:rsidP="00463487"/>
    <w:p w14:paraId="12E57429" w14:textId="25307E0E" w:rsidR="00617308" w:rsidRDefault="00617308" w:rsidP="00617308"/>
    <w:p w14:paraId="50609662" w14:textId="6B6FC33B" w:rsidR="00617308" w:rsidRDefault="00617308" w:rsidP="00617308">
      <w:pPr>
        <w:pStyle w:val="Heading1"/>
      </w:pPr>
      <w:r>
        <w:br w:type="column"/>
      </w:r>
      <w:bookmarkStart w:id="6" w:name="_Toc7256791"/>
      <w:r>
        <w:lastRenderedPageBreak/>
        <w:t>1. Introduction</w:t>
      </w:r>
      <w:bookmarkEnd w:id="6"/>
    </w:p>
    <w:p w14:paraId="39A19F93" w14:textId="73DB7819" w:rsidR="00617308" w:rsidRDefault="00617308" w:rsidP="00617308"/>
    <w:p w14:paraId="473F576F" w14:textId="67934C44" w:rsidR="007F0A5D" w:rsidRDefault="007F0A5D" w:rsidP="00585CEC">
      <w:pPr>
        <w:jc w:val="both"/>
        <w:rPr>
          <w:lang w:val="en-US"/>
        </w:rPr>
      </w:pPr>
      <w:r w:rsidRPr="007F0A5D">
        <w:rPr>
          <w:lang w:val="en-US"/>
        </w:rPr>
        <w:t xml:space="preserve">The Western Balkans is home to the most polluting power plants in Europe, and its transport and energy infrastructure require updates. Not surprisingly, countries such as Kosovo, are suffering from severe urban air pollution and traffic congestion as a result of high dependence on fossil fuels in the energy matrix, inefficient transport system and aging vehicle fleets. These substantially harm public health, productivity and efficiency in urban mobility. </w:t>
      </w:r>
    </w:p>
    <w:p w14:paraId="18E1C7E3" w14:textId="1EEFA3D7" w:rsidR="007F0A5D" w:rsidRPr="007F0A5D" w:rsidRDefault="007F0A5D" w:rsidP="007F0A5D">
      <w:pPr>
        <w:jc w:val="both"/>
      </w:pPr>
      <w:r w:rsidRPr="007F0A5D">
        <w:t xml:space="preserve">Kosovo </w:t>
      </w:r>
      <w:r>
        <w:t>is</w:t>
      </w:r>
      <w:r w:rsidRPr="007F0A5D">
        <w:t xml:space="preserve"> </w:t>
      </w:r>
      <w:r>
        <w:t xml:space="preserve">implementing the </w:t>
      </w:r>
      <w:r w:rsidRPr="007F0A5D">
        <w:t xml:space="preserve">EU </w:t>
      </w:r>
      <w:r w:rsidRPr="007F0A5D">
        <w:rPr>
          <w:color w:val="000000" w:themeColor="text1"/>
        </w:rPr>
        <w:t>enacted</w:t>
      </w:r>
      <w:r w:rsidR="00585CEC">
        <w:rPr>
          <w:color w:val="000000" w:themeColor="text1"/>
        </w:rPr>
        <w:t xml:space="preserve"> Stabilisation Tracking Mechanism</w:t>
      </w:r>
      <w:r w:rsidR="00585CEC">
        <w:t xml:space="preserve"> </w:t>
      </w:r>
      <w:r w:rsidRPr="007F0A5D">
        <w:rPr>
          <w:color w:val="000000" w:themeColor="text1"/>
        </w:rPr>
        <w:t>programme</w:t>
      </w:r>
      <w:r w:rsidRPr="007F0A5D">
        <w:t>, aiming to gradually integrate its national policies on legal, economic and social matters with the EU. On 6 February 2018, the European Commission published its expansion plan to cover up to six Western Balkan countries</w:t>
      </w:r>
      <w:r>
        <w:t xml:space="preserve"> including Kosovo</w:t>
      </w:r>
      <w:r w:rsidR="00585CEC">
        <w:t xml:space="preserve"> with potential </w:t>
      </w:r>
      <w:r w:rsidRPr="007F0A5D">
        <w:t xml:space="preserve">accession as members of the </w:t>
      </w:r>
      <w:r w:rsidR="00585CEC">
        <w:t xml:space="preserve">EU </w:t>
      </w:r>
      <w:r w:rsidRPr="007F0A5D">
        <w:t>after 2025</w:t>
      </w:r>
      <w:r>
        <w:t>. This is relevant for vehicle emissions as it entails implementation of EU vehicle emission and fuel standards.</w:t>
      </w:r>
    </w:p>
    <w:p w14:paraId="38830F38" w14:textId="62994C69" w:rsidR="00DB6807" w:rsidRDefault="007F0A5D" w:rsidP="00DB6807">
      <w:pPr>
        <w:jc w:val="both"/>
        <w:rPr>
          <w:lang w:val="en-US"/>
        </w:rPr>
      </w:pPr>
      <w:bookmarkStart w:id="7" w:name="_Hlk7188091"/>
      <w:r w:rsidRPr="007F0A5D">
        <w:rPr>
          <w:lang w:val="en-US"/>
        </w:rPr>
        <w:t>The development objective</w:t>
      </w:r>
      <w:r w:rsidR="00882330">
        <w:rPr>
          <w:lang w:val="en-US"/>
        </w:rPr>
        <w:t xml:space="preserve"> of this project</w:t>
      </w:r>
      <w:r w:rsidRPr="007F0A5D">
        <w:rPr>
          <w:lang w:val="en-US"/>
        </w:rPr>
        <w:t xml:space="preserve"> is to support the </w:t>
      </w:r>
      <w:r w:rsidR="002C672E">
        <w:rPr>
          <w:lang w:val="en-US"/>
        </w:rPr>
        <w:t xml:space="preserve">government of Kosovo and </w:t>
      </w:r>
      <w:r w:rsidR="00D60DE1">
        <w:rPr>
          <w:lang w:val="en-US"/>
        </w:rPr>
        <w:t>C</w:t>
      </w:r>
      <w:r w:rsidR="002C672E">
        <w:rPr>
          <w:lang w:val="en-US"/>
        </w:rPr>
        <w:t xml:space="preserve">ity </w:t>
      </w:r>
      <w:r w:rsidRPr="007F0A5D">
        <w:rPr>
          <w:lang w:val="en-US"/>
        </w:rPr>
        <w:t>of Pristina to develop strategies to reduce emissions and pollutions from transport perspective</w:t>
      </w:r>
      <w:r w:rsidR="00A634EC">
        <w:rPr>
          <w:lang w:val="en-US"/>
        </w:rPr>
        <w:t>,</w:t>
      </w:r>
      <w:r w:rsidRPr="007F0A5D">
        <w:rPr>
          <w:lang w:val="en-US"/>
        </w:rPr>
        <w:t xml:space="preserve"> such as modernization and better management of public and private vehicle fleets</w:t>
      </w:r>
      <w:r w:rsidR="00DB6807" w:rsidRPr="00DB6807">
        <w:rPr>
          <w:lang w:val="en-US"/>
        </w:rPr>
        <w:t>, and to scope for components and activities to be considered as part of potential Develop Policy Financing or Investment Project Financing by the World Bank</w:t>
      </w:r>
      <w:bookmarkEnd w:id="7"/>
      <w:r w:rsidR="00DB6807" w:rsidRPr="00DB6807">
        <w:rPr>
          <w:lang w:val="en-US"/>
        </w:rPr>
        <w:t>.</w:t>
      </w:r>
    </w:p>
    <w:p w14:paraId="1AC8681E" w14:textId="0AF7ABF2" w:rsidR="00DB6807" w:rsidRDefault="00DB6807" w:rsidP="00DB6807">
      <w:pPr>
        <w:jc w:val="both"/>
        <w:rPr>
          <w:lang w:val="en-US"/>
        </w:rPr>
      </w:pPr>
      <w:r>
        <w:rPr>
          <w:lang w:val="en-US"/>
        </w:rPr>
        <w:t>The layout of the report includes the following sections:</w:t>
      </w:r>
    </w:p>
    <w:p w14:paraId="5A8C1E68" w14:textId="63D730AD" w:rsidR="00DB6807" w:rsidRDefault="00DB6807" w:rsidP="00DB6807">
      <w:pPr>
        <w:pStyle w:val="ListParagraph"/>
        <w:numPr>
          <w:ilvl w:val="0"/>
          <w:numId w:val="25"/>
        </w:numPr>
        <w:jc w:val="both"/>
        <w:rPr>
          <w:lang w:val="en-US"/>
        </w:rPr>
      </w:pPr>
      <w:r>
        <w:rPr>
          <w:lang w:val="en-US"/>
        </w:rPr>
        <w:t>Chapter 2 realizes a rapid assessment of vehicle pollution for Kosovo including vehicle emission trends.</w:t>
      </w:r>
    </w:p>
    <w:p w14:paraId="3A766936" w14:textId="3F91049B" w:rsidR="00DB6807" w:rsidRDefault="00DB6807" w:rsidP="00DB6807">
      <w:pPr>
        <w:pStyle w:val="ListParagraph"/>
        <w:numPr>
          <w:ilvl w:val="0"/>
          <w:numId w:val="25"/>
        </w:numPr>
        <w:jc w:val="both"/>
        <w:rPr>
          <w:lang w:val="en-US"/>
        </w:rPr>
      </w:pPr>
      <w:r>
        <w:rPr>
          <w:lang w:val="en-US"/>
        </w:rPr>
        <w:t>Chapter 3 list in a summarized manner major instruments to reduce transportation emissions.</w:t>
      </w:r>
    </w:p>
    <w:p w14:paraId="0103F818" w14:textId="68C3C2B6" w:rsidR="00617308" w:rsidRPr="00DB6807" w:rsidRDefault="00DB6807" w:rsidP="00617308">
      <w:pPr>
        <w:pStyle w:val="ListParagraph"/>
        <w:numPr>
          <w:ilvl w:val="0"/>
          <w:numId w:val="25"/>
        </w:numPr>
        <w:jc w:val="both"/>
        <w:rPr>
          <w:lang w:val="en-US"/>
        </w:rPr>
      </w:pPr>
      <w:r>
        <w:rPr>
          <w:lang w:val="en-US"/>
        </w:rPr>
        <w:t>Based on the problem and solution description policies are selected which are assessed in further detail to curb vehicle emissions in Kosovo. These policies or interventions were selected based on on-going plans and activities and interest from the Government. They include usage of low-emission buses (chapter 4)</w:t>
      </w:r>
      <w:r w:rsidR="00585CEC">
        <w:rPr>
          <w:lang w:val="en-US"/>
        </w:rPr>
        <w:t>,</w:t>
      </w:r>
      <w:r w:rsidR="00C245AE">
        <w:rPr>
          <w:lang w:val="en-US"/>
        </w:rPr>
        <w:t xml:space="preserve"> </w:t>
      </w:r>
      <w:r>
        <w:rPr>
          <w:lang w:val="en-US"/>
        </w:rPr>
        <w:t>fiscal instruments to promote low-emitting vehicles (chapter 5)</w:t>
      </w:r>
      <w:r w:rsidR="00585CEC">
        <w:rPr>
          <w:lang w:val="en-US"/>
        </w:rPr>
        <w:t xml:space="preserve"> and implementation of in-service vehicle emission testing</w:t>
      </w:r>
      <w:r>
        <w:rPr>
          <w:lang w:val="en-US"/>
        </w:rPr>
        <w:t>.</w:t>
      </w:r>
    </w:p>
    <w:p w14:paraId="398BEE5C" w14:textId="76A852CB" w:rsidR="00CC21E7" w:rsidRDefault="00CC21E7" w:rsidP="00CC21E7">
      <w:pPr>
        <w:pStyle w:val="Heading1"/>
      </w:pPr>
      <w:bookmarkStart w:id="8" w:name="_Toc7256792"/>
      <w:r>
        <w:t>2. Rapid Assessment of Vehicle Emissions in Kosovo</w:t>
      </w:r>
      <w:bookmarkEnd w:id="8"/>
    </w:p>
    <w:p w14:paraId="4844198F" w14:textId="52746AEB" w:rsidR="00CC21E7" w:rsidRDefault="00CC21E7" w:rsidP="00CC21E7"/>
    <w:p w14:paraId="5736A80A" w14:textId="5091FA77" w:rsidR="0044498B" w:rsidRDefault="0044498B" w:rsidP="00585CEC">
      <w:pPr>
        <w:jc w:val="both"/>
      </w:pPr>
      <w:bookmarkStart w:id="9" w:name="_Hlk7188180"/>
      <w:r>
        <w:t>In 201</w:t>
      </w:r>
      <w:r w:rsidR="007B6959">
        <w:t>8</w:t>
      </w:r>
      <w:r>
        <w:t xml:space="preserve"> around 3</w:t>
      </w:r>
      <w:r w:rsidR="007B6959">
        <w:t>4</w:t>
      </w:r>
      <w:r>
        <w:t xml:space="preserve">0,000 vehicles were registered in Kosovo. </w:t>
      </w:r>
      <w:bookmarkEnd w:id="9"/>
    </w:p>
    <w:p w14:paraId="339CD329" w14:textId="6B3508DA" w:rsidR="007B6959" w:rsidRPr="002449C4" w:rsidRDefault="002449C4" w:rsidP="007B6959">
      <w:pPr>
        <w:pStyle w:val="NoSpacing"/>
        <w:rPr>
          <w:b/>
          <w:sz w:val="20"/>
        </w:rPr>
      </w:pPr>
      <w:r w:rsidRPr="002449C4">
        <w:rPr>
          <w:b/>
          <w:sz w:val="20"/>
        </w:rPr>
        <w:t xml:space="preserve">Table </w:t>
      </w:r>
      <w:r w:rsidRPr="002449C4">
        <w:rPr>
          <w:b/>
          <w:sz w:val="20"/>
        </w:rPr>
        <w:fldChar w:fldCharType="begin"/>
      </w:r>
      <w:r w:rsidRPr="002449C4">
        <w:rPr>
          <w:b/>
          <w:sz w:val="20"/>
        </w:rPr>
        <w:instrText xml:space="preserve"> SEQ Table \* ARABIC </w:instrText>
      </w:r>
      <w:r w:rsidRPr="002449C4">
        <w:rPr>
          <w:b/>
          <w:sz w:val="20"/>
        </w:rPr>
        <w:fldChar w:fldCharType="separate"/>
      </w:r>
      <w:r w:rsidR="00B20155">
        <w:rPr>
          <w:b/>
          <w:noProof/>
          <w:sz w:val="20"/>
        </w:rPr>
        <w:t>1</w:t>
      </w:r>
      <w:r w:rsidRPr="002449C4">
        <w:rPr>
          <w:b/>
          <w:sz w:val="20"/>
        </w:rPr>
        <w:fldChar w:fldCharType="end"/>
      </w:r>
      <w:r w:rsidRPr="002449C4">
        <w:rPr>
          <w:b/>
          <w:sz w:val="20"/>
        </w:rPr>
        <w:t>: Registered Vehicles in Kosovo, 201</w:t>
      </w:r>
      <w:r w:rsidR="007B6959">
        <w:rPr>
          <w:b/>
          <w:sz w:val="20"/>
        </w:rPr>
        <w:t>8</w:t>
      </w:r>
      <w:r w:rsidR="007B6959" w:rsidRPr="007B6959">
        <w:rPr>
          <w:b/>
          <w:sz w:val="20"/>
        </w:rPr>
        <w:t xml:space="preserve"> </w:t>
      </w:r>
    </w:p>
    <w:tbl>
      <w:tblPr>
        <w:tblStyle w:val="TableGrid"/>
        <w:tblW w:w="0" w:type="auto"/>
        <w:tblLook w:val="04A0" w:firstRow="1" w:lastRow="0" w:firstColumn="1" w:lastColumn="0" w:noHBand="0" w:noVBand="1"/>
      </w:tblPr>
      <w:tblGrid>
        <w:gridCol w:w="3289"/>
        <w:gridCol w:w="1206"/>
        <w:gridCol w:w="1080"/>
        <w:gridCol w:w="810"/>
        <w:gridCol w:w="1383"/>
        <w:gridCol w:w="1248"/>
      </w:tblGrid>
      <w:tr w:rsidR="007B6959" w:rsidRPr="002449C4" w14:paraId="1DDE5F95" w14:textId="77777777" w:rsidTr="00157313">
        <w:tc>
          <w:tcPr>
            <w:tcW w:w="3289" w:type="dxa"/>
            <w:shd w:val="clear" w:color="auto" w:fill="D9E2F3" w:themeFill="accent1" w:themeFillTint="33"/>
          </w:tcPr>
          <w:p w14:paraId="225DA968" w14:textId="77777777" w:rsidR="007B6959" w:rsidRPr="002449C4" w:rsidRDefault="007B6959" w:rsidP="00157313">
            <w:pPr>
              <w:pStyle w:val="NoSpacing"/>
              <w:rPr>
                <w:b/>
                <w:sz w:val="20"/>
              </w:rPr>
            </w:pPr>
            <w:r w:rsidRPr="002449C4">
              <w:rPr>
                <w:b/>
                <w:sz w:val="20"/>
              </w:rPr>
              <w:t>Vehicle category</w:t>
            </w:r>
          </w:p>
        </w:tc>
        <w:tc>
          <w:tcPr>
            <w:tcW w:w="1206" w:type="dxa"/>
            <w:shd w:val="clear" w:color="auto" w:fill="D9E2F3" w:themeFill="accent1" w:themeFillTint="33"/>
          </w:tcPr>
          <w:p w14:paraId="7E38C8A1" w14:textId="77777777" w:rsidR="007B6959" w:rsidRPr="002449C4" w:rsidRDefault="007B6959" w:rsidP="00157313">
            <w:pPr>
              <w:pStyle w:val="NoSpacing"/>
              <w:jc w:val="center"/>
              <w:rPr>
                <w:b/>
                <w:sz w:val="20"/>
              </w:rPr>
            </w:pPr>
            <w:r>
              <w:rPr>
                <w:b/>
                <w:sz w:val="20"/>
              </w:rPr>
              <w:t>n</w:t>
            </w:r>
            <w:r w:rsidRPr="002449C4">
              <w:rPr>
                <w:b/>
                <w:sz w:val="20"/>
              </w:rPr>
              <w:t>umber of units</w:t>
            </w:r>
          </w:p>
        </w:tc>
        <w:tc>
          <w:tcPr>
            <w:tcW w:w="1080" w:type="dxa"/>
            <w:shd w:val="clear" w:color="auto" w:fill="D9E2F3" w:themeFill="accent1" w:themeFillTint="33"/>
          </w:tcPr>
          <w:p w14:paraId="6375BE20" w14:textId="77777777" w:rsidR="007B6959" w:rsidRPr="002449C4" w:rsidRDefault="007B6959" w:rsidP="00157313">
            <w:pPr>
              <w:pStyle w:val="NoSpacing"/>
              <w:jc w:val="center"/>
              <w:rPr>
                <w:b/>
                <w:sz w:val="20"/>
              </w:rPr>
            </w:pPr>
            <w:r w:rsidRPr="002449C4">
              <w:rPr>
                <w:b/>
                <w:sz w:val="20"/>
              </w:rPr>
              <w:t xml:space="preserve">% </w:t>
            </w:r>
            <w:r>
              <w:rPr>
                <w:b/>
                <w:sz w:val="20"/>
              </w:rPr>
              <w:t>gasoline</w:t>
            </w:r>
          </w:p>
        </w:tc>
        <w:tc>
          <w:tcPr>
            <w:tcW w:w="810" w:type="dxa"/>
            <w:shd w:val="clear" w:color="auto" w:fill="D9E2F3" w:themeFill="accent1" w:themeFillTint="33"/>
          </w:tcPr>
          <w:p w14:paraId="370BB25C" w14:textId="77777777" w:rsidR="007B6959" w:rsidRPr="002449C4" w:rsidRDefault="007B6959" w:rsidP="00157313">
            <w:pPr>
              <w:pStyle w:val="NoSpacing"/>
              <w:jc w:val="center"/>
              <w:rPr>
                <w:b/>
                <w:sz w:val="20"/>
              </w:rPr>
            </w:pPr>
            <w:r w:rsidRPr="002449C4">
              <w:rPr>
                <w:b/>
                <w:sz w:val="20"/>
              </w:rPr>
              <w:t xml:space="preserve">% </w:t>
            </w:r>
            <w:r>
              <w:rPr>
                <w:b/>
                <w:sz w:val="20"/>
              </w:rPr>
              <w:t>diesel</w:t>
            </w:r>
          </w:p>
        </w:tc>
        <w:tc>
          <w:tcPr>
            <w:tcW w:w="1383" w:type="dxa"/>
            <w:shd w:val="clear" w:color="auto" w:fill="D9E2F3" w:themeFill="accent1" w:themeFillTint="33"/>
          </w:tcPr>
          <w:p w14:paraId="56C63A01" w14:textId="77777777" w:rsidR="007B6959" w:rsidRPr="002449C4" w:rsidRDefault="007B6959" w:rsidP="00157313">
            <w:pPr>
              <w:pStyle w:val="NoSpacing"/>
              <w:jc w:val="center"/>
              <w:rPr>
                <w:b/>
                <w:sz w:val="20"/>
              </w:rPr>
            </w:pPr>
            <w:r>
              <w:rPr>
                <w:b/>
                <w:sz w:val="20"/>
              </w:rPr>
              <w:t>Average Euro standard</w:t>
            </w:r>
          </w:p>
        </w:tc>
        <w:tc>
          <w:tcPr>
            <w:tcW w:w="1248" w:type="dxa"/>
            <w:shd w:val="clear" w:color="auto" w:fill="D9E2F3" w:themeFill="accent1" w:themeFillTint="33"/>
          </w:tcPr>
          <w:p w14:paraId="0DAC1640" w14:textId="77777777" w:rsidR="007B6959" w:rsidRDefault="007B6959" w:rsidP="00157313">
            <w:pPr>
              <w:pStyle w:val="NoSpacing"/>
              <w:jc w:val="center"/>
              <w:rPr>
                <w:b/>
                <w:sz w:val="20"/>
              </w:rPr>
            </w:pPr>
            <w:r>
              <w:rPr>
                <w:b/>
                <w:sz w:val="20"/>
              </w:rPr>
              <w:t>Median year</w:t>
            </w:r>
          </w:p>
        </w:tc>
      </w:tr>
      <w:tr w:rsidR="007B6959" w:rsidRPr="002449C4" w14:paraId="078C3EF4" w14:textId="77777777" w:rsidTr="00157313">
        <w:tc>
          <w:tcPr>
            <w:tcW w:w="3289" w:type="dxa"/>
          </w:tcPr>
          <w:p w14:paraId="770591CB" w14:textId="77777777" w:rsidR="007B6959" w:rsidRPr="002449C4" w:rsidRDefault="007B6959" w:rsidP="00157313">
            <w:pPr>
              <w:pStyle w:val="NoSpacing"/>
              <w:rPr>
                <w:sz w:val="20"/>
              </w:rPr>
            </w:pPr>
            <w:r>
              <w:rPr>
                <w:sz w:val="20"/>
              </w:rPr>
              <w:t>Passenger cars (M1)</w:t>
            </w:r>
          </w:p>
        </w:tc>
        <w:tc>
          <w:tcPr>
            <w:tcW w:w="1206" w:type="dxa"/>
            <w:vAlign w:val="bottom"/>
          </w:tcPr>
          <w:p w14:paraId="2BB72191" w14:textId="77777777" w:rsidR="007B6959" w:rsidRPr="002449C4" w:rsidRDefault="007B6959" w:rsidP="00157313">
            <w:pPr>
              <w:pStyle w:val="NoSpacing"/>
              <w:jc w:val="center"/>
              <w:rPr>
                <w:sz w:val="20"/>
              </w:rPr>
            </w:pPr>
            <w:r w:rsidRPr="002449C4">
              <w:rPr>
                <w:rFonts w:ascii="Calibri" w:hAnsi="Calibri" w:cs="Calibri"/>
                <w:color w:val="000000"/>
                <w:sz w:val="20"/>
              </w:rPr>
              <w:t>2</w:t>
            </w:r>
            <w:r>
              <w:rPr>
                <w:rFonts w:ascii="Calibri" w:hAnsi="Calibri" w:cs="Calibri"/>
                <w:color w:val="000000"/>
                <w:sz w:val="20"/>
              </w:rPr>
              <w:t>85</w:t>
            </w:r>
            <w:r w:rsidRPr="002449C4">
              <w:rPr>
                <w:rFonts w:ascii="Calibri" w:hAnsi="Calibri" w:cs="Calibri"/>
                <w:color w:val="000000"/>
                <w:sz w:val="20"/>
              </w:rPr>
              <w:t>,</w:t>
            </w:r>
            <w:r>
              <w:rPr>
                <w:rFonts w:ascii="Calibri" w:hAnsi="Calibri" w:cs="Calibri"/>
                <w:color w:val="000000"/>
                <w:sz w:val="20"/>
              </w:rPr>
              <w:t>53</w:t>
            </w:r>
            <w:r w:rsidRPr="002449C4">
              <w:rPr>
                <w:rFonts w:ascii="Calibri" w:hAnsi="Calibri" w:cs="Calibri"/>
                <w:color w:val="000000"/>
                <w:sz w:val="20"/>
              </w:rPr>
              <w:t>0</w:t>
            </w:r>
            <w:r>
              <w:rPr>
                <w:rStyle w:val="FootnoteReference"/>
                <w:rFonts w:ascii="Calibri" w:hAnsi="Calibri" w:cs="Calibri"/>
                <w:color w:val="000000"/>
                <w:sz w:val="20"/>
              </w:rPr>
              <w:footnoteReference w:id="1"/>
            </w:r>
          </w:p>
        </w:tc>
        <w:tc>
          <w:tcPr>
            <w:tcW w:w="1080" w:type="dxa"/>
            <w:vAlign w:val="bottom"/>
          </w:tcPr>
          <w:p w14:paraId="2B8F853A" w14:textId="77777777" w:rsidR="007B6959" w:rsidRPr="002449C4" w:rsidRDefault="007B6959" w:rsidP="00157313">
            <w:pPr>
              <w:pStyle w:val="NoSpacing"/>
              <w:jc w:val="center"/>
              <w:rPr>
                <w:sz w:val="20"/>
              </w:rPr>
            </w:pPr>
            <w:r>
              <w:rPr>
                <w:rFonts w:ascii="Calibri" w:hAnsi="Calibri" w:cs="Calibri"/>
                <w:color w:val="000000"/>
                <w:sz w:val="20"/>
              </w:rPr>
              <w:t>23</w:t>
            </w:r>
            <w:r w:rsidRPr="002449C4">
              <w:rPr>
                <w:rFonts w:ascii="Calibri" w:hAnsi="Calibri" w:cs="Calibri"/>
                <w:color w:val="000000"/>
                <w:sz w:val="20"/>
              </w:rPr>
              <w:t>%</w:t>
            </w:r>
          </w:p>
        </w:tc>
        <w:tc>
          <w:tcPr>
            <w:tcW w:w="810" w:type="dxa"/>
            <w:vAlign w:val="bottom"/>
          </w:tcPr>
          <w:p w14:paraId="3BF6DBD6" w14:textId="77777777" w:rsidR="007B6959" w:rsidRPr="002449C4" w:rsidRDefault="007B6959" w:rsidP="00157313">
            <w:pPr>
              <w:pStyle w:val="NoSpacing"/>
              <w:jc w:val="center"/>
              <w:rPr>
                <w:sz w:val="20"/>
              </w:rPr>
            </w:pPr>
            <w:r>
              <w:rPr>
                <w:rFonts w:ascii="Calibri" w:hAnsi="Calibri" w:cs="Calibri"/>
                <w:color w:val="000000"/>
                <w:sz w:val="20"/>
              </w:rPr>
              <w:t>76</w:t>
            </w:r>
            <w:r w:rsidRPr="002449C4">
              <w:rPr>
                <w:rFonts w:ascii="Calibri" w:hAnsi="Calibri" w:cs="Calibri"/>
                <w:color w:val="000000"/>
                <w:sz w:val="20"/>
              </w:rPr>
              <w:t>%</w:t>
            </w:r>
          </w:p>
        </w:tc>
        <w:tc>
          <w:tcPr>
            <w:tcW w:w="1383" w:type="dxa"/>
          </w:tcPr>
          <w:p w14:paraId="085C6B73" w14:textId="77777777" w:rsidR="007B6959" w:rsidRDefault="007B6959" w:rsidP="00157313">
            <w:pPr>
              <w:pStyle w:val="NoSpacing"/>
              <w:jc w:val="center"/>
              <w:rPr>
                <w:rFonts w:ascii="Calibri" w:hAnsi="Calibri" w:cs="Calibri"/>
                <w:color w:val="000000"/>
                <w:sz w:val="20"/>
              </w:rPr>
            </w:pPr>
            <w:r>
              <w:rPr>
                <w:rFonts w:ascii="Calibri" w:hAnsi="Calibri" w:cs="Calibri"/>
                <w:color w:val="000000"/>
                <w:sz w:val="20"/>
              </w:rPr>
              <w:t>3</w:t>
            </w:r>
          </w:p>
        </w:tc>
        <w:tc>
          <w:tcPr>
            <w:tcW w:w="1248" w:type="dxa"/>
          </w:tcPr>
          <w:p w14:paraId="5C92D1EC" w14:textId="77777777" w:rsidR="007B6959" w:rsidRDefault="007B6959" w:rsidP="00157313">
            <w:pPr>
              <w:pStyle w:val="NoSpacing"/>
              <w:jc w:val="center"/>
              <w:rPr>
                <w:rFonts w:ascii="Calibri" w:hAnsi="Calibri" w:cs="Calibri"/>
                <w:color w:val="000000"/>
                <w:sz w:val="20"/>
              </w:rPr>
            </w:pPr>
            <w:r>
              <w:rPr>
                <w:rFonts w:ascii="Calibri" w:hAnsi="Calibri" w:cs="Calibri"/>
                <w:color w:val="000000"/>
                <w:sz w:val="20"/>
              </w:rPr>
              <w:t>2000</w:t>
            </w:r>
          </w:p>
        </w:tc>
      </w:tr>
      <w:tr w:rsidR="007B6959" w:rsidRPr="002449C4" w14:paraId="41CC0F24" w14:textId="77777777" w:rsidTr="00157313">
        <w:tc>
          <w:tcPr>
            <w:tcW w:w="3289" w:type="dxa"/>
          </w:tcPr>
          <w:p w14:paraId="2A57BF8E" w14:textId="77777777" w:rsidR="007B6959" w:rsidRPr="002449C4" w:rsidRDefault="007B6959" w:rsidP="00157313">
            <w:pPr>
              <w:pStyle w:val="NoSpacing"/>
              <w:rPr>
                <w:sz w:val="20"/>
              </w:rPr>
            </w:pPr>
            <w:r>
              <w:rPr>
                <w:sz w:val="20"/>
              </w:rPr>
              <w:t>Motorcycles</w:t>
            </w:r>
          </w:p>
        </w:tc>
        <w:tc>
          <w:tcPr>
            <w:tcW w:w="1206" w:type="dxa"/>
            <w:vAlign w:val="bottom"/>
          </w:tcPr>
          <w:p w14:paraId="035C64CF" w14:textId="77777777" w:rsidR="007B6959" w:rsidRPr="002449C4" w:rsidRDefault="007B6959" w:rsidP="00157313">
            <w:pPr>
              <w:pStyle w:val="NoSpacing"/>
              <w:jc w:val="center"/>
              <w:rPr>
                <w:sz w:val="20"/>
              </w:rPr>
            </w:pPr>
            <w:r w:rsidRPr="002449C4">
              <w:rPr>
                <w:rFonts w:ascii="Calibri" w:hAnsi="Calibri" w:cs="Calibri"/>
                <w:color w:val="000000"/>
                <w:sz w:val="20"/>
              </w:rPr>
              <w:t>1,</w:t>
            </w:r>
            <w:r>
              <w:rPr>
                <w:rFonts w:ascii="Calibri" w:hAnsi="Calibri" w:cs="Calibri"/>
                <w:color w:val="000000"/>
                <w:sz w:val="20"/>
              </w:rPr>
              <w:t>89</w:t>
            </w:r>
            <w:r w:rsidRPr="002449C4">
              <w:rPr>
                <w:rFonts w:ascii="Calibri" w:hAnsi="Calibri" w:cs="Calibri"/>
                <w:color w:val="000000"/>
                <w:sz w:val="20"/>
              </w:rPr>
              <w:t>0</w:t>
            </w:r>
          </w:p>
        </w:tc>
        <w:tc>
          <w:tcPr>
            <w:tcW w:w="1080" w:type="dxa"/>
            <w:vAlign w:val="bottom"/>
          </w:tcPr>
          <w:p w14:paraId="0A9411D9" w14:textId="77777777" w:rsidR="007B6959" w:rsidRPr="002449C4" w:rsidRDefault="007B6959" w:rsidP="00157313">
            <w:pPr>
              <w:pStyle w:val="NoSpacing"/>
              <w:jc w:val="center"/>
              <w:rPr>
                <w:sz w:val="20"/>
              </w:rPr>
            </w:pPr>
            <w:r w:rsidRPr="002449C4">
              <w:rPr>
                <w:rFonts w:ascii="Calibri" w:hAnsi="Calibri" w:cs="Calibri"/>
                <w:color w:val="000000"/>
                <w:sz w:val="20"/>
              </w:rPr>
              <w:t>100%</w:t>
            </w:r>
          </w:p>
        </w:tc>
        <w:tc>
          <w:tcPr>
            <w:tcW w:w="810" w:type="dxa"/>
            <w:vAlign w:val="bottom"/>
          </w:tcPr>
          <w:p w14:paraId="6D7D7198" w14:textId="77777777" w:rsidR="007B6959" w:rsidRPr="002449C4" w:rsidRDefault="007B6959" w:rsidP="00157313">
            <w:pPr>
              <w:pStyle w:val="NoSpacing"/>
              <w:jc w:val="center"/>
              <w:rPr>
                <w:sz w:val="20"/>
              </w:rPr>
            </w:pPr>
            <w:r w:rsidRPr="002449C4">
              <w:rPr>
                <w:rFonts w:ascii="Calibri" w:hAnsi="Calibri" w:cs="Calibri"/>
                <w:color w:val="000000"/>
                <w:sz w:val="20"/>
              </w:rPr>
              <w:t>0%</w:t>
            </w:r>
          </w:p>
        </w:tc>
        <w:tc>
          <w:tcPr>
            <w:tcW w:w="1383" w:type="dxa"/>
          </w:tcPr>
          <w:p w14:paraId="007BC42A" w14:textId="77777777" w:rsidR="007B6959" w:rsidRPr="002449C4" w:rsidRDefault="007B6959" w:rsidP="00157313">
            <w:pPr>
              <w:pStyle w:val="NoSpacing"/>
              <w:jc w:val="center"/>
              <w:rPr>
                <w:rFonts w:ascii="Calibri" w:hAnsi="Calibri" w:cs="Calibri"/>
                <w:color w:val="000000"/>
                <w:sz w:val="20"/>
              </w:rPr>
            </w:pPr>
            <w:proofErr w:type="spellStart"/>
            <w:r>
              <w:rPr>
                <w:rFonts w:ascii="Calibri" w:hAnsi="Calibri" w:cs="Calibri"/>
                <w:color w:val="000000"/>
                <w:sz w:val="20"/>
              </w:rPr>
              <w:t>n.a.</w:t>
            </w:r>
            <w:proofErr w:type="spellEnd"/>
          </w:p>
        </w:tc>
        <w:tc>
          <w:tcPr>
            <w:tcW w:w="1248" w:type="dxa"/>
          </w:tcPr>
          <w:p w14:paraId="2721411F" w14:textId="77777777" w:rsidR="007B6959" w:rsidRPr="002449C4" w:rsidRDefault="007B6959" w:rsidP="00157313">
            <w:pPr>
              <w:pStyle w:val="NoSpacing"/>
              <w:jc w:val="center"/>
              <w:rPr>
                <w:rFonts w:ascii="Calibri" w:hAnsi="Calibri" w:cs="Calibri"/>
                <w:color w:val="000000"/>
                <w:sz w:val="20"/>
              </w:rPr>
            </w:pPr>
            <w:r>
              <w:rPr>
                <w:rFonts w:ascii="Calibri" w:hAnsi="Calibri" w:cs="Calibri"/>
                <w:color w:val="000000"/>
                <w:sz w:val="20"/>
              </w:rPr>
              <w:t>2007</w:t>
            </w:r>
          </w:p>
        </w:tc>
      </w:tr>
      <w:tr w:rsidR="007B6959" w:rsidRPr="002449C4" w14:paraId="2AE9DEE0" w14:textId="77777777" w:rsidTr="00157313">
        <w:tc>
          <w:tcPr>
            <w:tcW w:w="3289" w:type="dxa"/>
          </w:tcPr>
          <w:p w14:paraId="4C6DA4FE" w14:textId="77777777" w:rsidR="007B6959" w:rsidRDefault="007B6959" w:rsidP="00157313">
            <w:pPr>
              <w:pStyle w:val="NoSpacing"/>
              <w:rPr>
                <w:sz w:val="20"/>
              </w:rPr>
            </w:pPr>
            <w:r>
              <w:rPr>
                <w:sz w:val="20"/>
              </w:rPr>
              <w:t>Small/medium buses (M2)</w:t>
            </w:r>
          </w:p>
        </w:tc>
        <w:tc>
          <w:tcPr>
            <w:tcW w:w="1206" w:type="dxa"/>
            <w:vAlign w:val="bottom"/>
          </w:tcPr>
          <w:p w14:paraId="255F7C64" w14:textId="77777777" w:rsidR="007B6959" w:rsidRPr="002449C4" w:rsidRDefault="007B6959" w:rsidP="00157313">
            <w:pPr>
              <w:pStyle w:val="NoSpacing"/>
              <w:jc w:val="center"/>
              <w:rPr>
                <w:rFonts w:ascii="Calibri" w:hAnsi="Calibri" w:cs="Calibri"/>
                <w:color w:val="000000"/>
                <w:sz w:val="20"/>
              </w:rPr>
            </w:pPr>
            <w:r>
              <w:rPr>
                <w:rFonts w:ascii="Calibri" w:hAnsi="Calibri" w:cs="Calibri"/>
                <w:color w:val="000000"/>
                <w:sz w:val="20"/>
              </w:rPr>
              <w:t>730</w:t>
            </w:r>
          </w:p>
        </w:tc>
        <w:tc>
          <w:tcPr>
            <w:tcW w:w="1080" w:type="dxa"/>
            <w:vAlign w:val="bottom"/>
          </w:tcPr>
          <w:p w14:paraId="5B33D32E" w14:textId="77777777" w:rsidR="007B6959" w:rsidRPr="002449C4" w:rsidRDefault="007B6959" w:rsidP="00157313">
            <w:pPr>
              <w:pStyle w:val="NoSpacing"/>
              <w:jc w:val="center"/>
              <w:rPr>
                <w:rFonts w:ascii="Calibri" w:hAnsi="Calibri" w:cs="Calibri"/>
                <w:color w:val="000000"/>
                <w:sz w:val="20"/>
              </w:rPr>
            </w:pPr>
            <w:r>
              <w:rPr>
                <w:rFonts w:ascii="Calibri" w:hAnsi="Calibri" w:cs="Calibri"/>
                <w:color w:val="000000"/>
                <w:sz w:val="20"/>
              </w:rPr>
              <w:t>1%</w:t>
            </w:r>
          </w:p>
        </w:tc>
        <w:tc>
          <w:tcPr>
            <w:tcW w:w="810" w:type="dxa"/>
            <w:vAlign w:val="bottom"/>
          </w:tcPr>
          <w:p w14:paraId="6E397728" w14:textId="77777777" w:rsidR="007B6959" w:rsidRPr="002449C4" w:rsidRDefault="007B6959" w:rsidP="00157313">
            <w:pPr>
              <w:pStyle w:val="NoSpacing"/>
              <w:jc w:val="center"/>
              <w:rPr>
                <w:rFonts w:ascii="Calibri" w:hAnsi="Calibri" w:cs="Calibri"/>
                <w:color w:val="000000"/>
                <w:sz w:val="20"/>
              </w:rPr>
            </w:pPr>
            <w:r>
              <w:rPr>
                <w:rFonts w:ascii="Calibri" w:hAnsi="Calibri" w:cs="Calibri"/>
                <w:color w:val="000000"/>
                <w:sz w:val="20"/>
              </w:rPr>
              <w:t>99%</w:t>
            </w:r>
          </w:p>
        </w:tc>
        <w:tc>
          <w:tcPr>
            <w:tcW w:w="1383" w:type="dxa"/>
          </w:tcPr>
          <w:p w14:paraId="2D9D2581" w14:textId="77777777" w:rsidR="007B6959" w:rsidRPr="002449C4" w:rsidRDefault="007B6959" w:rsidP="00157313">
            <w:pPr>
              <w:pStyle w:val="NoSpacing"/>
              <w:jc w:val="center"/>
              <w:rPr>
                <w:rFonts w:ascii="Calibri" w:hAnsi="Calibri" w:cs="Calibri"/>
                <w:color w:val="000000"/>
                <w:sz w:val="20"/>
              </w:rPr>
            </w:pPr>
            <w:r>
              <w:rPr>
                <w:rFonts w:ascii="Calibri" w:hAnsi="Calibri" w:cs="Calibri"/>
                <w:color w:val="000000"/>
                <w:sz w:val="20"/>
              </w:rPr>
              <w:t>II</w:t>
            </w:r>
          </w:p>
        </w:tc>
        <w:tc>
          <w:tcPr>
            <w:tcW w:w="1248" w:type="dxa"/>
          </w:tcPr>
          <w:p w14:paraId="00B495F7" w14:textId="77777777" w:rsidR="007B6959" w:rsidRPr="002449C4" w:rsidRDefault="007B6959" w:rsidP="00157313">
            <w:pPr>
              <w:pStyle w:val="NoSpacing"/>
              <w:jc w:val="center"/>
              <w:rPr>
                <w:rFonts w:ascii="Calibri" w:hAnsi="Calibri" w:cs="Calibri"/>
                <w:color w:val="000000"/>
                <w:sz w:val="20"/>
              </w:rPr>
            </w:pPr>
            <w:r>
              <w:rPr>
                <w:rFonts w:ascii="Calibri" w:hAnsi="Calibri" w:cs="Calibri"/>
                <w:color w:val="000000"/>
                <w:sz w:val="20"/>
              </w:rPr>
              <w:t>2000</w:t>
            </w:r>
          </w:p>
        </w:tc>
      </w:tr>
      <w:tr w:rsidR="007B6959" w:rsidRPr="002449C4" w14:paraId="1ECB155E" w14:textId="77777777" w:rsidTr="00157313">
        <w:tc>
          <w:tcPr>
            <w:tcW w:w="3289" w:type="dxa"/>
          </w:tcPr>
          <w:p w14:paraId="69180F6A" w14:textId="77777777" w:rsidR="007B6959" w:rsidRPr="002449C4" w:rsidRDefault="007B6959" w:rsidP="00157313">
            <w:pPr>
              <w:pStyle w:val="NoSpacing"/>
              <w:rPr>
                <w:sz w:val="20"/>
              </w:rPr>
            </w:pPr>
            <w:r>
              <w:rPr>
                <w:sz w:val="20"/>
              </w:rPr>
              <w:t>Standard/large buses (M3)</w:t>
            </w:r>
          </w:p>
        </w:tc>
        <w:tc>
          <w:tcPr>
            <w:tcW w:w="1206" w:type="dxa"/>
            <w:vAlign w:val="bottom"/>
          </w:tcPr>
          <w:p w14:paraId="5B144B42" w14:textId="77777777" w:rsidR="007B6959" w:rsidRPr="002449C4" w:rsidRDefault="007B6959" w:rsidP="00157313">
            <w:pPr>
              <w:pStyle w:val="NoSpacing"/>
              <w:jc w:val="center"/>
              <w:rPr>
                <w:sz w:val="20"/>
              </w:rPr>
            </w:pPr>
            <w:r w:rsidRPr="002449C4">
              <w:rPr>
                <w:rFonts w:ascii="Calibri" w:hAnsi="Calibri" w:cs="Calibri"/>
                <w:color w:val="000000"/>
                <w:sz w:val="20"/>
              </w:rPr>
              <w:t>1,</w:t>
            </w:r>
            <w:r>
              <w:rPr>
                <w:rFonts w:ascii="Calibri" w:hAnsi="Calibri" w:cs="Calibri"/>
                <w:color w:val="000000"/>
                <w:sz w:val="20"/>
              </w:rPr>
              <w:t>830</w:t>
            </w:r>
          </w:p>
        </w:tc>
        <w:tc>
          <w:tcPr>
            <w:tcW w:w="1080" w:type="dxa"/>
            <w:vAlign w:val="bottom"/>
          </w:tcPr>
          <w:p w14:paraId="3497FACB" w14:textId="77777777" w:rsidR="007B6959" w:rsidRPr="002449C4" w:rsidRDefault="007B6959" w:rsidP="00157313">
            <w:pPr>
              <w:pStyle w:val="NoSpacing"/>
              <w:jc w:val="center"/>
              <w:rPr>
                <w:sz w:val="20"/>
              </w:rPr>
            </w:pPr>
            <w:r w:rsidRPr="002449C4">
              <w:rPr>
                <w:rFonts w:ascii="Calibri" w:hAnsi="Calibri" w:cs="Calibri"/>
                <w:color w:val="000000"/>
                <w:sz w:val="20"/>
              </w:rPr>
              <w:t>0%</w:t>
            </w:r>
          </w:p>
        </w:tc>
        <w:tc>
          <w:tcPr>
            <w:tcW w:w="810" w:type="dxa"/>
            <w:vAlign w:val="bottom"/>
          </w:tcPr>
          <w:p w14:paraId="457D1317" w14:textId="77777777" w:rsidR="007B6959" w:rsidRPr="002449C4" w:rsidRDefault="007B6959" w:rsidP="00157313">
            <w:pPr>
              <w:pStyle w:val="NoSpacing"/>
              <w:jc w:val="center"/>
              <w:rPr>
                <w:sz w:val="20"/>
              </w:rPr>
            </w:pPr>
            <w:r w:rsidRPr="002449C4">
              <w:rPr>
                <w:rFonts w:ascii="Calibri" w:hAnsi="Calibri" w:cs="Calibri"/>
                <w:color w:val="000000"/>
                <w:sz w:val="20"/>
              </w:rPr>
              <w:t>100%</w:t>
            </w:r>
          </w:p>
        </w:tc>
        <w:tc>
          <w:tcPr>
            <w:tcW w:w="1383" w:type="dxa"/>
          </w:tcPr>
          <w:p w14:paraId="6A522EEC" w14:textId="77777777" w:rsidR="007B6959" w:rsidRPr="002449C4" w:rsidRDefault="007B6959" w:rsidP="00157313">
            <w:pPr>
              <w:pStyle w:val="NoSpacing"/>
              <w:jc w:val="center"/>
              <w:rPr>
                <w:rFonts w:ascii="Calibri" w:hAnsi="Calibri" w:cs="Calibri"/>
                <w:color w:val="000000"/>
                <w:sz w:val="20"/>
              </w:rPr>
            </w:pPr>
            <w:r>
              <w:rPr>
                <w:rFonts w:ascii="Calibri" w:hAnsi="Calibri" w:cs="Calibri"/>
                <w:color w:val="000000"/>
                <w:sz w:val="20"/>
              </w:rPr>
              <w:t>II</w:t>
            </w:r>
          </w:p>
        </w:tc>
        <w:tc>
          <w:tcPr>
            <w:tcW w:w="1248" w:type="dxa"/>
          </w:tcPr>
          <w:p w14:paraId="6DDEFE34" w14:textId="77777777" w:rsidR="007B6959" w:rsidRPr="002449C4" w:rsidRDefault="007B6959" w:rsidP="00157313">
            <w:pPr>
              <w:pStyle w:val="NoSpacing"/>
              <w:jc w:val="center"/>
              <w:rPr>
                <w:rFonts w:ascii="Calibri" w:hAnsi="Calibri" w:cs="Calibri"/>
                <w:color w:val="000000"/>
                <w:sz w:val="20"/>
              </w:rPr>
            </w:pPr>
            <w:r>
              <w:rPr>
                <w:rFonts w:ascii="Calibri" w:hAnsi="Calibri" w:cs="Calibri"/>
                <w:color w:val="000000"/>
                <w:sz w:val="20"/>
              </w:rPr>
              <w:t>1997</w:t>
            </w:r>
          </w:p>
        </w:tc>
      </w:tr>
      <w:tr w:rsidR="007B6959" w:rsidRPr="002449C4" w14:paraId="329E2BBB" w14:textId="77777777" w:rsidTr="00157313">
        <w:tc>
          <w:tcPr>
            <w:tcW w:w="3289" w:type="dxa"/>
          </w:tcPr>
          <w:p w14:paraId="6FFF7004" w14:textId="77777777" w:rsidR="007B6959" w:rsidRPr="002449C4" w:rsidRDefault="007B6959" w:rsidP="00157313">
            <w:pPr>
              <w:pStyle w:val="NoSpacing"/>
              <w:rPr>
                <w:sz w:val="20"/>
              </w:rPr>
            </w:pPr>
            <w:r>
              <w:rPr>
                <w:sz w:val="20"/>
              </w:rPr>
              <w:t>Light Commercial Vehicles &lt; 3.5t (N1)</w:t>
            </w:r>
          </w:p>
        </w:tc>
        <w:tc>
          <w:tcPr>
            <w:tcW w:w="1206" w:type="dxa"/>
            <w:vAlign w:val="bottom"/>
          </w:tcPr>
          <w:p w14:paraId="3579447D" w14:textId="77777777" w:rsidR="007B6959" w:rsidRPr="002449C4" w:rsidRDefault="007B6959" w:rsidP="00157313">
            <w:pPr>
              <w:pStyle w:val="NoSpacing"/>
              <w:jc w:val="center"/>
              <w:rPr>
                <w:sz w:val="20"/>
              </w:rPr>
            </w:pPr>
            <w:r>
              <w:rPr>
                <w:rFonts w:ascii="Calibri" w:hAnsi="Calibri" w:cs="Calibri"/>
                <w:color w:val="000000"/>
                <w:sz w:val="20"/>
              </w:rPr>
              <w:t>42,930</w:t>
            </w:r>
          </w:p>
        </w:tc>
        <w:tc>
          <w:tcPr>
            <w:tcW w:w="1080" w:type="dxa"/>
            <w:vAlign w:val="bottom"/>
          </w:tcPr>
          <w:p w14:paraId="08452CC8" w14:textId="77777777" w:rsidR="007B6959" w:rsidRPr="002449C4" w:rsidRDefault="007B6959" w:rsidP="00157313">
            <w:pPr>
              <w:pStyle w:val="NoSpacing"/>
              <w:jc w:val="center"/>
              <w:rPr>
                <w:sz w:val="20"/>
              </w:rPr>
            </w:pPr>
            <w:r>
              <w:rPr>
                <w:rFonts w:ascii="Calibri" w:hAnsi="Calibri" w:cs="Calibri"/>
                <w:color w:val="000000"/>
                <w:sz w:val="20"/>
              </w:rPr>
              <w:t>3</w:t>
            </w:r>
            <w:r w:rsidRPr="002449C4">
              <w:rPr>
                <w:rFonts w:ascii="Calibri" w:hAnsi="Calibri" w:cs="Calibri"/>
                <w:color w:val="000000"/>
                <w:sz w:val="20"/>
              </w:rPr>
              <w:t>%</w:t>
            </w:r>
          </w:p>
        </w:tc>
        <w:tc>
          <w:tcPr>
            <w:tcW w:w="810" w:type="dxa"/>
            <w:vAlign w:val="bottom"/>
          </w:tcPr>
          <w:p w14:paraId="60D39F10" w14:textId="77777777" w:rsidR="007B6959" w:rsidRPr="002449C4" w:rsidRDefault="007B6959" w:rsidP="00157313">
            <w:pPr>
              <w:pStyle w:val="NoSpacing"/>
              <w:jc w:val="center"/>
              <w:rPr>
                <w:sz w:val="20"/>
              </w:rPr>
            </w:pPr>
            <w:r>
              <w:rPr>
                <w:rFonts w:ascii="Calibri" w:hAnsi="Calibri" w:cs="Calibri"/>
                <w:color w:val="000000"/>
                <w:sz w:val="20"/>
              </w:rPr>
              <w:t>97</w:t>
            </w:r>
            <w:r w:rsidRPr="002449C4">
              <w:rPr>
                <w:rFonts w:ascii="Calibri" w:hAnsi="Calibri" w:cs="Calibri"/>
                <w:color w:val="000000"/>
                <w:sz w:val="20"/>
              </w:rPr>
              <w:t>%</w:t>
            </w:r>
          </w:p>
        </w:tc>
        <w:tc>
          <w:tcPr>
            <w:tcW w:w="1383" w:type="dxa"/>
          </w:tcPr>
          <w:p w14:paraId="318A21AC" w14:textId="77777777" w:rsidR="007B6959" w:rsidRPr="002449C4" w:rsidRDefault="007B6959" w:rsidP="00157313">
            <w:pPr>
              <w:pStyle w:val="NoSpacing"/>
              <w:jc w:val="center"/>
              <w:rPr>
                <w:rFonts w:ascii="Calibri" w:hAnsi="Calibri" w:cs="Calibri"/>
                <w:color w:val="000000"/>
                <w:sz w:val="20"/>
              </w:rPr>
            </w:pPr>
            <w:r>
              <w:rPr>
                <w:rFonts w:ascii="Calibri" w:hAnsi="Calibri" w:cs="Calibri"/>
                <w:color w:val="000000"/>
                <w:sz w:val="20"/>
              </w:rPr>
              <w:t>II/III</w:t>
            </w:r>
          </w:p>
        </w:tc>
        <w:tc>
          <w:tcPr>
            <w:tcW w:w="1248" w:type="dxa"/>
          </w:tcPr>
          <w:p w14:paraId="1B3A9CCD" w14:textId="77777777" w:rsidR="007B6959" w:rsidRPr="002449C4" w:rsidRDefault="007B6959" w:rsidP="00157313">
            <w:pPr>
              <w:pStyle w:val="NoSpacing"/>
              <w:jc w:val="center"/>
              <w:rPr>
                <w:rFonts w:ascii="Calibri" w:hAnsi="Calibri" w:cs="Calibri"/>
                <w:color w:val="000000"/>
                <w:sz w:val="20"/>
              </w:rPr>
            </w:pPr>
            <w:r>
              <w:rPr>
                <w:rFonts w:ascii="Calibri" w:hAnsi="Calibri" w:cs="Calibri"/>
                <w:color w:val="000000"/>
                <w:sz w:val="20"/>
              </w:rPr>
              <w:t>2001</w:t>
            </w:r>
          </w:p>
        </w:tc>
      </w:tr>
      <w:tr w:rsidR="007B6959" w:rsidRPr="002449C4" w14:paraId="1D974C69" w14:textId="77777777" w:rsidTr="00157313">
        <w:tc>
          <w:tcPr>
            <w:tcW w:w="3289" w:type="dxa"/>
          </w:tcPr>
          <w:p w14:paraId="790074CE" w14:textId="77777777" w:rsidR="007B6959" w:rsidRDefault="007B6959" w:rsidP="00157313">
            <w:pPr>
              <w:pStyle w:val="NoSpacing"/>
              <w:rPr>
                <w:sz w:val="20"/>
              </w:rPr>
            </w:pPr>
            <w:r>
              <w:rPr>
                <w:sz w:val="20"/>
              </w:rPr>
              <w:t>Medium trucks 3.5-12t (N2)</w:t>
            </w:r>
          </w:p>
        </w:tc>
        <w:tc>
          <w:tcPr>
            <w:tcW w:w="1206" w:type="dxa"/>
            <w:vAlign w:val="bottom"/>
          </w:tcPr>
          <w:p w14:paraId="218DF4CE" w14:textId="77777777" w:rsidR="007B6959" w:rsidRPr="002449C4" w:rsidRDefault="007B6959" w:rsidP="00157313">
            <w:pPr>
              <w:pStyle w:val="NoSpacing"/>
              <w:jc w:val="center"/>
              <w:rPr>
                <w:rFonts w:ascii="Calibri" w:hAnsi="Calibri" w:cs="Calibri"/>
                <w:color w:val="000000"/>
                <w:sz w:val="20"/>
              </w:rPr>
            </w:pPr>
            <w:r>
              <w:rPr>
                <w:rFonts w:ascii="Calibri" w:hAnsi="Calibri" w:cs="Calibri"/>
                <w:color w:val="000000"/>
                <w:sz w:val="20"/>
              </w:rPr>
              <w:t>4,720</w:t>
            </w:r>
          </w:p>
        </w:tc>
        <w:tc>
          <w:tcPr>
            <w:tcW w:w="1080" w:type="dxa"/>
            <w:vAlign w:val="bottom"/>
          </w:tcPr>
          <w:p w14:paraId="5DF540F3" w14:textId="77777777" w:rsidR="007B6959" w:rsidRPr="002449C4" w:rsidRDefault="007B6959" w:rsidP="00157313">
            <w:pPr>
              <w:pStyle w:val="NoSpacing"/>
              <w:jc w:val="center"/>
              <w:rPr>
                <w:rFonts w:ascii="Calibri" w:hAnsi="Calibri" w:cs="Calibri"/>
                <w:color w:val="000000"/>
                <w:sz w:val="20"/>
              </w:rPr>
            </w:pPr>
            <w:r>
              <w:rPr>
                <w:rFonts w:ascii="Calibri" w:hAnsi="Calibri" w:cs="Calibri"/>
                <w:color w:val="000000"/>
                <w:sz w:val="20"/>
              </w:rPr>
              <w:t>0%</w:t>
            </w:r>
          </w:p>
        </w:tc>
        <w:tc>
          <w:tcPr>
            <w:tcW w:w="810" w:type="dxa"/>
            <w:vAlign w:val="bottom"/>
          </w:tcPr>
          <w:p w14:paraId="24C99A5F" w14:textId="77777777" w:rsidR="007B6959" w:rsidRPr="002449C4" w:rsidRDefault="007B6959" w:rsidP="00157313">
            <w:pPr>
              <w:pStyle w:val="NoSpacing"/>
              <w:jc w:val="center"/>
              <w:rPr>
                <w:rFonts w:ascii="Calibri" w:hAnsi="Calibri" w:cs="Calibri"/>
                <w:color w:val="000000"/>
                <w:sz w:val="20"/>
              </w:rPr>
            </w:pPr>
            <w:r>
              <w:rPr>
                <w:rFonts w:ascii="Calibri" w:hAnsi="Calibri" w:cs="Calibri"/>
                <w:color w:val="000000"/>
                <w:sz w:val="20"/>
              </w:rPr>
              <w:t>100%</w:t>
            </w:r>
          </w:p>
        </w:tc>
        <w:tc>
          <w:tcPr>
            <w:tcW w:w="1383" w:type="dxa"/>
          </w:tcPr>
          <w:p w14:paraId="6533FE29" w14:textId="77777777" w:rsidR="007B6959" w:rsidRPr="002449C4" w:rsidRDefault="007B6959" w:rsidP="00157313">
            <w:pPr>
              <w:pStyle w:val="NoSpacing"/>
              <w:jc w:val="center"/>
              <w:rPr>
                <w:rFonts w:ascii="Calibri" w:hAnsi="Calibri" w:cs="Calibri"/>
                <w:color w:val="000000"/>
                <w:sz w:val="20"/>
              </w:rPr>
            </w:pPr>
            <w:r>
              <w:rPr>
                <w:rFonts w:ascii="Calibri" w:hAnsi="Calibri" w:cs="Calibri"/>
                <w:color w:val="000000"/>
                <w:sz w:val="20"/>
              </w:rPr>
              <w:t>II</w:t>
            </w:r>
          </w:p>
        </w:tc>
        <w:tc>
          <w:tcPr>
            <w:tcW w:w="1248" w:type="dxa"/>
          </w:tcPr>
          <w:p w14:paraId="16AA47F5" w14:textId="77777777" w:rsidR="007B6959" w:rsidRPr="002449C4" w:rsidRDefault="007B6959" w:rsidP="00157313">
            <w:pPr>
              <w:pStyle w:val="NoSpacing"/>
              <w:jc w:val="center"/>
              <w:rPr>
                <w:rFonts w:ascii="Calibri" w:hAnsi="Calibri" w:cs="Calibri"/>
                <w:color w:val="000000"/>
                <w:sz w:val="20"/>
              </w:rPr>
            </w:pPr>
            <w:r>
              <w:rPr>
                <w:rFonts w:ascii="Calibri" w:hAnsi="Calibri" w:cs="Calibri"/>
                <w:color w:val="000000"/>
                <w:sz w:val="20"/>
              </w:rPr>
              <w:t>1995</w:t>
            </w:r>
          </w:p>
        </w:tc>
      </w:tr>
      <w:tr w:rsidR="007B6959" w:rsidRPr="002449C4" w14:paraId="1A154395" w14:textId="77777777" w:rsidTr="00157313">
        <w:tc>
          <w:tcPr>
            <w:tcW w:w="3289" w:type="dxa"/>
          </w:tcPr>
          <w:p w14:paraId="505B19C8" w14:textId="77777777" w:rsidR="007B6959" w:rsidRPr="002449C4" w:rsidRDefault="007B6959" w:rsidP="00157313">
            <w:pPr>
              <w:pStyle w:val="NoSpacing"/>
              <w:rPr>
                <w:sz w:val="20"/>
              </w:rPr>
            </w:pPr>
            <w:r>
              <w:rPr>
                <w:sz w:val="20"/>
              </w:rPr>
              <w:t>Large trucks &gt; 12t (N3)</w:t>
            </w:r>
          </w:p>
        </w:tc>
        <w:tc>
          <w:tcPr>
            <w:tcW w:w="1206" w:type="dxa"/>
            <w:vAlign w:val="bottom"/>
          </w:tcPr>
          <w:p w14:paraId="51F8EBFD" w14:textId="77777777" w:rsidR="007B6959" w:rsidRPr="002449C4" w:rsidRDefault="007B6959" w:rsidP="00157313">
            <w:pPr>
              <w:pStyle w:val="NoSpacing"/>
              <w:jc w:val="center"/>
              <w:rPr>
                <w:sz w:val="20"/>
              </w:rPr>
            </w:pPr>
            <w:r>
              <w:rPr>
                <w:rFonts w:ascii="Calibri" w:hAnsi="Calibri" w:cs="Calibri"/>
                <w:color w:val="000000"/>
                <w:sz w:val="20"/>
              </w:rPr>
              <w:t>7,990</w:t>
            </w:r>
          </w:p>
        </w:tc>
        <w:tc>
          <w:tcPr>
            <w:tcW w:w="1080" w:type="dxa"/>
            <w:vAlign w:val="bottom"/>
          </w:tcPr>
          <w:p w14:paraId="55823D0C" w14:textId="77777777" w:rsidR="007B6959" w:rsidRPr="002449C4" w:rsidRDefault="007B6959" w:rsidP="00157313">
            <w:pPr>
              <w:pStyle w:val="NoSpacing"/>
              <w:jc w:val="center"/>
              <w:rPr>
                <w:sz w:val="20"/>
              </w:rPr>
            </w:pPr>
            <w:r w:rsidRPr="002449C4">
              <w:rPr>
                <w:rFonts w:ascii="Calibri" w:hAnsi="Calibri" w:cs="Calibri"/>
                <w:color w:val="000000"/>
                <w:sz w:val="20"/>
              </w:rPr>
              <w:t>0%</w:t>
            </w:r>
          </w:p>
        </w:tc>
        <w:tc>
          <w:tcPr>
            <w:tcW w:w="810" w:type="dxa"/>
            <w:vAlign w:val="bottom"/>
          </w:tcPr>
          <w:p w14:paraId="006CE408" w14:textId="77777777" w:rsidR="007B6959" w:rsidRPr="002449C4" w:rsidRDefault="007B6959" w:rsidP="00157313">
            <w:pPr>
              <w:pStyle w:val="NoSpacing"/>
              <w:jc w:val="center"/>
              <w:rPr>
                <w:sz w:val="20"/>
              </w:rPr>
            </w:pPr>
            <w:r w:rsidRPr="002449C4">
              <w:rPr>
                <w:rFonts w:ascii="Calibri" w:hAnsi="Calibri" w:cs="Calibri"/>
                <w:color w:val="000000"/>
                <w:sz w:val="20"/>
              </w:rPr>
              <w:t>100%</w:t>
            </w:r>
          </w:p>
        </w:tc>
        <w:tc>
          <w:tcPr>
            <w:tcW w:w="1383" w:type="dxa"/>
          </w:tcPr>
          <w:p w14:paraId="6C74C53F" w14:textId="77777777" w:rsidR="007B6959" w:rsidRPr="002449C4" w:rsidRDefault="007B6959" w:rsidP="00157313">
            <w:pPr>
              <w:pStyle w:val="NoSpacing"/>
              <w:jc w:val="center"/>
              <w:rPr>
                <w:rFonts w:ascii="Calibri" w:hAnsi="Calibri" w:cs="Calibri"/>
                <w:color w:val="000000"/>
                <w:sz w:val="20"/>
              </w:rPr>
            </w:pPr>
            <w:r>
              <w:rPr>
                <w:rFonts w:ascii="Calibri" w:hAnsi="Calibri" w:cs="Calibri"/>
                <w:color w:val="000000"/>
                <w:sz w:val="20"/>
              </w:rPr>
              <w:t>III</w:t>
            </w:r>
          </w:p>
        </w:tc>
        <w:tc>
          <w:tcPr>
            <w:tcW w:w="1248" w:type="dxa"/>
          </w:tcPr>
          <w:p w14:paraId="56BFE085" w14:textId="77777777" w:rsidR="007B6959" w:rsidRPr="002449C4" w:rsidRDefault="007B6959" w:rsidP="00157313">
            <w:pPr>
              <w:pStyle w:val="NoSpacing"/>
              <w:jc w:val="center"/>
              <w:rPr>
                <w:rFonts w:ascii="Calibri" w:hAnsi="Calibri" w:cs="Calibri"/>
                <w:color w:val="000000"/>
                <w:sz w:val="20"/>
              </w:rPr>
            </w:pPr>
            <w:r>
              <w:rPr>
                <w:rFonts w:ascii="Calibri" w:hAnsi="Calibri" w:cs="Calibri"/>
                <w:color w:val="000000"/>
                <w:sz w:val="20"/>
              </w:rPr>
              <w:t>1999</w:t>
            </w:r>
          </w:p>
        </w:tc>
      </w:tr>
    </w:tbl>
    <w:p w14:paraId="077999EF" w14:textId="51ABC5E6" w:rsidR="002449C4" w:rsidRDefault="007B6959" w:rsidP="002449C4">
      <w:pPr>
        <w:pStyle w:val="NoSpacing"/>
        <w:rPr>
          <w:sz w:val="20"/>
        </w:rPr>
      </w:pPr>
      <w:r w:rsidRPr="00790C89">
        <w:rPr>
          <w:sz w:val="20"/>
        </w:rPr>
        <w:t xml:space="preserve">Source: </w:t>
      </w:r>
      <w:r w:rsidR="009E45E3" w:rsidRPr="009E45E3">
        <w:rPr>
          <w:sz w:val="20"/>
        </w:rPr>
        <w:t>Motor Vehicle Information Management System</w:t>
      </w:r>
    </w:p>
    <w:p w14:paraId="2B35363C" w14:textId="77777777" w:rsidR="00FD4BF7" w:rsidRDefault="00FD4BF7" w:rsidP="002449C4">
      <w:pPr>
        <w:pStyle w:val="NoSpacing"/>
        <w:rPr>
          <w:b/>
          <w:sz w:val="20"/>
        </w:rPr>
      </w:pPr>
    </w:p>
    <w:p w14:paraId="68DEDDFA" w14:textId="009361BE" w:rsidR="00FD4BF7" w:rsidRDefault="00FD4BF7" w:rsidP="00FD4BF7">
      <w:pPr>
        <w:jc w:val="both"/>
      </w:pPr>
      <w:r>
        <w:lastRenderedPageBreak/>
        <w:t>Some 220 hybrid cars were circulating in 2018. The annual average vehicle growth rate is 8.5% for the last 6 years</w:t>
      </w:r>
      <w:r>
        <w:rPr>
          <w:rStyle w:val="FootnoteReference"/>
        </w:rPr>
        <w:footnoteReference w:id="2"/>
      </w:r>
      <w:r>
        <w:t>. The average vehicle age</w:t>
      </w:r>
      <w:r w:rsidR="00A51952">
        <w:t xml:space="preserve"> cross various categories</w:t>
      </w:r>
      <w:r>
        <w:t xml:space="preserve">, with exception of motorcycles is around 20 years i.e. it is a very old fleet. The following graph shows for </w:t>
      </w:r>
      <w:r w:rsidR="00A51952">
        <w:t>the diesel passenger cars</w:t>
      </w:r>
      <w:r>
        <w:t xml:space="preserve"> the Euro emission standard with which vehicles complied.</w:t>
      </w:r>
    </w:p>
    <w:p w14:paraId="48F6BD53" w14:textId="03AFC7ED" w:rsidR="00FD4BF7" w:rsidRDefault="00FD4BF7" w:rsidP="00FD4BF7">
      <w:pPr>
        <w:pStyle w:val="NoSpacing"/>
        <w:rPr>
          <w:b/>
          <w:sz w:val="20"/>
        </w:rPr>
      </w:pPr>
      <w:r w:rsidRPr="000D20B2">
        <w:rPr>
          <w:b/>
          <w:sz w:val="20"/>
        </w:rPr>
        <w:t xml:space="preserve">Figure </w:t>
      </w:r>
      <w:r w:rsidRPr="000D20B2">
        <w:rPr>
          <w:b/>
          <w:sz w:val="20"/>
        </w:rPr>
        <w:fldChar w:fldCharType="begin"/>
      </w:r>
      <w:r w:rsidRPr="000D20B2">
        <w:rPr>
          <w:b/>
          <w:sz w:val="20"/>
        </w:rPr>
        <w:instrText xml:space="preserve"> SEQ Figure \* ARABIC </w:instrText>
      </w:r>
      <w:r w:rsidRPr="000D20B2">
        <w:rPr>
          <w:b/>
          <w:sz w:val="20"/>
        </w:rPr>
        <w:fldChar w:fldCharType="separate"/>
      </w:r>
      <w:r>
        <w:rPr>
          <w:b/>
          <w:noProof/>
          <w:sz w:val="20"/>
        </w:rPr>
        <w:t>1</w:t>
      </w:r>
      <w:r w:rsidRPr="000D20B2">
        <w:rPr>
          <w:b/>
          <w:sz w:val="20"/>
        </w:rPr>
        <w:fldChar w:fldCharType="end"/>
      </w:r>
      <w:r w:rsidRPr="000D20B2">
        <w:rPr>
          <w:b/>
          <w:sz w:val="20"/>
        </w:rPr>
        <w:t xml:space="preserve">: </w:t>
      </w:r>
      <w:r>
        <w:rPr>
          <w:b/>
          <w:sz w:val="20"/>
        </w:rPr>
        <w:t>Euro Emission Standards of</w:t>
      </w:r>
      <w:r w:rsidRPr="000D20B2">
        <w:rPr>
          <w:b/>
          <w:sz w:val="20"/>
        </w:rPr>
        <w:t xml:space="preserve"> Diesel Passenger Cars</w:t>
      </w:r>
      <w:r>
        <w:rPr>
          <w:b/>
          <w:sz w:val="20"/>
        </w:rPr>
        <w:t xml:space="preserve"> </w:t>
      </w:r>
      <w:r w:rsidR="004A738F">
        <w:rPr>
          <w:b/>
          <w:sz w:val="20"/>
        </w:rPr>
        <w:t xml:space="preserve">in </w:t>
      </w:r>
      <w:r>
        <w:rPr>
          <w:b/>
          <w:sz w:val="20"/>
        </w:rPr>
        <w:t>Kosovo</w:t>
      </w:r>
      <w:r w:rsidRPr="000D20B2">
        <w:rPr>
          <w:b/>
          <w:sz w:val="20"/>
        </w:rPr>
        <w:t>, 2018</w:t>
      </w:r>
    </w:p>
    <w:tbl>
      <w:tblPr>
        <w:tblStyle w:val="TableGrid"/>
        <w:tblW w:w="0" w:type="auto"/>
        <w:tblLook w:val="04A0" w:firstRow="1" w:lastRow="0" w:firstColumn="1" w:lastColumn="0" w:noHBand="0" w:noVBand="1"/>
      </w:tblPr>
      <w:tblGrid>
        <w:gridCol w:w="2605"/>
        <w:gridCol w:w="1890"/>
      </w:tblGrid>
      <w:tr w:rsidR="00A92455" w:rsidRPr="002449C4" w14:paraId="5DCA8410" w14:textId="77777777" w:rsidTr="006B4BBC">
        <w:tc>
          <w:tcPr>
            <w:tcW w:w="2605" w:type="dxa"/>
            <w:shd w:val="clear" w:color="auto" w:fill="D9E2F3" w:themeFill="accent1" w:themeFillTint="33"/>
          </w:tcPr>
          <w:p w14:paraId="1755E58D" w14:textId="5F774AC6" w:rsidR="00A92455" w:rsidRPr="002449C4" w:rsidRDefault="00A92455" w:rsidP="00367F20">
            <w:pPr>
              <w:pStyle w:val="NoSpacing"/>
              <w:rPr>
                <w:b/>
                <w:sz w:val="20"/>
              </w:rPr>
            </w:pPr>
            <w:r>
              <w:rPr>
                <w:b/>
                <w:sz w:val="20"/>
              </w:rPr>
              <w:t>Euro Emission Standards</w:t>
            </w:r>
          </w:p>
        </w:tc>
        <w:tc>
          <w:tcPr>
            <w:tcW w:w="1890" w:type="dxa"/>
            <w:shd w:val="clear" w:color="auto" w:fill="D9E2F3" w:themeFill="accent1" w:themeFillTint="33"/>
          </w:tcPr>
          <w:p w14:paraId="55540639" w14:textId="44E0A1CD" w:rsidR="00A92455" w:rsidRPr="002449C4" w:rsidRDefault="00A92455" w:rsidP="00367F20">
            <w:pPr>
              <w:pStyle w:val="NoSpacing"/>
              <w:jc w:val="center"/>
              <w:rPr>
                <w:b/>
                <w:sz w:val="20"/>
              </w:rPr>
            </w:pPr>
            <w:r>
              <w:rPr>
                <w:b/>
                <w:sz w:val="20"/>
              </w:rPr>
              <w:t>Share of Vehicles</w:t>
            </w:r>
          </w:p>
        </w:tc>
      </w:tr>
      <w:tr w:rsidR="00A92455" w:rsidRPr="002449C4" w14:paraId="5EF1AD1A" w14:textId="77777777" w:rsidTr="006B4BBC">
        <w:tc>
          <w:tcPr>
            <w:tcW w:w="2605" w:type="dxa"/>
          </w:tcPr>
          <w:p w14:paraId="3D3947CF" w14:textId="7F7E64BB" w:rsidR="00A92455" w:rsidRPr="002449C4" w:rsidRDefault="00A92455" w:rsidP="00367F20">
            <w:pPr>
              <w:pStyle w:val="NoSpacing"/>
              <w:rPr>
                <w:sz w:val="20"/>
              </w:rPr>
            </w:pPr>
            <w:r>
              <w:rPr>
                <w:sz w:val="20"/>
              </w:rPr>
              <w:t>Euro 0</w:t>
            </w:r>
          </w:p>
        </w:tc>
        <w:tc>
          <w:tcPr>
            <w:tcW w:w="1890" w:type="dxa"/>
            <w:vAlign w:val="bottom"/>
          </w:tcPr>
          <w:p w14:paraId="59849C8D" w14:textId="51E14210" w:rsidR="00A92455" w:rsidRPr="002449C4" w:rsidRDefault="00A92455" w:rsidP="00367F20">
            <w:pPr>
              <w:pStyle w:val="NoSpacing"/>
              <w:jc w:val="center"/>
              <w:rPr>
                <w:sz w:val="20"/>
              </w:rPr>
            </w:pPr>
            <w:r>
              <w:rPr>
                <w:rFonts w:ascii="Calibri" w:hAnsi="Calibri" w:cs="Calibri"/>
                <w:color w:val="000000"/>
                <w:sz w:val="20"/>
              </w:rPr>
              <w:t>14%</w:t>
            </w:r>
          </w:p>
        </w:tc>
      </w:tr>
      <w:tr w:rsidR="00A92455" w:rsidRPr="002449C4" w14:paraId="78B03DC5" w14:textId="77777777" w:rsidTr="006B4BBC">
        <w:tc>
          <w:tcPr>
            <w:tcW w:w="2605" w:type="dxa"/>
          </w:tcPr>
          <w:p w14:paraId="788AA76B" w14:textId="05FD1E0A" w:rsidR="00A92455" w:rsidRPr="002449C4" w:rsidRDefault="00A92455" w:rsidP="00367F20">
            <w:pPr>
              <w:pStyle w:val="NoSpacing"/>
              <w:rPr>
                <w:sz w:val="20"/>
              </w:rPr>
            </w:pPr>
            <w:r>
              <w:rPr>
                <w:sz w:val="20"/>
              </w:rPr>
              <w:t>Euro 1</w:t>
            </w:r>
          </w:p>
        </w:tc>
        <w:tc>
          <w:tcPr>
            <w:tcW w:w="1890" w:type="dxa"/>
            <w:vAlign w:val="bottom"/>
          </w:tcPr>
          <w:p w14:paraId="7A45A010" w14:textId="75184C07" w:rsidR="00A92455" w:rsidRPr="002449C4" w:rsidRDefault="00A92455" w:rsidP="00367F20">
            <w:pPr>
              <w:pStyle w:val="NoSpacing"/>
              <w:jc w:val="center"/>
              <w:rPr>
                <w:sz w:val="20"/>
              </w:rPr>
            </w:pPr>
            <w:r>
              <w:rPr>
                <w:sz w:val="20"/>
              </w:rPr>
              <w:t>3%</w:t>
            </w:r>
          </w:p>
        </w:tc>
      </w:tr>
      <w:tr w:rsidR="00A92455" w:rsidRPr="002449C4" w14:paraId="6A04C17F" w14:textId="77777777" w:rsidTr="006B4BBC">
        <w:tc>
          <w:tcPr>
            <w:tcW w:w="2605" w:type="dxa"/>
          </w:tcPr>
          <w:p w14:paraId="1C3E9884" w14:textId="3FF5E8A8" w:rsidR="00A92455" w:rsidRDefault="00A92455" w:rsidP="00367F20">
            <w:pPr>
              <w:pStyle w:val="NoSpacing"/>
              <w:rPr>
                <w:sz w:val="20"/>
              </w:rPr>
            </w:pPr>
            <w:r>
              <w:rPr>
                <w:sz w:val="20"/>
              </w:rPr>
              <w:t>Euro 2</w:t>
            </w:r>
          </w:p>
        </w:tc>
        <w:tc>
          <w:tcPr>
            <w:tcW w:w="1890" w:type="dxa"/>
            <w:vAlign w:val="bottom"/>
          </w:tcPr>
          <w:p w14:paraId="286DD3CD" w14:textId="3025496F" w:rsidR="00A92455" w:rsidRPr="002449C4" w:rsidRDefault="00A92455" w:rsidP="00367F20">
            <w:pPr>
              <w:pStyle w:val="NoSpacing"/>
              <w:jc w:val="center"/>
              <w:rPr>
                <w:rFonts w:ascii="Calibri" w:hAnsi="Calibri" w:cs="Calibri"/>
                <w:color w:val="000000"/>
                <w:sz w:val="20"/>
              </w:rPr>
            </w:pPr>
            <w:r>
              <w:rPr>
                <w:rFonts w:ascii="Calibri" w:hAnsi="Calibri" w:cs="Calibri"/>
                <w:color w:val="000000"/>
                <w:sz w:val="20"/>
              </w:rPr>
              <w:t>10%</w:t>
            </w:r>
          </w:p>
        </w:tc>
      </w:tr>
      <w:tr w:rsidR="00A92455" w:rsidRPr="002449C4" w14:paraId="7E6C72F4" w14:textId="77777777" w:rsidTr="006B4BBC">
        <w:tc>
          <w:tcPr>
            <w:tcW w:w="2605" w:type="dxa"/>
          </w:tcPr>
          <w:p w14:paraId="53801095" w14:textId="56EB2ECD" w:rsidR="00A92455" w:rsidRPr="002449C4" w:rsidRDefault="00A92455" w:rsidP="00367F20">
            <w:pPr>
              <w:pStyle w:val="NoSpacing"/>
              <w:rPr>
                <w:sz w:val="20"/>
              </w:rPr>
            </w:pPr>
            <w:r>
              <w:rPr>
                <w:sz w:val="20"/>
              </w:rPr>
              <w:t>Euro 3</w:t>
            </w:r>
          </w:p>
        </w:tc>
        <w:tc>
          <w:tcPr>
            <w:tcW w:w="1890" w:type="dxa"/>
            <w:vAlign w:val="bottom"/>
          </w:tcPr>
          <w:p w14:paraId="73091019" w14:textId="1337DC06" w:rsidR="00A92455" w:rsidRPr="002449C4" w:rsidRDefault="00A92455" w:rsidP="00367F20">
            <w:pPr>
              <w:pStyle w:val="NoSpacing"/>
              <w:jc w:val="center"/>
              <w:rPr>
                <w:sz w:val="20"/>
              </w:rPr>
            </w:pPr>
            <w:r>
              <w:rPr>
                <w:sz w:val="20"/>
              </w:rPr>
              <w:t>36%</w:t>
            </w:r>
          </w:p>
        </w:tc>
      </w:tr>
      <w:tr w:rsidR="00A92455" w:rsidRPr="002449C4" w14:paraId="180B4A40" w14:textId="77777777" w:rsidTr="006B4BBC">
        <w:tc>
          <w:tcPr>
            <w:tcW w:w="2605" w:type="dxa"/>
          </w:tcPr>
          <w:p w14:paraId="2182FAD8" w14:textId="26FBCB48" w:rsidR="00A92455" w:rsidRPr="002449C4" w:rsidRDefault="00A92455" w:rsidP="00367F20">
            <w:pPr>
              <w:pStyle w:val="NoSpacing"/>
              <w:rPr>
                <w:sz w:val="20"/>
              </w:rPr>
            </w:pPr>
            <w:r>
              <w:rPr>
                <w:sz w:val="20"/>
              </w:rPr>
              <w:t>Euro 4</w:t>
            </w:r>
          </w:p>
        </w:tc>
        <w:tc>
          <w:tcPr>
            <w:tcW w:w="1890" w:type="dxa"/>
            <w:vAlign w:val="bottom"/>
          </w:tcPr>
          <w:p w14:paraId="38DE0237" w14:textId="11A2F40A" w:rsidR="00A92455" w:rsidRPr="002449C4" w:rsidRDefault="00A92455" w:rsidP="00367F20">
            <w:pPr>
              <w:pStyle w:val="NoSpacing"/>
              <w:jc w:val="center"/>
              <w:rPr>
                <w:sz w:val="20"/>
              </w:rPr>
            </w:pPr>
            <w:r>
              <w:rPr>
                <w:sz w:val="20"/>
              </w:rPr>
              <w:t>24%</w:t>
            </w:r>
          </w:p>
        </w:tc>
      </w:tr>
      <w:tr w:rsidR="00A92455" w:rsidRPr="002449C4" w14:paraId="458E5F7C" w14:textId="77777777" w:rsidTr="006B4BBC">
        <w:tc>
          <w:tcPr>
            <w:tcW w:w="2605" w:type="dxa"/>
          </w:tcPr>
          <w:p w14:paraId="042C296F" w14:textId="69F1694A" w:rsidR="00A92455" w:rsidRDefault="00A92455" w:rsidP="00367F20">
            <w:pPr>
              <w:pStyle w:val="NoSpacing"/>
              <w:rPr>
                <w:sz w:val="20"/>
              </w:rPr>
            </w:pPr>
            <w:r>
              <w:rPr>
                <w:sz w:val="20"/>
              </w:rPr>
              <w:t>Euro 5</w:t>
            </w:r>
          </w:p>
        </w:tc>
        <w:tc>
          <w:tcPr>
            <w:tcW w:w="1890" w:type="dxa"/>
            <w:vAlign w:val="bottom"/>
          </w:tcPr>
          <w:p w14:paraId="2D3E32EF" w14:textId="50558616" w:rsidR="00A92455" w:rsidRPr="002449C4" w:rsidRDefault="00A92455" w:rsidP="00367F20">
            <w:pPr>
              <w:pStyle w:val="NoSpacing"/>
              <w:jc w:val="center"/>
              <w:rPr>
                <w:rFonts w:ascii="Calibri" w:hAnsi="Calibri" w:cs="Calibri"/>
                <w:color w:val="000000"/>
                <w:sz w:val="20"/>
              </w:rPr>
            </w:pPr>
            <w:r>
              <w:rPr>
                <w:rFonts w:ascii="Calibri" w:hAnsi="Calibri" w:cs="Calibri"/>
                <w:color w:val="000000"/>
                <w:sz w:val="20"/>
              </w:rPr>
              <w:t>10%</w:t>
            </w:r>
          </w:p>
        </w:tc>
      </w:tr>
      <w:tr w:rsidR="00A92455" w:rsidRPr="002449C4" w14:paraId="7453C1A5" w14:textId="77777777" w:rsidTr="006B4BBC">
        <w:tc>
          <w:tcPr>
            <w:tcW w:w="2605" w:type="dxa"/>
          </w:tcPr>
          <w:p w14:paraId="01F1EFF1" w14:textId="19FA81E0" w:rsidR="00A92455" w:rsidRPr="002449C4" w:rsidRDefault="00A92455" w:rsidP="00367F20">
            <w:pPr>
              <w:pStyle w:val="NoSpacing"/>
              <w:rPr>
                <w:sz w:val="20"/>
              </w:rPr>
            </w:pPr>
            <w:r>
              <w:rPr>
                <w:sz w:val="20"/>
              </w:rPr>
              <w:t>Euro 6</w:t>
            </w:r>
          </w:p>
        </w:tc>
        <w:tc>
          <w:tcPr>
            <w:tcW w:w="1890" w:type="dxa"/>
            <w:vAlign w:val="bottom"/>
          </w:tcPr>
          <w:p w14:paraId="398EA680" w14:textId="6DB66AB0" w:rsidR="00A92455" w:rsidRPr="002449C4" w:rsidRDefault="00A92455" w:rsidP="00367F20">
            <w:pPr>
              <w:pStyle w:val="NoSpacing"/>
              <w:jc w:val="center"/>
              <w:rPr>
                <w:sz w:val="20"/>
              </w:rPr>
            </w:pPr>
            <w:r>
              <w:rPr>
                <w:sz w:val="20"/>
              </w:rPr>
              <w:t>3%</w:t>
            </w:r>
          </w:p>
        </w:tc>
      </w:tr>
    </w:tbl>
    <w:p w14:paraId="1F3A646C" w14:textId="687274A9" w:rsidR="00FD4BF7" w:rsidRDefault="00FD4BF7" w:rsidP="00FD4BF7">
      <w:pPr>
        <w:pStyle w:val="NoSpacing"/>
        <w:rPr>
          <w:sz w:val="20"/>
        </w:rPr>
      </w:pPr>
      <w:r w:rsidRPr="000D20B2">
        <w:rPr>
          <w:sz w:val="20"/>
        </w:rPr>
        <w:t xml:space="preserve">Source: calculation by Grutter Consulting based on </w:t>
      </w:r>
      <w:r w:rsidR="00BB2E42" w:rsidRPr="009E45E3">
        <w:rPr>
          <w:sz w:val="20"/>
        </w:rPr>
        <w:t>Motor Vehicle Information Management System</w:t>
      </w:r>
    </w:p>
    <w:p w14:paraId="09F26E9C" w14:textId="77777777" w:rsidR="00BB2E42" w:rsidRDefault="00BB2E42" w:rsidP="00FD4BF7">
      <w:pPr>
        <w:pStyle w:val="NoSpacing"/>
        <w:rPr>
          <w:sz w:val="20"/>
        </w:rPr>
      </w:pPr>
    </w:p>
    <w:p w14:paraId="1E2B3451" w14:textId="77F098AC" w:rsidR="00FD4BF7" w:rsidRPr="000D20B2" w:rsidRDefault="00FD4BF7" w:rsidP="00FD4BF7">
      <w:pPr>
        <w:jc w:val="both"/>
      </w:pPr>
      <w:r>
        <w:t xml:space="preserve">Euro 3 is the most common standard for diesel cars with </w:t>
      </w:r>
      <w:r w:rsidR="006B4BBC">
        <w:t>27%</w:t>
      </w:r>
      <w:r>
        <w:t xml:space="preserve"> of cars having a</w:t>
      </w:r>
      <w:r w:rsidR="00C12278">
        <w:t>n</w:t>
      </w:r>
      <w:r>
        <w:t xml:space="preserve"> </w:t>
      </w:r>
      <w:r w:rsidR="00C12278">
        <w:t xml:space="preserve">even </w:t>
      </w:r>
      <w:r>
        <w:t>lower Euro standard. Only 3% of units comply with Euro 6 (in force in the EU for 4 years) which is considered to be relatively low emitting vehicle.</w:t>
      </w:r>
      <w:r w:rsidR="00FF4479">
        <w:t xml:space="preserve"> </w:t>
      </w:r>
      <w:bookmarkStart w:id="10" w:name="_Hlk11739462"/>
      <w:r w:rsidR="00FF4479">
        <w:t>Kosovo sells Euro 5 fuels and usage of Euro 6/VI vehicles is thus no issue.</w:t>
      </w:r>
      <w:bookmarkEnd w:id="10"/>
    </w:p>
    <w:p w14:paraId="7A82B9ED" w14:textId="5CFCF959" w:rsidR="00FD4BF7" w:rsidRDefault="00FD4BF7" w:rsidP="00FD4BF7">
      <w:pPr>
        <w:pStyle w:val="NoSpacing"/>
        <w:rPr>
          <w:b/>
          <w:sz w:val="20"/>
          <w:szCs w:val="20"/>
        </w:rPr>
      </w:pPr>
      <w:r w:rsidRPr="000D20B2">
        <w:rPr>
          <w:b/>
          <w:sz w:val="20"/>
          <w:szCs w:val="20"/>
        </w:rPr>
        <w:t xml:space="preserve">Figure </w:t>
      </w:r>
      <w:r w:rsidRPr="000D20B2">
        <w:rPr>
          <w:b/>
          <w:sz w:val="20"/>
          <w:szCs w:val="20"/>
        </w:rPr>
        <w:fldChar w:fldCharType="begin"/>
      </w:r>
      <w:r w:rsidRPr="000D20B2">
        <w:rPr>
          <w:b/>
          <w:sz w:val="20"/>
          <w:szCs w:val="20"/>
        </w:rPr>
        <w:instrText xml:space="preserve"> SEQ Figure \* ARABIC </w:instrText>
      </w:r>
      <w:r w:rsidRPr="000D20B2">
        <w:rPr>
          <w:b/>
          <w:sz w:val="20"/>
          <w:szCs w:val="20"/>
        </w:rPr>
        <w:fldChar w:fldCharType="separate"/>
      </w:r>
      <w:r>
        <w:rPr>
          <w:b/>
          <w:noProof/>
          <w:sz w:val="20"/>
          <w:szCs w:val="20"/>
        </w:rPr>
        <w:t>2</w:t>
      </w:r>
      <w:r w:rsidRPr="000D20B2">
        <w:rPr>
          <w:b/>
          <w:sz w:val="20"/>
          <w:szCs w:val="20"/>
        </w:rPr>
        <w:fldChar w:fldCharType="end"/>
      </w:r>
      <w:r w:rsidRPr="000D20B2">
        <w:rPr>
          <w:b/>
          <w:sz w:val="20"/>
          <w:szCs w:val="20"/>
        </w:rPr>
        <w:t>: Euro Emission Standard of Large Trucks &gt;12t in Kosovo, 2018</w:t>
      </w:r>
    </w:p>
    <w:tbl>
      <w:tblPr>
        <w:tblStyle w:val="TableGrid"/>
        <w:tblW w:w="0" w:type="auto"/>
        <w:tblLook w:val="04A0" w:firstRow="1" w:lastRow="0" w:firstColumn="1" w:lastColumn="0" w:noHBand="0" w:noVBand="1"/>
      </w:tblPr>
      <w:tblGrid>
        <w:gridCol w:w="2605"/>
        <w:gridCol w:w="1890"/>
      </w:tblGrid>
      <w:tr w:rsidR="004A738F" w:rsidRPr="002449C4" w14:paraId="6AEFED3C" w14:textId="77777777" w:rsidTr="00367F20">
        <w:tc>
          <w:tcPr>
            <w:tcW w:w="2605" w:type="dxa"/>
            <w:shd w:val="clear" w:color="auto" w:fill="D9E2F3" w:themeFill="accent1" w:themeFillTint="33"/>
          </w:tcPr>
          <w:p w14:paraId="649B759C" w14:textId="77777777" w:rsidR="004A738F" w:rsidRPr="002449C4" w:rsidRDefault="004A738F" w:rsidP="00367F20">
            <w:pPr>
              <w:pStyle w:val="NoSpacing"/>
              <w:rPr>
                <w:b/>
                <w:sz w:val="20"/>
              </w:rPr>
            </w:pPr>
            <w:r>
              <w:rPr>
                <w:b/>
                <w:sz w:val="20"/>
              </w:rPr>
              <w:t>Euro Emission Standards</w:t>
            </w:r>
          </w:p>
        </w:tc>
        <w:tc>
          <w:tcPr>
            <w:tcW w:w="1890" w:type="dxa"/>
            <w:shd w:val="clear" w:color="auto" w:fill="D9E2F3" w:themeFill="accent1" w:themeFillTint="33"/>
          </w:tcPr>
          <w:p w14:paraId="3AFBDA3B" w14:textId="77777777" w:rsidR="004A738F" w:rsidRPr="002449C4" w:rsidRDefault="004A738F" w:rsidP="00367F20">
            <w:pPr>
              <w:pStyle w:val="NoSpacing"/>
              <w:jc w:val="center"/>
              <w:rPr>
                <w:b/>
                <w:sz w:val="20"/>
              </w:rPr>
            </w:pPr>
            <w:r>
              <w:rPr>
                <w:b/>
                <w:sz w:val="20"/>
              </w:rPr>
              <w:t>Share of Vehicles</w:t>
            </w:r>
          </w:p>
        </w:tc>
      </w:tr>
      <w:tr w:rsidR="004A738F" w:rsidRPr="002449C4" w14:paraId="27C5E6CF" w14:textId="77777777" w:rsidTr="00367F20">
        <w:tc>
          <w:tcPr>
            <w:tcW w:w="2605" w:type="dxa"/>
          </w:tcPr>
          <w:p w14:paraId="116D14E8" w14:textId="321EF087" w:rsidR="004A738F" w:rsidRPr="002449C4" w:rsidRDefault="0064580C" w:rsidP="00367F20">
            <w:pPr>
              <w:pStyle w:val="NoSpacing"/>
              <w:rPr>
                <w:sz w:val="20"/>
              </w:rPr>
            </w:pPr>
            <w:r>
              <w:rPr>
                <w:sz w:val="20"/>
              </w:rPr>
              <w:t xml:space="preserve">Pre </w:t>
            </w:r>
            <w:r w:rsidR="004A738F">
              <w:rPr>
                <w:sz w:val="20"/>
              </w:rPr>
              <w:t>Euro 0</w:t>
            </w:r>
          </w:p>
        </w:tc>
        <w:tc>
          <w:tcPr>
            <w:tcW w:w="1890" w:type="dxa"/>
            <w:vAlign w:val="bottom"/>
          </w:tcPr>
          <w:p w14:paraId="20C7B05F" w14:textId="7C387697" w:rsidR="004A738F" w:rsidRPr="002449C4" w:rsidRDefault="0064580C" w:rsidP="00367F20">
            <w:pPr>
              <w:pStyle w:val="NoSpacing"/>
              <w:jc w:val="center"/>
              <w:rPr>
                <w:sz w:val="20"/>
              </w:rPr>
            </w:pPr>
            <w:r>
              <w:rPr>
                <w:rFonts w:ascii="Calibri" w:hAnsi="Calibri" w:cs="Calibri"/>
                <w:color w:val="000000"/>
                <w:sz w:val="20"/>
              </w:rPr>
              <w:t>9</w:t>
            </w:r>
            <w:r w:rsidR="004A738F">
              <w:rPr>
                <w:rFonts w:ascii="Calibri" w:hAnsi="Calibri" w:cs="Calibri"/>
                <w:color w:val="000000"/>
                <w:sz w:val="20"/>
              </w:rPr>
              <w:t>%</w:t>
            </w:r>
          </w:p>
        </w:tc>
      </w:tr>
      <w:tr w:rsidR="0064580C" w:rsidRPr="002449C4" w14:paraId="438638B3" w14:textId="77777777" w:rsidTr="00367F20">
        <w:tc>
          <w:tcPr>
            <w:tcW w:w="2605" w:type="dxa"/>
          </w:tcPr>
          <w:p w14:paraId="4EEA4B71" w14:textId="1A70241C" w:rsidR="0064580C" w:rsidRDefault="0064580C" w:rsidP="00367F20">
            <w:pPr>
              <w:pStyle w:val="NoSpacing"/>
              <w:rPr>
                <w:sz w:val="20"/>
              </w:rPr>
            </w:pPr>
            <w:r>
              <w:rPr>
                <w:sz w:val="20"/>
              </w:rPr>
              <w:t>Euro 0</w:t>
            </w:r>
          </w:p>
        </w:tc>
        <w:tc>
          <w:tcPr>
            <w:tcW w:w="1890" w:type="dxa"/>
            <w:vAlign w:val="bottom"/>
          </w:tcPr>
          <w:p w14:paraId="0D5CFDEE" w14:textId="0DF66F7B" w:rsidR="0064580C" w:rsidRDefault="0064580C" w:rsidP="00367F20">
            <w:pPr>
              <w:pStyle w:val="NoSpacing"/>
              <w:jc w:val="center"/>
              <w:rPr>
                <w:rFonts w:ascii="Calibri" w:hAnsi="Calibri" w:cs="Calibri"/>
                <w:color w:val="000000"/>
                <w:sz w:val="20"/>
              </w:rPr>
            </w:pPr>
            <w:r>
              <w:rPr>
                <w:rFonts w:ascii="Calibri" w:hAnsi="Calibri" w:cs="Calibri"/>
                <w:color w:val="000000"/>
                <w:sz w:val="20"/>
              </w:rPr>
              <w:t>11%</w:t>
            </w:r>
          </w:p>
        </w:tc>
      </w:tr>
      <w:tr w:rsidR="004A738F" w:rsidRPr="002449C4" w14:paraId="59AFC5FE" w14:textId="77777777" w:rsidTr="00367F20">
        <w:tc>
          <w:tcPr>
            <w:tcW w:w="2605" w:type="dxa"/>
          </w:tcPr>
          <w:p w14:paraId="6E3452D0" w14:textId="161C3AC4" w:rsidR="004A738F" w:rsidRPr="002449C4" w:rsidRDefault="004A738F" w:rsidP="00367F20">
            <w:pPr>
              <w:pStyle w:val="NoSpacing"/>
              <w:rPr>
                <w:sz w:val="20"/>
              </w:rPr>
            </w:pPr>
            <w:r>
              <w:rPr>
                <w:sz w:val="20"/>
              </w:rPr>
              <w:t xml:space="preserve">Euro </w:t>
            </w:r>
            <w:r w:rsidR="00E35D5E">
              <w:t>I</w:t>
            </w:r>
          </w:p>
        </w:tc>
        <w:tc>
          <w:tcPr>
            <w:tcW w:w="1890" w:type="dxa"/>
            <w:vAlign w:val="bottom"/>
          </w:tcPr>
          <w:p w14:paraId="6859D791" w14:textId="70E41D19" w:rsidR="004A738F" w:rsidRPr="002449C4" w:rsidRDefault="00BB2E42" w:rsidP="00367F20">
            <w:pPr>
              <w:pStyle w:val="NoSpacing"/>
              <w:jc w:val="center"/>
              <w:rPr>
                <w:sz w:val="20"/>
              </w:rPr>
            </w:pPr>
            <w:r>
              <w:rPr>
                <w:sz w:val="20"/>
              </w:rPr>
              <w:t>8</w:t>
            </w:r>
            <w:r w:rsidR="004A738F">
              <w:rPr>
                <w:sz w:val="20"/>
              </w:rPr>
              <w:t>%</w:t>
            </w:r>
          </w:p>
        </w:tc>
      </w:tr>
      <w:tr w:rsidR="004A738F" w:rsidRPr="002449C4" w14:paraId="0EF4C603" w14:textId="77777777" w:rsidTr="00367F20">
        <w:tc>
          <w:tcPr>
            <w:tcW w:w="2605" w:type="dxa"/>
          </w:tcPr>
          <w:p w14:paraId="474B85D4" w14:textId="13A891B4" w:rsidR="004A738F" w:rsidRDefault="004A738F" w:rsidP="00367F20">
            <w:pPr>
              <w:pStyle w:val="NoSpacing"/>
              <w:rPr>
                <w:sz w:val="20"/>
              </w:rPr>
            </w:pPr>
            <w:r>
              <w:rPr>
                <w:sz w:val="20"/>
              </w:rPr>
              <w:t>Euro</w:t>
            </w:r>
            <w:r w:rsidR="00E35D5E">
              <w:t xml:space="preserve"> II</w:t>
            </w:r>
          </w:p>
        </w:tc>
        <w:tc>
          <w:tcPr>
            <w:tcW w:w="1890" w:type="dxa"/>
            <w:vAlign w:val="bottom"/>
          </w:tcPr>
          <w:p w14:paraId="3759E6B7" w14:textId="1A0B414A" w:rsidR="004A738F" w:rsidRPr="002449C4" w:rsidRDefault="00BB2E42" w:rsidP="00367F20">
            <w:pPr>
              <w:pStyle w:val="NoSpacing"/>
              <w:jc w:val="center"/>
              <w:rPr>
                <w:rFonts w:ascii="Calibri" w:hAnsi="Calibri" w:cs="Calibri"/>
                <w:color w:val="000000"/>
                <w:sz w:val="20"/>
              </w:rPr>
            </w:pPr>
            <w:r>
              <w:rPr>
                <w:rFonts w:ascii="Calibri" w:hAnsi="Calibri" w:cs="Calibri"/>
                <w:color w:val="000000"/>
                <w:sz w:val="20"/>
              </w:rPr>
              <w:t>2</w:t>
            </w:r>
            <w:r w:rsidR="004A738F">
              <w:rPr>
                <w:rFonts w:ascii="Calibri" w:hAnsi="Calibri" w:cs="Calibri"/>
                <w:color w:val="000000"/>
                <w:sz w:val="20"/>
              </w:rPr>
              <w:t>0%</w:t>
            </w:r>
          </w:p>
        </w:tc>
      </w:tr>
      <w:tr w:rsidR="004A738F" w:rsidRPr="002449C4" w14:paraId="487B9A79" w14:textId="77777777" w:rsidTr="00367F20">
        <w:tc>
          <w:tcPr>
            <w:tcW w:w="2605" w:type="dxa"/>
          </w:tcPr>
          <w:p w14:paraId="5F5D1829" w14:textId="5E539EE7" w:rsidR="004A738F" w:rsidRPr="002449C4" w:rsidRDefault="004A738F" w:rsidP="00367F20">
            <w:pPr>
              <w:pStyle w:val="NoSpacing"/>
              <w:rPr>
                <w:sz w:val="20"/>
              </w:rPr>
            </w:pPr>
            <w:r>
              <w:rPr>
                <w:sz w:val="20"/>
              </w:rPr>
              <w:t xml:space="preserve">Euro </w:t>
            </w:r>
            <w:r w:rsidR="00E35D5E">
              <w:t>III</w:t>
            </w:r>
          </w:p>
        </w:tc>
        <w:tc>
          <w:tcPr>
            <w:tcW w:w="1890" w:type="dxa"/>
            <w:vAlign w:val="bottom"/>
          </w:tcPr>
          <w:p w14:paraId="1174CA25" w14:textId="3D3D32B2" w:rsidR="004A738F" w:rsidRPr="002449C4" w:rsidRDefault="004A738F" w:rsidP="00367F20">
            <w:pPr>
              <w:pStyle w:val="NoSpacing"/>
              <w:jc w:val="center"/>
              <w:rPr>
                <w:sz w:val="20"/>
              </w:rPr>
            </w:pPr>
            <w:r>
              <w:rPr>
                <w:sz w:val="20"/>
              </w:rPr>
              <w:t>3</w:t>
            </w:r>
            <w:r w:rsidR="00BB2E42">
              <w:rPr>
                <w:sz w:val="20"/>
              </w:rPr>
              <w:t>3</w:t>
            </w:r>
            <w:r>
              <w:rPr>
                <w:sz w:val="20"/>
              </w:rPr>
              <w:t>%</w:t>
            </w:r>
          </w:p>
        </w:tc>
      </w:tr>
      <w:tr w:rsidR="004A738F" w:rsidRPr="002449C4" w14:paraId="605D06C0" w14:textId="77777777" w:rsidTr="00367F20">
        <w:tc>
          <w:tcPr>
            <w:tcW w:w="2605" w:type="dxa"/>
          </w:tcPr>
          <w:p w14:paraId="48E1F42A" w14:textId="24E80301" w:rsidR="004A738F" w:rsidRPr="002449C4" w:rsidRDefault="004A738F" w:rsidP="00367F20">
            <w:pPr>
              <w:pStyle w:val="NoSpacing"/>
              <w:rPr>
                <w:sz w:val="20"/>
              </w:rPr>
            </w:pPr>
            <w:r>
              <w:rPr>
                <w:sz w:val="20"/>
              </w:rPr>
              <w:t>Euro</w:t>
            </w:r>
            <w:r w:rsidR="00E35D5E">
              <w:rPr>
                <w:sz w:val="20"/>
              </w:rPr>
              <w:t xml:space="preserve"> IV</w:t>
            </w:r>
          </w:p>
        </w:tc>
        <w:tc>
          <w:tcPr>
            <w:tcW w:w="1890" w:type="dxa"/>
            <w:vAlign w:val="bottom"/>
          </w:tcPr>
          <w:p w14:paraId="1F60D1CA" w14:textId="326028E3" w:rsidR="004A738F" w:rsidRPr="002449C4" w:rsidRDefault="00BB2E42" w:rsidP="00367F20">
            <w:pPr>
              <w:pStyle w:val="NoSpacing"/>
              <w:jc w:val="center"/>
              <w:rPr>
                <w:sz w:val="20"/>
              </w:rPr>
            </w:pPr>
            <w:r>
              <w:rPr>
                <w:sz w:val="20"/>
              </w:rPr>
              <w:t>10</w:t>
            </w:r>
            <w:r w:rsidR="004A738F">
              <w:rPr>
                <w:sz w:val="20"/>
              </w:rPr>
              <w:t>%</w:t>
            </w:r>
          </w:p>
        </w:tc>
      </w:tr>
      <w:tr w:rsidR="004A738F" w:rsidRPr="002449C4" w14:paraId="37C321EA" w14:textId="77777777" w:rsidTr="00367F20">
        <w:tc>
          <w:tcPr>
            <w:tcW w:w="2605" w:type="dxa"/>
          </w:tcPr>
          <w:p w14:paraId="6BD8E1D1" w14:textId="5CB94860" w:rsidR="004A738F" w:rsidRDefault="004A738F" w:rsidP="00367F20">
            <w:pPr>
              <w:pStyle w:val="NoSpacing"/>
              <w:rPr>
                <w:sz w:val="20"/>
              </w:rPr>
            </w:pPr>
            <w:r>
              <w:rPr>
                <w:sz w:val="20"/>
              </w:rPr>
              <w:t xml:space="preserve">Euro </w:t>
            </w:r>
            <w:r w:rsidR="00E35D5E">
              <w:rPr>
                <w:sz w:val="20"/>
              </w:rPr>
              <w:t>V</w:t>
            </w:r>
          </w:p>
        </w:tc>
        <w:tc>
          <w:tcPr>
            <w:tcW w:w="1890" w:type="dxa"/>
            <w:vAlign w:val="bottom"/>
          </w:tcPr>
          <w:p w14:paraId="7A5C089B" w14:textId="4D81B9B2" w:rsidR="004A738F" w:rsidRPr="002449C4" w:rsidRDefault="00BB2E42" w:rsidP="00367F20">
            <w:pPr>
              <w:pStyle w:val="NoSpacing"/>
              <w:jc w:val="center"/>
              <w:rPr>
                <w:rFonts w:ascii="Calibri" w:hAnsi="Calibri" w:cs="Calibri"/>
                <w:color w:val="000000"/>
                <w:sz w:val="20"/>
              </w:rPr>
            </w:pPr>
            <w:r>
              <w:rPr>
                <w:rFonts w:ascii="Calibri" w:hAnsi="Calibri" w:cs="Calibri"/>
                <w:color w:val="000000"/>
                <w:sz w:val="20"/>
              </w:rPr>
              <w:t>8</w:t>
            </w:r>
            <w:r w:rsidR="004A738F">
              <w:rPr>
                <w:rFonts w:ascii="Calibri" w:hAnsi="Calibri" w:cs="Calibri"/>
                <w:color w:val="000000"/>
                <w:sz w:val="20"/>
              </w:rPr>
              <w:t>%</w:t>
            </w:r>
          </w:p>
        </w:tc>
      </w:tr>
      <w:tr w:rsidR="004A738F" w:rsidRPr="002449C4" w14:paraId="49D0286D" w14:textId="77777777" w:rsidTr="00367F20">
        <w:tc>
          <w:tcPr>
            <w:tcW w:w="2605" w:type="dxa"/>
          </w:tcPr>
          <w:p w14:paraId="53F8CE5F" w14:textId="2AD7CE2F" w:rsidR="004A738F" w:rsidRPr="002449C4" w:rsidRDefault="004A738F" w:rsidP="00367F20">
            <w:pPr>
              <w:pStyle w:val="NoSpacing"/>
              <w:rPr>
                <w:sz w:val="20"/>
              </w:rPr>
            </w:pPr>
            <w:r>
              <w:rPr>
                <w:sz w:val="20"/>
              </w:rPr>
              <w:t xml:space="preserve">Euro </w:t>
            </w:r>
            <w:r w:rsidR="00E35D5E">
              <w:rPr>
                <w:sz w:val="20"/>
              </w:rPr>
              <w:t>VI</w:t>
            </w:r>
          </w:p>
        </w:tc>
        <w:tc>
          <w:tcPr>
            <w:tcW w:w="1890" w:type="dxa"/>
            <w:vAlign w:val="bottom"/>
          </w:tcPr>
          <w:p w14:paraId="0B11ED7A" w14:textId="7EBDAACC" w:rsidR="004A738F" w:rsidRPr="002449C4" w:rsidRDefault="00BB2E42" w:rsidP="00367F20">
            <w:pPr>
              <w:pStyle w:val="NoSpacing"/>
              <w:jc w:val="center"/>
              <w:rPr>
                <w:sz w:val="20"/>
              </w:rPr>
            </w:pPr>
            <w:r>
              <w:rPr>
                <w:sz w:val="20"/>
              </w:rPr>
              <w:t>1</w:t>
            </w:r>
            <w:r w:rsidR="004A738F">
              <w:rPr>
                <w:sz w:val="20"/>
              </w:rPr>
              <w:t>%</w:t>
            </w:r>
          </w:p>
        </w:tc>
      </w:tr>
    </w:tbl>
    <w:p w14:paraId="663B76BD" w14:textId="2EA5C620" w:rsidR="00FD4BF7" w:rsidRDefault="00FD4BF7" w:rsidP="00FD4BF7">
      <w:pPr>
        <w:pStyle w:val="NoSpacing"/>
        <w:rPr>
          <w:sz w:val="20"/>
        </w:rPr>
      </w:pPr>
      <w:r w:rsidRPr="000D20B2">
        <w:rPr>
          <w:sz w:val="20"/>
          <w:szCs w:val="20"/>
        </w:rPr>
        <w:t xml:space="preserve">Source: calculation by Grutter Consulting based on </w:t>
      </w:r>
      <w:r w:rsidR="00BB2E42" w:rsidRPr="009E45E3">
        <w:rPr>
          <w:sz w:val="20"/>
        </w:rPr>
        <w:t>Motor Vehicle Information Management System</w:t>
      </w:r>
    </w:p>
    <w:p w14:paraId="1247275A" w14:textId="77777777" w:rsidR="00FD4BF7" w:rsidRDefault="00FD4BF7" w:rsidP="00FD4BF7">
      <w:pPr>
        <w:pStyle w:val="NoSpacing"/>
      </w:pPr>
    </w:p>
    <w:p w14:paraId="4EBD5061" w14:textId="33496CF3" w:rsidR="00FD4BF7" w:rsidRPr="000D20B2" w:rsidRDefault="00FD4BF7" w:rsidP="00FD4BF7">
      <w:pPr>
        <w:jc w:val="both"/>
      </w:pPr>
      <w:r>
        <w:t>Euro III is the most common standard</w:t>
      </w:r>
      <w:r w:rsidR="003077DD">
        <w:t xml:space="preserve"> for large trucks</w:t>
      </w:r>
      <w:r>
        <w:t xml:space="preserve">. However, </w:t>
      </w:r>
      <w:r w:rsidR="00E35D5E">
        <w:t>28</w:t>
      </w:r>
      <w:r>
        <w:t>% of trucks are Euro I or older and 20% are Euro II units. Only 1% complies with Euro VI.</w:t>
      </w:r>
    </w:p>
    <w:p w14:paraId="4FC18B47" w14:textId="74CEA013" w:rsidR="00FD4BF7" w:rsidRDefault="00FD4BF7" w:rsidP="00FD4BF7">
      <w:pPr>
        <w:jc w:val="both"/>
      </w:pPr>
      <w:r w:rsidRPr="0041263C">
        <w:t>Important is however to consider that older vehicles drive less than newer units.</w:t>
      </w:r>
      <w:r>
        <w:t xml:space="preserve"> The impact of old vehicles on emissions is thus significantly less than expected from vehicle shares. The graphs below show for </w:t>
      </w:r>
      <w:r w:rsidR="00723C3F">
        <w:t>the diesel passenger cars</w:t>
      </w:r>
      <w:r>
        <w:t xml:space="preserve"> the relation between mileage and vehicle age (the Euro standard is used as proxy for age and allows for classification of vehicles into emission ranges).</w:t>
      </w:r>
    </w:p>
    <w:p w14:paraId="4F090E2A" w14:textId="77777777" w:rsidR="00FD4BF7" w:rsidRPr="0041263C" w:rsidRDefault="00FD4BF7" w:rsidP="00FD4BF7">
      <w:pPr>
        <w:pStyle w:val="NoSpacing"/>
        <w:rPr>
          <w:b/>
          <w:sz w:val="20"/>
          <w:szCs w:val="20"/>
        </w:rPr>
      </w:pPr>
      <w:r w:rsidRPr="0041263C">
        <w:rPr>
          <w:b/>
          <w:sz w:val="20"/>
          <w:szCs w:val="20"/>
        </w:rPr>
        <w:t xml:space="preserve">Figure </w:t>
      </w:r>
      <w:r w:rsidRPr="0041263C">
        <w:rPr>
          <w:b/>
          <w:sz w:val="20"/>
          <w:szCs w:val="20"/>
        </w:rPr>
        <w:fldChar w:fldCharType="begin"/>
      </w:r>
      <w:r w:rsidRPr="0041263C">
        <w:rPr>
          <w:b/>
          <w:sz w:val="20"/>
          <w:szCs w:val="20"/>
        </w:rPr>
        <w:instrText xml:space="preserve"> SEQ Figure \* ARABIC </w:instrText>
      </w:r>
      <w:r w:rsidRPr="0041263C">
        <w:rPr>
          <w:b/>
          <w:sz w:val="20"/>
          <w:szCs w:val="20"/>
        </w:rPr>
        <w:fldChar w:fldCharType="separate"/>
      </w:r>
      <w:r>
        <w:rPr>
          <w:b/>
          <w:noProof/>
          <w:sz w:val="20"/>
          <w:szCs w:val="20"/>
        </w:rPr>
        <w:t>3</w:t>
      </w:r>
      <w:r w:rsidRPr="0041263C">
        <w:rPr>
          <w:b/>
          <w:sz w:val="20"/>
          <w:szCs w:val="20"/>
        </w:rPr>
        <w:fldChar w:fldCharType="end"/>
      </w:r>
      <w:r w:rsidRPr="0041263C">
        <w:rPr>
          <w:b/>
          <w:sz w:val="20"/>
          <w:szCs w:val="20"/>
        </w:rPr>
        <w:t xml:space="preserve">: Relation Age and </w:t>
      </w:r>
      <w:r>
        <w:rPr>
          <w:b/>
          <w:sz w:val="20"/>
          <w:szCs w:val="20"/>
        </w:rPr>
        <w:t xml:space="preserve">Average Annual </w:t>
      </w:r>
      <w:r w:rsidRPr="0041263C">
        <w:rPr>
          <w:b/>
          <w:sz w:val="20"/>
          <w:szCs w:val="20"/>
        </w:rPr>
        <w:t>Mileage of Diesel Passenger Cars in Kosovo</w:t>
      </w:r>
      <w:r w:rsidRPr="0041263C">
        <w:rPr>
          <w:rStyle w:val="FootnoteReference"/>
          <w:b/>
          <w:sz w:val="20"/>
          <w:szCs w:val="20"/>
        </w:rPr>
        <w:footnoteReference w:id="3"/>
      </w:r>
    </w:p>
    <w:p w14:paraId="29714643" w14:textId="77777777" w:rsidR="00FD4BF7" w:rsidRPr="0041263C" w:rsidRDefault="00FD4BF7" w:rsidP="00FD4BF7">
      <w:pPr>
        <w:pStyle w:val="NoSpacing"/>
        <w:rPr>
          <w:sz w:val="20"/>
          <w:szCs w:val="20"/>
        </w:rPr>
      </w:pPr>
      <w:r w:rsidRPr="0041263C">
        <w:rPr>
          <w:noProof/>
          <w:sz w:val="20"/>
          <w:szCs w:val="20"/>
        </w:rPr>
        <w:lastRenderedPageBreak/>
        <w:drawing>
          <wp:inline distT="0" distB="0" distL="0" distR="0" wp14:anchorId="70E974AF" wp14:editId="18060F1E">
            <wp:extent cx="4693920" cy="2461260"/>
            <wp:effectExtent l="0" t="0" r="11430" b="15240"/>
            <wp:docPr id="19" name="Chart 19">
              <a:extLst xmlns:a="http://schemas.openxmlformats.org/drawingml/2006/main">
                <a:ext uri="{FF2B5EF4-FFF2-40B4-BE49-F238E27FC236}">
                  <a16:creationId xmlns:a16="http://schemas.microsoft.com/office/drawing/2014/main" id="{8BEB4869-6F0A-4969-A587-9D5C0D4FE9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9A14C7B" w14:textId="0EDF34D0" w:rsidR="00FD4BF7" w:rsidRPr="0041263C" w:rsidRDefault="00FD4BF7" w:rsidP="00FD4BF7">
      <w:pPr>
        <w:pStyle w:val="NoSpacing"/>
        <w:rPr>
          <w:sz w:val="20"/>
          <w:szCs w:val="20"/>
        </w:rPr>
      </w:pPr>
      <w:r w:rsidRPr="0041263C">
        <w:rPr>
          <w:sz w:val="20"/>
          <w:szCs w:val="20"/>
        </w:rPr>
        <w:t xml:space="preserve">Source: calculation by Grutter Consulting based on </w:t>
      </w:r>
      <w:r w:rsidR="009D5734" w:rsidRPr="009E45E3">
        <w:rPr>
          <w:sz w:val="20"/>
        </w:rPr>
        <w:t>Motor Vehicle Information Management System</w:t>
      </w:r>
    </w:p>
    <w:p w14:paraId="3C000A36" w14:textId="77777777" w:rsidR="00FD4BF7" w:rsidRDefault="00FD4BF7" w:rsidP="00FD4BF7">
      <w:pPr>
        <w:pStyle w:val="NoSpacing"/>
      </w:pPr>
    </w:p>
    <w:p w14:paraId="68949973" w14:textId="43A83185" w:rsidR="00FD4BF7" w:rsidRDefault="00FD4BF7" w:rsidP="00FD4BF7">
      <w:pPr>
        <w:jc w:val="both"/>
      </w:pPr>
      <w:r>
        <w:t xml:space="preserve">A new </w:t>
      </w:r>
      <w:r w:rsidR="008C14DF">
        <w:t>diesel car</w:t>
      </w:r>
      <w:r>
        <w:t xml:space="preserve"> with emission standard Euro 5 has on average a nearly 3</w:t>
      </w:r>
      <w:r w:rsidR="002F4EA2">
        <w:t xml:space="preserve"> times</w:t>
      </w:r>
      <w:r>
        <w:t xml:space="preserve"> higher mileage than an old Euro 0 vehicle</w:t>
      </w:r>
      <w:r w:rsidR="00CB72AA">
        <w:t xml:space="preserve">. </w:t>
      </w:r>
      <w:r>
        <w:t>The trend of lower mileage with higher age is observed in all countries as new vehicles have lower operational costs, less breakdowns and maintenance problems and are more convenient for users.</w:t>
      </w:r>
    </w:p>
    <w:p w14:paraId="27CFB6D5" w14:textId="77777777" w:rsidR="00FD4BF7" w:rsidRPr="0041263C" w:rsidRDefault="00FD4BF7" w:rsidP="00FD4BF7">
      <w:pPr>
        <w:pStyle w:val="NoSpacing"/>
        <w:rPr>
          <w:b/>
          <w:sz w:val="20"/>
          <w:szCs w:val="20"/>
        </w:rPr>
      </w:pPr>
      <w:r w:rsidRPr="0041263C">
        <w:rPr>
          <w:b/>
          <w:sz w:val="20"/>
          <w:szCs w:val="20"/>
        </w:rPr>
        <w:t xml:space="preserve">Figure </w:t>
      </w:r>
      <w:r w:rsidRPr="0041263C">
        <w:rPr>
          <w:b/>
          <w:sz w:val="20"/>
          <w:szCs w:val="20"/>
        </w:rPr>
        <w:fldChar w:fldCharType="begin"/>
      </w:r>
      <w:r w:rsidRPr="0041263C">
        <w:rPr>
          <w:b/>
          <w:sz w:val="20"/>
          <w:szCs w:val="20"/>
        </w:rPr>
        <w:instrText xml:space="preserve"> SEQ Figure \* ARABIC </w:instrText>
      </w:r>
      <w:r w:rsidRPr="0041263C">
        <w:rPr>
          <w:b/>
          <w:sz w:val="20"/>
          <w:szCs w:val="20"/>
        </w:rPr>
        <w:fldChar w:fldCharType="separate"/>
      </w:r>
      <w:r>
        <w:rPr>
          <w:b/>
          <w:noProof/>
          <w:sz w:val="20"/>
          <w:szCs w:val="20"/>
        </w:rPr>
        <w:t>4</w:t>
      </w:r>
      <w:r w:rsidRPr="0041263C">
        <w:rPr>
          <w:b/>
          <w:sz w:val="20"/>
          <w:szCs w:val="20"/>
        </w:rPr>
        <w:fldChar w:fldCharType="end"/>
      </w:r>
      <w:r w:rsidRPr="0041263C">
        <w:rPr>
          <w:b/>
          <w:sz w:val="20"/>
          <w:szCs w:val="20"/>
        </w:rPr>
        <w:t xml:space="preserve">: Relation Age and </w:t>
      </w:r>
      <w:r>
        <w:rPr>
          <w:b/>
          <w:sz w:val="20"/>
          <w:szCs w:val="20"/>
        </w:rPr>
        <w:t xml:space="preserve">Average Annual </w:t>
      </w:r>
      <w:r w:rsidRPr="0041263C">
        <w:rPr>
          <w:b/>
          <w:sz w:val="20"/>
          <w:szCs w:val="20"/>
        </w:rPr>
        <w:t xml:space="preserve">Mileage of </w:t>
      </w:r>
      <w:r>
        <w:rPr>
          <w:b/>
          <w:sz w:val="20"/>
          <w:szCs w:val="20"/>
        </w:rPr>
        <w:t>Large Trucks &gt;12t</w:t>
      </w:r>
      <w:r w:rsidRPr="0041263C">
        <w:rPr>
          <w:b/>
          <w:sz w:val="20"/>
          <w:szCs w:val="20"/>
        </w:rPr>
        <w:t xml:space="preserve"> in Kosovo</w:t>
      </w:r>
      <w:r w:rsidRPr="0041263C">
        <w:rPr>
          <w:rStyle w:val="FootnoteReference"/>
          <w:b/>
          <w:sz w:val="20"/>
          <w:szCs w:val="20"/>
        </w:rPr>
        <w:footnoteReference w:id="4"/>
      </w:r>
    </w:p>
    <w:p w14:paraId="66A5CBFD" w14:textId="77777777" w:rsidR="00FD4BF7" w:rsidRPr="0041263C" w:rsidRDefault="00FD4BF7" w:rsidP="00FD4BF7">
      <w:pPr>
        <w:pStyle w:val="NoSpacing"/>
        <w:rPr>
          <w:sz w:val="20"/>
          <w:szCs w:val="20"/>
        </w:rPr>
      </w:pPr>
      <w:r>
        <w:rPr>
          <w:noProof/>
        </w:rPr>
        <w:drawing>
          <wp:inline distT="0" distB="0" distL="0" distR="0" wp14:anchorId="592F48B2" wp14:editId="3B6A9E58">
            <wp:extent cx="4632960" cy="2316480"/>
            <wp:effectExtent l="0" t="0" r="15240" b="7620"/>
            <wp:docPr id="34" name="Chart 34">
              <a:extLst xmlns:a="http://schemas.openxmlformats.org/drawingml/2006/main">
                <a:ext uri="{FF2B5EF4-FFF2-40B4-BE49-F238E27FC236}">
                  <a16:creationId xmlns:a16="http://schemas.microsoft.com/office/drawing/2014/main" id="{1839EB78-3CBC-49B4-A208-F516858033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8F951C" w14:textId="60621355" w:rsidR="00FD4BF7" w:rsidRPr="0041263C" w:rsidRDefault="00FD4BF7" w:rsidP="00FD4BF7">
      <w:pPr>
        <w:pStyle w:val="NoSpacing"/>
        <w:rPr>
          <w:sz w:val="20"/>
          <w:szCs w:val="20"/>
        </w:rPr>
      </w:pPr>
      <w:r w:rsidRPr="0041263C">
        <w:rPr>
          <w:sz w:val="20"/>
          <w:szCs w:val="20"/>
        </w:rPr>
        <w:t xml:space="preserve">Source: calculation by Grutter Consulting based on database vehicle </w:t>
      </w:r>
      <w:r>
        <w:rPr>
          <w:sz w:val="20"/>
          <w:szCs w:val="20"/>
        </w:rPr>
        <w:t>inspection</w:t>
      </w:r>
      <w:r w:rsidRPr="0041263C">
        <w:rPr>
          <w:sz w:val="20"/>
          <w:szCs w:val="20"/>
        </w:rPr>
        <w:t xml:space="preserve"> centre for year 2018</w:t>
      </w:r>
    </w:p>
    <w:p w14:paraId="7C5811BC" w14:textId="77777777" w:rsidR="00FD4BF7" w:rsidRDefault="00FD4BF7" w:rsidP="00FD4BF7">
      <w:pPr>
        <w:pStyle w:val="NoSpacing"/>
      </w:pPr>
    </w:p>
    <w:p w14:paraId="59AD4CD6" w14:textId="4675F400" w:rsidR="00FD4BF7" w:rsidRDefault="00FD4BF7" w:rsidP="00FD4BF7">
      <w:pPr>
        <w:jc w:val="both"/>
      </w:pPr>
      <w:r>
        <w:t xml:space="preserve">A new truck with emission standard Euro </w:t>
      </w:r>
      <w:r w:rsidR="00157313">
        <w:t>V</w:t>
      </w:r>
      <w:r>
        <w:t xml:space="preserve"> has on average a 5x higher mileage </w:t>
      </w:r>
      <w:r w:rsidR="00157313">
        <w:t xml:space="preserve">i.e. drives five times the distance compared to </w:t>
      </w:r>
      <w:r>
        <w:t xml:space="preserve">an old pre-Euro </w:t>
      </w:r>
      <w:r w:rsidR="00157313">
        <w:t>truck</w:t>
      </w:r>
      <w:r>
        <w:t>.</w:t>
      </w:r>
    </w:p>
    <w:p w14:paraId="68699691" w14:textId="0B305E71" w:rsidR="00FD4BF7" w:rsidRPr="0041263C" w:rsidRDefault="00FD4BF7" w:rsidP="00FD4BF7">
      <w:pPr>
        <w:jc w:val="both"/>
      </w:pPr>
      <w:r>
        <w:t>Vehicle emissions are therefore significantly lower than expected if mileage per age is considered. It also shows clearly the limitations of vehicle scrapping programs. Replacing an old Euro 0 or Euro 1 passenger car will only result in emission reductions equivalent to the mileage of the old car used. The new car will be used much more and therefore absolute emissions could increase. Scrapping a Euro 0 diesel passenger car and replacing it with a Euro 6 unit of the same size would result, considering the mileage of vehicle categories, in a large decrease of PM</w:t>
      </w:r>
      <w:r w:rsidRPr="001C57CD">
        <w:rPr>
          <w:vertAlign w:val="subscript"/>
        </w:rPr>
        <w:t>2.5</w:t>
      </w:r>
      <w:r>
        <w:t xml:space="preserve"> but more than double NO</w:t>
      </w:r>
      <w:r w:rsidRPr="001C57CD">
        <w:rPr>
          <w:vertAlign w:val="subscript"/>
        </w:rPr>
        <w:t>x</w:t>
      </w:r>
      <w:r>
        <w:t xml:space="preserve"> and GHG emissions. Scrapping old trucks and replacing them with Euro VI units reduces PM</w:t>
      </w:r>
      <w:r w:rsidRPr="00527469">
        <w:rPr>
          <w:vertAlign w:val="subscript"/>
        </w:rPr>
        <w:t>2.5</w:t>
      </w:r>
      <w:r>
        <w:t xml:space="preserve"> and NO</w:t>
      </w:r>
      <w:r w:rsidRPr="00527469">
        <w:rPr>
          <w:vertAlign w:val="subscript"/>
        </w:rPr>
        <w:t>x</w:t>
      </w:r>
      <w:r>
        <w:t xml:space="preserve"> emissions </w:t>
      </w:r>
      <w:r>
        <w:lastRenderedPageBreak/>
        <w:t>but increases GHG emissions by factor 4 or more</w:t>
      </w:r>
      <w:r>
        <w:rPr>
          <w:rStyle w:val="FootnoteReference"/>
        </w:rPr>
        <w:footnoteReference w:id="5"/>
      </w:r>
      <w:r>
        <w:t>. Scrapping programs thus need to be very carefully designed to not backfire.</w:t>
      </w:r>
    </w:p>
    <w:p w14:paraId="2D6C230D" w14:textId="1E460B57" w:rsidR="001E2088" w:rsidRDefault="00FD4BF7" w:rsidP="00FD4BF7">
      <w:pPr>
        <w:jc w:val="both"/>
        <w:rPr>
          <w:lang w:val="en"/>
        </w:rPr>
      </w:pPr>
      <w:r>
        <w:t>Vehicle emissions discussed include pollutant emissions which contribute to air pollution and GHG emissions relevant for climate change. The most common air pollutants, known in the US as criteria pollutants, are Carbon Monoxide (CO), Lead (Pb), Ground-level Ozone, Particulate Matter (PM), Sulphur Dioxide (SO</w:t>
      </w:r>
      <w:r w:rsidRPr="006743C1">
        <w:rPr>
          <w:vertAlign w:val="subscript"/>
        </w:rPr>
        <w:t>2</w:t>
      </w:r>
      <w:r>
        <w:t>) and Nitrogen Dioxide (NO</w:t>
      </w:r>
      <w:r w:rsidRPr="006743C1">
        <w:rPr>
          <w:vertAlign w:val="subscript"/>
        </w:rPr>
        <w:t>2</w:t>
      </w:r>
      <w:r>
        <w:t>)</w:t>
      </w:r>
      <w:r>
        <w:rPr>
          <w:rStyle w:val="FootnoteReference"/>
        </w:rPr>
        <w:footnoteReference w:id="6"/>
      </w:r>
      <w:r>
        <w:t xml:space="preserve">. Ground-level Ozone is </w:t>
      </w:r>
      <w:r>
        <w:rPr>
          <w:lang w:val="en"/>
        </w:rPr>
        <w:t>not emitted directly into the air, but is created by chemical reactions between Oxides of Nitrogen (NO</w:t>
      </w:r>
      <w:r w:rsidRPr="006743C1">
        <w:rPr>
          <w:vertAlign w:val="subscript"/>
          <w:lang w:val="en"/>
        </w:rPr>
        <w:t>x</w:t>
      </w:r>
      <w:r>
        <w:rPr>
          <w:lang w:val="en"/>
        </w:rPr>
        <w:t>) and Volatile Organic Compounds (VOC) in the presence of sunlight. Lead and SO</w:t>
      </w:r>
      <w:r w:rsidRPr="00381822">
        <w:rPr>
          <w:vertAlign w:val="subscript"/>
          <w:lang w:val="en"/>
        </w:rPr>
        <w:t>2</w:t>
      </w:r>
      <w:r>
        <w:rPr>
          <w:lang w:val="en"/>
        </w:rPr>
        <w:t xml:space="preserve"> emissions are related to fossil fuel usage by vehicles and are controlled through the usage of unleaded gasoline and through maximum sulfur levels in fuels, primarily diesel. The other air pollutants</w:t>
      </w:r>
      <w:r>
        <w:rPr>
          <w:rStyle w:val="FootnoteReference"/>
          <w:lang w:val="en"/>
        </w:rPr>
        <w:footnoteReference w:id="7"/>
      </w:r>
      <w:r>
        <w:rPr>
          <w:lang w:val="en"/>
        </w:rPr>
        <w:t xml:space="preserve"> are regulated through exhaust emission standards. The major air pollution problem of cities today </w:t>
      </w:r>
      <w:r w:rsidR="00136075">
        <w:rPr>
          <w:lang w:val="en"/>
        </w:rPr>
        <w:t xml:space="preserve">is </w:t>
      </w:r>
      <w:r>
        <w:rPr>
          <w:lang w:val="en"/>
        </w:rPr>
        <w:t>NO</w:t>
      </w:r>
      <w:r w:rsidRPr="000D6B91">
        <w:rPr>
          <w:vertAlign w:val="subscript"/>
          <w:lang w:val="en"/>
        </w:rPr>
        <w:t>x</w:t>
      </w:r>
      <w:r>
        <w:rPr>
          <w:lang w:val="en"/>
        </w:rPr>
        <w:t xml:space="preserve"> and PM</w:t>
      </w:r>
      <w:r w:rsidRPr="000D6B91">
        <w:rPr>
          <w:vertAlign w:val="subscript"/>
          <w:lang w:val="en"/>
        </w:rPr>
        <w:t>2.5</w:t>
      </w:r>
      <w:r>
        <w:rPr>
          <w:lang w:val="en"/>
        </w:rPr>
        <w:t xml:space="preserve"> emissions. </w:t>
      </w:r>
    </w:p>
    <w:p w14:paraId="1E2ABE9A" w14:textId="164DDB89" w:rsidR="00FD4BF7" w:rsidRPr="00FD4BF7" w:rsidRDefault="00FD4BF7" w:rsidP="00FD4BF7">
      <w:pPr>
        <w:jc w:val="both"/>
      </w:pPr>
      <w:r>
        <w:t>GHG emissions from vehicles are basically related to CO</w:t>
      </w:r>
      <w:r w:rsidRPr="00B01058">
        <w:rPr>
          <w:vertAlign w:val="subscript"/>
        </w:rPr>
        <w:t>2</w:t>
      </w:r>
      <w:r>
        <w:t xml:space="preserve"> emissions from the usage of fossil fuels and indirectly, with electric vehicles, through the production of electricity by fossil means. Methane emissions are also an important source of GHG emission for gas-powered vehicles while for diesel powered vehicles emissions due to Black Carbon (BC) are climate relevant. BC results from vehicles emitting PM</w:t>
      </w:r>
      <w:r w:rsidRPr="00B01058">
        <w:rPr>
          <w:vertAlign w:val="subscript"/>
        </w:rPr>
        <w:t>2.5</w:t>
      </w:r>
      <w:r>
        <w:t xml:space="preserve"> i.e. there is a direct link between climate change and local pollutants in the case of particle emissions.</w:t>
      </w:r>
      <w:r w:rsidR="001E2088">
        <w:t xml:space="preserve"> </w:t>
      </w:r>
      <w:bookmarkStart w:id="11" w:name="_Hlk11741491"/>
      <w:r w:rsidR="001E2088">
        <w:t>For GHG emissions a tank-to-wheel (TTW) and a well-to-wheel (WTW) approach have been applied</w:t>
      </w:r>
      <w:r w:rsidR="001E2088">
        <w:rPr>
          <w:rStyle w:val="FootnoteReference"/>
        </w:rPr>
        <w:footnoteReference w:id="8"/>
      </w:r>
      <w:r w:rsidR="001E2088">
        <w:t xml:space="preserve">. TTW includes only combustion related emissions. These are the emissions reported e.g. as transportation emissions in GHG inventories. WTW emissions include energy related upstream emissions caused by fuel extraction, refinery and transport (for electricity its production and transmission and distribution losses) plus methane leakage within the vehicle or at the fuel station plus Black Carbon emissions. Upstream fuel related emissions are included in methodologies to determine the GHG impact of transportation projects and are based on UNFCCC/IPCC default values. This is not the same as a “cradle to grave” or life-cycle approach which would also include vehicle manufacturing related emissions (including e.g. batteries for electric vehicles) or products used during the life-cycle of the vehicle </w:t>
      </w:r>
      <w:r w:rsidR="00C11C9A">
        <w:t xml:space="preserve">for maintenance and repair </w:t>
      </w:r>
      <w:r w:rsidR="001E2088">
        <w:t>(e.g. tyres, oils etc.).</w:t>
      </w:r>
      <w:bookmarkEnd w:id="11"/>
    </w:p>
    <w:p w14:paraId="4F97E94E" w14:textId="477F0FA1" w:rsidR="00CE7AAE" w:rsidRDefault="002449C4" w:rsidP="00CE7AAE">
      <w:pPr>
        <w:jc w:val="both"/>
      </w:pPr>
      <w:r>
        <w:t xml:space="preserve">Based on the EU COPERT model (version 2018) the emissions of vehicles </w:t>
      </w:r>
      <w:r w:rsidR="00585CEC">
        <w:t>are</w:t>
      </w:r>
      <w:r>
        <w:t xml:space="preserve"> calculated using a TIER 3 approach</w:t>
      </w:r>
      <w:r w:rsidR="007B6959">
        <w:rPr>
          <w:rStyle w:val="FootnoteReference"/>
        </w:rPr>
        <w:footnoteReference w:id="9"/>
      </w:r>
      <w:r>
        <w:t xml:space="preserve">. </w:t>
      </w:r>
      <w:r w:rsidR="00CE7AAE">
        <w:t>The modelling is based on the mileage per Euro standard for all vehicle categories using an average driving speed of 50km/h except for buses where an average speed of 25km/h was assumed and 50% load factor, 0% gradient for heavy-duty vehicles (HDVs). The following table shows the calculated vehicle emissions for 2018 of Kosovo.</w:t>
      </w:r>
    </w:p>
    <w:p w14:paraId="07D25629" w14:textId="587FB135" w:rsidR="00AE43C4" w:rsidRPr="00E91208" w:rsidRDefault="00C70DED" w:rsidP="00CE7AAE">
      <w:pPr>
        <w:jc w:val="both"/>
        <w:rPr>
          <w:rFonts w:ascii="Calibri" w:eastAsia="Calibri" w:hAnsi="Calibri" w:cs="Calibri"/>
          <w:iCs/>
        </w:rPr>
      </w:pPr>
      <w:r>
        <w:t xml:space="preserve">Using </w:t>
      </w:r>
      <w:r w:rsidR="002D32E2">
        <w:t>th</w:t>
      </w:r>
      <w:r w:rsidR="00433B0E">
        <w:t>is</w:t>
      </w:r>
      <w:r w:rsidR="002D32E2">
        <w:t xml:space="preserve"> </w:t>
      </w:r>
      <w:r>
        <w:t>bottom up approach, t</w:t>
      </w:r>
      <w:r w:rsidR="0003749F">
        <w:t>h</w:t>
      </w:r>
      <w:r w:rsidR="00AE43C4">
        <w:t>is</w:t>
      </w:r>
      <w:r w:rsidR="0003749F">
        <w:t xml:space="preserve"> </w:t>
      </w:r>
      <w:r w:rsidR="00AE43C4">
        <w:t>study</w:t>
      </w:r>
      <w:r w:rsidR="0003749F">
        <w:t xml:space="preserve"> estimates that </w:t>
      </w:r>
      <w:r w:rsidR="002D32E2">
        <w:t>road transport</w:t>
      </w:r>
      <w:r w:rsidR="00CE7AAE">
        <w:t xml:space="preserve"> is responsible for nearly 1.1 MtCO</w:t>
      </w:r>
      <w:r w:rsidR="00CE7AAE" w:rsidRPr="00AC1E7A">
        <w:rPr>
          <w:vertAlign w:val="subscript"/>
        </w:rPr>
        <w:t>2</w:t>
      </w:r>
      <w:r w:rsidR="00CE7AAE">
        <w:t xml:space="preserve"> </w:t>
      </w:r>
      <w:r w:rsidR="002D32E2">
        <w:t>in 2018</w:t>
      </w:r>
      <w:r w:rsidR="00C11EF2">
        <w:t>. If assuming the total GHG emissions in 2018 is the same as in 2015 (last officially available year reported by the Ministry of Environment and Spatial Planning, 10 MtCO2</w:t>
      </w:r>
      <w:r w:rsidR="00E91208">
        <w:rPr>
          <w:rStyle w:val="FootnoteReference"/>
        </w:rPr>
        <w:footnoteReference w:id="10"/>
      </w:r>
      <w:r w:rsidR="00C11EF2">
        <w:t xml:space="preserve">), the road transport accounts for about 10% of total emissions in Kosovo in 2018. </w:t>
      </w:r>
      <w:r w:rsidR="002D32E2">
        <w:t xml:space="preserve">In comparison, the government of Kosovo </w:t>
      </w:r>
      <w:r w:rsidR="002D32E2">
        <w:rPr>
          <w:lang w:val="en-US"/>
        </w:rPr>
        <w:t>estimated road transport emissions was at 0.97 MtCO</w:t>
      </w:r>
      <w:r w:rsidR="002D32E2" w:rsidRPr="00AC1E7A">
        <w:rPr>
          <w:vertAlign w:val="subscript"/>
          <w:lang w:val="en-US"/>
        </w:rPr>
        <w:t>2</w:t>
      </w:r>
      <w:r w:rsidR="002D32E2">
        <w:rPr>
          <w:vertAlign w:val="subscript"/>
          <w:lang w:val="en-US"/>
        </w:rPr>
        <w:t xml:space="preserve"> </w:t>
      </w:r>
      <w:r w:rsidR="002D32E2" w:rsidRPr="002D32E2">
        <w:t>in 2013.</w:t>
      </w:r>
      <w:r w:rsidR="002D32E2">
        <w:rPr>
          <w:lang w:val="en-US"/>
        </w:rPr>
        <w:t xml:space="preserve"> The World Bank </w:t>
      </w:r>
      <w:r w:rsidR="00433B0E">
        <w:rPr>
          <w:lang w:val="en-US"/>
        </w:rPr>
        <w:t xml:space="preserve">Air Quality Management </w:t>
      </w:r>
      <w:r w:rsidR="002D32E2">
        <w:rPr>
          <w:lang w:val="en-US"/>
        </w:rPr>
        <w:t>report</w:t>
      </w:r>
      <w:r w:rsidR="00C72ECD">
        <w:rPr>
          <w:lang w:val="en-US"/>
        </w:rPr>
        <w:t xml:space="preserve"> estimated, </w:t>
      </w:r>
      <w:r w:rsidR="00C72ECD">
        <w:rPr>
          <w:rFonts w:ascii="Calibri" w:eastAsia="Calibri" w:hAnsi="Calibri" w:cs="Calibri"/>
          <w:iCs/>
        </w:rPr>
        <w:t>b</w:t>
      </w:r>
      <w:r w:rsidR="00C72ECD" w:rsidRPr="002B2773">
        <w:rPr>
          <w:rFonts w:ascii="Calibri" w:eastAsia="Calibri" w:hAnsi="Calibri" w:cs="Calibri"/>
          <w:iCs/>
        </w:rPr>
        <w:t xml:space="preserve">ased on the GAINS </w:t>
      </w:r>
      <w:r w:rsidR="00C72ECD">
        <w:rPr>
          <w:rFonts w:ascii="Calibri" w:eastAsia="Calibri" w:hAnsi="Calibri" w:cs="Calibri"/>
          <w:iCs/>
        </w:rPr>
        <w:t xml:space="preserve">model, </w:t>
      </w:r>
      <w:r w:rsidR="0045181E">
        <w:rPr>
          <w:rFonts w:ascii="Calibri" w:eastAsia="Calibri" w:hAnsi="Calibri" w:cs="Calibri"/>
          <w:iCs/>
        </w:rPr>
        <w:t xml:space="preserve">that </w:t>
      </w:r>
      <w:r w:rsidR="0045181E">
        <w:rPr>
          <w:rFonts w:ascii="Calibri" w:eastAsia="Calibri" w:hAnsi="Calibri" w:cs="Times New Roman"/>
        </w:rPr>
        <w:t xml:space="preserve">transport accounts for about </w:t>
      </w:r>
      <w:r w:rsidR="002F13A1">
        <w:rPr>
          <w:rFonts w:ascii="Calibri" w:eastAsia="Calibri" w:hAnsi="Calibri" w:cs="Times New Roman"/>
        </w:rPr>
        <w:t>3</w:t>
      </w:r>
      <w:r w:rsidR="0045181E">
        <w:rPr>
          <w:rFonts w:ascii="Calibri" w:eastAsia="Calibri" w:hAnsi="Calibri" w:cs="Times New Roman"/>
        </w:rPr>
        <w:t>%</w:t>
      </w:r>
      <w:r w:rsidR="009D72F4">
        <w:rPr>
          <w:rFonts w:ascii="Calibri" w:eastAsia="Calibri" w:hAnsi="Calibri" w:cs="Times New Roman"/>
        </w:rPr>
        <w:t xml:space="preserve"> of t</w:t>
      </w:r>
      <w:r w:rsidR="0045181E">
        <w:rPr>
          <w:rFonts w:ascii="Calibri" w:eastAsia="Calibri" w:hAnsi="Calibri" w:cs="Times New Roman"/>
        </w:rPr>
        <w:t xml:space="preserve">otal </w:t>
      </w:r>
      <w:r w:rsidR="00A11957">
        <w:rPr>
          <w:rFonts w:ascii="Calibri" w:eastAsia="Calibri" w:hAnsi="Calibri" w:cs="Times New Roman"/>
        </w:rPr>
        <w:t xml:space="preserve">21 thousand tons of </w:t>
      </w:r>
      <w:r w:rsidR="002365F9" w:rsidRPr="002B2773">
        <w:rPr>
          <w:rFonts w:ascii="Calibri" w:eastAsia="Calibri" w:hAnsi="Calibri" w:cs="Times New Roman"/>
        </w:rPr>
        <w:t>emissions of PM</w:t>
      </w:r>
      <w:r w:rsidR="002365F9" w:rsidRPr="004A4AB2">
        <w:rPr>
          <w:rFonts w:ascii="Calibri" w:eastAsia="Calibri" w:hAnsi="Calibri" w:cs="Times New Roman"/>
          <w:vertAlign w:val="subscript"/>
        </w:rPr>
        <w:t>2.5</w:t>
      </w:r>
      <w:r w:rsidR="005E07CD">
        <w:rPr>
          <w:rFonts w:ascii="Calibri" w:eastAsia="Calibri" w:hAnsi="Calibri" w:cs="Times New Roman"/>
          <w:vertAlign w:val="subscript"/>
        </w:rPr>
        <w:t xml:space="preserve"> </w:t>
      </w:r>
      <w:r w:rsidR="005E07CD">
        <w:rPr>
          <w:rFonts w:ascii="Calibri" w:eastAsia="Calibri" w:hAnsi="Calibri" w:cs="Times New Roman"/>
        </w:rPr>
        <w:t xml:space="preserve">(GHG emission was not modelled) </w:t>
      </w:r>
      <w:r w:rsidR="002365F9" w:rsidRPr="002B2773">
        <w:rPr>
          <w:rFonts w:ascii="Calibri" w:eastAsia="Calibri" w:hAnsi="Calibri" w:cs="Times New Roman"/>
        </w:rPr>
        <w:t>in Kosovo in 2015</w:t>
      </w:r>
      <w:r w:rsidR="002F13A1">
        <w:rPr>
          <w:rFonts w:ascii="Calibri" w:eastAsia="Calibri" w:hAnsi="Calibri" w:cs="Times New Roman"/>
        </w:rPr>
        <w:t xml:space="preserve">. </w:t>
      </w:r>
    </w:p>
    <w:p w14:paraId="4A9D2A28" w14:textId="15957431" w:rsidR="00041750" w:rsidRDefault="00CE7AAE" w:rsidP="00CE7AAE">
      <w:pPr>
        <w:jc w:val="both"/>
      </w:pPr>
      <w:r>
        <w:lastRenderedPageBreak/>
        <w:t>The economic cost of vehicle pollution due to NO</w:t>
      </w:r>
      <w:r w:rsidRPr="0009304D">
        <w:rPr>
          <w:vertAlign w:val="subscript"/>
        </w:rPr>
        <w:t>x</w:t>
      </w:r>
      <w:r>
        <w:t xml:space="preserve"> and PM</w:t>
      </w:r>
      <w:r w:rsidRPr="0009304D">
        <w:rPr>
          <w:vertAlign w:val="subscript"/>
        </w:rPr>
        <w:t>2.5</w:t>
      </w:r>
      <w:r>
        <w:t xml:space="preserve"> emissions and using the average cost per ton of pollutant of surrounding countries based on the IMF data-bank</w:t>
      </w:r>
      <w:r>
        <w:rPr>
          <w:rStyle w:val="FootnoteReference"/>
        </w:rPr>
        <w:footnoteReference w:id="11"/>
      </w:r>
      <w:r>
        <w:t xml:space="preserve"> is for 2018 46 million Euro of which 15% are due to NO</w:t>
      </w:r>
      <w:r w:rsidRPr="0009304D">
        <w:rPr>
          <w:vertAlign w:val="subscript"/>
        </w:rPr>
        <w:t>x</w:t>
      </w:r>
      <w:r>
        <w:t xml:space="preserve"> and 85% due to PM</w:t>
      </w:r>
      <w:r w:rsidRPr="0009304D">
        <w:rPr>
          <w:vertAlign w:val="subscript"/>
        </w:rPr>
        <w:t>2.5</w:t>
      </w:r>
      <w:r>
        <w:t xml:space="preserve"> emissions.</w:t>
      </w:r>
    </w:p>
    <w:p w14:paraId="22C3C789" w14:textId="3949DEA0" w:rsidR="00CE7AAE" w:rsidRPr="00790C89" w:rsidRDefault="00CE7AAE" w:rsidP="00CE7AAE">
      <w:pPr>
        <w:pStyle w:val="NoSpacing"/>
        <w:rPr>
          <w:rFonts w:cstheme="minorHAnsi"/>
          <w:b/>
          <w:sz w:val="20"/>
          <w:szCs w:val="20"/>
        </w:rPr>
      </w:pPr>
      <w:r w:rsidRPr="00790C89">
        <w:rPr>
          <w:rFonts w:cstheme="minorHAnsi"/>
          <w:b/>
          <w:sz w:val="20"/>
          <w:szCs w:val="20"/>
        </w:rPr>
        <w:t xml:space="preserve">Table </w:t>
      </w:r>
      <w:r w:rsidRPr="00790C89">
        <w:rPr>
          <w:rFonts w:cstheme="minorHAnsi"/>
          <w:b/>
          <w:sz w:val="20"/>
          <w:szCs w:val="20"/>
        </w:rPr>
        <w:fldChar w:fldCharType="begin"/>
      </w:r>
      <w:r w:rsidRPr="00790C89">
        <w:rPr>
          <w:rFonts w:cstheme="minorHAnsi"/>
          <w:b/>
          <w:sz w:val="20"/>
          <w:szCs w:val="20"/>
        </w:rPr>
        <w:instrText xml:space="preserve"> SEQ Table \* ARABIC </w:instrText>
      </w:r>
      <w:r w:rsidRPr="00790C89">
        <w:rPr>
          <w:rFonts w:cstheme="minorHAnsi"/>
          <w:b/>
          <w:sz w:val="20"/>
          <w:szCs w:val="20"/>
        </w:rPr>
        <w:fldChar w:fldCharType="separate"/>
      </w:r>
      <w:r w:rsidR="00B20155">
        <w:rPr>
          <w:rFonts w:cstheme="minorHAnsi"/>
          <w:b/>
          <w:noProof/>
          <w:sz w:val="20"/>
          <w:szCs w:val="20"/>
        </w:rPr>
        <w:t>2</w:t>
      </w:r>
      <w:r w:rsidRPr="00790C89">
        <w:rPr>
          <w:rFonts w:cstheme="minorHAnsi"/>
          <w:b/>
          <w:sz w:val="20"/>
          <w:szCs w:val="20"/>
        </w:rPr>
        <w:fldChar w:fldCharType="end"/>
      </w:r>
      <w:r w:rsidRPr="00790C89">
        <w:rPr>
          <w:rFonts w:cstheme="minorHAnsi"/>
          <w:b/>
          <w:sz w:val="20"/>
          <w:szCs w:val="20"/>
        </w:rPr>
        <w:t>: Estimated Vehicle Emissions Kosovo 201</w:t>
      </w:r>
      <w:r>
        <w:rPr>
          <w:rFonts w:cstheme="minorHAnsi"/>
          <w:b/>
          <w:sz w:val="20"/>
          <w:szCs w:val="20"/>
        </w:rPr>
        <w:t>8</w:t>
      </w:r>
      <w:r w:rsidRPr="00790C89">
        <w:rPr>
          <w:rFonts w:cstheme="minorHAnsi"/>
          <w:b/>
          <w:sz w:val="20"/>
          <w:szCs w:val="20"/>
        </w:rPr>
        <w:t xml:space="preserve"> (in tons)</w:t>
      </w:r>
    </w:p>
    <w:tbl>
      <w:tblPr>
        <w:tblStyle w:val="TableGrid"/>
        <w:tblW w:w="0" w:type="auto"/>
        <w:tblLook w:val="04A0" w:firstRow="1" w:lastRow="0" w:firstColumn="1" w:lastColumn="0" w:noHBand="0" w:noVBand="1"/>
      </w:tblPr>
      <w:tblGrid>
        <w:gridCol w:w="3055"/>
        <w:gridCol w:w="1260"/>
        <w:gridCol w:w="1080"/>
        <w:gridCol w:w="1620"/>
        <w:gridCol w:w="1890"/>
      </w:tblGrid>
      <w:tr w:rsidR="00CE7AAE" w:rsidRPr="00790C89" w14:paraId="34679A43" w14:textId="77777777" w:rsidTr="00157313">
        <w:tc>
          <w:tcPr>
            <w:tcW w:w="3055" w:type="dxa"/>
            <w:shd w:val="clear" w:color="auto" w:fill="D9E2F3" w:themeFill="accent1" w:themeFillTint="33"/>
            <w:vAlign w:val="bottom"/>
          </w:tcPr>
          <w:p w14:paraId="4BCAA989" w14:textId="77777777" w:rsidR="00CE7AAE" w:rsidRPr="00790C89" w:rsidRDefault="00CE7AAE" w:rsidP="00157313">
            <w:pPr>
              <w:pStyle w:val="NoSpacing"/>
              <w:rPr>
                <w:rFonts w:cstheme="minorHAnsi"/>
                <w:b/>
                <w:sz w:val="20"/>
                <w:szCs w:val="20"/>
              </w:rPr>
            </w:pPr>
            <w:r w:rsidRPr="00790C89">
              <w:rPr>
                <w:rFonts w:cstheme="minorHAnsi"/>
                <w:b/>
                <w:bCs/>
                <w:color w:val="000000"/>
                <w:sz w:val="20"/>
                <w:szCs w:val="20"/>
              </w:rPr>
              <w:t>Vehicle category</w:t>
            </w:r>
          </w:p>
        </w:tc>
        <w:tc>
          <w:tcPr>
            <w:tcW w:w="1260" w:type="dxa"/>
            <w:shd w:val="clear" w:color="auto" w:fill="D9E2F3" w:themeFill="accent1" w:themeFillTint="33"/>
            <w:vAlign w:val="bottom"/>
          </w:tcPr>
          <w:p w14:paraId="38D6D3A6" w14:textId="43AF3DEB" w:rsidR="00CE7AAE" w:rsidRPr="00790C89" w:rsidRDefault="000D38DF" w:rsidP="00157313">
            <w:pPr>
              <w:pStyle w:val="NoSpacing"/>
              <w:jc w:val="center"/>
              <w:rPr>
                <w:rFonts w:cstheme="minorHAnsi"/>
                <w:b/>
                <w:sz w:val="20"/>
                <w:szCs w:val="20"/>
              </w:rPr>
            </w:pPr>
            <w:r w:rsidRPr="00C25EF5">
              <w:rPr>
                <w:rFonts w:cstheme="minorHAnsi"/>
                <w:b/>
                <w:bCs/>
                <w:color w:val="000000"/>
                <w:sz w:val="20"/>
                <w:szCs w:val="20"/>
              </w:rPr>
              <w:t>PM</w:t>
            </w:r>
            <w:r>
              <w:rPr>
                <w:rFonts w:cstheme="minorHAnsi"/>
                <w:b/>
                <w:bCs/>
                <w:color w:val="000000"/>
                <w:sz w:val="20"/>
                <w:szCs w:val="20"/>
                <w:vertAlign w:val="subscript"/>
              </w:rPr>
              <w:t>2.5</w:t>
            </w:r>
          </w:p>
        </w:tc>
        <w:tc>
          <w:tcPr>
            <w:tcW w:w="1080" w:type="dxa"/>
            <w:shd w:val="clear" w:color="auto" w:fill="D9E2F3" w:themeFill="accent1" w:themeFillTint="33"/>
            <w:vAlign w:val="bottom"/>
          </w:tcPr>
          <w:p w14:paraId="248249D8" w14:textId="23A8B2B3" w:rsidR="00CE7AAE" w:rsidRPr="00790C89" w:rsidRDefault="000D38DF" w:rsidP="00157313">
            <w:pPr>
              <w:pStyle w:val="NoSpacing"/>
              <w:jc w:val="center"/>
              <w:rPr>
                <w:rFonts w:cstheme="minorHAnsi"/>
                <w:b/>
                <w:sz w:val="20"/>
                <w:szCs w:val="20"/>
              </w:rPr>
            </w:pPr>
            <w:r>
              <w:rPr>
                <w:rFonts w:cstheme="minorHAnsi"/>
                <w:b/>
                <w:bCs/>
                <w:color w:val="000000"/>
                <w:sz w:val="20"/>
                <w:szCs w:val="20"/>
              </w:rPr>
              <w:t>NO</w:t>
            </w:r>
            <w:r w:rsidRPr="00C25EF5">
              <w:rPr>
                <w:rFonts w:cstheme="minorHAnsi"/>
                <w:b/>
                <w:bCs/>
                <w:color w:val="000000"/>
                <w:sz w:val="20"/>
                <w:szCs w:val="20"/>
                <w:vertAlign w:val="subscript"/>
              </w:rPr>
              <w:t>x</w:t>
            </w:r>
          </w:p>
        </w:tc>
        <w:tc>
          <w:tcPr>
            <w:tcW w:w="1620" w:type="dxa"/>
            <w:shd w:val="clear" w:color="auto" w:fill="D9E2F3" w:themeFill="accent1" w:themeFillTint="33"/>
            <w:vAlign w:val="bottom"/>
          </w:tcPr>
          <w:p w14:paraId="3557A256" w14:textId="77777777" w:rsidR="00CE7AAE" w:rsidRPr="00790C89" w:rsidRDefault="00CE7AAE" w:rsidP="00157313">
            <w:pPr>
              <w:pStyle w:val="NoSpacing"/>
              <w:jc w:val="center"/>
              <w:rPr>
                <w:rFonts w:cstheme="minorHAnsi"/>
                <w:b/>
                <w:sz w:val="20"/>
                <w:szCs w:val="20"/>
              </w:rPr>
            </w:pPr>
            <w:r w:rsidRPr="00790C89">
              <w:rPr>
                <w:rFonts w:cstheme="minorHAnsi"/>
                <w:b/>
                <w:bCs/>
                <w:color w:val="000000"/>
                <w:sz w:val="20"/>
                <w:szCs w:val="20"/>
              </w:rPr>
              <w:t>CO</w:t>
            </w:r>
            <w:r w:rsidRPr="00790C89">
              <w:rPr>
                <w:rFonts w:cstheme="minorHAnsi"/>
                <w:b/>
                <w:bCs/>
                <w:color w:val="000000"/>
                <w:sz w:val="20"/>
                <w:szCs w:val="20"/>
                <w:vertAlign w:val="subscript"/>
              </w:rPr>
              <w:t>2</w:t>
            </w:r>
            <w:r w:rsidRPr="00790C89">
              <w:rPr>
                <w:rFonts w:cstheme="minorHAnsi"/>
                <w:b/>
                <w:bCs/>
                <w:color w:val="000000"/>
                <w:sz w:val="20"/>
                <w:szCs w:val="20"/>
              </w:rPr>
              <w:t xml:space="preserve"> TTW</w:t>
            </w:r>
          </w:p>
        </w:tc>
        <w:tc>
          <w:tcPr>
            <w:tcW w:w="1890" w:type="dxa"/>
            <w:shd w:val="clear" w:color="auto" w:fill="D9E2F3" w:themeFill="accent1" w:themeFillTint="33"/>
            <w:vAlign w:val="bottom"/>
          </w:tcPr>
          <w:p w14:paraId="7DFB7FED" w14:textId="77777777" w:rsidR="00CE7AAE" w:rsidRPr="00790C89" w:rsidRDefault="00CE7AAE" w:rsidP="00157313">
            <w:pPr>
              <w:pStyle w:val="NoSpacing"/>
              <w:jc w:val="center"/>
              <w:rPr>
                <w:rFonts w:cstheme="minorHAnsi"/>
                <w:b/>
                <w:sz w:val="20"/>
                <w:szCs w:val="20"/>
              </w:rPr>
            </w:pPr>
            <w:r w:rsidRPr="00790C89">
              <w:rPr>
                <w:rFonts w:cstheme="minorHAnsi"/>
                <w:b/>
                <w:bCs/>
                <w:color w:val="000000"/>
                <w:sz w:val="20"/>
                <w:szCs w:val="20"/>
              </w:rPr>
              <w:t>CO</w:t>
            </w:r>
            <w:r w:rsidRPr="00790C89">
              <w:rPr>
                <w:rFonts w:cstheme="minorHAnsi"/>
                <w:b/>
                <w:bCs/>
                <w:color w:val="000000"/>
                <w:sz w:val="20"/>
                <w:szCs w:val="20"/>
                <w:vertAlign w:val="subscript"/>
              </w:rPr>
              <w:t>2</w:t>
            </w:r>
            <w:r w:rsidRPr="00790C89">
              <w:rPr>
                <w:rFonts w:cstheme="minorHAnsi"/>
                <w:b/>
                <w:bCs/>
                <w:color w:val="000000"/>
                <w:sz w:val="20"/>
                <w:szCs w:val="20"/>
              </w:rPr>
              <w:t xml:space="preserve"> WTW incl. BC</w:t>
            </w:r>
          </w:p>
        </w:tc>
      </w:tr>
      <w:tr w:rsidR="00CE7AAE" w:rsidRPr="00790C89" w14:paraId="692D96CB" w14:textId="77777777" w:rsidTr="00157313">
        <w:tc>
          <w:tcPr>
            <w:tcW w:w="3055" w:type="dxa"/>
            <w:vAlign w:val="bottom"/>
          </w:tcPr>
          <w:p w14:paraId="0595DD3A" w14:textId="77777777" w:rsidR="00CE7AAE" w:rsidRPr="00527469" w:rsidRDefault="00CE7AAE" w:rsidP="00157313">
            <w:pPr>
              <w:pStyle w:val="NoSpacing"/>
              <w:rPr>
                <w:rFonts w:cstheme="minorHAnsi"/>
                <w:sz w:val="20"/>
                <w:szCs w:val="20"/>
              </w:rPr>
            </w:pPr>
            <w:r w:rsidRPr="00527469">
              <w:rPr>
                <w:rFonts w:cstheme="minorHAnsi"/>
                <w:color w:val="000000"/>
                <w:sz w:val="20"/>
                <w:szCs w:val="20"/>
              </w:rPr>
              <w:t>Passenger cars gasoline</w:t>
            </w:r>
            <w:r>
              <w:rPr>
                <w:rFonts w:cstheme="minorHAnsi"/>
                <w:color w:val="000000"/>
                <w:sz w:val="20"/>
                <w:szCs w:val="20"/>
              </w:rPr>
              <w:t xml:space="preserve"> (M1)</w:t>
            </w:r>
          </w:p>
        </w:tc>
        <w:tc>
          <w:tcPr>
            <w:tcW w:w="1260" w:type="dxa"/>
            <w:vAlign w:val="bottom"/>
          </w:tcPr>
          <w:p w14:paraId="6154A839" w14:textId="77777777" w:rsidR="00CE7AAE" w:rsidRPr="00527469" w:rsidRDefault="00CE7AAE" w:rsidP="00157313">
            <w:pPr>
              <w:pStyle w:val="NoSpacing"/>
              <w:jc w:val="center"/>
              <w:rPr>
                <w:rFonts w:cstheme="minorHAnsi"/>
                <w:sz w:val="20"/>
                <w:szCs w:val="20"/>
              </w:rPr>
            </w:pPr>
            <w:r w:rsidRPr="00527469">
              <w:rPr>
                <w:rFonts w:cstheme="minorHAnsi"/>
                <w:color w:val="000000"/>
                <w:sz w:val="20"/>
                <w:szCs w:val="20"/>
              </w:rPr>
              <w:t>2</w:t>
            </w:r>
          </w:p>
        </w:tc>
        <w:tc>
          <w:tcPr>
            <w:tcW w:w="1080" w:type="dxa"/>
            <w:vAlign w:val="bottom"/>
          </w:tcPr>
          <w:p w14:paraId="07C68EB8" w14:textId="77777777" w:rsidR="00CE7AAE" w:rsidRPr="00527469" w:rsidRDefault="00CE7AAE" w:rsidP="00157313">
            <w:pPr>
              <w:pStyle w:val="NoSpacing"/>
              <w:jc w:val="center"/>
              <w:rPr>
                <w:rFonts w:cstheme="minorHAnsi"/>
                <w:sz w:val="20"/>
                <w:szCs w:val="20"/>
              </w:rPr>
            </w:pPr>
            <w:r w:rsidRPr="00527469">
              <w:rPr>
                <w:rFonts w:cstheme="minorHAnsi"/>
                <w:color w:val="000000"/>
                <w:sz w:val="20"/>
                <w:szCs w:val="20"/>
              </w:rPr>
              <w:t>399</w:t>
            </w:r>
          </w:p>
        </w:tc>
        <w:tc>
          <w:tcPr>
            <w:tcW w:w="1620" w:type="dxa"/>
            <w:vAlign w:val="bottom"/>
          </w:tcPr>
          <w:p w14:paraId="675DCD8E" w14:textId="77777777" w:rsidR="00CE7AAE" w:rsidRPr="00527469" w:rsidRDefault="00CE7AAE" w:rsidP="00157313">
            <w:pPr>
              <w:pStyle w:val="NoSpacing"/>
              <w:jc w:val="center"/>
              <w:rPr>
                <w:rFonts w:cstheme="minorHAnsi"/>
                <w:sz w:val="20"/>
                <w:szCs w:val="20"/>
              </w:rPr>
            </w:pPr>
            <w:r w:rsidRPr="00527469">
              <w:rPr>
                <w:rFonts w:cstheme="minorHAnsi"/>
                <w:color w:val="000000"/>
                <w:sz w:val="20"/>
                <w:szCs w:val="20"/>
              </w:rPr>
              <w:t>127,520</w:t>
            </w:r>
          </w:p>
        </w:tc>
        <w:tc>
          <w:tcPr>
            <w:tcW w:w="1890" w:type="dxa"/>
            <w:vAlign w:val="bottom"/>
          </w:tcPr>
          <w:p w14:paraId="14A3C0F1" w14:textId="77777777" w:rsidR="00CE7AAE" w:rsidRPr="00527469" w:rsidRDefault="00CE7AAE" w:rsidP="00157313">
            <w:pPr>
              <w:pStyle w:val="NoSpacing"/>
              <w:jc w:val="center"/>
              <w:rPr>
                <w:rFonts w:cstheme="minorHAnsi"/>
                <w:sz w:val="20"/>
                <w:szCs w:val="20"/>
              </w:rPr>
            </w:pPr>
            <w:r w:rsidRPr="00527469">
              <w:rPr>
                <w:rFonts w:cstheme="minorHAnsi"/>
                <w:color w:val="000000"/>
                <w:sz w:val="20"/>
                <w:szCs w:val="20"/>
              </w:rPr>
              <w:t>151,748</w:t>
            </w:r>
          </w:p>
        </w:tc>
      </w:tr>
      <w:tr w:rsidR="00CE7AAE" w:rsidRPr="00790C89" w14:paraId="68FCADD2" w14:textId="77777777" w:rsidTr="00157313">
        <w:tc>
          <w:tcPr>
            <w:tcW w:w="3055" w:type="dxa"/>
            <w:vAlign w:val="bottom"/>
          </w:tcPr>
          <w:p w14:paraId="14FEE142" w14:textId="77777777" w:rsidR="00CE7AAE" w:rsidRPr="00527469" w:rsidRDefault="00CE7AAE" w:rsidP="00157313">
            <w:pPr>
              <w:pStyle w:val="NoSpacing"/>
              <w:rPr>
                <w:rFonts w:cstheme="minorHAnsi"/>
                <w:sz w:val="20"/>
                <w:szCs w:val="20"/>
              </w:rPr>
            </w:pPr>
            <w:r w:rsidRPr="00527469">
              <w:rPr>
                <w:rFonts w:cstheme="minorHAnsi"/>
                <w:color w:val="000000"/>
                <w:sz w:val="20"/>
                <w:szCs w:val="20"/>
              </w:rPr>
              <w:t>Passenger cars diesel</w:t>
            </w:r>
            <w:r>
              <w:rPr>
                <w:rFonts w:cstheme="minorHAnsi"/>
                <w:color w:val="000000"/>
                <w:sz w:val="20"/>
                <w:szCs w:val="20"/>
              </w:rPr>
              <w:t xml:space="preserve"> (M1)</w:t>
            </w:r>
          </w:p>
        </w:tc>
        <w:tc>
          <w:tcPr>
            <w:tcW w:w="1260" w:type="dxa"/>
            <w:vAlign w:val="bottom"/>
          </w:tcPr>
          <w:p w14:paraId="11146FF4" w14:textId="77777777" w:rsidR="00CE7AAE" w:rsidRPr="00527469" w:rsidRDefault="00CE7AAE" w:rsidP="00157313">
            <w:pPr>
              <w:pStyle w:val="NoSpacing"/>
              <w:jc w:val="center"/>
              <w:rPr>
                <w:rFonts w:cstheme="minorHAnsi"/>
                <w:sz w:val="20"/>
                <w:szCs w:val="20"/>
              </w:rPr>
            </w:pPr>
            <w:r w:rsidRPr="00527469">
              <w:rPr>
                <w:rFonts w:cstheme="minorHAnsi"/>
                <w:color w:val="000000"/>
                <w:sz w:val="20"/>
                <w:szCs w:val="20"/>
              </w:rPr>
              <w:t>127</w:t>
            </w:r>
          </w:p>
        </w:tc>
        <w:tc>
          <w:tcPr>
            <w:tcW w:w="1080" w:type="dxa"/>
            <w:vAlign w:val="bottom"/>
          </w:tcPr>
          <w:p w14:paraId="5817A859" w14:textId="77777777" w:rsidR="00CE7AAE" w:rsidRPr="00527469" w:rsidRDefault="00CE7AAE" w:rsidP="00157313">
            <w:pPr>
              <w:pStyle w:val="NoSpacing"/>
              <w:jc w:val="center"/>
              <w:rPr>
                <w:rFonts w:cstheme="minorHAnsi"/>
                <w:sz w:val="20"/>
                <w:szCs w:val="20"/>
              </w:rPr>
            </w:pPr>
            <w:r w:rsidRPr="00527469">
              <w:rPr>
                <w:rFonts w:cstheme="minorHAnsi"/>
                <w:color w:val="000000"/>
                <w:sz w:val="20"/>
                <w:szCs w:val="20"/>
              </w:rPr>
              <w:t>2,043</w:t>
            </w:r>
          </w:p>
        </w:tc>
        <w:tc>
          <w:tcPr>
            <w:tcW w:w="1620" w:type="dxa"/>
            <w:vAlign w:val="bottom"/>
          </w:tcPr>
          <w:p w14:paraId="1EA24DD4" w14:textId="77777777" w:rsidR="00CE7AAE" w:rsidRPr="00527469" w:rsidRDefault="00CE7AAE" w:rsidP="00157313">
            <w:pPr>
              <w:pStyle w:val="NoSpacing"/>
              <w:jc w:val="center"/>
              <w:rPr>
                <w:rFonts w:cstheme="minorHAnsi"/>
                <w:sz w:val="20"/>
                <w:szCs w:val="20"/>
              </w:rPr>
            </w:pPr>
            <w:r w:rsidRPr="00527469">
              <w:rPr>
                <w:rFonts w:cstheme="minorHAnsi"/>
                <w:color w:val="000000"/>
                <w:sz w:val="20"/>
                <w:szCs w:val="20"/>
              </w:rPr>
              <w:t>534,026</w:t>
            </w:r>
          </w:p>
        </w:tc>
        <w:tc>
          <w:tcPr>
            <w:tcW w:w="1890" w:type="dxa"/>
            <w:vAlign w:val="bottom"/>
          </w:tcPr>
          <w:p w14:paraId="53907C48" w14:textId="77777777" w:rsidR="00CE7AAE" w:rsidRPr="00527469" w:rsidRDefault="00CE7AAE" w:rsidP="00157313">
            <w:pPr>
              <w:pStyle w:val="NoSpacing"/>
              <w:jc w:val="center"/>
              <w:rPr>
                <w:rFonts w:cstheme="minorHAnsi"/>
                <w:sz w:val="20"/>
                <w:szCs w:val="20"/>
              </w:rPr>
            </w:pPr>
            <w:r w:rsidRPr="00527469">
              <w:rPr>
                <w:rFonts w:cstheme="minorHAnsi"/>
                <w:color w:val="000000"/>
                <w:sz w:val="20"/>
                <w:szCs w:val="20"/>
              </w:rPr>
              <w:t>739,718</w:t>
            </w:r>
          </w:p>
        </w:tc>
      </w:tr>
      <w:tr w:rsidR="00CE7AAE" w:rsidRPr="00790C89" w14:paraId="6DA66368" w14:textId="77777777" w:rsidTr="00157313">
        <w:tc>
          <w:tcPr>
            <w:tcW w:w="3055" w:type="dxa"/>
            <w:vAlign w:val="bottom"/>
          </w:tcPr>
          <w:p w14:paraId="40A53F0F" w14:textId="77777777" w:rsidR="00CE7AAE" w:rsidRPr="00527469" w:rsidRDefault="00CE7AAE" w:rsidP="00157313">
            <w:pPr>
              <w:pStyle w:val="NoSpacing"/>
              <w:rPr>
                <w:rFonts w:cstheme="minorHAnsi"/>
                <w:sz w:val="20"/>
                <w:szCs w:val="20"/>
              </w:rPr>
            </w:pPr>
            <w:r w:rsidRPr="00527469">
              <w:rPr>
                <w:rFonts w:cstheme="minorHAnsi"/>
                <w:b/>
                <w:bCs/>
                <w:color w:val="000000"/>
                <w:sz w:val="20"/>
                <w:szCs w:val="20"/>
              </w:rPr>
              <w:t>Total passenger cars</w:t>
            </w:r>
          </w:p>
        </w:tc>
        <w:tc>
          <w:tcPr>
            <w:tcW w:w="1260" w:type="dxa"/>
            <w:vAlign w:val="bottom"/>
          </w:tcPr>
          <w:p w14:paraId="1E710043" w14:textId="77777777" w:rsidR="00CE7AAE" w:rsidRPr="00527469" w:rsidRDefault="00CE7AAE" w:rsidP="00157313">
            <w:pPr>
              <w:pStyle w:val="NoSpacing"/>
              <w:jc w:val="center"/>
              <w:rPr>
                <w:rFonts w:cstheme="minorHAnsi"/>
                <w:sz w:val="20"/>
                <w:szCs w:val="20"/>
              </w:rPr>
            </w:pPr>
            <w:r w:rsidRPr="00527469">
              <w:rPr>
                <w:rFonts w:cstheme="minorHAnsi"/>
                <w:b/>
                <w:bCs/>
                <w:color w:val="000000"/>
                <w:sz w:val="20"/>
                <w:szCs w:val="20"/>
              </w:rPr>
              <w:t>129</w:t>
            </w:r>
          </w:p>
        </w:tc>
        <w:tc>
          <w:tcPr>
            <w:tcW w:w="1080" w:type="dxa"/>
            <w:vAlign w:val="bottom"/>
          </w:tcPr>
          <w:p w14:paraId="7023CDB3" w14:textId="77777777" w:rsidR="00CE7AAE" w:rsidRPr="00527469" w:rsidRDefault="00CE7AAE" w:rsidP="00157313">
            <w:pPr>
              <w:pStyle w:val="NoSpacing"/>
              <w:jc w:val="center"/>
              <w:rPr>
                <w:rFonts w:cstheme="minorHAnsi"/>
                <w:sz w:val="20"/>
                <w:szCs w:val="20"/>
              </w:rPr>
            </w:pPr>
            <w:r w:rsidRPr="00527469">
              <w:rPr>
                <w:rFonts w:cstheme="minorHAnsi"/>
                <w:b/>
                <w:bCs/>
                <w:color w:val="000000"/>
                <w:sz w:val="20"/>
                <w:szCs w:val="20"/>
              </w:rPr>
              <w:t>2,442</w:t>
            </w:r>
          </w:p>
        </w:tc>
        <w:tc>
          <w:tcPr>
            <w:tcW w:w="1620" w:type="dxa"/>
            <w:vAlign w:val="bottom"/>
          </w:tcPr>
          <w:p w14:paraId="2897312F" w14:textId="77777777" w:rsidR="00CE7AAE" w:rsidRPr="00527469" w:rsidRDefault="00CE7AAE" w:rsidP="00157313">
            <w:pPr>
              <w:pStyle w:val="NoSpacing"/>
              <w:jc w:val="center"/>
              <w:rPr>
                <w:rFonts w:cstheme="minorHAnsi"/>
                <w:sz w:val="20"/>
                <w:szCs w:val="20"/>
              </w:rPr>
            </w:pPr>
            <w:r w:rsidRPr="00527469">
              <w:rPr>
                <w:rFonts w:cstheme="minorHAnsi"/>
                <w:b/>
                <w:bCs/>
                <w:color w:val="000000"/>
                <w:sz w:val="20"/>
                <w:szCs w:val="20"/>
              </w:rPr>
              <w:t>661,546</w:t>
            </w:r>
          </w:p>
        </w:tc>
        <w:tc>
          <w:tcPr>
            <w:tcW w:w="1890" w:type="dxa"/>
            <w:vAlign w:val="bottom"/>
          </w:tcPr>
          <w:p w14:paraId="4B4693F1" w14:textId="77777777" w:rsidR="00CE7AAE" w:rsidRPr="00527469" w:rsidRDefault="00CE7AAE" w:rsidP="00157313">
            <w:pPr>
              <w:pStyle w:val="NoSpacing"/>
              <w:jc w:val="center"/>
              <w:rPr>
                <w:rFonts w:cstheme="minorHAnsi"/>
                <w:sz w:val="20"/>
                <w:szCs w:val="20"/>
              </w:rPr>
            </w:pPr>
            <w:r w:rsidRPr="00527469">
              <w:rPr>
                <w:rFonts w:cstheme="minorHAnsi"/>
                <w:b/>
                <w:bCs/>
                <w:color w:val="000000"/>
                <w:sz w:val="20"/>
                <w:szCs w:val="20"/>
              </w:rPr>
              <w:t>891,467</w:t>
            </w:r>
          </w:p>
        </w:tc>
      </w:tr>
      <w:tr w:rsidR="00CE7AAE" w:rsidRPr="00790C89" w14:paraId="04C6A1BC" w14:textId="77777777" w:rsidTr="00157313">
        <w:tc>
          <w:tcPr>
            <w:tcW w:w="3055" w:type="dxa"/>
            <w:vAlign w:val="bottom"/>
          </w:tcPr>
          <w:p w14:paraId="23408B56" w14:textId="77777777" w:rsidR="00CE7AAE" w:rsidRPr="00527469" w:rsidRDefault="00CE7AAE" w:rsidP="00157313">
            <w:pPr>
              <w:pStyle w:val="NoSpacing"/>
              <w:rPr>
                <w:rFonts w:cstheme="minorHAnsi"/>
                <w:sz w:val="20"/>
                <w:szCs w:val="20"/>
              </w:rPr>
            </w:pPr>
            <w:r w:rsidRPr="00527469">
              <w:rPr>
                <w:rFonts w:cstheme="minorHAnsi"/>
                <w:color w:val="000000"/>
                <w:sz w:val="20"/>
                <w:szCs w:val="20"/>
              </w:rPr>
              <w:t>Small/Medium Buses</w:t>
            </w:r>
            <w:r>
              <w:rPr>
                <w:rFonts w:cstheme="minorHAnsi"/>
                <w:color w:val="000000"/>
                <w:sz w:val="20"/>
                <w:szCs w:val="20"/>
              </w:rPr>
              <w:t xml:space="preserve"> (M2)</w:t>
            </w:r>
          </w:p>
        </w:tc>
        <w:tc>
          <w:tcPr>
            <w:tcW w:w="1260" w:type="dxa"/>
            <w:vAlign w:val="bottom"/>
          </w:tcPr>
          <w:p w14:paraId="7E2E3423" w14:textId="77777777" w:rsidR="00CE7AAE" w:rsidRPr="00527469" w:rsidRDefault="00CE7AAE" w:rsidP="00157313">
            <w:pPr>
              <w:pStyle w:val="NoSpacing"/>
              <w:jc w:val="center"/>
              <w:rPr>
                <w:rFonts w:cstheme="minorHAnsi"/>
                <w:sz w:val="20"/>
                <w:szCs w:val="20"/>
              </w:rPr>
            </w:pPr>
            <w:r w:rsidRPr="00527469">
              <w:rPr>
                <w:rFonts w:cstheme="minorHAnsi"/>
                <w:color w:val="000000"/>
                <w:sz w:val="20"/>
                <w:szCs w:val="20"/>
              </w:rPr>
              <w:t>3</w:t>
            </w:r>
          </w:p>
        </w:tc>
        <w:tc>
          <w:tcPr>
            <w:tcW w:w="1080" w:type="dxa"/>
            <w:vAlign w:val="bottom"/>
          </w:tcPr>
          <w:p w14:paraId="4D931102" w14:textId="77777777" w:rsidR="00CE7AAE" w:rsidRPr="00527469" w:rsidRDefault="00CE7AAE" w:rsidP="00157313">
            <w:pPr>
              <w:pStyle w:val="NoSpacing"/>
              <w:jc w:val="center"/>
              <w:rPr>
                <w:rFonts w:cstheme="minorHAnsi"/>
                <w:sz w:val="20"/>
                <w:szCs w:val="20"/>
              </w:rPr>
            </w:pPr>
            <w:r w:rsidRPr="00527469">
              <w:rPr>
                <w:rFonts w:cstheme="minorHAnsi"/>
                <w:color w:val="000000"/>
                <w:sz w:val="20"/>
                <w:szCs w:val="20"/>
              </w:rPr>
              <w:t>115</w:t>
            </w:r>
          </w:p>
        </w:tc>
        <w:tc>
          <w:tcPr>
            <w:tcW w:w="1620" w:type="dxa"/>
            <w:vAlign w:val="bottom"/>
          </w:tcPr>
          <w:p w14:paraId="1E0061F4" w14:textId="77777777" w:rsidR="00CE7AAE" w:rsidRPr="00527469" w:rsidRDefault="00CE7AAE" w:rsidP="00157313">
            <w:pPr>
              <w:pStyle w:val="NoSpacing"/>
              <w:jc w:val="center"/>
              <w:rPr>
                <w:rFonts w:cstheme="minorHAnsi"/>
                <w:sz w:val="20"/>
                <w:szCs w:val="20"/>
              </w:rPr>
            </w:pPr>
            <w:r w:rsidRPr="00527469">
              <w:rPr>
                <w:rFonts w:cstheme="minorHAnsi"/>
                <w:color w:val="000000"/>
                <w:sz w:val="20"/>
                <w:szCs w:val="20"/>
              </w:rPr>
              <w:t>7,541</w:t>
            </w:r>
          </w:p>
        </w:tc>
        <w:tc>
          <w:tcPr>
            <w:tcW w:w="1890" w:type="dxa"/>
            <w:vAlign w:val="bottom"/>
          </w:tcPr>
          <w:p w14:paraId="0FBA9A85" w14:textId="77777777" w:rsidR="00CE7AAE" w:rsidRPr="00527469" w:rsidRDefault="00CE7AAE" w:rsidP="00157313">
            <w:pPr>
              <w:pStyle w:val="NoSpacing"/>
              <w:jc w:val="center"/>
              <w:rPr>
                <w:rFonts w:cstheme="minorHAnsi"/>
                <w:sz w:val="20"/>
                <w:szCs w:val="20"/>
              </w:rPr>
            </w:pPr>
            <w:r w:rsidRPr="00527469">
              <w:rPr>
                <w:rFonts w:cstheme="minorHAnsi"/>
                <w:color w:val="000000"/>
                <w:sz w:val="20"/>
                <w:szCs w:val="20"/>
              </w:rPr>
              <w:t>10,788</w:t>
            </w:r>
          </w:p>
        </w:tc>
      </w:tr>
      <w:tr w:rsidR="00CE7AAE" w:rsidRPr="00790C89" w14:paraId="74D703CC" w14:textId="77777777" w:rsidTr="00157313">
        <w:tc>
          <w:tcPr>
            <w:tcW w:w="3055" w:type="dxa"/>
            <w:vAlign w:val="bottom"/>
          </w:tcPr>
          <w:p w14:paraId="53374C5D" w14:textId="77777777" w:rsidR="00CE7AAE" w:rsidRPr="00527469" w:rsidRDefault="00CE7AAE" w:rsidP="00157313">
            <w:pPr>
              <w:pStyle w:val="NoSpacing"/>
              <w:rPr>
                <w:rFonts w:cstheme="minorHAnsi"/>
                <w:sz w:val="20"/>
                <w:szCs w:val="20"/>
              </w:rPr>
            </w:pPr>
            <w:r w:rsidRPr="00527469">
              <w:rPr>
                <w:rFonts w:cstheme="minorHAnsi"/>
                <w:color w:val="000000"/>
                <w:sz w:val="20"/>
                <w:szCs w:val="20"/>
              </w:rPr>
              <w:t>Standard Buses</w:t>
            </w:r>
            <w:r>
              <w:rPr>
                <w:rFonts w:cstheme="minorHAnsi"/>
                <w:color w:val="000000"/>
                <w:sz w:val="20"/>
                <w:szCs w:val="20"/>
              </w:rPr>
              <w:t xml:space="preserve"> (M3)</w:t>
            </w:r>
          </w:p>
        </w:tc>
        <w:tc>
          <w:tcPr>
            <w:tcW w:w="1260" w:type="dxa"/>
            <w:vAlign w:val="bottom"/>
          </w:tcPr>
          <w:p w14:paraId="0B7965ED" w14:textId="77777777" w:rsidR="00CE7AAE" w:rsidRPr="00527469" w:rsidRDefault="00CE7AAE" w:rsidP="00157313">
            <w:pPr>
              <w:pStyle w:val="NoSpacing"/>
              <w:jc w:val="center"/>
              <w:rPr>
                <w:rFonts w:cstheme="minorHAnsi"/>
                <w:sz w:val="20"/>
                <w:szCs w:val="20"/>
              </w:rPr>
            </w:pPr>
            <w:r w:rsidRPr="00527469">
              <w:rPr>
                <w:rFonts w:cstheme="minorHAnsi"/>
                <w:color w:val="000000"/>
                <w:sz w:val="20"/>
                <w:szCs w:val="20"/>
              </w:rPr>
              <w:t>12</w:t>
            </w:r>
          </w:p>
        </w:tc>
        <w:tc>
          <w:tcPr>
            <w:tcW w:w="1080" w:type="dxa"/>
            <w:vAlign w:val="bottom"/>
          </w:tcPr>
          <w:p w14:paraId="4B47FC47" w14:textId="77777777" w:rsidR="00CE7AAE" w:rsidRPr="00527469" w:rsidRDefault="00CE7AAE" w:rsidP="00157313">
            <w:pPr>
              <w:pStyle w:val="NoSpacing"/>
              <w:jc w:val="center"/>
              <w:rPr>
                <w:rFonts w:cstheme="minorHAnsi"/>
                <w:sz w:val="20"/>
                <w:szCs w:val="20"/>
              </w:rPr>
            </w:pPr>
            <w:r w:rsidRPr="00527469">
              <w:rPr>
                <w:rFonts w:cstheme="minorHAnsi"/>
                <w:color w:val="000000"/>
                <w:sz w:val="20"/>
                <w:szCs w:val="20"/>
              </w:rPr>
              <w:t>478</w:t>
            </w:r>
          </w:p>
        </w:tc>
        <w:tc>
          <w:tcPr>
            <w:tcW w:w="1620" w:type="dxa"/>
            <w:vAlign w:val="bottom"/>
          </w:tcPr>
          <w:p w14:paraId="23A61F10" w14:textId="77777777" w:rsidR="00CE7AAE" w:rsidRPr="00527469" w:rsidRDefault="00CE7AAE" w:rsidP="00157313">
            <w:pPr>
              <w:pStyle w:val="NoSpacing"/>
              <w:jc w:val="center"/>
              <w:rPr>
                <w:rFonts w:cstheme="minorHAnsi"/>
                <w:sz w:val="20"/>
                <w:szCs w:val="20"/>
              </w:rPr>
            </w:pPr>
            <w:r w:rsidRPr="00527469">
              <w:rPr>
                <w:rFonts w:cstheme="minorHAnsi"/>
                <w:color w:val="000000"/>
                <w:sz w:val="20"/>
                <w:szCs w:val="20"/>
              </w:rPr>
              <w:t>46,015</w:t>
            </w:r>
          </w:p>
        </w:tc>
        <w:tc>
          <w:tcPr>
            <w:tcW w:w="1890" w:type="dxa"/>
            <w:vAlign w:val="bottom"/>
          </w:tcPr>
          <w:p w14:paraId="37027889" w14:textId="77777777" w:rsidR="00CE7AAE" w:rsidRPr="00527469" w:rsidRDefault="00CE7AAE" w:rsidP="00157313">
            <w:pPr>
              <w:pStyle w:val="NoSpacing"/>
              <w:jc w:val="center"/>
              <w:rPr>
                <w:rFonts w:cstheme="minorHAnsi"/>
                <w:sz w:val="20"/>
                <w:szCs w:val="20"/>
              </w:rPr>
            </w:pPr>
            <w:r w:rsidRPr="00527469">
              <w:rPr>
                <w:rFonts w:cstheme="minorHAnsi"/>
                <w:color w:val="000000"/>
                <w:sz w:val="20"/>
                <w:szCs w:val="20"/>
              </w:rPr>
              <w:t>63,306</w:t>
            </w:r>
          </w:p>
        </w:tc>
      </w:tr>
      <w:tr w:rsidR="00CE7AAE" w:rsidRPr="00790C89" w14:paraId="31403C6E" w14:textId="77777777" w:rsidTr="00157313">
        <w:tc>
          <w:tcPr>
            <w:tcW w:w="3055" w:type="dxa"/>
            <w:vAlign w:val="bottom"/>
          </w:tcPr>
          <w:p w14:paraId="77B995C1" w14:textId="77777777" w:rsidR="00CE7AAE" w:rsidRPr="00527469" w:rsidRDefault="00CE7AAE" w:rsidP="00157313">
            <w:pPr>
              <w:pStyle w:val="NoSpacing"/>
              <w:rPr>
                <w:rFonts w:cstheme="minorHAnsi"/>
                <w:b/>
                <w:sz w:val="20"/>
                <w:szCs w:val="20"/>
              </w:rPr>
            </w:pPr>
            <w:r w:rsidRPr="00527469">
              <w:rPr>
                <w:rFonts w:cstheme="minorHAnsi"/>
                <w:b/>
                <w:bCs/>
                <w:color w:val="000000"/>
                <w:sz w:val="20"/>
                <w:szCs w:val="20"/>
              </w:rPr>
              <w:t>Total Buses</w:t>
            </w:r>
          </w:p>
        </w:tc>
        <w:tc>
          <w:tcPr>
            <w:tcW w:w="1260" w:type="dxa"/>
            <w:vAlign w:val="bottom"/>
          </w:tcPr>
          <w:p w14:paraId="25B2F5A4" w14:textId="77777777" w:rsidR="00CE7AAE" w:rsidRPr="00527469" w:rsidRDefault="00CE7AAE" w:rsidP="00157313">
            <w:pPr>
              <w:pStyle w:val="NoSpacing"/>
              <w:jc w:val="center"/>
              <w:rPr>
                <w:rFonts w:cstheme="minorHAnsi"/>
                <w:sz w:val="20"/>
                <w:szCs w:val="20"/>
              </w:rPr>
            </w:pPr>
            <w:r w:rsidRPr="00527469">
              <w:rPr>
                <w:rFonts w:cstheme="minorHAnsi"/>
                <w:b/>
                <w:bCs/>
                <w:color w:val="000000"/>
                <w:sz w:val="20"/>
                <w:szCs w:val="20"/>
              </w:rPr>
              <w:t>15</w:t>
            </w:r>
          </w:p>
        </w:tc>
        <w:tc>
          <w:tcPr>
            <w:tcW w:w="1080" w:type="dxa"/>
            <w:vAlign w:val="bottom"/>
          </w:tcPr>
          <w:p w14:paraId="5D86570A" w14:textId="77777777" w:rsidR="00CE7AAE" w:rsidRPr="00527469" w:rsidRDefault="00CE7AAE" w:rsidP="00157313">
            <w:pPr>
              <w:pStyle w:val="NoSpacing"/>
              <w:jc w:val="center"/>
              <w:rPr>
                <w:rFonts w:cstheme="minorHAnsi"/>
                <w:sz w:val="20"/>
                <w:szCs w:val="20"/>
              </w:rPr>
            </w:pPr>
            <w:r w:rsidRPr="00527469">
              <w:rPr>
                <w:rFonts w:cstheme="minorHAnsi"/>
                <w:b/>
                <w:bCs/>
                <w:color w:val="000000"/>
                <w:sz w:val="20"/>
                <w:szCs w:val="20"/>
              </w:rPr>
              <w:t>594</w:t>
            </w:r>
          </w:p>
        </w:tc>
        <w:tc>
          <w:tcPr>
            <w:tcW w:w="1620" w:type="dxa"/>
            <w:vAlign w:val="bottom"/>
          </w:tcPr>
          <w:p w14:paraId="05C5F8E5" w14:textId="77777777" w:rsidR="00CE7AAE" w:rsidRPr="00527469" w:rsidRDefault="00CE7AAE" w:rsidP="00157313">
            <w:pPr>
              <w:pStyle w:val="NoSpacing"/>
              <w:jc w:val="center"/>
              <w:rPr>
                <w:rFonts w:cstheme="minorHAnsi"/>
                <w:sz w:val="20"/>
                <w:szCs w:val="20"/>
              </w:rPr>
            </w:pPr>
            <w:r w:rsidRPr="00527469">
              <w:rPr>
                <w:rFonts w:cstheme="minorHAnsi"/>
                <w:b/>
                <w:bCs/>
                <w:color w:val="000000"/>
                <w:sz w:val="20"/>
                <w:szCs w:val="20"/>
              </w:rPr>
              <w:t>53,556</w:t>
            </w:r>
          </w:p>
        </w:tc>
        <w:tc>
          <w:tcPr>
            <w:tcW w:w="1890" w:type="dxa"/>
            <w:vAlign w:val="bottom"/>
          </w:tcPr>
          <w:p w14:paraId="16EA3000" w14:textId="77777777" w:rsidR="00CE7AAE" w:rsidRPr="00527469" w:rsidRDefault="00CE7AAE" w:rsidP="00157313">
            <w:pPr>
              <w:pStyle w:val="NoSpacing"/>
              <w:jc w:val="center"/>
              <w:rPr>
                <w:rFonts w:cstheme="minorHAnsi"/>
                <w:sz w:val="20"/>
                <w:szCs w:val="20"/>
              </w:rPr>
            </w:pPr>
            <w:r w:rsidRPr="00527469">
              <w:rPr>
                <w:rFonts w:cstheme="minorHAnsi"/>
                <w:b/>
                <w:bCs/>
                <w:color w:val="000000"/>
                <w:sz w:val="20"/>
                <w:szCs w:val="20"/>
              </w:rPr>
              <w:t>74,094</w:t>
            </w:r>
          </w:p>
        </w:tc>
      </w:tr>
      <w:tr w:rsidR="00CE7AAE" w:rsidRPr="00790C89" w14:paraId="58499298" w14:textId="77777777" w:rsidTr="00157313">
        <w:tc>
          <w:tcPr>
            <w:tcW w:w="3055" w:type="dxa"/>
            <w:vAlign w:val="bottom"/>
          </w:tcPr>
          <w:p w14:paraId="085B05EE" w14:textId="77777777" w:rsidR="00CE7AAE" w:rsidRPr="00527469" w:rsidRDefault="00CE7AAE" w:rsidP="00157313">
            <w:pPr>
              <w:pStyle w:val="NoSpacing"/>
              <w:rPr>
                <w:rFonts w:cstheme="minorHAnsi"/>
                <w:b/>
                <w:sz w:val="20"/>
                <w:szCs w:val="20"/>
              </w:rPr>
            </w:pPr>
            <w:r w:rsidRPr="00527469">
              <w:rPr>
                <w:rFonts w:cstheme="minorHAnsi"/>
                <w:color w:val="000000"/>
                <w:sz w:val="20"/>
                <w:szCs w:val="20"/>
              </w:rPr>
              <w:t>LCV</w:t>
            </w:r>
            <w:r>
              <w:rPr>
                <w:rFonts w:cstheme="minorHAnsi"/>
                <w:color w:val="000000"/>
                <w:sz w:val="20"/>
                <w:szCs w:val="20"/>
              </w:rPr>
              <w:t xml:space="preserve"> (N1)</w:t>
            </w:r>
          </w:p>
        </w:tc>
        <w:tc>
          <w:tcPr>
            <w:tcW w:w="1260" w:type="dxa"/>
            <w:vAlign w:val="bottom"/>
          </w:tcPr>
          <w:p w14:paraId="26FF3741" w14:textId="77777777" w:rsidR="00CE7AAE" w:rsidRPr="00527469" w:rsidRDefault="00CE7AAE" w:rsidP="00157313">
            <w:pPr>
              <w:pStyle w:val="NoSpacing"/>
              <w:jc w:val="center"/>
              <w:rPr>
                <w:rFonts w:cstheme="minorHAnsi"/>
                <w:sz w:val="20"/>
                <w:szCs w:val="20"/>
              </w:rPr>
            </w:pPr>
            <w:r w:rsidRPr="00527469">
              <w:rPr>
                <w:rFonts w:cstheme="minorHAnsi"/>
                <w:color w:val="000000"/>
                <w:sz w:val="20"/>
                <w:szCs w:val="20"/>
              </w:rPr>
              <w:t>27</w:t>
            </w:r>
          </w:p>
        </w:tc>
        <w:tc>
          <w:tcPr>
            <w:tcW w:w="1080" w:type="dxa"/>
            <w:vAlign w:val="bottom"/>
          </w:tcPr>
          <w:p w14:paraId="27F79082" w14:textId="77777777" w:rsidR="00CE7AAE" w:rsidRPr="00527469" w:rsidRDefault="00CE7AAE" w:rsidP="00157313">
            <w:pPr>
              <w:pStyle w:val="NoSpacing"/>
              <w:jc w:val="center"/>
              <w:rPr>
                <w:rFonts w:cstheme="minorHAnsi"/>
                <w:sz w:val="20"/>
                <w:szCs w:val="20"/>
              </w:rPr>
            </w:pPr>
            <w:r w:rsidRPr="00527469">
              <w:rPr>
                <w:rFonts w:cstheme="minorHAnsi"/>
                <w:color w:val="000000"/>
                <w:sz w:val="20"/>
                <w:szCs w:val="20"/>
              </w:rPr>
              <w:t>394</w:t>
            </w:r>
          </w:p>
        </w:tc>
        <w:tc>
          <w:tcPr>
            <w:tcW w:w="1620" w:type="dxa"/>
            <w:vAlign w:val="bottom"/>
          </w:tcPr>
          <w:p w14:paraId="5F6F812C" w14:textId="77777777" w:rsidR="00CE7AAE" w:rsidRPr="00527469" w:rsidRDefault="00CE7AAE" w:rsidP="00157313">
            <w:pPr>
              <w:pStyle w:val="NoSpacing"/>
              <w:jc w:val="center"/>
              <w:rPr>
                <w:rFonts w:cstheme="minorHAnsi"/>
                <w:sz w:val="20"/>
                <w:szCs w:val="20"/>
              </w:rPr>
            </w:pPr>
            <w:r w:rsidRPr="00527469">
              <w:rPr>
                <w:rFonts w:cstheme="minorHAnsi"/>
                <w:color w:val="000000"/>
                <w:sz w:val="20"/>
                <w:szCs w:val="20"/>
              </w:rPr>
              <w:t>126,856</w:t>
            </w:r>
          </w:p>
        </w:tc>
        <w:tc>
          <w:tcPr>
            <w:tcW w:w="1890" w:type="dxa"/>
            <w:vAlign w:val="bottom"/>
          </w:tcPr>
          <w:p w14:paraId="53BB6CCB" w14:textId="77777777" w:rsidR="00CE7AAE" w:rsidRPr="00527469" w:rsidRDefault="00CE7AAE" w:rsidP="00157313">
            <w:pPr>
              <w:pStyle w:val="NoSpacing"/>
              <w:jc w:val="center"/>
              <w:rPr>
                <w:rFonts w:cstheme="minorHAnsi"/>
                <w:sz w:val="20"/>
                <w:szCs w:val="20"/>
              </w:rPr>
            </w:pPr>
            <w:r w:rsidRPr="00527469">
              <w:rPr>
                <w:rFonts w:cstheme="minorHAnsi"/>
                <w:color w:val="000000"/>
                <w:sz w:val="20"/>
                <w:szCs w:val="20"/>
              </w:rPr>
              <w:t>173,741</w:t>
            </w:r>
          </w:p>
        </w:tc>
      </w:tr>
      <w:tr w:rsidR="00CE7AAE" w:rsidRPr="00790C89" w14:paraId="029EF2F6" w14:textId="77777777" w:rsidTr="00157313">
        <w:tc>
          <w:tcPr>
            <w:tcW w:w="3055" w:type="dxa"/>
            <w:vAlign w:val="bottom"/>
          </w:tcPr>
          <w:p w14:paraId="1989ABCF" w14:textId="77777777" w:rsidR="00CE7AAE" w:rsidRPr="00527469" w:rsidRDefault="00CE7AAE" w:rsidP="00157313">
            <w:pPr>
              <w:pStyle w:val="NoSpacing"/>
              <w:rPr>
                <w:rFonts w:cstheme="minorHAnsi"/>
                <w:b/>
                <w:sz w:val="20"/>
                <w:szCs w:val="20"/>
              </w:rPr>
            </w:pPr>
            <w:r w:rsidRPr="00527469">
              <w:rPr>
                <w:rFonts w:cstheme="minorHAnsi"/>
                <w:color w:val="000000"/>
                <w:sz w:val="20"/>
                <w:szCs w:val="20"/>
              </w:rPr>
              <w:t>Medium truck 3.5-12t</w:t>
            </w:r>
            <w:r>
              <w:rPr>
                <w:rFonts w:cstheme="minorHAnsi"/>
                <w:color w:val="000000"/>
                <w:sz w:val="20"/>
                <w:szCs w:val="20"/>
              </w:rPr>
              <w:t xml:space="preserve"> (N2)</w:t>
            </w:r>
          </w:p>
        </w:tc>
        <w:tc>
          <w:tcPr>
            <w:tcW w:w="1260" w:type="dxa"/>
            <w:vAlign w:val="bottom"/>
          </w:tcPr>
          <w:p w14:paraId="5190EED4" w14:textId="77777777" w:rsidR="00CE7AAE" w:rsidRPr="00527469" w:rsidRDefault="00CE7AAE" w:rsidP="00157313">
            <w:pPr>
              <w:pStyle w:val="NoSpacing"/>
              <w:jc w:val="center"/>
              <w:rPr>
                <w:rFonts w:cstheme="minorHAnsi"/>
                <w:sz w:val="20"/>
                <w:szCs w:val="20"/>
              </w:rPr>
            </w:pPr>
            <w:r w:rsidRPr="00527469">
              <w:rPr>
                <w:rFonts w:cstheme="minorHAnsi"/>
                <w:color w:val="000000"/>
                <w:sz w:val="20"/>
                <w:szCs w:val="20"/>
              </w:rPr>
              <w:t>10</w:t>
            </w:r>
          </w:p>
        </w:tc>
        <w:tc>
          <w:tcPr>
            <w:tcW w:w="1080" w:type="dxa"/>
            <w:vAlign w:val="bottom"/>
          </w:tcPr>
          <w:p w14:paraId="4027118F" w14:textId="77777777" w:rsidR="00CE7AAE" w:rsidRPr="00527469" w:rsidRDefault="00CE7AAE" w:rsidP="00157313">
            <w:pPr>
              <w:pStyle w:val="NoSpacing"/>
              <w:jc w:val="center"/>
              <w:rPr>
                <w:rFonts w:cstheme="minorHAnsi"/>
                <w:sz w:val="20"/>
                <w:szCs w:val="20"/>
              </w:rPr>
            </w:pPr>
            <w:r w:rsidRPr="00527469">
              <w:rPr>
                <w:rFonts w:cstheme="minorHAnsi"/>
                <w:color w:val="000000"/>
                <w:sz w:val="20"/>
                <w:szCs w:val="20"/>
              </w:rPr>
              <w:t>356</w:t>
            </w:r>
          </w:p>
        </w:tc>
        <w:tc>
          <w:tcPr>
            <w:tcW w:w="1620" w:type="dxa"/>
            <w:vAlign w:val="bottom"/>
          </w:tcPr>
          <w:p w14:paraId="35D96CEC" w14:textId="77777777" w:rsidR="00CE7AAE" w:rsidRPr="00527469" w:rsidRDefault="00CE7AAE" w:rsidP="00157313">
            <w:pPr>
              <w:pStyle w:val="NoSpacing"/>
              <w:jc w:val="center"/>
              <w:rPr>
                <w:rFonts w:cstheme="minorHAnsi"/>
                <w:sz w:val="20"/>
                <w:szCs w:val="20"/>
              </w:rPr>
            </w:pPr>
            <w:r w:rsidRPr="00527469">
              <w:rPr>
                <w:rFonts w:cstheme="minorHAnsi"/>
                <w:color w:val="000000"/>
                <w:sz w:val="20"/>
                <w:szCs w:val="20"/>
              </w:rPr>
              <w:t>37,104</w:t>
            </w:r>
          </w:p>
        </w:tc>
        <w:tc>
          <w:tcPr>
            <w:tcW w:w="1890" w:type="dxa"/>
            <w:vAlign w:val="bottom"/>
          </w:tcPr>
          <w:p w14:paraId="713468A2" w14:textId="77777777" w:rsidR="00CE7AAE" w:rsidRPr="00527469" w:rsidRDefault="00CE7AAE" w:rsidP="00157313">
            <w:pPr>
              <w:pStyle w:val="NoSpacing"/>
              <w:jc w:val="center"/>
              <w:rPr>
                <w:rFonts w:cstheme="minorHAnsi"/>
                <w:sz w:val="20"/>
                <w:szCs w:val="20"/>
              </w:rPr>
            </w:pPr>
            <w:r w:rsidRPr="00527469">
              <w:rPr>
                <w:rFonts w:cstheme="minorHAnsi"/>
                <w:color w:val="000000"/>
                <w:sz w:val="20"/>
                <w:szCs w:val="20"/>
              </w:rPr>
              <w:t>50,615</w:t>
            </w:r>
          </w:p>
        </w:tc>
      </w:tr>
      <w:tr w:rsidR="00CE7AAE" w:rsidRPr="00790C89" w14:paraId="4CFB94F1" w14:textId="77777777" w:rsidTr="00157313">
        <w:tc>
          <w:tcPr>
            <w:tcW w:w="3055" w:type="dxa"/>
            <w:vAlign w:val="bottom"/>
          </w:tcPr>
          <w:p w14:paraId="26DB6E42" w14:textId="77777777" w:rsidR="00CE7AAE" w:rsidRPr="00527469" w:rsidRDefault="00CE7AAE" w:rsidP="00157313">
            <w:pPr>
              <w:pStyle w:val="NoSpacing"/>
              <w:rPr>
                <w:rFonts w:cstheme="minorHAnsi"/>
                <w:b/>
                <w:sz w:val="20"/>
                <w:szCs w:val="20"/>
              </w:rPr>
            </w:pPr>
            <w:r w:rsidRPr="00527469">
              <w:rPr>
                <w:rFonts w:cstheme="minorHAnsi"/>
                <w:color w:val="000000"/>
                <w:sz w:val="20"/>
                <w:szCs w:val="20"/>
              </w:rPr>
              <w:t>Large truck&gt;12t</w:t>
            </w:r>
            <w:r>
              <w:rPr>
                <w:rFonts w:cstheme="minorHAnsi"/>
                <w:color w:val="000000"/>
                <w:sz w:val="20"/>
                <w:szCs w:val="20"/>
              </w:rPr>
              <w:t xml:space="preserve"> (N3)</w:t>
            </w:r>
          </w:p>
        </w:tc>
        <w:tc>
          <w:tcPr>
            <w:tcW w:w="1260" w:type="dxa"/>
            <w:vAlign w:val="bottom"/>
          </w:tcPr>
          <w:p w14:paraId="4B2197DF" w14:textId="77777777" w:rsidR="00CE7AAE" w:rsidRPr="00527469" w:rsidRDefault="00CE7AAE" w:rsidP="00157313">
            <w:pPr>
              <w:pStyle w:val="NoSpacing"/>
              <w:jc w:val="center"/>
              <w:rPr>
                <w:rFonts w:cstheme="minorHAnsi"/>
                <w:sz w:val="20"/>
                <w:szCs w:val="20"/>
              </w:rPr>
            </w:pPr>
            <w:r w:rsidRPr="00527469">
              <w:rPr>
                <w:rFonts w:cstheme="minorHAnsi"/>
                <w:color w:val="000000"/>
                <w:sz w:val="20"/>
                <w:szCs w:val="20"/>
              </w:rPr>
              <w:t>39</w:t>
            </w:r>
          </w:p>
        </w:tc>
        <w:tc>
          <w:tcPr>
            <w:tcW w:w="1080" w:type="dxa"/>
            <w:vAlign w:val="bottom"/>
          </w:tcPr>
          <w:p w14:paraId="62CC11D6" w14:textId="77777777" w:rsidR="00CE7AAE" w:rsidRPr="00527469" w:rsidRDefault="00CE7AAE" w:rsidP="00157313">
            <w:pPr>
              <w:pStyle w:val="NoSpacing"/>
              <w:jc w:val="center"/>
              <w:rPr>
                <w:rFonts w:cstheme="minorHAnsi"/>
                <w:sz w:val="20"/>
                <w:szCs w:val="20"/>
              </w:rPr>
            </w:pPr>
            <w:r w:rsidRPr="00527469">
              <w:rPr>
                <w:rFonts w:cstheme="minorHAnsi"/>
                <w:color w:val="000000"/>
                <w:sz w:val="20"/>
                <w:szCs w:val="20"/>
              </w:rPr>
              <w:t>1,097</w:t>
            </w:r>
          </w:p>
        </w:tc>
        <w:tc>
          <w:tcPr>
            <w:tcW w:w="1620" w:type="dxa"/>
            <w:vAlign w:val="bottom"/>
          </w:tcPr>
          <w:p w14:paraId="49D5380D" w14:textId="77777777" w:rsidR="00CE7AAE" w:rsidRPr="00527469" w:rsidRDefault="00CE7AAE" w:rsidP="00157313">
            <w:pPr>
              <w:pStyle w:val="NoSpacing"/>
              <w:jc w:val="center"/>
              <w:rPr>
                <w:rFonts w:cstheme="minorHAnsi"/>
                <w:sz w:val="20"/>
                <w:szCs w:val="20"/>
              </w:rPr>
            </w:pPr>
            <w:r w:rsidRPr="00527469">
              <w:rPr>
                <w:rFonts w:cstheme="minorHAnsi"/>
                <w:color w:val="000000"/>
                <w:sz w:val="20"/>
                <w:szCs w:val="20"/>
              </w:rPr>
              <w:t>200,140</w:t>
            </w:r>
          </w:p>
        </w:tc>
        <w:tc>
          <w:tcPr>
            <w:tcW w:w="1890" w:type="dxa"/>
            <w:vAlign w:val="bottom"/>
          </w:tcPr>
          <w:p w14:paraId="13D4277D" w14:textId="77777777" w:rsidR="00CE7AAE" w:rsidRPr="00527469" w:rsidRDefault="00CE7AAE" w:rsidP="00157313">
            <w:pPr>
              <w:pStyle w:val="NoSpacing"/>
              <w:jc w:val="center"/>
              <w:rPr>
                <w:rFonts w:cstheme="minorHAnsi"/>
                <w:sz w:val="20"/>
                <w:szCs w:val="20"/>
              </w:rPr>
            </w:pPr>
            <w:r w:rsidRPr="00527469">
              <w:rPr>
                <w:rFonts w:cstheme="minorHAnsi"/>
                <w:color w:val="000000"/>
                <w:sz w:val="20"/>
                <w:szCs w:val="20"/>
              </w:rPr>
              <w:t>267,544</w:t>
            </w:r>
          </w:p>
        </w:tc>
      </w:tr>
      <w:tr w:rsidR="00CE7AAE" w:rsidRPr="00790C89" w14:paraId="3902F538" w14:textId="77777777" w:rsidTr="00157313">
        <w:tc>
          <w:tcPr>
            <w:tcW w:w="3055" w:type="dxa"/>
            <w:vAlign w:val="bottom"/>
          </w:tcPr>
          <w:p w14:paraId="6A8DB3AB" w14:textId="77777777" w:rsidR="00CE7AAE" w:rsidRPr="00527469" w:rsidRDefault="00CE7AAE" w:rsidP="00157313">
            <w:pPr>
              <w:pStyle w:val="NoSpacing"/>
              <w:rPr>
                <w:rFonts w:cstheme="minorHAnsi"/>
                <w:b/>
                <w:sz w:val="20"/>
                <w:szCs w:val="20"/>
              </w:rPr>
            </w:pPr>
            <w:r w:rsidRPr="00527469">
              <w:rPr>
                <w:rFonts w:cstheme="minorHAnsi"/>
                <w:b/>
                <w:bCs/>
                <w:color w:val="000000"/>
                <w:sz w:val="20"/>
                <w:szCs w:val="20"/>
              </w:rPr>
              <w:t>Total Trucks</w:t>
            </w:r>
          </w:p>
        </w:tc>
        <w:tc>
          <w:tcPr>
            <w:tcW w:w="1260" w:type="dxa"/>
            <w:vAlign w:val="bottom"/>
          </w:tcPr>
          <w:p w14:paraId="5932AA52" w14:textId="77777777" w:rsidR="00CE7AAE" w:rsidRPr="00527469" w:rsidRDefault="00CE7AAE" w:rsidP="00157313">
            <w:pPr>
              <w:pStyle w:val="NoSpacing"/>
              <w:jc w:val="center"/>
              <w:rPr>
                <w:rFonts w:cstheme="minorHAnsi"/>
                <w:sz w:val="20"/>
                <w:szCs w:val="20"/>
              </w:rPr>
            </w:pPr>
            <w:r w:rsidRPr="00527469">
              <w:rPr>
                <w:rFonts w:cstheme="minorHAnsi"/>
                <w:b/>
                <w:bCs/>
                <w:color w:val="000000"/>
                <w:sz w:val="20"/>
                <w:szCs w:val="20"/>
              </w:rPr>
              <w:t>75</w:t>
            </w:r>
          </w:p>
        </w:tc>
        <w:tc>
          <w:tcPr>
            <w:tcW w:w="1080" w:type="dxa"/>
            <w:vAlign w:val="bottom"/>
          </w:tcPr>
          <w:p w14:paraId="07BCE7A8" w14:textId="77777777" w:rsidR="00CE7AAE" w:rsidRPr="00527469" w:rsidRDefault="00CE7AAE" w:rsidP="00157313">
            <w:pPr>
              <w:pStyle w:val="NoSpacing"/>
              <w:jc w:val="center"/>
              <w:rPr>
                <w:rFonts w:cstheme="minorHAnsi"/>
                <w:sz w:val="20"/>
                <w:szCs w:val="20"/>
              </w:rPr>
            </w:pPr>
            <w:r w:rsidRPr="00527469">
              <w:rPr>
                <w:rFonts w:cstheme="minorHAnsi"/>
                <w:b/>
                <w:bCs/>
                <w:color w:val="000000"/>
                <w:sz w:val="20"/>
                <w:szCs w:val="20"/>
              </w:rPr>
              <w:t>1,847</w:t>
            </w:r>
          </w:p>
        </w:tc>
        <w:tc>
          <w:tcPr>
            <w:tcW w:w="1620" w:type="dxa"/>
            <w:vAlign w:val="bottom"/>
          </w:tcPr>
          <w:p w14:paraId="750FBFAA" w14:textId="77777777" w:rsidR="00CE7AAE" w:rsidRPr="00527469" w:rsidRDefault="00CE7AAE" w:rsidP="00157313">
            <w:pPr>
              <w:pStyle w:val="NoSpacing"/>
              <w:jc w:val="center"/>
              <w:rPr>
                <w:rFonts w:cstheme="minorHAnsi"/>
                <w:sz w:val="20"/>
                <w:szCs w:val="20"/>
              </w:rPr>
            </w:pPr>
            <w:r w:rsidRPr="00527469">
              <w:rPr>
                <w:rFonts w:cstheme="minorHAnsi"/>
                <w:b/>
                <w:bCs/>
                <w:color w:val="000000"/>
                <w:sz w:val="20"/>
                <w:szCs w:val="20"/>
              </w:rPr>
              <w:t>364,101</w:t>
            </w:r>
          </w:p>
        </w:tc>
        <w:tc>
          <w:tcPr>
            <w:tcW w:w="1890" w:type="dxa"/>
            <w:vAlign w:val="bottom"/>
          </w:tcPr>
          <w:p w14:paraId="7838E054" w14:textId="77777777" w:rsidR="00CE7AAE" w:rsidRPr="00527469" w:rsidRDefault="00CE7AAE" w:rsidP="00157313">
            <w:pPr>
              <w:pStyle w:val="NoSpacing"/>
              <w:jc w:val="center"/>
              <w:rPr>
                <w:rFonts w:cstheme="minorHAnsi"/>
                <w:sz w:val="20"/>
                <w:szCs w:val="20"/>
              </w:rPr>
            </w:pPr>
            <w:r w:rsidRPr="00527469">
              <w:rPr>
                <w:rFonts w:cstheme="minorHAnsi"/>
                <w:b/>
                <w:bCs/>
                <w:color w:val="000000"/>
                <w:sz w:val="20"/>
                <w:szCs w:val="20"/>
              </w:rPr>
              <w:t>491,899</w:t>
            </w:r>
          </w:p>
        </w:tc>
      </w:tr>
      <w:tr w:rsidR="00CE7AAE" w:rsidRPr="00790C89" w14:paraId="1DF1E009" w14:textId="77777777" w:rsidTr="00157313">
        <w:tc>
          <w:tcPr>
            <w:tcW w:w="3055" w:type="dxa"/>
            <w:vAlign w:val="bottom"/>
          </w:tcPr>
          <w:p w14:paraId="4186452D" w14:textId="77777777" w:rsidR="00CE7AAE" w:rsidRPr="00527469" w:rsidRDefault="00CE7AAE" w:rsidP="00157313">
            <w:pPr>
              <w:pStyle w:val="NoSpacing"/>
              <w:rPr>
                <w:rFonts w:cstheme="minorHAnsi"/>
                <w:b/>
                <w:sz w:val="20"/>
                <w:szCs w:val="20"/>
              </w:rPr>
            </w:pPr>
            <w:r w:rsidRPr="00527469">
              <w:rPr>
                <w:rFonts w:cstheme="minorHAnsi"/>
                <w:b/>
                <w:bCs/>
                <w:color w:val="000000"/>
                <w:sz w:val="20"/>
                <w:szCs w:val="20"/>
              </w:rPr>
              <w:t>Total Vehicles</w:t>
            </w:r>
          </w:p>
        </w:tc>
        <w:tc>
          <w:tcPr>
            <w:tcW w:w="1260" w:type="dxa"/>
            <w:vAlign w:val="bottom"/>
          </w:tcPr>
          <w:p w14:paraId="5718B566" w14:textId="77777777" w:rsidR="00CE7AAE" w:rsidRPr="00527469" w:rsidRDefault="00CE7AAE" w:rsidP="00157313">
            <w:pPr>
              <w:pStyle w:val="NoSpacing"/>
              <w:jc w:val="center"/>
              <w:rPr>
                <w:rFonts w:cstheme="minorHAnsi"/>
                <w:sz w:val="20"/>
                <w:szCs w:val="20"/>
              </w:rPr>
            </w:pPr>
            <w:r w:rsidRPr="00527469">
              <w:rPr>
                <w:rFonts w:cstheme="minorHAnsi"/>
                <w:b/>
                <w:bCs/>
                <w:color w:val="000000"/>
                <w:sz w:val="20"/>
                <w:szCs w:val="20"/>
              </w:rPr>
              <w:t>219</w:t>
            </w:r>
          </w:p>
        </w:tc>
        <w:tc>
          <w:tcPr>
            <w:tcW w:w="1080" w:type="dxa"/>
            <w:vAlign w:val="bottom"/>
          </w:tcPr>
          <w:p w14:paraId="69F3F307" w14:textId="77777777" w:rsidR="00CE7AAE" w:rsidRPr="00527469" w:rsidRDefault="00CE7AAE" w:rsidP="00157313">
            <w:pPr>
              <w:pStyle w:val="NoSpacing"/>
              <w:jc w:val="center"/>
              <w:rPr>
                <w:rFonts w:cstheme="minorHAnsi"/>
                <w:sz w:val="20"/>
                <w:szCs w:val="20"/>
              </w:rPr>
            </w:pPr>
            <w:r w:rsidRPr="00527469">
              <w:rPr>
                <w:rFonts w:cstheme="minorHAnsi"/>
                <w:b/>
                <w:bCs/>
                <w:color w:val="000000"/>
                <w:sz w:val="20"/>
                <w:szCs w:val="20"/>
              </w:rPr>
              <w:t>4,882</w:t>
            </w:r>
          </w:p>
        </w:tc>
        <w:tc>
          <w:tcPr>
            <w:tcW w:w="1620" w:type="dxa"/>
            <w:vAlign w:val="bottom"/>
          </w:tcPr>
          <w:p w14:paraId="4EBF3FBD" w14:textId="77777777" w:rsidR="00CE7AAE" w:rsidRPr="00527469" w:rsidRDefault="00CE7AAE" w:rsidP="00157313">
            <w:pPr>
              <w:pStyle w:val="NoSpacing"/>
              <w:jc w:val="center"/>
              <w:rPr>
                <w:rFonts w:cstheme="minorHAnsi"/>
                <w:sz w:val="20"/>
                <w:szCs w:val="20"/>
              </w:rPr>
            </w:pPr>
            <w:r w:rsidRPr="00527469">
              <w:rPr>
                <w:rFonts w:cstheme="minorHAnsi"/>
                <w:b/>
                <w:bCs/>
                <w:color w:val="000000"/>
                <w:sz w:val="20"/>
                <w:szCs w:val="20"/>
              </w:rPr>
              <w:t>1,079,202</w:t>
            </w:r>
          </w:p>
        </w:tc>
        <w:tc>
          <w:tcPr>
            <w:tcW w:w="1890" w:type="dxa"/>
            <w:vAlign w:val="bottom"/>
          </w:tcPr>
          <w:p w14:paraId="19FD1A97" w14:textId="77777777" w:rsidR="00CE7AAE" w:rsidRPr="00527469" w:rsidRDefault="00CE7AAE" w:rsidP="00157313">
            <w:pPr>
              <w:pStyle w:val="NoSpacing"/>
              <w:jc w:val="center"/>
              <w:rPr>
                <w:rFonts w:cstheme="minorHAnsi"/>
                <w:sz w:val="20"/>
                <w:szCs w:val="20"/>
              </w:rPr>
            </w:pPr>
            <w:r w:rsidRPr="00527469">
              <w:rPr>
                <w:rFonts w:cstheme="minorHAnsi"/>
                <w:b/>
                <w:bCs/>
                <w:color w:val="000000"/>
                <w:sz w:val="20"/>
                <w:szCs w:val="20"/>
              </w:rPr>
              <w:t>1,457,460</w:t>
            </w:r>
          </w:p>
        </w:tc>
      </w:tr>
    </w:tbl>
    <w:p w14:paraId="632C7031" w14:textId="6C2846CA" w:rsidR="00CE7AAE" w:rsidRPr="00CE7AAE" w:rsidRDefault="00CE7AAE" w:rsidP="00CE7AAE">
      <w:pPr>
        <w:pStyle w:val="NoSpacing"/>
        <w:rPr>
          <w:sz w:val="20"/>
          <w:szCs w:val="20"/>
        </w:rPr>
      </w:pPr>
      <w:r w:rsidRPr="00AC1E7A">
        <w:rPr>
          <w:sz w:val="20"/>
        </w:rPr>
        <w:t xml:space="preserve">Source: </w:t>
      </w:r>
      <w:r>
        <w:rPr>
          <w:sz w:val="20"/>
        </w:rPr>
        <w:t>G</w:t>
      </w:r>
      <w:r w:rsidRPr="00AC1E7A">
        <w:rPr>
          <w:sz w:val="20"/>
        </w:rPr>
        <w:t>rutter Consulting using COPERT</w:t>
      </w:r>
      <w:r>
        <w:rPr>
          <w:sz w:val="20"/>
        </w:rPr>
        <w:t>-see EEA (</w:t>
      </w:r>
      <w:r w:rsidRPr="00CE7AAE">
        <w:rPr>
          <w:sz w:val="20"/>
          <w:szCs w:val="20"/>
        </w:rPr>
        <w:t>2018) Air pollutant emission inventory guidebook; see Annex for details; motorcycles have been excluded due to their very low share.</w:t>
      </w:r>
    </w:p>
    <w:p w14:paraId="3FAA6843" w14:textId="026C267E" w:rsidR="00CE7AAE" w:rsidRDefault="00CE7AAE" w:rsidP="00CE7AAE">
      <w:pPr>
        <w:jc w:val="both"/>
        <w:rPr>
          <w:sz w:val="20"/>
        </w:rPr>
      </w:pPr>
      <w:r w:rsidRPr="00AC1E7A">
        <w:rPr>
          <w:sz w:val="20"/>
        </w:rPr>
        <w:t xml:space="preserve">TTW = tank-to-wheel emissions i.e. combustion </w:t>
      </w:r>
      <w:r>
        <w:rPr>
          <w:sz w:val="20"/>
        </w:rPr>
        <w:t xml:space="preserve">related </w:t>
      </w:r>
      <w:r w:rsidRPr="00AC1E7A">
        <w:rPr>
          <w:sz w:val="20"/>
        </w:rPr>
        <w:t>emissions; WTW = well-to-wheel emissions i.e. includes G</w:t>
      </w:r>
      <w:r>
        <w:rPr>
          <w:sz w:val="20"/>
        </w:rPr>
        <w:t>reenhouse gas (G</w:t>
      </w:r>
      <w:r w:rsidRPr="00AC1E7A">
        <w:rPr>
          <w:sz w:val="20"/>
        </w:rPr>
        <w:t>HG</w:t>
      </w:r>
      <w:r>
        <w:rPr>
          <w:sz w:val="20"/>
        </w:rPr>
        <w:t>)</w:t>
      </w:r>
      <w:r w:rsidRPr="00AC1E7A">
        <w:rPr>
          <w:sz w:val="20"/>
        </w:rPr>
        <w:t xml:space="preserve"> emissions due to fuel extraction, transport and refinery based on </w:t>
      </w:r>
      <w:r>
        <w:rPr>
          <w:sz w:val="20"/>
        </w:rPr>
        <w:t>the</w:t>
      </w:r>
      <w:r w:rsidRPr="00AC1E7A">
        <w:rPr>
          <w:sz w:val="20"/>
        </w:rPr>
        <w:t xml:space="preserve"> UNFCCC default value per fuel type</w:t>
      </w:r>
      <w:r>
        <w:rPr>
          <w:rStyle w:val="FootnoteReference"/>
          <w:sz w:val="20"/>
        </w:rPr>
        <w:footnoteReference w:id="12"/>
      </w:r>
      <w:r>
        <w:rPr>
          <w:sz w:val="20"/>
        </w:rPr>
        <w:t xml:space="preserve">; </w:t>
      </w:r>
      <w:r w:rsidRPr="00AC1E7A">
        <w:rPr>
          <w:sz w:val="20"/>
        </w:rPr>
        <w:t>BC = Black Carbon emissions expressed as CO</w:t>
      </w:r>
      <w:r w:rsidRPr="00AC1E7A">
        <w:rPr>
          <w:sz w:val="20"/>
          <w:vertAlign w:val="subscript"/>
        </w:rPr>
        <w:t>2</w:t>
      </w:r>
      <w:r w:rsidRPr="00AC1E7A">
        <w:rPr>
          <w:sz w:val="20"/>
        </w:rPr>
        <w:t xml:space="preserve"> equivalent based on </w:t>
      </w:r>
      <w:r>
        <w:rPr>
          <w:sz w:val="20"/>
        </w:rPr>
        <w:t>the</w:t>
      </w:r>
      <w:r w:rsidRPr="00AC1E7A">
        <w:rPr>
          <w:sz w:val="20"/>
        </w:rPr>
        <w:t xml:space="preserve"> IPCC default value for the Global Warming Impact of BC</w:t>
      </w:r>
      <w:r>
        <w:rPr>
          <w:rStyle w:val="FootnoteReference"/>
          <w:sz w:val="20"/>
        </w:rPr>
        <w:footnoteReference w:id="13"/>
      </w:r>
      <w:r w:rsidRPr="00AC1E7A">
        <w:rPr>
          <w:sz w:val="20"/>
        </w:rPr>
        <w:t xml:space="preserve"> and the BC fraction in PM</w:t>
      </w:r>
      <w:r w:rsidRPr="00AC1E7A">
        <w:rPr>
          <w:sz w:val="20"/>
          <w:vertAlign w:val="subscript"/>
        </w:rPr>
        <w:t>2.5</w:t>
      </w:r>
      <w:r w:rsidRPr="00AC1E7A">
        <w:rPr>
          <w:sz w:val="20"/>
        </w:rPr>
        <w:t xml:space="preserve"> relative to the Euro category and vehicle type based on COPERT, </w:t>
      </w:r>
      <w:r>
        <w:rPr>
          <w:sz w:val="20"/>
        </w:rPr>
        <w:t>EEA (</w:t>
      </w:r>
      <w:r w:rsidRPr="00AC1E7A">
        <w:rPr>
          <w:sz w:val="20"/>
        </w:rPr>
        <w:t>2018</w:t>
      </w:r>
      <w:r>
        <w:rPr>
          <w:sz w:val="20"/>
        </w:rPr>
        <w:t>)</w:t>
      </w:r>
    </w:p>
    <w:p w14:paraId="6DE2756B" w14:textId="77777777" w:rsidR="007979CF" w:rsidRDefault="007979CF" w:rsidP="007979CF">
      <w:pPr>
        <w:jc w:val="both"/>
      </w:pPr>
      <w:r>
        <w:t>A projection of vehicle emissions to 2030 is realized based on replacing the oldest vehicles in a continuous manner plus vehicle growth based on GDP growth and assuming a constant GDP-passenger and freight vehicle elasticity of 1. The following graph shows the indexed level of emissions.</w:t>
      </w:r>
    </w:p>
    <w:p w14:paraId="23BF7D7D" w14:textId="207D9CBD" w:rsidR="007979CF" w:rsidRDefault="007E38B1" w:rsidP="007979CF">
      <w:pPr>
        <w:pStyle w:val="NoSpacing"/>
        <w:rPr>
          <w:b/>
          <w:sz w:val="20"/>
        </w:rPr>
      </w:pPr>
      <w:r>
        <w:rPr>
          <w:b/>
          <w:sz w:val="20"/>
        </w:rPr>
        <w:br w:type="column"/>
      </w:r>
      <w:r w:rsidR="007979CF" w:rsidRPr="00E56FA3">
        <w:rPr>
          <w:b/>
          <w:sz w:val="20"/>
        </w:rPr>
        <w:lastRenderedPageBreak/>
        <w:t xml:space="preserve">Figure </w:t>
      </w:r>
      <w:r w:rsidR="007979CF" w:rsidRPr="00E56FA3">
        <w:rPr>
          <w:b/>
          <w:sz w:val="20"/>
        </w:rPr>
        <w:fldChar w:fldCharType="begin"/>
      </w:r>
      <w:r w:rsidR="007979CF" w:rsidRPr="00E56FA3">
        <w:rPr>
          <w:b/>
          <w:sz w:val="20"/>
        </w:rPr>
        <w:instrText xml:space="preserve"> SEQ Figure \* ARABIC </w:instrText>
      </w:r>
      <w:r w:rsidR="007979CF" w:rsidRPr="00E56FA3">
        <w:rPr>
          <w:b/>
          <w:sz w:val="20"/>
        </w:rPr>
        <w:fldChar w:fldCharType="separate"/>
      </w:r>
      <w:r w:rsidR="007979CF" w:rsidRPr="00E56FA3">
        <w:rPr>
          <w:b/>
          <w:noProof/>
          <w:sz w:val="20"/>
        </w:rPr>
        <w:t>5</w:t>
      </w:r>
      <w:r w:rsidR="007979CF" w:rsidRPr="00E56FA3">
        <w:rPr>
          <w:b/>
          <w:sz w:val="20"/>
        </w:rPr>
        <w:fldChar w:fldCharType="end"/>
      </w:r>
      <w:r w:rsidR="007979CF" w:rsidRPr="00E56FA3">
        <w:rPr>
          <w:b/>
          <w:sz w:val="20"/>
        </w:rPr>
        <w:t>: Index of Vehicle Emissions 2018-2030</w:t>
      </w:r>
      <w:r w:rsidR="007979CF">
        <w:rPr>
          <w:b/>
          <w:sz w:val="20"/>
        </w:rPr>
        <w:t xml:space="preserve"> (BAU scenario)</w:t>
      </w:r>
    </w:p>
    <w:p w14:paraId="043DE261" w14:textId="77777777" w:rsidR="007979CF" w:rsidRPr="00E56FA3" w:rsidRDefault="007979CF" w:rsidP="007979CF">
      <w:pPr>
        <w:pStyle w:val="NoSpacing"/>
        <w:rPr>
          <w:b/>
          <w:sz w:val="20"/>
        </w:rPr>
      </w:pPr>
      <w:r>
        <w:rPr>
          <w:noProof/>
        </w:rPr>
        <w:drawing>
          <wp:inline distT="0" distB="0" distL="0" distR="0" wp14:anchorId="4E83ABAE" wp14:editId="2C5E1D0F">
            <wp:extent cx="5615940" cy="3139440"/>
            <wp:effectExtent l="0" t="0" r="3810" b="3810"/>
            <wp:docPr id="35" name="Chart 35">
              <a:extLst xmlns:a="http://schemas.openxmlformats.org/drawingml/2006/main">
                <a:ext uri="{FF2B5EF4-FFF2-40B4-BE49-F238E27FC236}">
                  <a16:creationId xmlns:a16="http://schemas.microsoft.com/office/drawing/2014/main" id="{25A3D029-4D6A-481A-9E2E-646D03A6AF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225F08" w14:textId="77777777" w:rsidR="007979CF" w:rsidRDefault="007979CF" w:rsidP="007979CF">
      <w:pPr>
        <w:pStyle w:val="NoSpacing"/>
        <w:rPr>
          <w:sz w:val="20"/>
        </w:rPr>
      </w:pPr>
      <w:r w:rsidRPr="00E56FA3">
        <w:rPr>
          <w:sz w:val="20"/>
        </w:rPr>
        <w:t>Source: Grutter Consulting, see Annex for details</w:t>
      </w:r>
    </w:p>
    <w:p w14:paraId="22A48DCD" w14:textId="77777777" w:rsidR="007979CF" w:rsidRDefault="007979CF" w:rsidP="007979CF">
      <w:pPr>
        <w:pStyle w:val="NoSpacing"/>
        <w:rPr>
          <w:sz w:val="20"/>
        </w:rPr>
      </w:pPr>
    </w:p>
    <w:p w14:paraId="56ED44B8" w14:textId="2CF42894" w:rsidR="00D35856" w:rsidRPr="007979CF" w:rsidRDefault="007979CF" w:rsidP="00AC1E7A">
      <w:pPr>
        <w:jc w:val="both"/>
        <w:rPr>
          <w:sz w:val="20"/>
        </w:rPr>
      </w:pPr>
      <w:r>
        <w:t>Under a Business as Usual (BAU) scenario PM</w:t>
      </w:r>
      <w:r w:rsidRPr="004E6ACC">
        <w:rPr>
          <w:vertAlign w:val="subscript"/>
        </w:rPr>
        <w:t>2.5</w:t>
      </w:r>
      <w:r>
        <w:t xml:space="preserve"> emissions from the transport sector are expected to drop slightly whilst NO</w:t>
      </w:r>
      <w:r w:rsidRPr="004E6ACC">
        <w:rPr>
          <w:vertAlign w:val="subscript"/>
        </w:rPr>
        <w:t>x</w:t>
      </w:r>
      <w:r>
        <w:t xml:space="preserve"> emissions will continue to increase and GHG emissions from the transport sector will double.</w:t>
      </w:r>
    </w:p>
    <w:p w14:paraId="06CDA5D0" w14:textId="59A9AEBB" w:rsidR="00617308" w:rsidRDefault="00CC21E7" w:rsidP="00617308">
      <w:pPr>
        <w:pStyle w:val="Heading1"/>
      </w:pPr>
      <w:bookmarkStart w:id="13" w:name="_Toc7256793"/>
      <w:r>
        <w:t>3</w:t>
      </w:r>
      <w:r w:rsidR="00617308">
        <w:t>. Overview of Options to Reduce Vehicle Emissions</w:t>
      </w:r>
      <w:bookmarkEnd w:id="13"/>
    </w:p>
    <w:p w14:paraId="5DA1115A" w14:textId="77777777" w:rsidR="00EB08DD" w:rsidRPr="00EB08DD" w:rsidRDefault="00EB08DD" w:rsidP="00EB08DD"/>
    <w:p w14:paraId="7E83BD74" w14:textId="04C95505" w:rsidR="000B5ECC" w:rsidRPr="00142976" w:rsidRDefault="00EB08DD" w:rsidP="000B5ECC">
      <w:pPr>
        <w:jc w:val="both"/>
      </w:pPr>
      <w:r w:rsidRPr="00705BD0">
        <w:t>Within the framework of ASI (Avoid – Shift – Improve) there is a wide range of options available to reduce emissions from the transport sector</w:t>
      </w:r>
      <w:r w:rsidR="001F7124">
        <w:rPr>
          <w:rStyle w:val="FootnoteReference"/>
        </w:rPr>
        <w:footnoteReference w:id="14"/>
      </w:r>
      <w:r w:rsidRPr="00705BD0">
        <w:t xml:space="preserve">. </w:t>
      </w:r>
    </w:p>
    <w:p w14:paraId="1BD7A0C7" w14:textId="4985EE36" w:rsidR="000B5ECC" w:rsidRPr="000B5ECC" w:rsidRDefault="00EB08DD" w:rsidP="000B5ECC">
      <w:pPr>
        <w:jc w:val="both"/>
      </w:pPr>
      <w:r w:rsidRPr="00142976">
        <w:t xml:space="preserve">“Avoid” refers to </w:t>
      </w:r>
      <w:r w:rsidR="001F7124" w:rsidRPr="00142976">
        <w:t xml:space="preserve">improving the efficiency of the transport system by </w:t>
      </w:r>
      <w:r w:rsidRPr="00142976">
        <w:t xml:space="preserve">reducing the number of trips or reducing trip distances thus </w:t>
      </w:r>
      <w:r w:rsidR="001F7124" w:rsidRPr="00142976">
        <w:t>reducing</w:t>
      </w:r>
      <w:r w:rsidRPr="00142976">
        <w:t xml:space="preserve"> emissions due to a minor activity level. </w:t>
      </w:r>
      <w:r w:rsidR="000B5ECC" w:rsidRPr="000B5ECC">
        <w:rPr>
          <w:bCs/>
        </w:rPr>
        <w:t>Typical interventions</w:t>
      </w:r>
      <w:r w:rsidR="000B5ECC" w:rsidRPr="00142976">
        <w:rPr>
          <w:bCs/>
        </w:rPr>
        <w:t xml:space="preserve"> include Transit Oriented Development (</w:t>
      </w:r>
      <w:r w:rsidR="000B5ECC" w:rsidRPr="000B5ECC">
        <w:t>TOD</w:t>
      </w:r>
      <w:r w:rsidR="000B5ECC" w:rsidRPr="00142976">
        <w:t>), t</w:t>
      </w:r>
      <w:r w:rsidR="000B5ECC" w:rsidRPr="000B5ECC">
        <w:t>elecommuting</w:t>
      </w:r>
      <w:r w:rsidR="000B5ECC" w:rsidRPr="00142976">
        <w:t>, f</w:t>
      </w:r>
      <w:r w:rsidR="000B5ECC" w:rsidRPr="000B5ECC">
        <w:t>iscal policies</w:t>
      </w:r>
      <w:r w:rsidR="000B5ECC" w:rsidRPr="00142976">
        <w:t xml:space="preserve"> which increase the cost of trips and/or vehicles,</w:t>
      </w:r>
      <w:r w:rsidR="000B5ECC" w:rsidRPr="000B5ECC">
        <w:t xml:space="preserve"> </w:t>
      </w:r>
      <w:r w:rsidR="000B5ECC" w:rsidRPr="00142976">
        <w:t>r</w:t>
      </w:r>
      <w:r w:rsidR="000B5ECC" w:rsidRPr="000B5ECC">
        <w:t>oad pricing</w:t>
      </w:r>
      <w:r w:rsidR="000B5ECC" w:rsidRPr="00142976">
        <w:t>, c</w:t>
      </w:r>
      <w:r w:rsidR="000B5ECC" w:rsidRPr="000B5ECC">
        <w:t>ar restrictions</w:t>
      </w:r>
      <w:r w:rsidR="000B5ECC" w:rsidRPr="00142976">
        <w:t>, c</w:t>
      </w:r>
      <w:r w:rsidR="000B5ECC" w:rsidRPr="000B5ECC">
        <w:t>ar sharing</w:t>
      </w:r>
      <w:r w:rsidR="000B5ECC" w:rsidRPr="00142976">
        <w:t>, l</w:t>
      </w:r>
      <w:r w:rsidR="000B5ECC" w:rsidRPr="000B5ECC">
        <w:t>ogistics platforms</w:t>
      </w:r>
      <w:r w:rsidR="000B5ECC" w:rsidRPr="00142976">
        <w:t xml:space="preserve"> or i</w:t>
      </w:r>
      <w:r w:rsidR="000B5ECC" w:rsidRPr="000B5ECC">
        <w:t>nformation technology</w:t>
      </w:r>
      <w:r w:rsidR="000B5ECC" w:rsidRPr="00142976">
        <w:t xml:space="preserve"> e.g. advising about available parking spaces to avoid search-trips.</w:t>
      </w:r>
      <w:r w:rsidR="000B5ECC" w:rsidRPr="000B5ECC">
        <w:t xml:space="preserve"> </w:t>
      </w:r>
    </w:p>
    <w:p w14:paraId="12D20210" w14:textId="6A7C226E" w:rsidR="000B5ECC" w:rsidRPr="000B5ECC" w:rsidRDefault="00EB08DD" w:rsidP="000B5ECC">
      <w:pPr>
        <w:jc w:val="both"/>
      </w:pPr>
      <w:r w:rsidRPr="00142976">
        <w:t xml:space="preserve">“Shift” refers to </w:t>
      </w:r>
      <w:r w:rsidR="001F7124" w:rsidRPr="00142976">
        <w:t xml:space="preserve">improving the trip efficiency by shifting </w:t>
      </w:r>
      <w:r w:rsidRPr="00142976">
        <w:t xml:space="preserve">from high emitting transport modes to low emitting ones. </w:t>
      </w:r>
      <w:r w:rsidR="000B5ECC" w:rsidRPr="000B5ECC">
        <w:rPr>
          <w:bCs/>
        </w:rPr>
        <w:t>Typical interventions</w:t>
      </w:r>
      <w:r w:rsidR="000B5ECC" w:rsidRPr="00142976">
        <w:rPr>
          <w:bCs/>
        </w:rPr>
        <w:t xml:space="preserve"> include fostering of </w:t>
      </w:r>
      <w:r w:rsidR="000B5ECC" w:rsidRPr="00142976">
        <w:t>p</w:t>
      </w:r>
      <w:r w:rsidR="000B5ECC" w:rsidRPr="000B5ECC">
        <w:t>ublic transport</w:t>
      </w:r>
      <w:r w:rsidR="000B5ECC" w:rsidRPr="00142976">
        <w:t>, promotion of Non-Motorized Transport (NMT),</w:t>
      </w:r>
      <w:r w:rsidR="000B5ECC" w:rsidRPr="000B5ECC">
        <w:t xml:space="preserve"> </w:t>
      </w:r>
      <w:r w:rsidR="000B5ECC" w:rsidRPr="00142976">
        <w:t>t</w:t>
      </w:r>
      <w:r w:rsidR="000B5ECC" w:rsidRPr="000B5ECC">
        <w:t>ransit demand management</w:t>
      </w:r>
      <w:r w:rsidR="000B5ECC" w:rsidRPr="00142976">
        <w:t>, r</w:t>
      </w:r>
      <w:r w:rsidR="000B5ECC" w:rsidRPr="000B5ECC">
        <w:t>ail</w:t>
      </w:r>
      <w:r w:rsidR="000B5ECC" w:rsidRPr="00142976">
        <w:t>,</w:t>
      </w:r>
      <w:r w:rsidR="000B5ECC" w:rsidRPr="000B5ECC">
        <w:t xml:space="preserve"> shipping </w:t>
      </w:r>
      <w:r w:rsidR="000B5ECC" w:rsidRPr="00142976">
        <w:t xml:space="preserve">and pipeline </w:t>
      </w:r>
      <w:r w:rsidR="000B5ECC" w:rsidRPr="000B5ECC">
        <w:t>investments</w:t>
      </w:r>
      <w:r w:rsidR="000B5ECC" w:rsidRPr="00142976">
        <w:t>, or f</w:t>
      </w:r>
      <w:r w:rsidR="000B5ECC" w:rsidRPr="000B5ECC">
        <w:t xml:space="preserve">iscal policies </w:t>
      </w:r>
      <w:r w:rsidR="000B5ECC" w:rsidRPr="00142976">
        <w:t>such as a charging within a congestion zone thus shifting people to public transport and to NMT.</w:t>
      </w:r>
    </w:p>
    <w:p w14:paraId="57DD6394" w14:textId="72FA3ADE" w:rsidR="000B5ECC" w:rsidRPr="000B5ECC" w:rsidRDefault="00EB08DD" w:rsidP="000B5ECC">
      <w:pPr>
        <w:jc w:val="both"/>
        <w:rPr>
          <w:lang w:val="de-CH"/>
        </w:rPr>
      </w:pPr>
      <w:r w:rsidRPr="00142976">
        <w:t xml:space="preserve">“Improve” refers to </w:t>
      </w:r>
      <w:r w:rsidR="001F7124" w:rsidRPr="00142976">
        <w:t xml:space="preserve">improving the vehicle efficiency </w:t>
      </w:r>
      <w:r w:rsidRPr="00142976">
        <w:t>reducing emissions per unit of output i.e. increasing the efficiency of the transport mode</w:t>
      </w:r>
      <w:r w:rsidR="000B5ECC" w:rsidRPr="00142976">
        <w:t>.</w:t>
      </w:r>
      <w:r w:rsidRPr="00142976">
        <w:t xml:space="preserve"> </w:t>
      </w:r>
      <w:r w:rsidR="000B5ECC" w:rsidRPr="000B5ECC">
        <w:rPr>
          <w:bCs/>
        </w:rPr>
        <w:t>Typical interventions</w:t>
      </w:r>
      <w:r w:rsidR="000B5ECC" w:rsidRPr="00142976">
        <w:rPr>
          <w:bCs/>
        </w:rPr>
        <w:t xml:space="preserve"> include</w:t>
      </w:r>
      <w:r w:rsidR="000B5ECC" w:rsidRPr="000B5ECC">
        <w:t xml:space="preserve"> </w:t>
      </w:r>
      <w:r w:rsidR="000B5ECC">
        <w:t>usage of l</w:t>
      </w:r>
      <w:r w:rsidR="000B5ECC" w:rsidRPr="000B5ECC">
        <w:t>arger trucks</w:t>
      </w:r>
      <w:r w:rsidR="000B5ECC">
        <w:t xml:space="preserve"> thereby reducing emissions per ton-kilometre</w:t>
      </w:r>
      <w:r w:rsidR="001F7124">
        <w:t>,</w:t>
      </w:r>
      <w:r w:rsidR="000B5ECC" w:rsidRPr="000B5ECC">
        <w:t xml:space="preserve"> </w:t>
      </w:r>
      <w:r w:rsidR="000B5ECC">
        <w:t>h</w:t>
      </w:r>
      <w:r w:rsidR="000B5ECC" w:rsidRPr="000B5ECC">
        <w:t xml:space="preserve">ybrid </w:t>
      </w:r>
      <w:r w:rsidR="000B5ECC">
        <w:t xml:space="preserve">or electric </w:t>
      </w:r>
      <w:r w:rsidR="000B5ECC" w:rsidRPr="000B5ECC">
        <w:t>vehicles</w:t>
      </w:r>
      <w:r w:rsidR="000B5ECC">
        <w:t>, l</w:t>
      </w:r>
      <w:r w:rsidR="000B5ECC" w:rsidRPr="000B5ECC">
        <w:t>ow-rolling resistance tyres, Eco Drive, fuel tax</w:t>
      </w:r>
      <w:r w:rsidR="000B5ECC">
        <w:t xml:space="preserve"> policies</w:t>
      </w:r>
      <w:r w:rsidR="001F7124">
        <w:t xml:space="preserve"> favouring low-polluting fuels,</w:t>
      </w:r>
      <w:r w:rsidR="000B5ECC">
        <w:t xml:space="preserve"> </w:t>
      </w:r>
      <w:r w:rsidR="001F7124">
        <w:t>promotion of biofuels or vehicle</w:t>
      </w:r>
      <w:r w:rsidR="001F7124" w:rsidRPr="000B5ECC">
        <w:t xml:space="preserve"> emission stan</w:t>
      </w:r>
      <w:r w:rsidR="001F7124">
        <w:t>d</w:t>
      </w:r>
      <w:r w:rsidR="001F7124" w:rsidRPr="000B5ECC">
        <w:t>ards</w:t>
      </w:r>
      <w:r w:rsidR="001F7124">
        <w:t xml:space="preserve"> including retrofit of vehicles e.g. with diesel-particle filters.</w:t>
      </w:r>
    </w:p>
    <w:p w14:paraId="239252DF" w14:textId="04AAB3E8" w:rsidR="00C245AE" w:rsidRDefault="00C245AE" w:rsidP="00C245AE">
      <w:pPr>
        <w:jc w:val="both"/>
      </w:pPr>
      <w:r>
        <w:lastRenderedPageBreak/>
        <w:t xml:space="preserve">The recently realized </w:t>
      </w:r>
      <w:bookmarkStart w:id="14" w:name="_Hlk7186469"/>
      <w:r>
        <w:t xml:space="preserve">Sustainable Urban Mobility Plan </w:t>
      </w:r>
      <w:bookmarkEnd w:id="14"/>
      <w:r>
        <w:t>(SUMP)</w:t>
      </w:r>
      <w:r>
        <w:rPr>
          <w:rStyle w:val="FootnoteReference"/>
        </w:rPr>
        <w:footnoteReference w:id="15"/>
      </w:r>
      <w:r>
        <w:t xml:space="preserve"> for Pristina currently under discussion at the Assembly includes various activities which will reduce transport emissions such as a promoting public transport and Non-Motorized Transport (NMT). The modal share of public transport shall thereby be increased from 18% currently to 23% in 2030, whiles the cycling share would remain below 1%.</w:t>
      </w:r>
    </w:p>
    <w:p w14:paraId="3F81F513" w14:textId="410A844A" w:rsidR="00C245AE" w:rsidRDefault="00C245AE" w:rsidP="00C245AE">
      <w:pPr>
        <w:jc w:val="both"/>
      </w:pPr>
      <w:r>
        <w:t xml:space="preserve">The main components or intervention areas of the </w:t>
      </w:r>
      <w:r w:rsidR="00BB648E">
        <w:t>SUMP</w:t>
      </w:r>
      <w:r>
        <w:t xml:space="preserve"> are:</w:t>
      </w:r>
    </w:p>
    <w:p w14:paraId="77A3BF5A" w14:textId="77777777" w:rsidR="00C245AE" w:rsidRPr="006B73B3" w:rsidRDefault="00C245AE" w:rsidP="00C245AE">
      <w:pPr>
        <w:pStyle w:val="ListParagraph"/>
        <w:numPr>
          <w:ilvl w:val="0"/>
          <w:numId w:val="39"/>
        </w:numPr>
        <w:jc w:val="both"/>
        <w:rPr>
          <w:lang w:val="en-GB"/>
        </w:rPr>
      </w:pPr>
      <w:r w:rsidRPr="006B73B3">
        <w:rPr>
          <w:lang w:val="en-GB"/>
        </w:rPr>
        <w:t>Establishment of an integrated public transport system, aiming to improve accessibility and connectivity, quality of bus services, new park and ride sites, improved information on public transport services and an integrated ticketing system. A new citywide bus network is proposed with some priority bus routes and the regulation and monitoring of taxi services shall improve.</w:t>
      </w:r>
    </w:p>
    <w:p w14:paraId="5FF0DDA6" w14:textId="7A3DBC4B" w:rsidR="00C245AE" w:rsidRPr="006B73B3" w:rsidRDefault="00C245AE" w:rsidP="00C245AE">
      <w:pPr>
        <w:pStyle w:val="ListParagraph"/>
        <w:numPr>
          <w:ilvl w:val="0"/>
          <w:numId w:val="39"/>
        </w:numPr>
        <w:jc w:val="both"/>
        <w:rPr>
          <w:lang w:val="en-GB"/>
        </w:rPr>
      </w:pPr>
      <w:r w:rsidRPr="006B73B3">
        <w:rPr>
          <w:lang w:val="en-GB"/>
        </w:rPr>
        <w:t>In the area of NMT conditions for walking and cycling shall be improved, with the provision of safe, accessible and convenient routes. This includes new and improved cycle paths, a pedestrian network development and bike sharing systems.</w:t>
      </w:r>
    </w:p>
    <w:p w14:paraId="3674102F" w14:textId="77777777" w:rsidR="00C245AE" w:rsidRPr="006B73B3" w:rsidRDefault="00C245AE" w:rsidP="00C245AE">
      <w:pPr>
        <w:pStyle w:val="ListParagraph"/>
        <w:numPr>
          <w:ilvl w:val="0"/>
          <w:numId w:val="39"/>
        </w:numPr>
        <w:jc w:val="both"/>
        <w:rPr>
          <w:lang w:val="en-GB"/>
        </w:rPr>
      </w:pPr>
      <w:r w:rsidRPr="006B73B3">
        <w:rPr>
          <w:lang w:val="en-GB"/>
        </w:rPr>
        <w:t>A range of road network improvement measures to improve traffic flow and address congestion are proposed. Parking management and the development of a parking policy is also a measure included in the plan to introduce demand restraint measures. This includes increasing car park and on street parking charges, development of access restrictions in the city centre, Park &amp; Ride facilities and reducing the availability of long stay parking in the city centre.</w:t>
      </w:r>
    </w:p>
    <w:p w14:paraId="1D9D9D9D" w14:textId="77777777" w:rsidR="00C245AE" w:rsidRPr="006B73B3" w:rsidRDefault="00C245AE" w:rsidP="00C245AE">
      <w:pPr>
        <w:pStyle w:val="ListParagraph"/>
        <w:numPr>
          <w:ilvl w:val="0"/>
          <w:numId w:val="39"/>
        </w:numPr>
        <w:jc w:val="both"/>
        <w:rPr>
          <w:lang w:val="en-GB"/>
        </w:rPr>
      </w:pPr>
      <w:r w:rsidRPr="006B73B3">
        <w:rPr>
          <w:lang w:val="en-GB"/>
        </w:rPr>
        <w:t xml:space="preserve">Traffic management and road safety measures include the development of a speed management plan, improved junction capacity and safety measures, city access restrictions, and some city logistics measures.  </w:t>
      </w:r>
    </w:p>
    <w:p w14:paraId="6E96A058" w14:textId="6C624C5F" w:rsidR="00C245AE" w:rsidRDefault="000B49C6" w:rsidP="00C245AE">
      <w:pPr>
        <w:jc w:val="both"/>
      </w:pPr>
      <w:r>
        <w:t>T</w:t>
      </w:r>
      <w:r w:rsidR="00C245AE">
        <w:t>otal investment for short term measures is projected at 70 million Euro</w:t>
      </w:r>
      <w:r w:rsidR="007766CE">
        <w:t xml:space="preserve"> in SUMP</w:t>
      </w:r>
      <w:r w:rsidR="00C245AE">
        <w:t xml:space="preserve">. </w:t>
      </w:r>
      <w:r w:rsidR="007766CE">
        <w:t xml:space="preserve">In </w:t>
      </w:r>
      <w:r w:rsidR="00C245AE">
        <w:t>2019 the</w:t>
      </w:r>
      <w:r w:rsidR="007766CE">
        <w:t xml:space="preserve"> City of Pristina</w:t>
      </w:r>
      <w:r w:rsidR="00C245AE">
        <w:t xml:space="preserve"> is investing 7 million Euro in the implementation focusing on bike lanes, parking regulations and awareness improvement. The EBRD is currently financing a TA for structuring an integrated ticketing and tariff system for public transport.</w:t>
      </w:r>
      <w:r w:rsidR="00B81258">
        <w:t xml:space="preserve"> The </w:t>
      </w:r>
      <w:r w:rsidR="00BC2F42">
        <w:t>City</w:t>
      </w:r>
      <w:r w:rsidR="00B81258">
        <w:t xml:space="preserve"> is keen on finding finance for assisting in the implementation of the SUMP.</w:t>
      </w:r>
    </w:p>
    <w:p w14:paraId="230DECC7" w14:textId="1FEDCA55" w:rsidR="00142976" w:rsidRDefault="00B81258" w:rsidP="00C245AE">
      <w:pPr>
        <w:jc w:val="both"/>
      </w:pPr>
      <w:r>
        <w:t xml:space="preserve">Other </w:t>
      </w:r>
      <w:r w:rsidR="00142976">
        <w:t xml:space="preserve">areas where Kosovo is planning or implementing concrete policies to reduce transportation emissions </w:t>
      </w:r>
      <w:r w:rsidR="00CF6F5A">
        <w:t>are basically within the area of “Improve” in the ASI framework i.e. pursue an improved vehicle efficiency</w:t>
      </w:r>
      <w:r w:rsidR="00142976">
        <w:t>:</w:t>
      </w:r>
    </w:p>
    <w:p w14:paraId="66765521" w14:textId="238FECB3" w:rsidR="00142976" w:rsidRPr="00142976" w:rsidRDefault="00142976" w:rsidP="00142976">
      <w:pPr>
        <w:pStyle w:val="ListParagraph"/>
        <w:numPr>
          <w:ilvl w:val="0"/>
          <w:numId w:val="30"/>
        </w:numPr>
        <w:jc w:val="both"/>
        <w:rPr>
          <w:lang w:val="en-GB"/>
        </w:rPr>
      </w:pPr>
      <w:r w:rsidRPr="00142976">
        <w:rPr>
          <w:lang w:val="en-GB"/>
        </w:rPr>
        <w:t xml:space="preserve">Low-emitting buses: </w:t>
      </w:r>
      <w:r w:rsidR="00CF6F5A">
        <w:rPr>
          <w:lang w:val="en-GB"/>
        </w:rPr>
        <w:t>51</w:t>
      </w:r>
      <w:r w:rsidRPr="00142976">
        <w:rPr>
          <w:lang w:val="en-GB"/>
        </w:rPr>
        <w:t xml:space="preserve"> Euro VI diesel buses have already been imported with support of the EBRD. Potential exist to replace also other public transport buses. The pote</w:t>
      </w:r>
      <w:r>
        <w:rPr>
          <w:lang w:val="en-GB"/>
        </w:rPr>
        <w:t>nt</w:t>
      </w:r>
      <w:r w:rsidRPr="00142976">
        <w:rPr>
          <w:lang w:val="en-GB"/>
        </w:rPr>
        <w:t>ial usage of low-emitting buses is assessed</w:t>
      </w:r>
      <w:r w:rsidR="00157313">
        <w:rPr>
          <w:lang w:val="en-GB"/>
        </w:rPr>
        <w:t xml:space="preserve"> in the section</w:t>
      </w:r>
      <w:r w:rsidR="001A458E">
        <w:rPr>
          <w:lang w:val="en-GB"/>
        </w:rPr>
        <w:t xml:space="preserve"> 4</w:t>
      </w:r>
      <w:r w:rsidR="00157313">
        <w:rPr>
          <w:lang w:val="en-GB"/>
        </w:rPr>
        <w:t xml:space="preserve"> of this report</w:t>
      </w:r>
      <w:r w:rsidRPr="00142976">
        <w:rPr>
          <w:lang w:val="en-GB"/>
        </w:rPr>
        <w:t>.</w:t>
      </w:r>
    </w:p>
    <w:p w14:paraId="0452F37D" w14:textId="6C97CC28" w:rsidR="00CF6F5A" w:rsidRDefault="00142976" w:rsidP="00B81258">
      <w:pPr>
        <w:pStyle w:val="ListParagraph"/>
        <w:numPr>
          <w:ilvl w:val="0"/>
          <w:numId w:val="30"/>
        </w:numPr>
        <w:jc w:val="both"/>
        <w:rPr>
          <w:lang w:val="en-GB"/>
        </w:rPr>
      </w:pPr>
      <w:r w:rsidRPr="00142976">
        <w:rPr>
          <w:lang w:val="en-GB"/>
        </w:rPr>
        <w:t xml:space="preserve">Tax policies which favour low-emitting </w:t>
      </w:r>
      <w:r w:rsidR="001A458E">
        <w:rPr>
          <w:lang w:val="en-GB"/>
        </w:rPr>
        <w:t xml:space="preserve">passenger </w:t>
      </w:r>
      <w:r w:rsidRPr="00142976">
        <w:rPr>
          <w:lang w:val="en-GB"/>
        </w:rPr>
        <w:t>vehicles. An initial proposal has been realized for a «green vehicle tax». The pote</w:t>
      </w:r>
      <w:r>
        <w:rPr>
          <w:lang w:val="en-GB"/>
        </w:rPr>
        <w:t>nt</w:t>
      </w:r>
      <w:r w:rsidRPr="00142976">
        <w:rPr>
          <w:lang w:val="en-GB"/>
        </w:rPr>
        <w:t xml:space="preserve">ial of such a tax and possible </w:t>
      </w:r>
      <w:r w:rsidR="001A458E">
        <w:rPr>
          <w:lang w:val="en-GB"/>
        </w:rPr>
        <w:t>re</w:t>
      </w:r>
      <w:r w:rsidRPr="00142976">
        <w:rPr>
          <w:lang w:val="en-GB"/>
        </w:rPr>
        <w:t xml:space="preserve">structuring options </w:t>
      </w:r>
      <w:r w:rsidR="00B81258">
        <w:rPr>
          <w:lang w:val="en-GB"/>
        </w:rPr>
        <w:t>is</w:t>
      </w:r>
      <w:r w:rsidRPr="00142976">
        <w:rPr>
          <w:lang w:val="en-GB"/>
        </w:rPr>
        <w:t xml:space="preserve"> discussed</w:t>
      </w:r>
      <w:r w:rsidR="00157313">
        <w:rPr>
          <w:lang w:val="en-GB"/>
        </w:rPr>
        <w:t xml:space="preserve"> </w:t>
      </w:r>
      <w:bookmarkStart w:id="15" w:name="_Hlk11737425"/>
      <w:r w:rsidR="00157313">
        <w:rPr>
          <w:lang w:val="en-GB"/>
        </w:rPr>
        <w:t>in the section</w:t>
      </w:r>
      <w:r w:rsidR="001A458E">
        <w:rPr>
          <w:lang w:val="en-GB"/>
        </w:rPr>
        <w:t xml:space="preserve"> 5</w:t>
      </w:r>
      <w:r w:rsidR="00157313">
        <w:rPr>
          <w:lang w:val="en-GB"/>
        </w:rPr>
        <w:t xml:space="preserve"> of this report</w:t>
      </w:r>
      <w:bookmarkEnd w:id="15"/>
      <w:r w:rsidRPr="00142976">
        <w:rPr>
          <w:lang w:val="en-GB"/>
        </w:rPr>
        <w:t>.</w:t>
      </w:r>
    </w:p>
    <w:p w14:paraId="008B1AF9" w14:textId="30D89AAF" w:rsidR="00142976" w:rsidRPr="00B81258" w:rsidRDefault="00CF6F5A" w:rsidP="00B81258">
      <w:pPr>
        <w:pStyle w:val="ListParagraph"/>
        <w:numPr>
          <w:ilvl w:val="0"/>
          <w:numId w:val="30"/>
        </w:numPr>
        <w:jc w:val="both"/>
        <w:rPr>
          <w:lang w:val="en-GB"/>
        </w:rPr>
      </w:pPr>
      <w:r>
        <w:rPr>
          <w:lang w:val="en-GB"/>
        </w:rPr>
        <w:t xml:space="preserve">Vehicle in-service emission testing integrated in the roadworthiness test. The potential of such testing </w:t>
      </w:r>
      <w:r w:rsidR="00157313">
        <w:rPr>
          <w:lang w:val="en-GB"/>
        </w:rPr>
        <w:t>is discussed in the section</w:t>
      </w:r>
      <w:r w:rsidR="001A458E">
        <w:rPr>
          <w:lang w:val="en-GB"/>
        </w:rPr>
        <w:t xml:space="preserve"> 6 </w:t>
      </w:r>
      <w:r w:rsidR="00157313">
        <w:rPr>
          <w:lang w:val="en-GB"/>
        </w:rPr>
        <w:t>of this report</w:t>
      </w:r>
      <w:r>
        <w:rPr>
          <w:lang w:val="en-GB"/>
        </w:rPr>
        <w:t>.</w:t>
      </w:r>
      <w:r w:rsidR="00142976" w:rsidRPr="00142976">
        <w:rPr>
          <w:lang w:val="en-GB"/>
        </w:rPr>
        <w:t xml:space="preserve"> </w:t>
      </w:r>
      <w:r w:rsidR="00142976" w:rsidRPr="00B81258">
        <w:t xml:space="preserve">  </w:t>
      </w:r>
    </w:p>
    <w:p w14:paraId="2BD4D6A9" w14:textId="76D13C65" w:rsidR="00CC21E7" w:rsidRDefault="00CC21E7" w:rsidP="00CC21E7">
      <w:pPr>
        <w:pStyle w:val="Heading1"/>
      </w:pPr>
      <w:bookmarkStart w:id="16" w:name="_Toc7256794"/>
      <w:r>
        <w:lastRenderedPageBreak/>
        <w:t xml:space="preserve">4. Low </w:t>
      </w:r>
      <w:r w:rsidR="00142976">
        <w:t>Emitting</w:t>
      </w:r>
      <w:r>
        <w:t xml:space="preserve"> Buses</w:t>
      </w:r>
      <w:bookmarkEnd w:id="16"/>
    </w:p>
    <w:p w14:paraId="52F3B7D1" w14:textId="074A3577" w:rsidR="00CC21E7" w:rsidRDefault="0059451F" w:rsidP="0059451F">
      <w:pPr>
        <w:pStyle w:val="Heading2"/>
      </w:pPr>
      <w:bookmarkStart w:id="17" w:name="_Toc7256795"/>
      <w:r>
        <w:t xml:space="preserve">4.1. </w:t>
      </w:r>
      <w:r w:rsidR="005449DE">
        <w:t xml:space="preserve">Overview </w:t>
      </w:r>
      <w:r>
        <w:t>Alternative Bus Technologies</w:t>
      </w:r>
      <w:bookmarkEnd w:id="17"/>
    </w:p>
    <w:p w14:paraId="4D6A202A" w14:textId="7E8EF1AF" w:rsidR="0059451F" w:rsidRDefault="0059451F" w:rsidP="0059451F">
      <w:pPr>
        <w:jc w:val="both"/>
        <w:rPr>
          <w:lang w:val="en"/>
        </w:rPr>
      </w:pPr>
    </w:p>
    <w:p w14:paraId="16977993" w14:textId="60532E89" w:rsidR="00B61703" w:rsidRDefault="00B61703" w:rsidP="0059451F">
      <w:pPr>
        <w:jc w:val="both"/>
        <w:rPr>
          <w:lang w:val="en"/>
        </w:rPr>
      </w:pPr>
      <w:r>
        <w:rPr>
          <w:lang w:val="en"/>
        </w:rPr>
        <w:t>Alternative bus technologies discussed are gaseous fuel powered buses, hybrid and plug-in hybrid buses, battery electric buses (slow and fast charged as well as opportunity charged</w:t>
      </w:r>
      <w:r w:rsidR="00CD7809">
        <w:rPr>
          <w:lang w:val="en"/>
        </w:rPr>
        <w:t xml:space="preserve"> units</w:t>
      </w:r>
      <w:r>
        <w:rPr>
          <w:lang w:val="en"/>
        </w:rPr>
        <w:t xml:space="preserve">) and fuel cell / hydrogen powered buses. The following figure shows the trend of new registered alternative fuel buses in the European Union. Compressed Natural Gas </w:t>
      </w:r>
      <w:r w:rsidR="00CD7809">
        <w:rPr>
          <w:lang w:val="en"/>
        </w:rPr>
        <w:t xml:space="preserve">(CNG) </w:t>
      </w:r>
      <w:r>
        <w:rPr>
          <w:lang w:val="en"/>
        </w:rPr>
        <w:t>buses dominated the alternative fuel bus market until 2015 but since then electric units</w:t>
      </w:r>
      <w:r w:rsidR="00CD7809">
        <w:rPr>
          <w:lang w:val="en"/>
        </w:rPr>
        <w:t xml:space="preserve"> are the leaders with </w:t>
      </w:r>
      <w:r>
        <w:rPr>
          <w:lang w:val="en"/>
        </w:rPr>
        <w:t>55% of all alternative fuel buses sold in the EU</w:t>
      </w:r>
      <w:r w:rsidR="00CD7809">
        <w:rPr>
          <w:lang w:val="en"/>
        </w:rPr>
        <w:t xml:space="preserve"> in the year 2018</w:t>
      </w:r>
      <w:r>
        <w:rPr>
          <w:lang w:val="en"/>
        </w:rPr>
        <w:t>.</w:t>
      </w:r>
    </w:p>
    <w:p w14:paraId="49F613E1" w14:textId="0DF2C326" w:rsidR="00B61703" w:rsidRPr="00B61703" w:rsidRDefault="00B61703" w:rsidP="00B61703">
      <w:pPr>
        <w:pStyle w:val="NoSpacing"/>
        <w:rPr>
          <w:b/>
          <w:sz w:val="20"/>
        </w:rPr>
      </w:pPr>
      <w:r w:rsidRPr="00B61703">
        <w:rPr>
          <w:b/>
          <w:sz w:val="20"/>
        </w:rPr>
        <w:t xml:space="preserve">Figure </w:t>
      </w:r>
      <w:r w:rsidRPr="00B61703">
        <w:rPr>
          <w:b/>
          <w:sz w:val="20"/>
        </w:rPr>
        <w:fldChar w:fldCharType="begin"/>
      </w:r>
      <w:r w:rsidRPr="00B61703">
        <w:rPr>
          <w:b/>
          <w:sz w:val="20"/>
        </w:rPr>
        <w:instrText xml:space="preserve"> SEQ Figure \* ARABIC </w:instrText>
      </w:r>
      <w:r w:rsidRPr="00B61703">
        <w:rPr>
          <w:b/>
          <w:sz w:val="20"/>
        </w:rPr>
        <w:fldChar w:fldCharType="separate"/>
      </w:r>
      <w:r w:rsidR="0053173D">
        <w:rPr>
          <w:b/>
          <w:noProof/>
          <w:sz w:val="20"/>
        </w:rPr>
        <w:t>6</w:t>
      </w:r>
      <w:r w:rsidRPr="00B61703">
        <w:rPr>
          <w:b/>
          <w:sz w:val="20"/>
        </w:rPr>
        <w:fldChar w:fldCharType="end"/>
      </w:r>
      <w:r w:rsidRPr="00B61703">
        <w:rPr>
          <w:b/>
          <w:sz w:val="20"/>
        </w:rPr>
        <w:t>: Alternative Fuel New Bus Registrations EU (2008-2018)</w:t>
      </w:r>
    </w:p>
    <w:p w14:paraId="000A6553" w14:textId="5EE9CD7C" w:rsidR="00B61703" w:rsidRPr="00B61703" w:rsidRDefault="00B61703" w:rsidP="00B61703">
      <w:pPr>
        <w:pStyle w:val="NoSpacing"/>
        <w:rPr>
          <w:sz w:val="20"/>
        </w:rPr>
      </w:pPr>
      <w:r w:rsidRPr="00B61703">
        <w:rPr>
          <w:noProof/>
          <w:sz w:val="20"/>
        </w:rPr>
        <w:drawing>
          <wp:inline distT="0" distB="0" distL="0" distR="0" wp14:anchorId="41CF0391" wp14:editId="68D6F1B1">
            <wp:extent cx="5526993" cy="3322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3479" cy="3326219"/>
                    </a:xfrm>
                    <a:prstGeom prst="rect">
                      <a:avLst/>
                    </a:prstGeom>
                    <a:noFill/>
                  </pic:spPr>
                </pic:pic>
              </a:graphicData>
            </a:graphic>
          </wp:inline>
        </w:drawing>
      </w:r>
    </w:p>
    <w:p w14:paraId="4F1812F7" w14:textId="6ADC8AF4" w:rsidR="00C11D79" w:rsidRDefault="00B61703" w:rsidP="00B61703">
      <w:pPr>
        <w:pStyle w:val="NoSpacing"/>
        <w:rPr>
          <w:sz w:val="20"/>
          <w:lang w:val="en"/>
        </w:rPr>
      </w:pPr>
      <w:r>
        <w:rPr>
          <w:sz w:val="20"/>
          <w:lang w:val="en"/>
        </w:rPr>
        <w:t xml:space="preserve">Source: </w:t>
      </w:r>
      <w:hyperlink r:id="rId13" w:history="1">
        <w:r w:rsidR="00C11D79" w:rsidRPr="009438F4">
          <w:rPr>
            <w:rStyle w:val="Hyperlink"/>
            <w:sz w:val="20"/>
            <w:lang w:val="en"/>
          </w:rPr>
          <w:t>https://www.eafo.eu/vehicles-and-fleet/m2-m3#</w:t>
        </w:r>
      </w:hyperlink>
      <w:r w:rsidRPr="00B61703">
        <w:rPr>
          <w:sz w:val="20"/>
          <w:lang w:val="en"/>
        </w:rPr>
        <w:t xml:space="preserve"> </w:t>
      </w:r>
    </w:p>
    <w:p w14:paraId="02721C94" w14:textId="1BB11752" w:rsidR="00B61703" w:rsidRDefault="00C11D79" w:rsidP="00B61703">
      <w:pPr>
        <w:pStyle w:val="NoSpacing"/>
        <w:rPr>
          <w:sz w:val="20"/>
          <w:lang w:val="en"/>
        </w:rPr>
      </w:pPr>
      <w:r>
        <w:rPr>
          <w:sz w:val="20"/>
          <w:lang w:val="en"/>
        </w:rPr>
        <w:t xml:space="preserve">CNG </w:t>
      </w:r>
      <w:r w:rsidR="00CD7809">
        <w:rPr>
          <w:sz w:val="20"/>
          <w:lang w:val="en"/>
        </w:rPr>
        <w:t>=</w:t>
      </w:r>
      <w:r>
        <w:rPr>
          <w:sz w:val="20"/>
          <w:lang w:val="en"/>
        </w:rPr>
        <w:t xml:space="preserve"> Compressed Natural Gas; LNG = </w:t>
      </w:r>
      <w:bookmarkStart w:id="18" w:name="_Hlk7186572"/>
      <w:r>
        <w:rPr>
          <w:sz w:val="20"/>
          <w:lang w:val="en"/>
        </w:rPr>
        <w:t>Liquefied Natural Gas; LPG = Liquefied Petroleum Gas</w:t>
      </w:r>
      <w:bookmarkEnd w:id="18"/>
      <w:r>
        <w:rPr>
          <w:sz w:val="20"/>
          <w:lang w:val="en"/>
        </w:rPr>
        <w:t xml:space="preserve">; BEB = Battery Electric Bus; PHEV = </w:t>
      </w:r>
      <w:bookmarkStart w:id="19" w:name="_Hlk7186609"/>
      <w:r>
        <w:rPr>
          <w:sz w:val="20"/>
          <w:lang w:val="en"/>
        </w:rPr>
        <w:t>Plug-in Hybrid Electric Vehicle</w:t>
      </w:r>
      <w:bookmarkEnd w:id="19"/>
      <w:r>
        <w:rPr>
          <w:sz w:val="20"/>
          <w:lang w:val="en"/>
        </w:rPr>
        <w:t xml:space="preserve">; FCEV = Fuel Cell Electric Vehicle </w:t>
      </w:r>
      <w:r w:rsidR="00B61703" w:rsidRPr="00B61703">
        <w:rPr>
          <w:sz w:val="20"/>
          <w:lang w:val="en"/>
        </w:rPr>
        <w:t xml:space="preserve"> </w:t>
      </w:r>
    </w:p>
    <w:p w14:paraId="73D86D3E" w14:textId="77777777" w:rsidR="00992C80" w:rsidRDefault="00992C80" w:rsidP="00B61703">
      <w:pPr>
        <w:pStyle w:val="NoSpacing"/>
        <w:rPr>
          <w:sz w:val="20"/>
          <w:lang w:val="en"/>
        </w:rPr>
      </w:pPr>
    </w:p>
    <w:p w14:paraId="6B4D2C86" w14:textId="6DD7C0EA" w:rsidR="00B61703" w:rsidRPr="00B61703" w:rsidRDefault="005449DE" w:rsidP="00F4674E">
      <w:pPr>
        <w:pStyle w:val="Heading2"/>
        <w:rPr>
          <w:lang w:val="en"/>
        </w:rPr>
      </w:pPr>
      <w:bookmarkStart w:id="20" w:name="_Toc7256796"/>
      <w:r>
        <w:rPr>
          <w:lang w:val="en"/>
        </w:rPr>
        <w:t xml:space="preserve">4.2. </w:t>
      </w:r>
      <w:r w:rsidR="00B61703" w:rsidRPr="00B61703">
        <w:rPr>
          <w:lang w:val="en"/>
        </w:rPr>
        <w:t>Gas Buses</w:t>
      </w:r>
      <w:bookmarkEnd w:id="20"/>
    </w:p>
    <w:p w14:paraId="128A73F9" w14:textId="77777777" w:rsidR="00B61703" w:rsidRPr="00B61703" w:rsidRDefault="00B61703" w:rsidP="00B61703">
      <w:pPr>
        <w:pStyle w:val="NoSpacing"/>
        <w:rPr>
          <w:sz w:val="20"/>
          <w:lang w:val="en"/>
        </w:rPr>
      </w:pPr>
    </w:p>
    <w:p w14:paraId="4414A0BA" w14:textId="4FAD2FE3" w:rsidR="0059451F" w:rsidRDefault="0059451F" w:rsidP="0050733F">
      <w:pPr>
        <w:jc w:val="both"/>
        <w:rPr>
          <w:lang w:val="en"/>
        </w:rPr>
      </w:pPr>
      <w:r>
        <w:rPr>
          <w:lang w:val="en"/>
        </w:rPr>
        <w:t xml:space="preserve">Gas buses use Compressed Natural Gas (CNG), Liquefied Natural Gas (LNG) or Liquefied Petroleum Gas (LPG). </w:t>
      </w:r>
      <w:r w:rsidR="007573AA">
        <w:rPr>
          <w:lang w:val="en"/>
        </w:rPr>
        <w:t xml:space="preserve">Another alternative is the usage of biogas as fuel using as bus a CNG unit. </w:t>
      </w:r>
    </w:p>
    <w:p w14:paraId="7BC5A915" w14:textId="23582740" w:rsidR="00B61703" w:rsidRDefault="0059451F" w:rsidP="0050733F">
      <w:pPr>
        <w:jc w:val="both"/>
        <w:rPr>
          <w:lang w:val="en"/>
        </w:rPr>
      </w:pPr>
      <w:r>
        <w:rPr>
          <w:b/>
          <w:lang w:val="en"/>
        </w:rPr>
        <w:t>CNG buses</w:t>
      </w:r>
      <w:r>
        <w:rPr>
          <w:lang w:val="en"/>
        </w:rPr>
        <w:t xml:space="preserve"> are the most popular of the three versions of gas buses. The technology became popular in many cities basically </w:t>
      </w:r>
      <w:r w:rsidR="00992C80">
        <w:rPr>
          <w:lang w:val="en"/>
        </w:rPr>
        <w:t>due to having lower emissions than diesel buses before introduction of the emission standard Euro VI</w:t>
      </w:r>
      <w:r>
        <w:rPr>
          <w:lang w:val="en"/>
        </w:rPr>
        <w:t xml:space="preserve">. </w:t>
      </w:r>
      <w:r w:rsidR="00992C80">
        <w:rPr>
          <w:lang w:val="en"/>
        </w:rPr>
        <w:t xml:space="preserve">Compared to Euro VI diesel buses, CNG units have however no longer this advantage and therefore </w:t>
      </w:r>
      <w:r>
        <w:rPr>
          <w:lang w:val="en"/>
        </w:rPr>
        <w:t xml:space="preserve">several cities have recently switched again back from CNG to diesel units (e.g. the city of Basel in Switzerland, Bremen in Germany or Helsinki in Finland). </w:t>
      </w:r>
      <w:r w:rsidR="005449DE">
        <w:rPr>
          <w:lang w:val="en"/>
        </w:rPr>
        <w:t xml:space="preserve">This is reflected also in the sales figures of CNG buses in Europe which indicate a strong drop of sales since 2016. CNG buses tend to have higher GHG emissions than diesel Euro VI units if methane slip is included due to around 20% higher energy </w:t>
      </w:r>
      <w:r w:rsidR="00F4674E">
        <w:rPr>
          <w:lang w:val="en"/>
        </w:rPr>
        <w:t>consumption</w:t>
      </w:r>
      <w:r w:rsidR="005449DE">
        <w:rPr>
          <w:rStyle w:val="FootnoteReference"/>
          <w:lang w:val="en"/>
        </w:rPr>
        <w:footnoteReference w:id="16"/>
      </w:r>
      <w:r w:rsidR="005449DE">
        <w:rPr>
          <w:lang w:val="en"/>
        </w:rPr>
        <w:t xml:space="preserve">. </w:t>
      </w:r>
      <w:r>
        <w:rPr>
          <w:lang w:val="en"/>
        </w:rPr>
        <w:t xml:space="preserve">Some countries opt to use CNG due to large gas reserves and </w:t>
      </w:r>
      <w:r>
        <w:rPr>
          <w:lang w:val="en"/>
        </w:rPr>
        <w:lastRenderedPageBreak/>
        <w:t xml:space="preserve">therefore low CNG prices making the operation of CNG buses less costly than of diesel units. </w:t>
      </w:r>
      <w:r w:rsidR="00B61703">
        <w:rPr>
          <w:lang w:val="en"/>
        </w:rPr>
        <w:t>Kosovo has no natural gas reserves or pipelines passing the country. Usage of CNG buses is therefore not a practical alternative</w:t>
      </w:r>
      <w:r w:rsidR="005449DE">
        <w:rPr>
          <w:lang w:val="en"/>
        </w:rPr>
        <w:t xml:space="preserve"> for Kosovo and not further considered.</w:t>
      </w:r>
    </w:p>
    <w:p w14:paraId="318874B4" w14:textId="3758F57E" w:rsidR="00B61703" w:rsidRDefault="0059451F" w:rsidP="0050733F">
      <w:pPr>
        <w:jc w:val="both"/>
        <w:rPr>
          <w:lang w:val="en"/>
        </w:rPr>
      </w:pPr>
      <w:r>
        <w:rPr>
          <w:b/>
          <w:lang w:val="en"/>
        </w:rPr>
        <w:t>LNG buses</w:t>
      </w:r>
      <w:r>
        <w:rPr>
          <w:lang w:val="en"/>
        </w:rPr>
        <w:t xml:space="preserve"> are used primarily in China and to a lesser extent in the USA. LNG engines are equal to CNG ones, with the only difference being gas storage and gas delivery system to the engine. The biggest advantage of LNG versus CNG buses is that they need a smaller, lighter tank to reach the same operating range as LNG has a higher energy density per volume unit. Otherwise LNG buses have characteristics comparable to CNG units. There are however important </w:t>
      </w:r>
      <w:bookmarkStart w:id="21" w:name="_Hlk11737578"/>
      <w:r>
        <w:rPr>
          <w:lang w:val="en"/>
        </w:rPr>
        <w:t>differences in the upstream emissions</w:t>
      </w:r>
      <w:r w:rsidR="00157313">
        <w:rPr>
          <w:rStyle w:val="FootnoteReference"/>
          <w:lang w:val="en"/>
        </w:rPr>
        <w:footnoteReference w:id="17"/>
      </w:r>
      <w:r>
        <w:rPr>
          <w:lang w:val="en"/>
        </w:rPr>
        <w:t xml:space="preserve"> of CNG and LNG</w:t>
      </w:r>
      <w:bookmarkEnd w:id="21"/>
      <w:r w:rsidR="00157313">
        <w:rPr>
          <w:lang w:val="en"/>
        </w:rPr>
        <w:t xml:space="preserve"> </w:t>
      </w:r>
      <w:r w:rsidR="005449DE">
        <w:rPr>
          <w:lang w:val="en"/>
        </w:rPr>
        <w:t xml:space="preserve">with LNG buses having higher GHG emissions than CNG or diesel units. LNG buses could theoretically be used in Kosovo as LNG can be transported by truck or rail. However, special fueling stations are required and importing LNG just for few buses makes </w:t>
      </w:r>
      <w:r w:rsidR="00F4674E">
        <w:rPr>
          <w:lang w:val="en"/>
        </w:rPr>
        <w:t>limited</w:t>
      </w:r>
      <w:r w:rsidR="005449DE">
        <w:rPr>
          <w:lang w:val="en"/>
        </w:rPr>
        <w:t xml:space="preserve"> economic sense. This option is therefore not further considered for Kosovo.</w:t>
      </w:r>
    </w:p>
    <w:p w14:paraId="576DFF1F" w14:textId="2525D1FB" w:rsidR="005D5691" w:rsidRDefault="0059451F" w:rsidP="0050733F">
      <w:pPr>
        <w:jc w:val="both"/>
        <w:rPr>
          <w:lang w:val="en"/>
        </w:rPr>
      </w:pPr>
      <w:r>
        <w:rPr>
          <w:b/>
          <w:lang w:val="en"/>
        </w:rPr>
        <w:t>LPG</w:t>
      </w:r>
      <w:r>
        <w:rPr>
          <w:lang w:val="en"/>
        </w:rPr>
        <w:t xml:space="preserve"> buses are no longer used in large commercial bus fleets. Only few cities, including Vienna in Austria, </w:t>
      </w:r>
      <w:r w:rsidR="00B61703">
        <w:rPr>
          <w:lang w:val="en"/>
        </w:rPr>
        <w:t xml:space="preserve">or Guangzhou in PR China, </w:t>
      </w:r>
      <w:r>
        <w:rPr>
          <w:lang w:val="en"/>
        </w:rPr>
        <w:t xml:space="preserve">had large fleets of LPG buses. Vienna </w:t>
      </w:r>
      <w:r w:rsidR="00B61703">
        <w:rPr>
          <w:lang w:val="en"/>
        </w:rPr>
        <w:t>as well as Guangzhou are replacing LPG buses with other fuel-type buses due to very high energy consumption of buses and lack of manufacturers. T</w:t>
      </w:r>
      <w:r>
        <w:rPr>
          <w:lang w:val="en"/>
        </w:rPr>
        <w:t xml:space="preserve">his technology option has </w:t>
      </w:r>
      <w:r w:rsidR="00B61703">
        <w:rPr>
          <w:lang w:val="en"/>
        </w:rPr>
        <w:t xml:space="preserve">basically disappeared </w:t>
      </w:r>
      <w:r>
        <w:rPr>
          <w:lang w:val="en"/>
        </w:rPr>
        <w:t>from the bus market</w:t>
      </w:r>
      <w:r w:rsidR="005449DE">
        <w:rPr>
          <w:lang w:val="en"/>
        </w:rPr>
        <w:t xml:space="preserve"> and is thus not further considered.</w:t>
      </w:r>
    </w:p>
    <w:p w14:paraId="6EBE5DC8" w14:textId="306B04FC" w:rsidR="007573AA" w:rsidRDefault="007573AA" w:rsidP="00F4674E">
      <w:pPr>
        <w:jc w:val="both"/>
        <w:rPr>
          <w:lang w:val="en"/>
        </w:rPr>
      </w:pPr>
      <w:r w:rsidRPr="00C9171B">
        <w:rPr>
          <w:b/>
          <w:lang w:val="en"/>
        </w:rPr>
        <w:t xml:space="preserve">Biogas </w:t>
      </w:r>
      <w:r>
        <w:rPr>
          <w:lang w:val="en"/>
        </w:rPr>
        <w:t xml:space="preserve">buses have been used in various cities and countries and most recently the Green Climate Fund approved a </w:t>
      </w:r>
      <w:r w:rsidR="00C9171B">
        <w:rPr>
          <w:lang w:val="en"/>
        </w:rPr>
        <w:t xml:space="preserve">project for usage of biogas buses </w:t>
      </w:r>
      <w:r w:rsidR="00F4674E">
        <w:rPr>
          <w:lang w:val="en"/>
        </w:rPr>
        <w:t>for</w:t>
      </w:r>
      <w:r w:rsidR="00C9171B">
        <w:rPr>
          <w:lang w:val="en"/>
        </w:rPr>
        <w:t xml:space="preserve"> the BRT Karachi, Pakistan. Technology-wise biogas buses are CNG units using biogas.</w:t>
      </w:r>
      <w:r w:rsidR="00C9171B" w:rsidRPr="00C9171B">
        <w:rPr>
          <w:lang w:val="en-US"/>
        </w:rPr>
        <w:t xml:space="preserve"> </w:t>
      </w:r>
      <w:r w:rsidR="00C9171B" w:rsidRPr="002D19AE">
        <w:rPr>
          <w:lang w:val="en-US"/>
        </w:rPr>
        <w:t xml:space="preserve">Biogas used has the same propensities including energy value as compressed natural gas (“gas sweeting” to </w:t>
      </w:r>
      <w:r w:rsidR="00C9171B">
        <w:rPr>
          <w:lang w:val="en-US"/>
        </w:rPr>
        <w:t>&gt;</w:t>
      </w:r>
      <w:r w:rsidR="00C9171B" w:rsidRPr="002D19AE">
        <w:rPr>
          <w:lang w:val="en-US"/>
        </w:rPr>
        <w:t>90% methane content</w:t>
      </w:r>
      <w:r w:rsidR="00C9171B">
        <w:rPr>
          <w:lang w:val="en-US"/>
        </w:rPr>
        <w:t xml:space="preserve">) as this </w:t>
      </w:r>
      <w:r w:rsidR="00C9171B" w:rsidRPr="002D19AE">
        <w:rPr>
          <w:lang w:val="en-US"/>
        </w:rPr>
        <w:t xml:space="preserve">is required by the </w:t>
      </w:r>
      <w:r w:rsidR="00157313">
        <w:rPr>
          <w:lang w:val="en-US"/>
        </w:rPr>
        <w:t>engine producers</w:t>
      </w:r>
      <w:r w:rsidR="00C9171B" w:rsidRPr="002D19AE">
        <w:rPr>
          <w:lang w:val="en-US"/>
        </w:rPr>
        <w:t>.</w:t>
      </w:r>
      <w:r>
        <w:rPr>
          <w:lang w:val="en"/>
        </w:rPr>
        <w:t xml:space="preserve"> </w:t>
      </w:r>
      <w:r w:rsidR="00C9171B">
        <w:rPr>
          <w:lang w:val="en"/>
        </w:rPr>
        <w:t>Biogas buses have the same pollution emissions as CNG units but have 0-GHG emissions due to usage of biogas. This could be an option for Pristina but would depend on the availability and cost of biogas e.g. from landfill</w:t>
      </w:r>
      <w:r w:rsidR="00F4674E">
        <w:rPr>
          <w:lang w:val="en"/>
        </w:rPr>
        <w:t>s</w:t>
      </w:r>
      <w:r w:rsidR="00C9171B">
        <w:rPr>
          <w:lang w:val="en"/>
        </w:rPr>
        <w:t xml:space="preserve">, from waste-food processing units, from farms, or from waste-water treatment plants. </w:t>
      </w:r>
    </w:p>
    <w:p w14:paraId="1844D411" w14:textId="5A6D92BC" w:rsidR="005449DE" w:rsidRDefault="005449DE" w:rsidP="005449DE">
      <w:pPr>
        <w:pStyle w:val="Heading2"/>
        <w:rPr>
          <w:lang w:val="en"/>
        </w:rPr>
      </w:pPr>
      <w:bookmarkStart w:id="22" w:name="_Toc7256797"/>
      <w:r>
        <w:rPr>
          <w:lang w:val="en"/>
        </w:rPr>
        <w:t>4.3. Hybrid Buses</w:t>
      </w:r>
      <w:bookmarkEnd w:id="22"/>
    </w:p>
    <w:p w14:paraId="38A31ADA" w14:textId="0D0B728A" w:rsidR="005449DE" w:rsidRDefault="005449DE" w:rsidP="005449DE">
      <w:pPr>
        <w:rPr>
          <w:lang w:val="en"/>
        </w:rPr>
      </w:pPr>
    </w:p>
    <w:p w14:paraId="740FBDB3" w14:textId="0CBF4EA3" w:rsidR="007573AA" w:rsidRDefault="00AD7263" w:rsidP="007573AA">
      <w:pPr>
        <w:jc w:val="both"/>
        <w:rPr>
          <w:lang w:val="en-US"/>
        </w:rPr>
      </w:pPr>
      <w:r w:rsidRPr="00AD7263">
        <w:rPr>
          <w:lang w:val="en-US"/>
        </w:rPr>
        <w:t>Types of hybrids include basically series and parallel hybrids as well as “mild” hybrids that use systems such as flywheels to recover braking energy. Fuel efficiency gains in hybrids are basically due to regenerative braking, shutting off the internal combustion engine during idling, and having two sources of onboard power, allowing the engine to operate at near peak efficiency more often. Reduced energy usage results in a proportional reduction of GHG emissions and of local pollutants. In terms of noise emissions, when leaving the bus stop, hybrid buses have approximately 3 decibels less noise compared to a diesel bus.</w:t>
      </w:r>
      <w:r w:rsidRPr="00AD7263">
        <w:rPr>
          <w:vertAlign w:val="superscript"/>
          <w:lang w:val="en-US"/>
        </w:rPr>
        <w:footnoteReference w:id="18"/>
      </w:r>
      <w:r w:rsidRPr="00AD7263">
        <w:rPr>
          <w:lang w:val="en-US"/>
        </w:rPr>
        <w:t xml:space="preserve"> Multiple cities in the PR</w:t>
      </w:r>
      <w:r w:rsidR="00F4674E">
        <w:rPr>
          <w:lang w:val="en-US"/>
        </w:rPr>
        <w:t xml:space="preserve"> </w:t>
      </w:r>
      <w:r w:rsidRPr="00AD7263">
        <w:rPr>
          <w:lang w:val="en-US"/>
        </w:rPr>
        <w:t>C</w:t>
      </w:r>
      <w:r w:rsidR="00F4674E">
        <w:rPr>
          <w:lang w:val="en-US"/>
        </w:rPr>
        <w:t>hina</w:t>
      </w:r>
      <w:r w:rsidRPr="00AD7263">
        <w:rPr>
          <w:lang w:val="en-US"/>
        </w:rPr>
        <w:t xml:space="preserve"> have been operating </w:t>
      </w:r>
      <w:r w:rsidR="007573AA">
        <w:rPr>
          <w:lang w:val="en-US"/>
        </w:rPr>
        <w:t xml:space="preserve">thousands of </w:t>
      </w:r>
      <w:r w:rsidRPr="00AD7263">
        <w:rPr>
          <w:lang w:val="en-US"/>
        </w:rPr>
        <w:t>diesel</w:t>
      </w:r>
      <w:r w:rsidR="00C9171B">
        <w:rPr>
          <w:lang w:val="en-US"/>
        </w:rPr>
        <w:t>-hybrids</w:t>
      </w:r>
      <w:r w:rsidR="007573AA">
        <w:rPr>
          <w:lang w:val="en-US"/>
        </w:rPr>
        <w:t xml:space="preserve"> as well as gas</w:t>
      </w:r>
      <w:r w:rsidR="00C9171B">
        <w:rPr>
          <w:lang w:val="en-US"/>
        </w:rPr>
        <w:t>-</w:t>
      </w:r>
      <w:r w:rsidR="007573AA">
        <w:rPr>
          <w:lang w:val="en-US"/>
        </w:rPr>
        <w:t>hybrids</w:t>
      </w:r>
      <w:r w:rsidRPr="00AD7263">
        <w:rPr>
          <w:lang w:val="en-US"/>
        </w:rPr>
        <w:t xml:space="preserve"> for many years. </w:t>
      </w:r>
      <w:r w:rsidR="007573AA">
        <w:rPr>
          <w:lang w:val="en-US"/>
        </w:rPr>
        <w:t xml:space="preserve">Large hybrid bus fleets are also operating e.g. in London, New York or Bogota. </w:t>
      </w:r>
    </w:p>
    <w:p w14:paraId="0CFF4E98" w14:textId="20B3B090" w:rsidR="007573AA" w:rsidRDefault="00AD7263" w:rsidP="0059451F">
      <w:pPr>
        <w:jc w:val="both"/>
      </w:pPr>
      <w:r w:rsidRPr="00AD7263">
        <w:rPr>
          <w:lang w:val="en-US"/>
        </w:rPr>
        <w:t xml:space="preserve">Plug-in hybrids have a larger battery than standard hybrids and these can also be charged from an external power source. The key </w:t>
      </w:r>
      <w:r w:rsidR="00F4674E">
        <w:rPr>
          <w:lang w:val="en-US"/>
        </w:rPr>
        <w:t>feature</w:t>
      </w:r>
      <w:r w:rsidRPr="00AD7263">
        <w:rPr>
          <w:lang w:val="en-US"/>
        </w:rPr>
        <w:t xml:space="preserve"> of </w:t>
      </w:r>
      <w:r w:rsidR="00F4674E">
        <w:rPr>
          <w:lang w:val="en-US"/>
        </w:rPr>
        <w:t>plug-in hybrids</w:t>
      </w:r>
      <w:r w:rsidRPr="00AD7263">
        <w:rPr>
          <w:lang w:val="en-US"/>
        </w:rPr>
        <w:t xml:space="preserve"> is that they have the ability to run in an all-electric mode part of the time. The distance the bus can run on electric mode depends upon the characteristics of the route, </w:t>
      </w:r>
      <w:r w:rsidR="00F4674E">
        <w:rPr>
          <w:lang w:val="en-US"/>
        </w:rPr>
        <w:t xml:space="preserve">the </w:t>
      </w:r>
      <w:r w:rsidRPr="00AD7263">
        <w:rPr>
          <w:lang w:val="en-US"/>
        </w:rPr>
        <w:t xml:space="preserve">charging frequency, and </w:t>
      </w:r>
      <w:r w:rsidR="00F4674E">
        <w:rPr>
          <w:lang w:val="en-US"/>
        </w:rPr>
        <w:t xml:space="preserve">the </w:t>
      </w:r>
      <w:r w:rsidRPr="00AD7263">
        <w:rPr>
          <w:lang w:val="en-US"/>
        </w:rPr>
        <w:t xml:space="preserve">energy systems configuration. </w:t>
      </w:r>
      <w:r w:rsidR="0059451F" w:rsidRPr="00007433">
        <w:t xml:space="preserve">Plug-in hybrids can potentially reduce emissions by 40-60% and if used within opportunity charge systems even more. </w:t>
      </w:r>
      <w:r w:rsidR="007573AA">
        <w:t>In practice however most plug-in hybrid bus fleets operated in the PR China are not re-</w:t>
      </w:r>
      <w:r w:rsidR="007573AA">
        <w:lastRenderedPageBreak/>
        <w:t xml:space="preserve">charged during the day due to having a small battery on-board and the </w:t>
      </w:r>
      <w:r w:rsidR="00F4674E">
        <w:t xml:space="preserve">high </w:t>
      </w:r>
      <w:r w:rsidR="007573AA">
        <w:t>operational complexity</w:t>
      </w:r>
      <w:r w:rsidR="007573AA">
        <w:rPr>
          <w:rStyle w:val="FootnoteReference"/>
        </w:rPr>
        <w:footnoteReference w:id="19"/>
      </w:r>
      <w:r w:rsidR="007573AA">
        <w:t>. If not operated correctly plug-in hybrids thus cost far more than conventional hybrids but offer no additional benefits. This option is therefore not recommended for Kosovo and not further discussed.</w:t>
      </w:r>
    </w:p>
    <w:p w14:paraId="23F030AD" w14:textId="060A3226" w:rsidR="005C39A9" w:rsidRDefault="005C39A9" w:rsidP="005C39A9">
      <w:pPr>
        <w:pStyle w:val="Heading2"/>
      </w:pPr>
      <w:bookmarkStart w:id="23" w:name="_Toc7256798"/>
      <w:r>
        <w:t>4.4. Electric Buses</w:t>
      </w:r>
      <w:bookmarkEnd w:id="23"/>
    </w:p>
    <w:p w14:paraId="503297D2" w14:textId="77777777" w:rsidR="005D5691" w:rsidRPr="005D5691" w:rsidRDefault="005D5691" w:rsidP="005D5691"/>
    <w:p w14:paraId="265F1888" w14:textId="3FF74016" w:rsidR="005D5691" w:rsidRDefault="005D5691" w:rsidP="005D5691">
      <w:pPr>
        <w:jc w:val="both"/>
      </w:pPr>
      <w:r>
        <w:t xml:space="preserve">Electric bus technologies are conventional trolleybuses, hybrid trolleybuses with batteries and an autonomous drive-range without catenary, and three types of Battery Electric Buses (BEBs): </w:t>
      </w:r>
    </w:p>
    <w:p w14:paraId="293CD5BA" w14:textId="77777777" w:rsidR="005D5691" w:rsidRPr="00653F9F" w:rsidRDefault="005D5691" w:rsidP="005D5691">
      <w:pPr>
        <w:pStyle w:val="ListParagraph"/>
        <w:numPr>
          <w:ilvl w:val="0"/>
          <w:numId w:val="11"/>
        </w:numPr>
        <w:jc w:val="both"/>
        <w:rPr>
          <w:lang w:val="en-GB"/>
        </w:rPr>
      </w:pPr>
      <w:r w:rsidRPr="00653F9F">
        <w:rPr>
          <w:lang w:val="en-GB"/>
        </w:rPr>
        <w:t xml:space="preserve">Slow charged BEBs with large battery sets which are charged during the night. Batteries of such buses cannot be fast charged i.e. the battery pack should be sufficient to operate the entire day without re-charging. </w:t>
      </w:r>
    </w:p>
    <w:p w14:paraId="1DDFFC84" w14:textId="77777777" w:rsidR="005D5691" w:rsidRPr="00653F9F" w:rsidRDefault="005D5691" w:rsidP="005D5691">
      <w:pPr>
        <w:pStyle w:val="ListParagraph"/>
        <w:numPr>
          <w:ilvl w:val="0"/>
          <w:numId w:val="11"/>
        </w:numPr>
        <w:jc w:val="both"/>
        <w:rPr>
          <w:lang w:val="en-GB"/>
        </w:rPr>
      </w:pPr>
      <w:r w:rsidRPr="00653F9F">
        <w:rPr>
          <w:lang w:val="en-GB"/>
        </w:rPr>
        <w:t>Fast charged BEBs can be re-charged from 20-80% of state of charge (SOC) of batteries within 30 minutes or less. Batteries on such buses can receive high-powered charges. Buses are typically charged during the night and once or twice during the day depending on usage.</w:t>
      </w:r>
    </w:p>
    <w:p w14:paraId="34E7136B" w14:textId="77777777" w:rsidR="005D5691" w:rsidRPr="00653F9F" w:rsidRDefault="005D5691" w:rsidP="005D5691">
      <w:pPr>
        <w:pStyle w:val="ListParagraph"/>
        <w:numPr>
          <w:ilvl w:val="0"/>
          <w:numId w:val="11"/>
        </w:numPr>
        <w:jc w:val="both"/>
        <w:rPr>
          <w:lang w:val="en-GB"/>
        </w:rPr>
      </w:pPr>
      <w:r w:rsidRPr="00653F9F">
        <w:rPr>
          <w:lang w:val="en-GB"/>
        </w:rPr>
        <w:t>Opportunity charged BEBs: this is a system of fast or ultra-fast charging of buses either at intermediate bu</w:t>
      </w:r>
      <w:r>
        <w:rPr>
          <w:lang w:val="en-GB"/>
        </w:rPr>
        <w:t>s</w:t>
      </w:r>
      <w:r w:rsidRPr="00653F9F">
        <w:rPr>
          <w:lang w:val="en-GB"/>
        </w:rPr>
        <w:t xml:space="preserve">-stops </w:t>
      </w:r>
      <w:r>
        <w:rPr>
          <w:lang w:val="en-GB"/>
        </w:rPr>
        <w:t xml:space="preserve">on the </w:t>
      </w:r>
      <w:r w:rsidRPr="00653F9F">
        <w:rPr>
          <w:lang w:val="en-GB"/>
        </w:rPr>
        <w:t>route or at the end of the route. Basically, these are fast charged BEBs with less batteries and with intermediate charging during rest-stops when finishing a turn-around.</w:t>
      </w:r>
    </w:p>
    <w:p w14:paraId="0CC9C6C0" w14:textId="33537060" w:rsidR="005D5691" w:rsidRDefault="005D5691" w:rsidP="005D5691">
      <w:pPr>
        <w:jc w:val="both"/>
        <w:rPr>
          <w:lang w:val="en"/>
        </w:rPr>
      </w:pPr>
      <w:r>
        <w:rPr>
          <w:lang w:val="en"/>
        </w:rPr>
        <w:t xml:space="preserve">Trolleybuses are not considered for Pristina due to lack of catenaries. Establishing overhead wiring is very costly and not a recommended strategy as alternative BEB technologies exist which do not rely on such </w:t>
      </w:r>
      <w:r w:rsidR="00F4674E">
        <w:rPr>
          <w:lang w:val="en"/>
        </w:rPr>
        <w:t xml:space="preserve">a </w:t>
      </w:r>
      <w:r>
        <w:rPr>
          <w:lang w:val="en"/>
        </w:rPr>
        <w:t xml:space="preserve">costly infrastructure. </w:t>
      </w:r>
    </w:p>
    <w:p w14:paraId="342D111E" w14:textId="324FEEF0" w:rsidR="005D5691" w:rsidRPr="00992C80" w:rsidRDefault="005D5691" w:rsidP="00992C80">
      <w:pPr>
        <w:jc w:val="both"/>
        <w:rPr>
          <w:b/>
        </w:rPr>
      </w:pPr>
      <w:r w:rsidRPr="005D5691">
        <w:rPr>
          <w:b/>
        </w:rPr>
        <w:t>Slow charged BEBs</w:t>
      </w:r>
      <w:r>
        <w:t xml:space="preserve"> operate since many years in </w:t>
      </w:r>
      <w:r w:rsidR="00F4674E">
        <w:t>many</w:t>
      </w:r>
      <w:r>
        <w:t xml:space="preserve"> countries.  Multiple cities in </w:t>
      </w:r>
      <w:r w:rsidR="00F4674E">
        <w:t xml:space="preserve">the </w:t>
      </w:r>
      <w:r>
        <w:t>PR</w:t>
      </w:r>
      <w:r w:rsidR="00F4674E">
        <w:t xml:space="preserve"> </w:t>
      </w:r>
      <w:r>
        <w:t>C</w:t>
      </w:r>
      <w:r w:rsidR="00F4674E">
        <w:t>hina</w:t>
      </w:r>
      <w:r>
        <w:t xml:space="preserve"> operate with fleets of thousands of slow-charged BEBs with &gt; 200,000 such buses in operations. Slow-charged BEBs also operate outside </w:t>
      </w:r>
      <w:r w:rsidR="00F4674E">
        <w:t xml:space="preserve">the </w:t>
      </w:r>
      <w:r>
        <w:t>PR</w:t>
      </w:r>
      <w:r w:rsidR="00F4674E">
        <w:t xml:space="preserve"> </w:t>
      </w:r>
      <w:r>
        <w:t>C</w:t>
      </w:r>
      <w:r w:rsidR="00F4674E">
        <w:t>hina</w:t>
      </w:r>
      <w:r>
        <w:t xml:space="preserve"> in multiple cities worldwide, however in smaller fleets.</w:t>
      </w:r>
    </w:p>
    <w:p w14:paraId="133F4719" w14:textId="07E68A2F" w:rsidR="005D5691" w:rsidRPr="00344A3F" w:rsidRDefault="005D5691" w:rsidP="005D5691">
      <w:pPr>
        <w:pStyle w:val="NoSpacing"/>
        <w:rPr>
          <w:b/>
          <w:sz w:val="20"/>
          <w:szCs w:val="20"/>
        </w:rPr>
      </w:pPr>
      <w:r w:rsidRPr="00FB212E">
        <w:rPr>
          <w:b/>
          <w:sz w:val="20"/>
          <w:szCs w:val="20"/>
        </w:rPr>
        <w:t xml:space="preserve">Photo </w:t>
      </w:r>
      <w:r w:rsidRPr="00FB212E">
        <w:rPr>
          <w:b/>
          <w:sz w:val="20"/>
          <w:szCs w:val="20"/>
        </w:rPr>
        <w:fldChar w:fldCharType="begin"/>
      </w:r>
      <w:r w:rsidRPr="00FB212E">
        <w:rPr>
          <w:b/>
          <w:sz w:val="20"/>
          <w:szCs w:val="20"/>
        </w:rPr>
        <w:instrText xml:space="preserve"> SEQ Photo \* ARABIC </w:instrText>
      </w:r>
      <w:r w:rsidRPr="00FB212E">
        <w:rPr>
          <w:b/>
          <w:sz w:val="20"/>
          <w:szCs w:val="20"/>
        </w:rPr>
        <w:fldChar w:fldCharType="separate"/>
      </w:r>
      <w:r>
        <w:rPr>
          <w:b/>
          <w:noProof/>
          <w:sz w:val="20"/>
          <w:szCs w:val="20"/>
        </w:rPr>
        <w:t>1</w:t>
      </w:r>
      <w:r w:rsidRPr="00FB212E">
        <w:rPr>
          <w:b/>
          <w:sz w:val="20"/>
          <w:szCs w:val="20"/>
        </w:rPr>
        <w:fldChar w:fldCharType="end"/>
      </w:r>
      <w:r w:rsidRPr="00344A3F">
        <w:rPr>
          <w:b/>
          <w:sz w:val="20"/>
          <w:szCs w:val="20"/>
        </w:rPr>
        <w:t>:</w:t>
      </w:r>
      <w:r>
        <w:rPr>
          <w:b/>
          <w:sz w:val="20"/>
          <w:szCs w:val="20"/>
        </w:rPr>
        <w:t xml:space="preserve"> Slow-Charged </w:t>
      </w:r>
      <w:r w:rsidRPr="00FB212E">
        <w:rPr>
          <w:b/>
          <w:sz w:val="20"/>
          <w:szCs w:val="20"/>
        </w:rPr>
        <w:t>BEBs</w:t>
      </w:r>
    </w:p>
    <w:p w14:paraId="7D975754" w14:textId="77777777" w:rsidR="005D5691" w:rsidRPr="00344A3F" w:rsidRDefault="005D5691" w:rsidP="005D5691">
      <w:pPr>
        <w:pStyle w:val="NoSpacing"/>
        <w:rPr>
          <w:b/>
          <w:sz w:val="20"/>
        </w:rPr>
      </w:pPr>
      <w:r w:rsidRPr="003E2669">
        <w:rPr>
          <w:noProof/>
          <w:lang w:val="es-ES"/>
        </w:rPr>
        <w:drawing>
          <wp:inline distT="0" distB="0" distL="0" distR="0" wp14:anchorId="4F87F998" wp14:editId="2E7F154F">
            <wp:extent cx="2834640" cy="1889760"/>
            <wp:effectExtent l="0" t="0" r="3810" b="0"/>
            <wp:docPr id="18" name="Picture 18" descr="C:\Users\jurg grutter\AppData\Local\Microsoft\Windows\INetCache\Content.Word\BYD shenzhen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rg grutter\AppData\Local\Microsoft\Windows\INetCache\Content.Word\BYD shenzhen (7).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874369" cy="1916246"/>
                    </a:xfrm>
                    <a:prstGeom prst="rect">
                      <a:avLst/>
                    </a:prstGeom>
                    <a:noFill/>
                    <a:ln>
                      <a:noFill/>
                    </a:ln>
                  </pic:spPr>
                </pic:pic>
              </a:graphicData>
            </a:graphic>
          </wp:inline>
        </w:drawing>
      </w:r>
      <w:r w:rsidRPr="00344A3F">
        <w:rPr>
          <w:b/>
          <w:sz w:val="20"/>
        </w:rPr>
        <w:t xml:space="preserve"> </w:t>
      </w:r>
      <w:r w:rsidRPr="003E2669">
        <w:rPr>
          <w:b/>
          <w:noProof/>
          <w:sz w:val="20"/>
          <w:lang w:val="es-ES"/>
        </w:rPr>
        <w:drawing>
          <wp:inline distT="0" distB="0" distL="0" distR="0" wp14:anchorId="5C61506A" wp14:editId="1C56CEBF">
            <wp:extent cx="2834640" cy="1889760"/>
            <wp:effectExtent l="0" t="0" r="3810" b="0"/>
            <wp:docPr id="36" name="Picture 36" descr="C:\Users\jurg grutter\AppData\Local\Microsoft\Windows\INetCache\Content.Word\Tianjin ebuses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rg grutter\AppData\Local\Microsoft\Windows\INetCache\Content.Word\Tianjin ebuses (19).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845452" cy="1896968"/>
                    </a:xfrm>
                    <a:prstGeom prst="rect">
                      <a:avLst/>
                    </a:prstGeom>
                    <a:noFill/>
                    <a:ln>
                      <a:noFill/>
                    </a:ln>
                  </pic:spPr>
                </pic:pic>
              </a:graphicData>
            </a:graphic>
          </wp:inline>
        </w:drawing>
      </w:r>
    </w:p>
    <w:p w14:paraId="31FE3C22" w14:textId="77777777" w:rsidR="005D5691" w:rsidRPr="00566AAC" w:rsidRDefault="005D5691" w:rsidP="005D5691">
      <w:pPr>
        <w:pStyle w:val="NoSpacing"/>
        <w:rPr>
          <w:sz w:val="20"/>
        </w:rPr>
      </w:pPr>
      <w:r w:rsidRPr="00566AAC">
        <w:rPr>
          <w:sz w:val="20"/>
        </w:rPr>
        <w:t>S</w:t>
      </w:r>
      <w:r w:rsidRPr="00566AAC">
        <w:rPr>
          <w:sz w:val="20"/>
          <w:szCs w:val="20"/>
        </w:rPr>
        <w:t xml:space="preserve">ource: </w:t>
      </w:r>
      <w:r>
        <w:rPr>
          <w:sz w:val="20"/>
          <w:szCs w:val="20"/>
        </w:rPr>
        <w:t xml:space="preserve">Grutter Consulting; </w:t>
      </w:r>
      <w:r w:rsidRPr="00566AAC">
        <w:rPr>
          <w:sz w:val="20"/>
          <w:szCs w:val="20"/>
        </w:rPr>
        <w:t>Shenzhen</w:t>
      </w:r>
      <w:r>
        <w:rPr>
          <w:sz w:val="20"/>
          <w:szCs w:val="20"/>
        </w:rPr>
        <w:t xml:space="preserve"> and </w:t>
      </w:r>
      <w:r w:rsidRPr="00566AAC">
        <w:rPr>
          <w:sz w:val="20"/>
          <w:szCs w:val="20"/>
        </w:rPr>
        <w:t>Tianjin</w:t>
      </w:r>
    </w:p>
    <w:p w14:paraId="0155BFB1" w14:textId="77777777" w:rsidR="005D5691" w:rsidRPr="00FB212E" w:rsidRDefault="005D5691" w:rsidP="005D5691">
      <w:pPr>
        <w:pStyle w:val="NoSpacing"/>
      </w:pPr>
    </w:p>
    <w:p w14:paraId="2CD01D4B" w14:textId="4B0B352F" w:rsidR="005D5691" w:rsidRDefault="005D5691" w:rsidP="0050733F">
      <w:pPr>
        <w:jc w:val="both"/>
      </w:pPr>
      <w:r>
        <w:t xml:space="preserve">Buses are typically charged during 5-8 hours at night at a power charge of 30-80kW. Major advantages of such buses are their route flexibility, their simple operations and low investment in relatively simple chargers which also do not require lots of additional space as buses are charged at the bus-depot. For the power grid the advantage is that electricity is consumed during the off-peak period at night. The major disadvantages of slow-charged BEBs are a high bus investment cost, a high bus weight due to having a large quantity of batteries on-board, a higher tyre usage of such units (due </w:t>
      </w:r>
      <w:r w:rsidR="00F4674E">
        <w:t xml:space="preserve">primarily </w:t>
      </w:r>
      <w:r>
        <w:t xml:space="preserve">to </w:t>
      </w:r>
      <w:r>
        <w:lastRenderedPageBreak/>
        <w:t>increased bus weight) and the risk of not being able to comply with the required range and thus not being fully operational. Bus electricity consumption will vary with usage of heating and AC and also depends on traffic conditions, the load factor and the driver. Over the years the battery diminishes its energy retention capacity i.e. the SOC of batteries is originally 100% and then drops to around 80% within 8 years</w:t>
      </w:r>
      <w:r>
        <w:rPr>
          <w:rStyle w:val="FootnoteReference"/>
        </w:rPr>
        <w:footnoteReference w:id="20"/>
      </w:r>
      <w:r>
        <w:t>. This means that the driving range with a full battery will drop slowly. Operators can circumvent this problem by using new units on longer routes and older BEBs for shorter ones. Based on a driving range of around 200km per day, a summer electricity consumption of 1.4kWh/km, a 10-20% SOC reserve ratio and 80% SOC in year 8 a 12m slow-charged BEB should be equipped with a battery set of approximatively 400kWh increasing the bus weight by around 4 tons. To enable full charging during a 6-hour period at night chargers of minimum 60kW are required.</w:t>
      </w:r>
    </w:p>
    <w:p w14:paraId="7C5B110F" w14:textId="3E275F1B" w:rsidR="005D5691" w:rsidRDefault="005D5691" w:rsidP="005D5691">
      <w:pPr>
        <w:jc w:val="both"/>
      </w:pPr>
      <w:r w:rsidRPr="005D5691">
        <w:rPr>
          <w:b/>
        </w:rPr>
        <w:t>Fast-charged BEBs</w:t>
      </w:r>
      <w:r>
        <w:t xml:space="preserve"> can be charged with a high power e.g. 300-400kW thus enabling a quick re-charging. 100km of additional range can be charged in 30 minutes or less. This enables the bus to be operated without major range anxiety i.e. if required another partial charge of 15-30 minutes is made during the day. The major advantage of fast-charged BEBs are a smaller battery set thus reducing the bus price tag and weight whilst having flexibility of operations. The disadvantage is the cost of chargers (however only 1 charger is required for 6-10 buses) and locating the charger (e.g. at bus depots or at public sites). Fast charged BEBs have become the most popular BEBs in </w:t>
      </w:r>
      <w:r w:rsidR="00F4674E">
        <w:t xml:space="preserve">the </w:t>
      </w:r>
      <w:r>
        <w:t>PR</w:t>
      </w:r>
      <w:r w:rsidR="00F4674E">
        <w:t xml:space="preserve"> </w:t>
      </w:r>
      <w:r>
        <w:t>C</w:t>
      </w:r>
      <w:r w:rsidR="00F4674E">
        <w:t>hina</w:t>
      </w:r>
      <w:r>
        <w:t xml:space="preserve"> as well as in Europe. With daily distances driven of around 200km a fast-charged BEB could be equipped with around 200kWh of batteries with 1 to maximum 2 re-charges of 20-30minutes per day using 300kW chargers. In harsher conditions (longer routes, hotter weather, older bus) 2 re-charges would be required and otherwise one would be sufficient. During the night the bus is charged slowly to 100% whilst during the day the re-charge is typically from 20-80% (the last 20% of charging requires more time).</w:t>
      </w:r>
    </w:p>
    <w:p w14:paraId="41AC8DB1" w14:textId="1699421D" w:rsidR="005D5691" w:rsidRPr="005D5691" w:rsidRDefault="005D5691" w:rsidP="005D5691">
      <w:pPr>
        <w:jc w:val="both"/>
        <w:rPr>
          <w:b/>
        </w:rPr>
      </w:pPr>
      <w:r w:rsidRPr="00493164">
        <w:rPr>
          <w:b/>
        </w:rPr>
        <w:t xml:space="preserve">Opportunity </w:t>
      </w:r>
      <w:r>
        <w:rPr>
          <w:b/>
        </w:rPr>
        <w:t>C</w:t>
      </w:r>
      <w:r w:rsidRPr="00493164">
        <w:rPr>
          <w:b/>
        </w:rPr>
        <w:t>harged Bus</w:t>
      </w:r>
      <w:r>
        <w:rPr>
          <w:b/>
        </w:rPr>
        <w:t xml:space="preserve">es </w:t>
      </w:r>
      <w:r w:rsidRPr="00D448A4">
        <w:t xml:space="preserve">are charged on </w:t>
      </w:r>
      <w:r>
        <w:t xml:space="preserve">the </w:t>
      </w:r>
      <w:r w:rsidRPr="00D448A4">
        <w:t xml:space="preserve">route either at charging points throughout the bus circuit or at initial and final stops. </w:t>
      </w:r>
      <w:r>
        <w:t xml:space="preserve">They are especially popular in Europe but some cities in </w:t>
      </w:r>
      <w:r w:rsidR="00F4674E">
        <w:t xml:space="preserve">the </w:t>
      </w:r>
      <w:r>
        <w:t>PR</w:t>
      </w:r>
      <w:r w:rsidR="00F4674E">
        <w:t xml:space="preserve"> </w:t>
      </w:r>
      <w:r>
        <w:t>C</w:t>
      </w:r>
      <w:r w:rsidR="00F4674E">
        <w:t>hina</w:t>
      </w:r>
      <w:r>
        <w:t xml:space="preserve"> (e.g. Guangzhou or Shanghai) also have opportunity charge systems installed. Whilst inductive opportunity charge is possible the trend is clearly towards opportunity charge from the bus roof.</w:t>
      </w:r>
    </w:p>
    <w:p w14:paraId="13C4892F" w14:textId="21180EDF" w:rsidR="005D5691" w:rsidRPr="00F86D4C" w:rsidRDefault="005D5691" w:rsidP="005D5691">
      <w:pPr>
        <w:pStyle w:val="NoSpacing"/>
        <w:rPr>
          <w:b/>
          <w:sz w:val="20"/>
        </w:rPr>
      </w:pPr>
      <w:r w:rsidRPr="00F86D4C">
        <w:rPr>
          <w:b/>
          <w:sz w:val="20"/>
        </w:rPr>
        <w:t xml:space="preserve">Figure </w:t>
      </w:r>
      <w:r w:rsidRPr="00F86D4C">
        <w:rPr>
          <w:b/>
          <w:sz w:val="20"/>
        </w:rPr>
        <w:fldChar w:fldCharType="begin"/>
      </w:r>
      <w:r w:rsidRPr="00F86D4C">
        <w:rPr>
          <w:b/>
          <w:sz w:val="20"/>
        </w:rPr>
        <w:instrText xml:space="preserve"> SEQ Figure \* ARABIC </w:instrText>
      </w:r>
      <w:r w:rsidRPr="00F86D4C">
        <w:rPr>
          <w:b/>
          <w:sz w:val="20"/>
        </w:rPr>
        <w:fldChar w:fldCharType="separate"/>
      </w:r>
      <w:r w:rsidR="00443AB4">
        <w:rPr>
          <w:b/>
          <w:noProof/>
          <w:sz w:val="20"/>
        </w:rPr>
        <w:t>7</w:t>
      </w:r>
      <w:r w:rsidRPr="00F86D4C">
        <w:rPr>
          <w:b/>
          <w:sz w:val="20"/>
        </w:rPr>
        <w:fldChar w:fldCharType="end"/>
      </w:r>
      <w:r w:rsidRPr="00F86D4C">
        <w:rPr>
          <w:b/>
          <w:sz w:val="20"/>
        </w:rPr>
        <w:t>: Opportunity Charge System</w:t>
      </w:r>
    </w:p>
    <w:p w14:paraId="75CF874B" w14:textId="77777777" w:rsidR="005D5691" w:rsidRPr="00F86D4C" w:rsidRDefault="005D5691" w:rsidP="005D5691">
      <w:pPr>
        <w:pStyle w:val="NoSpacing"/>
        <w:rPr>
          <w:sz w:val="20"/>
        </w:rPr>
      </w:pPr>
      <w:r w:rsidRPr="00F86D4C">
        <w:rPr>
          <w:noProof/>
          <w:sz w:val="20"/>
          <w:lang w:eastAsia="en-GB"/>
        </w:rPr>
        <w:drawing>
          <wp:inline distT="0" distB="0" distL="0" distR="0" wp14:anchorId="43FF915E" wp14:editId="0F293821">
            <wp:extent cx="4011930" cy="2048703"/>
            <wp:effectExtent l="19050" t="19050" r="26670" b="279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54724" cy="2070556"/>
                    </a:xfrm>
                    <a:prstGeom prst="rect">
                      <a:avLst/>
                    </a:prstGeom>
                    <a:noFill/>
                    <a:ln w="12700">
                      <a:solidFill>
                        <a:schemeClr val="tx1"/>
                      </a:solidFill>
                    </a:ln>
                  </pic:spPr>
                </pic:pic>
              </a:graphicData>
            </a:graphic>
          </wp:inline>
        </w:drawing>
      </w:r>
    </w:p>
    <w:p w14:paraId="46C24B40" w14:textId="7CD07308" w:rsidR="005C39A9" w:rsidRDefault="005D5691" w:rsidP="005D5691">
      <w:pPr>
        <w:pStyle w:val="NoSpacing"/>
        <w:rPr>
          <w:sz w:val="20"/>
        </w:rPr>
      </w:pPr>
      <w:r w:rsidRPr="00F86D4C">
        <w:rPr>
          <w:sz w:val="20"/>
        </w:rPr>
        <w:t>Source: Volvo</w:t>
      </w:r>
    </w:p>
    <w:p w14:paraId="63D9F337" w14:textId="77777777" w:rsidR="005D5691" w:rsidRPr="005D5691" w:rsidRDefault="005D5691" w:rsidP="005D5691">
      <w:pPr>
        <w:pStyle w:val="NoSpacing"/>
        <w:rPr>
          <w:sz w:val="20"/>
        </w:rPr>
      </w:pPr>
    </w:p>
    <w:p w14:paraId="507030E1" w14:textId="3D077DA1" w:rsidR="005D5691" w:rsidRDefault="005D5691" w:rsidP="005D5691">
      <w:pPr>
        <w:jc w:val="both"/>
      </w:pPr>
      <w:r>
        <w:t xml:space="preserve">Opportunity charged buses make basically sense on high capacity, high frequency route operating with articulated buses e.g. as used on high-demand </w:t>
      </w:r>
      <w:r w:rsidR="00F4674E">
        <w:t>Bus Rapid Transit (</w:t>
      </w:r>
      <w:r>
        <w:t>BRT</w:t>
      </w:r>
      <w:r w:rsidR="00F4674E">
        <w:t>)</w:t>
      </w:r>
      <w:r>
        <w:t xml:space="preserve"> routes. No such routes operate </w:t>
      </w:r>
      <w:r w:rsidR="00F4674E">
        <w:t xml:space="preserve">currently </w:t>
      </w:r>
      <w:r>
        <w:t>in Pristina and therefore this option is not further considered.</w:t>
      </w:r>
    </w:p>
    <w:p w14:paraId="53D17BA7" w14:textId="68802609" w:rsidR="005C39A9" w:rsidRDefault="00C11D79" w:rsidP="00C11D79">
      <w:pPr>
        <w:pStyle w:val="Heading2"/>
      </w:pPr>
      <w:bookmarkStart w:id="24" w:name="_Toc7256799"/>
      <w:r>
        <w:lastRenderedPageBreak/>
        <w:t>4.5. Fuel Cell Electric Buses</w:t>
      </w:r>
      <w:bookmarkEnd w:id="24"/>
    </w:p>
    <w:p w14:paraId="17401531" w14:textId="77777777" w:rsidR="005D5691" w:rsidRPr="005D5691" w:rsidRDefault="005D5691" w:rsidP="005D5691"/>
    <w:p w14:paraId="28DCCC4A" w14:textId="636B4DAC" w:rsidR="00C11D79" w:rsidRPr="005D5691" w:rsidRDefault="005D5691" w:rsidP="005D5691">
      <w:pPr>
        <w:jc w:val="both"/>
        <w:rPr>
          <w:lang w:val="en"/>
        </w:rPr>
      </w:pPr>
      <w:r w:rsidRPr="005D5691">
        <w:rPr>
          <w:lang w:val="en"/>
        </w:rPr>
        <w:t xml:space="preserve">A fuel cell electric vehicle uses a hydrogen fuel cell as the power source for the drive wheels, sometimes augmented with batteries or a super capacitor. Like battery electric vehicles, these vehicles have zero tailpipe emissions, but have emissions from the production and distribution of hydrogen. Hydrogen can be produced from various sources, including fossil fuels, biomass and electrolysis of water with electricity. </w:t>
      </w:r>
      <w:r w:rsidRPr="005D5691">
        <w:rPr>
          <w:lang w:val="en-US"/>
        </w:rPr>
        <w:t>The average hydrogen consumption of buses</w:t>
      </w:r>
      <w:r w:rsidRPr="005D5691">
        <w:rPr>
          <w:vertAlign w:val="superscript"/>
          <w:lang w:val="en-US"/>
        </w:rPr>
        <w:footnoteReference w:id="21"/>
      </w:r>
      <w:r w:rsidRPr="005D5691">
        <w:rPr>
          <w:lang w:val="en-US"/>
        </w:rPr>
        <w:t xml:space="preserve"> will result in three to four times more total electricity consumption than that of pure electric units</w:t>
      </w:r>
      <w:r w:rsidR="00415059">
        <w:rPr>
          <w:lang w:val="en-US"/>
        </w:rPr>
        <w:t xml:space="preserve"> resulting also in much higher GHG emissions of such a bus than a BEB. Basically, this technology has, at least for buses, lost out against BEBs and is not further considered.</w:t>
      </w:r>
    </w:p>
    <w:p w14:paraId="3C22B171" w14:textId="4A0EA26D" w:rsidR="005C39A9" w:rsidRDefault="005C39A9" w:rsidP="005C39A9">
      <w:pPr>
        <w:pStyle w:val="Heading2"/>
      </w:pPr>
      <w:bookmarkStart w:id="25" w:name="_Toc7256800"/>
      <w:r>
        <w:t>4.</w:t>
      </w:r>
      <w:r w:rsidR="00C11D79">
        <w:t>6</w:t>
      </w:r>
      <w:r>
        <w:t>. Comparison of Bus Technologies</w:t>
      </w:r>
      <w:bookmarkEnd w:id="25"/>
    </w:p>
    <w:p w14:paraId="471ED25E" w14:textId="4A1AE2C3" w:rsidR="005C39A9" w:rsidRDefault="005C39A9" w:rsidP="005C39A9"/>
    <w:p w14:paraId="047A40EA" w14:textId="0E9CBAB2" w:rsidR="00415059" w:rsidRDefault="00B45997" w:rsidP="005C39A9">
      <w:r>
        <w:t xml:space="preserve">The following table compares </w:t>
      </w:r>
      <w:r w:rsidR="007A3348">
        <w:t>the environmental performance of alternative bus technologies.</w:t>
      </w:r>
    </w:p>
    <w:p w14:paraId="2DB2FE34" w14:textId="4CB56337" w:rsidR="007A3348" w:rsidRPr="007A3348" w:rsidRDefault="007A3348" w:rsidP="007A3348">
      <w:pPr>
        <w:pStyle w:val="NoSpacing"/>
        <w:rPr>
          <w:b/>
          <w:sz w:val="20"/>
        </w:rPr>
      </w:pPr>
      <w:r w:rsidRPr="007A3348">
        <w:rPr>
          <w:b/>
          <w:sz w:val="20"/>
        </w:rPr>
        <w:t xml:space="preserve">Table </w:t>
      </w:r>
      <w:r w:rsidRPr="007A3348">
        <w:rPr>
          <w:b/>
          <w:sz w:val="20"/>
        </w:rPr>
        <w:fldChar w:fldCharType="begin"/>
      </w:r>
      <w:r w:rsidRPr="007A3348">
        <w:rPr>
          <w:b/>
          <w:sz w:val="20"/>
        </w:rPr>
        <w:instrText xml:space="preserve"> SEQ Table \* ARABIC </w:instrText>
      </w:r>
      <w:r w:rsidRPr="007A3348">
        <w:rPr>
          <w:b/>
          <w:sz w:val="20"/>
        </w:rPr>
        <w:fldChar w:fldCharType="separate"/>
      </w:r>
      <w:r w:rsidR="00443AB4">
        <w:rPr>
          <w:b/>
          <w:noProof/>
          <w:sz w:val="20"/>
        </w:rPr>
        <w:t>3</w:t>
      </w:r>
      <w:r w:rsidRPr="007A3348">
        <w:rPr>
          <w:b/>
          <w:sz w:val="20"/>
        </w:rPr>
        <w:fldChar w:fldCharType="end"/>
      </w:r>
      <w:r w:rsidRPr="007A3348">
        <w:rPr>
          <w:b/>
          <w:sz w:val="20"/>
        </w:rPr>
        <w:t xml:space="preserve">: Environmental Performance of </w:t>
      </w:r>
      <w:r w:rsidR="005209F9">
        <w:rPr>
          <w:b/>
          <w:sz w:val="20"/>
        </w:rPr>
        <w:t xml:space="preserve">12m Urban </w:t>
      </w:r>
      <w:r w:rsidRPr="007A3348">
        <w:rPr>
          <w:b/>
          <w:sz w:val="20"/>
        </w:rPr>
        <w:t>Buses</w:t>
      </w:r>
      <w:r w:rsidR="005209F9">
        <w:rPr>
          <w:b/>
          <w:sz w:val="20"/>
        </w:rPr>
        <w:t xml:space="preserve"> in Kosovo</w:t>
      </w:r>
      <w:r w:rsidR="00340148">
        <w:rPr>
          <w:b/>
          <w:sz w:val="20"/>
        </w:rPr>
        <w:t xml:space="preserve"> (combustion emissions)</w:t>
      </w:r>
    </w:p>
    <w:tbl>
      <w:tblPr>
        <w:tblStyle w:val="TableGrid"/>
        <w:tblW w:w="0" w:type="auto"/>
        <w:tblLook w:val="04A0" w:firstRow="1" w:lastRow="0" w:firstColumn="1" w:lastColumn="0" w:noHBand="0" w:noVBand="1"/>
      </w:tblPr>
      <w:tblGrid>
        <w:gridCol w:w="4135"/>
        <w:gridCol w:w="1710"/>
        <w:gridCol w:w="1530"/>
        <w:gridCol w:w="1641"/>
      </w:tblGrid>
      <w:tr w:rsidR="004A66BA" w:rsidRPr="007A3348" w14:paraId="504C63BB" w14:textId="77777777" w:rsidTr="004A66BA">
        <w:tc>
          <w:tcPr>
            <w:tcW w:w="4135" w:type="dxa"/>
            <w:shd w:val="clear" w:color="auto" w:fill="D9E2F3" w:themeFill="accent1" w:themeFillTint="33"/>
          </w:tcPr>
          <w:p w14:paraId="159031F0" w14:textId="681773E9" w:rsidR="007A3348" w:rsidRPr="007A3348" w:rsidRDefault="007A3348" w:rsidP="007A3348">
            <w:pPr>
              <w:pStyle w:val="NoSpacing"/>
              <w:rPr>
                <w:b/>
                <w:sz w:val="20"/>
              </w:rPr>
            </w:pPr>
            <w:r w:rsidRPr="007A3348">
              <w:rPr>
                <w:b/>
                <w:sz w:val="20"/>
              </w:rPr>
              <w:t>Parameter</w:t>
            </w:r>
          </w:p>
        </w:tc>
        <w:tc>
          <w:tcPr>
            <w:tcW w:w="1710" w:type="dxa"/>
            <w:shd w:val="clear" w:color="auto" w:fill="D9E2F3" w:themeFill="accent1" w:themeFillTint="33"/>
          </w:tcPr>
          <w:p w14:paraId="57D890B0" w14:textId="404FE3A0" w:rsidR="007A3348" w:rsidRPr="007A3348" w:rsidRDefault="007A3348" w:rsidP="007A3348">
            <w:pPr>
              <w:pStyle w:val="NoSpacing"/>
              <w:jc w:val="center"/>
              <w:rPr>
                <w:b/>
                <w:sz w:val="20"/>
              </w:rPr>
            </w:pPr>
            <w:r w:rsidRPr="007A3348">
              <w:rPr>
                <w:b/>
                <w:sz w:val="20"/>
              </w:rPr>
              <w:t>Euro VI Diesel Bus</w:t>
            </w:r>
          </w:p>
        </w:tc>
        <w:tc>
          <w:tcPr>
            <w:tcW w:w="1530" w:type="dxa"/>
            <w:shd w:val="clear" w:color="auto" w:fill="D9E2F3" w:themeFill="accent1" w:themeFillTint="33"/>
          </w:tcPr>
          <w:p w14:paraId="2A339B3D" w14:textId="077CF067" w:rsidR="007A3348" w:rsidRPr="007A3348" w:rsidRDefault="007A3348" w:rsidP="007A3348">
            <w:pPr>
              <w:pStyle w:val="NoSpacing"/>
              <w:jc w:val="center"/>
              <w:rPr>
                <w:b/>
                <w:sz w:val="20"/>
              </w:rPr>
            </w:pPr>
            <w:r w:rsidRPr="007A3348">
              <w:rPr>
                <w:b/>
                <w:sz w:val="20"/>
              </w:rPr>
              <w:t>Euro VI Hybrid Bus</w:t>
            </w:r>
          </w:p>
        </w:tc>
        <w:tc>
          <w:tcPr>
            <w:tcW w:w="1641" w:type="dxa"/>
            <w:shd w:val="clear" w:color="auto" w:fill="D9E2F3" w:themeFill="accent1" w:themeFillTint="33"/>
          </w:tcPr>
          <w:p w14:paraId="18D72AD6" w14:textId="74F04263" w:rsidR="007A3348" w:rsidRPr="007A3348" w:rsidRDefault="007A3348" w:rsidP="007A3348">
            <w:pPr>
              <w:pStyle w:val="NoSpacing"/>
              <w:jc w:val="center"/>
              <w:rPr>
                <w:b/>
                <w:sz w:val="20"/>
              </w:rPr>
            </w:pPr>
            <w:r w:rsidRPr="007A3348">
              <w:rPr>
                <w:b/>
                <w:sz w:val="20"/>
              </w:rPr>
              <w:t>BEB</w:t>
            </w:r>
          </w:p>
        </w:tc>
      </w:tr>
      <w:tr w:rsidR="007A3348" w:rsidRPr="007A3348" w14:paraId="15F0DD9E" w14:textId="77777777" w:rsidTr="004A66BA">
        <w:tc>
          <w:tcPr>
            <w:tcW w:w="4135" w:type="dxa"/>
          </w:tcPr>
          <w:p w14:paraId="1D9AE024" w14:textId="41BDF8C1" w:rsidR="007A3348" w:rsidRPr="007A3348" w:rsidRDefault="007A3348" w:rsidP="007A3348">
            <w:pPr>
              <w:pStyle w:val="NoSpacing"/>
              <w:rPr>
                <w:sz w:val="20"/>
              </w:rPr>
            </w:pPr>
            <w:r>
              <w:rPr>
                <w:sz w:val="20"/>
              </w:rPr>
              <w:t>Energy consumption</w:t>
            </w:r>
          </w:p>
        </w:tc>
        <w:tc>
          <w:tcPr>
            <w:tcW w:w="1710" w:type="dxa"/>
          </w:tcPr>
          <w:p w14:paraId="59958B6F" w14:textId="36D6784C" w:rsidR="007A3348" w:rsidRPr="007A3348" w:rsidRDefault="007A3348" w:rsidP="007A3348">
            <w:pPr>
              <w:pStyle w:val="NoSpacing"/>
              <w:jc w:val="center"/>
              <w:rPr>
                <w:sz w:val="20"/>
              </w:rPr>
            </w:pPr>
            <w:r>
              <w:rPr>
                <w:sz w:val="20"/>
              </w:rPr>
              <w:t xml:space="preserve">45 </w:t>
            </w:r>
            <w:r w:rsidR="00C200E0">
              <w:rPr>
                <w:sz w:val="20"/>
              </w:rPr>
              <w:t>l</w:t>
            </w:r>
            <w:r>
              <w:rPr>
                <w:sz w:val="20"/>
              </w:rPr>
              <w:t>/100km</w:t>
            </w:r>
          </w:p>
        </w:tc>
        <w:tc>
          <w:tcPr>
            <w:tcW w:w="1530" w:type="dxa"/>
          </w:tcPr>
          <w:p w14:paraId="591310AB" w14:textId="09657F2E" w:rsidR="007A3348" w:rsidRPr="007A3348" w:rsidRDefault="007A3348" w:rsidP="007A3348">
            <w:pPr>
              <w:pStyle w:val="NoSpacing"/>
              <w:jc w:val="center"/>
              <w:rPr>
                <w:sz w:val="20"/>
              </w:rPr>
            </w:pPr>
            <w:r>
              <w:rPr>
                <w:sz w:val="20"/>
              </w:rPr>
              <w:t>34 l/100km</w:t>
            </w:r>
          </w:p>
        </w:tc>
        <w:tc>
          <w:tcPr>
            <w:tcW w:w="1641" w:type="dxa"/>
          </w:tcPr>
          <w:p w14:paraId="4B7346D0" w14:textId="014A3B1E" w:rsidR="007A3348" w:rsidRPr="007A3348" w:rsidRDefault="007A3348" w:rsidP="007A3348">
            <w:pPr>
              <w:pStyle w:val="NoSpacing"/>
              <w:jc w:val="center"/>
              <w:rPr>
                <w:sz w:val="20"/>
              </w:rPr>
            </w:pPr>
            <w:r>
              <w:rPr>
                <w:sz w:val="20"/>
              </w:rPr>
              <w:t>1.2 kWh/km</w:t>
            </w:r>
          </w:p>
        </w:tc>
      </w:tr>
      <w:tr w:rsidR="007A3348" w:rsidRPr="007A3348" w14:paraId="293C24C7" w14:textId="77777777" w:rsidTr="004A66BA">
        <w:tc>
          <w:tcPr>
            <w:tcW w:w="4135" w:type="dxa"/>
          </w:tcPr>
          <w:p w14:paraId="5472B4E3" w14:textId="6E024637" w:rsidR="007A3348" w:rsidRPr="007A3348" w:rsidRDefault="007A3348" w:rsidP="007A3348">
            <w:pPr>
              <w:pStyle w:val="NoSpacing"/>
              <w:rPr>
                <w:sz w:val="20"/>
              </w:rPr>
            </w:pPr>
            <w:r>
              <w:rPr>
                <w:sz w:val="20"/>
              </w:rPr>
              <w:t>GHG emissions WTW</w:t>
            </w:r>
          </w:p>
        </w:tc>
        <w:tc>
          <w:tcPr>
            <w:tcW w:w="1710" w:type="dxa"/>
          </w:tcPr>
          <w:p w14:paraId="4F925509" w14:textId="2CDC3CA9" w:rsidR="007A3348" w:rsidRPr="007A3348" w:rsidRDefault="007A3348" w:rsidP="007A3348">
            <w:pPr>
              <w:pStyle w:val="NoSpacing"/>
              <w:jc w:val="center"/>
              <w:rPr>
                <w:sz w:val="20"/>
              </w:rPr>
            </w:pPr>
            <w:r>
              <w:rPr>
                <w:sz w:val="20"/>
              </w:rPr>
              <w:t>1,490 gCO</w:t>
            </w:r>
            <w:r w:rsidRPr="007A3348">
              <w:rPr>
                <w:sz w:val="20"/>
                <w:vertAlign w:val="subscript"/>
              </w:rPr>
              <w:t>2e</w:t>
            </w:r>
            <w:r>
              <w:rPr>
                <w:sz w:val="20"/>
              </w:rPr>
              <w:t>/km</w:t>
            </w:r>
          </w:p>
        </w:tc>
        <w:tc>
          <w:tcPr>
            <w:tcW w:w="1530" w:type="dxa"/>
          </w:tcPr>
          <w:p w14:paraId="3BD51BAD" w14:textId="670DE80F" w:rsidR="007A3348" w:rsidRPr="007A3348" w:rsidRDefault="007A3348" w:rsidP="007A3348">
            <w:pPr>
              <w:pStyle w:val="NoSpacing"/>
              <w:jc w:val="center"/>
              <w:rPr>
                <w:sz w:val="20"/>
              </w:rPr>
            </w:pPr>
            <w:r>
              <w:rPr>
                <w:sz w:val="20"/>
              </w:rPr>
              <w:t>1,120 gCO</w:t>
            </w:r>
            <w:r w:rsidRPr="007A3348">
              <w:rPr>
                <w:sz w:val="20"/>
                <w:vertAlign w:val="subscript"/>
              </w:rPr>
              <w:t>2e</w:t>
            </w:r>
            <w:r>
              <w:rPr>
                <w:sz w:val="20"/>
              </w:rPr>
              <w:t>/km</w:t>
            </w:r>
          </w:p>
        </w:tc>
        <w:tc>
          <w:tcPr>
            <w:tcW w:w="1641" w:type="dxa"/>
          </w:tcPr>
          <w:p w14:paraId="79939AC7" w14:textId="28EE5EAB" w:rsidR="007A3348" w:rsidRPr="007A3348" w:rsidRDefault="007A3348" w:rsidP="007A3348">
            <w:pPr>
              <w:pStyle w:val="NoSpacing"/>
              <w:jc w:val="center"/>
              <w:rPr>
                <w:sz w:val="20"/>
              </w:rPr>
            </w:pPr>
            <w:r>
              <w:rPr>
                <w:sz w:val="20"/>
              </w:rPr>
              <w:t>1,610 gCO</w:t>
            </w:r>
            <w:r w:rsidRPr="007A3348">
              <w:rPr>
                <w:sz w:val="20"/>
                <w:vertAlign w:val="subscript"/>
              </w:rPr>
              <w:t>2e</w:t>
            </w:r>
            <w:r>
              <w:rPr>
                <w:sz w:val="20"/>
              </w:rPr>
              <w:t>/km</w:t>
            </w:r>
          </w:p>
        </w:tc>
      </w:tr>
      <w:tr w:rsidR="007A3348" w:rsidRPr="007A3348" w14:paraId="3331D28B" w14:textId="77777777" w:rsidTr="004A66BA">
        <w:tc>
          <w:tcPr>
            <w:tcW w:w="4135" w:type="dxa"/>
          </w:tcPr>
          <w:p w14:paraId="035BB592" w14:textId="3E9BF7D9" w:rsidR="007A3348" w:rsidRPr="007A3348" w:rsidRDefault="007A3348" w:rsidP="007A3348">
            <w:pPr>
              <w:pStyle w:val="NoSpacing"/>
              <w:rPr>
                <w:sz w:val="20"/>
              </w:rPr>
            </w:pPr>
            <w:r>
              <w:rPr>
                <w:sz w:val="20"/>
              </w:rPr>
              <w:t>PM</w:t>
            </w:r>
            <w:r w:rsidRPr="007A3348">
              <w:rPr>
                <w:sz w:val="20"/>
                <w:vertAlign w:val="subscript"/>
              </w:rPr>
              <w:t>2.5</w:t>
            </w:r>
            <w:r>
              <w:rPr>
                <w:sz w:val="20"/>
              </w:rPr>
              <w:t xml:space="preserve"> emissions</w:t>
            </w:r>
          </w:p>
        </w:tc>
        <w:tc>
          <w:tcPr>
            <w:tcW w:w="1710" w:type="dxa"/>
          </w:tcPr>
          <w:p w14:paraId="70515C41" w14:textId="04EA535C" w:rsidR="007A3348" w:rsidRPr="007A3348" w:rsidRDefault="007A3348" w:rsidP="007A3348">
            <w:pPr>
              <w:pStyle w:val="NoSpacing"/>
              <w:jc w:val="center"/>
              <w:rPr>
                <w:sz w:val="20"/>
              </w:rPr>
            </w:pPr>
            <w:r>
              <w:rPr>
                <w:sz w:val="20"/>
              </w:rPr>
              <w:t>0.008 g/km</w:t>
            </w:r>
          </w:p>
        </w:tc>
        <w:tc>
          <w:tcPr>
            <w:tcW w:w="1530" w:type="dxa"/>
          </w:tcPr>
          <w:p w14:paraId="7C4D2EFB" w14:textId="19C52CE7" w:rsidR="007A3348" w:rsidRPr="007A3348" w:rsidRDefault="007A3348" w:rsidP="007A3348">
            <w:pPr>
              <w:pStyle w:val="NoSpacing"/>
              <w:jc w:val="center"/>
              <w:rPr>
                <w:sz w:val="20"/>
              </w:rPr>
            </w:pPr>
            <w:r>
              <w:rPr>
                <w:sz w:val="20"/>
              </w:rPr>
              <w:t>0.006 g/km</w:t>
            </w:r>
          </w:p>
        </w:tc>
        <w:tc>
          <w:tcPr>
            <w:tcW w:w="1641" w:type="dxa"/>
          </w:tcPr>
          <w:p w14:paraId="38105FAD" w14:textId="0AB2393E" w:rsidR="007A3348" w:rsidRPr="007A3348" w:rsidRDefault="007A3348" w:rsidP="007A3348">
            <w:pPr>
              <w:pStyle w:val="NoSpacing"/>
              <w:jc w:val="center"/>
              <w:rPr>
                <w:sz w:val="20"/>
              </w:rPr>
            </w:pPr>
            <w:r>
              <w:rPr>
                <w:sz w:val="20"/>
              </w:rPr>
              <w:t>0</w:t>
            </w:r>
          </w:p>
        </w:tc>
      </w:tr>
      <w:tr w:rsidR="007A3348" w:rsidRPr="007A3348" w14:paraId="57AE6131" w14:textId="77777777" w:rsidTr="004A66BA">
        <w:tc>
          <w:tcPr>
            <w:tcW w:w="4135" w:type="dxa"/>
          </w:tcPr>
          <w:p w14:paraId="1966FFAE" w14:textId="5BADC766" w:rsidR="007A3348" w:rsidRPr="007A3348" w:rsidRDefault="007A3348" w:rsidP="007A3348">
            <w:pPr>
              <w:pStyle w:val="NoSpacing"/>
              <w:rPr>
                <w:sz w:val="20"/>
              </w:rPr>
            </w:pPr>
            <w:r>
              <w:rPr>
                <w:sz w:val="20"/>
              </w:rPr>
              <w:t>NO</w:t>
            </w:r>
            <w:r w:rsidRPr="007A3348">
              <w:rPr>
                <w:sz w:val="20"/>
                <w:vertAlign w:val="subscript"/>
              </w:rPr>
              <w:t>x</w:t>
            </w:r>
            <w:r>
              <w:rPr>
                <w:sz w:val="20"/>
              </w:rPr>
              <w:t xml:space="preserve"> emissions</w:t>
            </w:r>
          </w:p>
        </w:tc>
        <w:tc>
          <w:tcPr>
            <w:tcW w:w="1710" w:type="dxa"/>
          </w:tcPr>
          <w:p w14:paraId="1F6B803E" w14:textId="771C965B" w:rsidR="007A3348" w:rsidRPr="007A3348" w:rsidRDefault="007A3348" w:rsidP="007A3348">
            <w:pPr>
              <w:pStyle w:val="NoSpacing"/>
              <w:jc w:val="center"/>
              <w:rPr>
                <w:sz w:val="20"/>
              </w:rPr>
            </w:pPr>
            <w:r>
              <w:rPr>
                <w:sz w:val="20"/>
              </w:rPr>
              <w:t>0.71 g/km</w:t>
            </w:r>
          </w:p>
        </w:tc>
        <w:tc>
          <w:tcPr>
            <w:tcW w:w="1530" w:type="dxa"/>
          </w:tcPr>
          <w:p w14:paraId="7A238FAE" w14:textId="0CCED27F" w:rsidR="007A3348" w:rsidRPr="007A3348" w:rsidRDefault="007A3348" w:rsidP="007A3348">
            <w:pPr>
              <w:pStyle w:val="NoSpacing"/>
              <w:jc w:val="center"/>
              <w:rPr>
                <w:sz w:val="20"/>
              </w:rPr>
            </w:pPr>
            <w:r>
              <w:rPr>
                <w:sz w:val="20"/>
              </w:rPr>
              <w:t>0.53 g/km</w:t>
            </w:r>
          </w:p>
        </w:tc>
        <w:tc>
          <w:tcPr>
            <w:tcW w:w="1641" w:type="dxa"/>
          </w:tcPr>
          <w:p w14:paraId="414BF927" w14:textId="724AAEF3" w:rsidR="007A3348" w:rsidRPr="007A3348" w:rsidRDefault="007A3348" w:rsidP="007A3348">
            <w:pPr>
              <w:pStyle w:val="NoSpacing"/>
              <w:jc w:val="center"/>
              <w:rPr>
                <w:sz w:val="20"/>
              </w:rPr>
            </w:pPr>
            <w:r>
              <w:rPr>
                <w:sz w:val="20"/>
              </w:rPr>
              <w:t>0</w:t>
            </w:r>
          </w:p>
        </w:tc>
      </w:tr>
      <w:tr w:rsidR="007A3348" w:rsidRPr="007A3348" w14:paraId="7302B4B7" w14:textId="77777777" w:rsidTr="004A66BA">
        <w:tc>
          <w:tcPr>
            <w:tcW w:w="4135" w:type="dxa"/>
          </w:tcPr>
          <w:p w14:paraId="57D38B90" w14:textId="4441D12B" w:rsidR="007A3348" w:rsidRPr="007A3348" w:rsidRDefault="007A3348" w:rsidP="007A3348">
            <w:pPr>
              <w:pStyle w:val="NoSpacing"/>
              <w:rPr>
                <w:sz w:val="20"/>
              </w:rPr>
            </w:pPr>
            <w:r>
              <w:rPr>
                <w:sz w:val="20"/>
              </w:rPr>
              <w:t>Annual economic cost of emissions incl. noise</w:t>
            </w:r>
          </w:p>
        </w:tc>
        <w:tc>
          <w:tcPr>
            <w:tcW w:w="1710" w:type="dxa"/>
          </w:tcPr>
          <w:p w14:paraId="699DE954" w14:textId="56ED9778" w:rsidR="007A3348" w:rsidRPr="007A3348" w:rsidRDefault="007A3348" w:rsidP="007A3348">
            <w:pPr>
              <w:pStyle w:val="NoSpacing"/>
              <w:jc w:val="center"/>
              <w:rPr>
                <w:sz w:val="20"/>
              </w:rPr>
            </w:pPr>
            <w:r>
              <w:rPr>
                <w:sz w:val="20"/>
              </w:rPr>
              <w:t>2,120 Euro/a</w:t>
            </w:r>
          </w:p>
        </w:tc>
        <w:tc>
          <w:tcPr>
            <w:tcW w:w="1530" w:type="dxa"/>
          </w:tcPr>
          <w:p w14:paraId="6A0D296F" w14:textId="55F51E9A" w:rsidR="007A3348" w:rsidRPr="007A3348" w:rsidRDefault="007A3348" w:rsidP="007A3348">
            <w:pPr>
              <w:pStyle w:val="NoSpacing"/>
              <w:jc w:val="center"/>
              <w:rPr>
                <w:sz w:val="20"/>
              </w:rPr>
            </w:pPr>
            <w:r>
              <w:rPr>
                <w:sz w:val="20"/>
              </w:rPr>
              <w:t>1,590 Euro/a</w:t>
            </w:r>
          </w:p>
        </w:tc>
        <w:tc>
          <w:tcPr>
            <w:tcW w:w="1641" w:type="dxa"/>
          </w:tcPr>
          <w:p w14:paraId="15FB7313" w14:textId="675B3645" w:rsidR="007A3348" w:rsidRPr="007A3348" w:rsidRDefault="007A3348" w:rsidP="007A3348">
            <w:pPr>
              <w:pStyle w:val="NoSpacing"/>
              <w:jc w:val="center"/>
              <w:rPr>
                <w:sz w:val="20"/>
              </w:rPr>
            </w:pPr>
            <w:r>
              <w:rPr>
                <w:sz w:val="20"/>
              </w:rPr>
              <w:t>1,000 Euro/a</w:t>
            </w:r>
          </w:p>
        </w:tc>
      </w:tr>
    </w:tbl>
    <w:p w14:paraId="0D76A1DE" w14:textId="18BD510A" w:rsidR="007A3348" w:rsidRDefault="007A3348" w:rsidP="007A3348">
      <w:pPr>
        <w:pStyle w:val="NoSpacing"/>
        <w:rPr>
          <w:sz w:val="20"/>
        </w:rPr>
      </w:pPr>
      <w:r w:rsidRPr="007A3348">
        <w:rPr>
          <w:sz w:val="20"/>
        </w:rPr>
        <w:t xml:space="preserve">Source: </w:t>
      </w:r>
      <w:r>
        <w:rPr>
          <w:sz w:val="20"/>
        </w:rPr>
        <w:t>G</w:t>
      </w:r>
      <w:r w:rsidRPr="007A3348">
        <w:rPr>
          <w:sz w:val="20"/>
        </w:rPr>
        <w:t xml:space="preserve">rutter Consulting; see annex for </w:t>
      </w:r>
      <w:r>
        <w:rPr>
          <w:sz w:val="20"/>
        </w:rPr>
        <w:t xml:space="preserve">sources and </w:t>
      </w:r>
      <w:r w:rsidRPr="007A3348">
        <w:rPr>
          <w:sz w:val="20"/>
        </w:rPr>
        <w:t>details</w:t>
      </w:r>
      <w:r w:rsidR="005209F9">
        <w:rPr>
          <w:sz w:val="20"/>
        </w:rPr>
        <w:t>; cost of emissions based on IMF, 2014 and VTPI, 2017; emission costs includes only PM</w:t>
      </w:r>
      <w:r w:rsidR="005209F9" w:rsidRPr="005209F9">
        <w:rPr>
          <w:sz w:val="20"/>
          <w:vertAlign w:val="subscript"/>
        </w:rPr>
        <w:t>2.5</w:t>
      </w:r>
      <w:r w:rsidR="005209F9">
        <w:rPr>
          <w:sz w:val="20"/>
        </w:rPr>
        <w:t xml:space="preserve"> and NO</w:t>
      </w:r>
      <w:r w:rsidR="005209F9" w:rsidRPr="005209F9">
        <w:rPr>
          <w:sz w:val="20"/>
          <w:vertAlign w:val="subscript"/>
        </w:rPr>
        <w:t>x</w:t>
      </w:r>
      <w:r w:rsidR="005209F9">
        <w:rPr>
          <w:sz w:val="20"/>
        </w:rPr>
        <w:t xml:space="preserve"> </w:t>
      </w:r>
      <w:r w:rsidR="001A1BD0">
        <w:rPr>
          <w:sz w:val="20"/>
        </w:rPr>
        <w:t xml:space="preserve">but </w:t>
      </w:r>
      <w:r w:rsidR="005209F9">
        <w:rPr>
          <w:sz w:val="20"/>
        </w:rPr>
        <w:t>not CO</w:t>
      </w:r>
      <w:r w:rsidR="005209F9" w:rsidRPr="005209F9">
        <w:rPr>
          <w:sz w:val="20"/>
          <w:vertAlign w:val="subscript"/>
        </w:rPr>
        <w:t>2</w:t>
      </w:r>
    </w:p>
    <w:p w14:paraId="3B5ABF60" w14:textId="236C912E" w:rsidR="007A3348" w:rsidRDefault="007A3348" w:rsidP="007A3348">
      <w:pPr>
        <w:pStyle w:val="NoSpacing"/>
        <w:rPr>
          <w:sz w:val="20"/>
        </w:rPr>
      </w:pPr>
    </w:p>
    <w:p w14:paraId="170A5A3F" w14:textId="1051CB09" w:rsidR="007A3348" w:rsidRDefault="007A3348" w:rsidP="004A66BA">
      <w:pPr>
        <w:jc w:val="both"/>
      </w:pPr>
      <w:bookmarkStart w:id="26" w:name="_Hlk7188440"/>
      <w:r>
        <w:t xml:space="preserve">The electric bus has higher </w:t>
      </w:r>
      <w:r w:rsidR="004C1EF5">
        <w:t xml:space="preserve">GHG </w:t>
      </w:r>
      <w:r>
        <w:t>emissions than the diesel bus based on a well-to-wheel calculation which includes for the diesel unit also upstream emissions caused due to extraction, refinery and transport of diesel whilst it includes for electric units GHG emissions caused by electricity production and grid losses.</w:t>
      </w:r>
      <w:r w:rsidR="004A66BA">
        <w:t xml:space="preserve"> The carbon grid factor of Kosovo is with 1.34 kgCO</w:t>
      </w:r>
      <w:r w:rsidR="004A66BA" w:rsidRPr="004A66BA">
        <w:rPr>
          <w:vertAlign w:val="subscript"/>
        </w:rPr>
        <w:t>2</w:t>
      </w:r>
      <w:r w:rsidR="004A66BA">
        <w:t>/kWh very high due to the large majority of electricity being produced with inefficient and outdated coal power plants</w:t>
      </w:r>
      <w:r w:rsidR="004A66BA">
        <w:rPr>
          <w:rStyle w:val="FootnoteReference"/>
          <w:sz w:val="20"/>
        </w:rPr>
        <w:footnoteReference w:id="22"/>
      </w:r>
      <w:r w:rsidR="004A66BA">
        <w:t>.</w:t>
      </w:r>
      <w:r>
        <w:t xml:space="preserve"> </w:t>
      </w:r>
      <w:r w:rsidR="004A66BA">
        <w:t>In terms of pollution and noise emissions</w:t>
      </w:r>
      <w:r w:rsidR="0059625B">
        <w:t>,</w:t>
      </w:r>
      <w:r w:rsidR="004A66BA">
        <w:t xml:space="preserve"> electric buses are better than diesel or hybrid unit</w:t>
      </w:r>
      <w:r w:rsidR="001A1BD0">
        <w:t>s</w:t>
      </w:r>
      <w:r w:rsidR="004A66BA">
        <w:t xml:space="preserve"> – </w:t>
      </w:r>
      <w:r w:rsidR="002C0EE7">
        <w:t>the combustion emission are zeros for NO</w:t>
      </w:r>
      <w:r w:rsidR="002C0EE7" w:rsidRPr="0009304D">
        <w:rPr>
          <w:vertAlign w:val="subscript"/>
        </w:rPr>
        <w:t>x</w:t>
      </w:r>
      <w:r w:rsidR="002C0EE7">
        <w:t xml:space="preserve"> and PM</w:t>
      </w:r>
      <w:r w:rsidR="002C0EE7" w:rsidRPr="0009304D">
        <w:rPr>
          <w:vertAlign w:val="subscript"/>
        </w:rPr>
        <w:t>2.5</w:t>
      </w:r>
      <w:r w:rsidR="00C232C1">
        <w:t>;</w:t>
      </w:r>
      <w:r w:rsidR="00591BC3">
        <w:t xml:space="preserve"> </w:t>
      </w:r>
      <w:r w:rsidR="00C232C1">
        <w:t>h</w:t>
      </w:r>
      <w:r w:rsidR="00591BC3">
        <w:t>owever,</w:t>
      </w:r>
      <w:r w:rsidR="002C0EE7">
        <w:t xml:space="preserve"> </w:t>
      </w:r>
      <w:r w:rsidR="004A66BA">
        <w:t>non-combustion PM</w:t>
      </w:r>
      <w:r w:rsidR="004A66BA" w:rsidRPr="004A66BA">
        <w:rPr>
          <w:vertAlign w:val="subscript"/>
        </w:rPr>
        <w:t>2.5</w:t>
      </w:r>
      <w:r w:rsidR="004A66BA">
        <w:t xml:space="preserve"> emissions resulting from brake and tyre abrasion and re-suspension of particles are </w:t>
      </w:r>
      <w:proofErr w:type="gramStart"/>
      <w:r w:rsidR="00EA6077">
        <w:t>similar to</w:t>
      </w:r>
      <w:proofErr w:type="gramEnd"/>
      <w:r w:rsidR="004A66BA">
        <w:t xml:space="preserve"> a Euro VI diesel engine</w:t>
      </w:r>
      <w:r w:rsidR="00EA6077">
        <w:t xml:space="preserve"> and not negligible</w:t>
      </w:r>
      <w:r w:rsidR="004A66BA">
        <w:rPr>
          <w:rStyle w:val="FootnoteReference"/>
        </w:rPr>
        <w:footnoteReference w:id="23"/>
      </w:r>
      <w:r w:rsidR="004A66BA">
        <w:t>.</w:t>
      </w:r>
      <w:r w:rsidR="00EA6077">
        <w:t xml:space="preserve"> Therefore, the overall improvement from electric buses on pollutions may not as high as expected. </w:t>
      </w:r>
    </w:p>
    <w:p w14:paraId="54575930" w14:textId="1839C3EC" w:rsidR="005209F9" w:rsidRDefault="005209F9" w:rsidP="004A66BA">
      <w:pPr>
        <w:jc w:val="both"/>
      </w:pPr>
      <w:r>
        <w:t xml:space="preserve">From an environmental perspective </w:t>
      </w:r>
      <w:proofErr w:type="gramStart"/>
      <w:r>
        <w:t>thus</w:t>
      </w:r>
      <w:proofErr w:type="gramEnd"/>
      <w:r>
        <w:t xml:space="preserve"> hybrid buses </w:t>
      </w:r>
      <w:r w:rsidR="001A1BD0">
        <w:t xml:space="preserve">are </w:t>
      </w:r>
      <w:r>
        <w:t xml:space="preserve">currently the optimal solution </w:t>
      </w:r>
      <w:r w:rsidR="001A1BD0">
        <w:t xml:space="preserve">for Kosovo </w:t>
      </w:r>
      <w:r>
        <w:t xml:space="preserve">as they reduce </w:t>
      </w:r>
      <w:r w:rsidR="001A1BD0">
        <w:t xml:space="preserve">energy usage, emissions and noise </w:t>
      </w:r>
      <w:r>
        <w:t xml:space="preserve">by around 25% </w:t>
      </w:r>
      <w:r w:rsidR="001A1BD0">
        <w:t>compared to Euro VI diesel units</w:t>
      </w:r>
      <w:r>
        <w:t>. With the current very high carbon grid factor e</w:t>
      </w:r>
      <w:r w:rsidR="00CC4C60">
        <w:t xml:space="preserve">lectric </w:t>
      </w:r>
      <w:r>
        <w:t xml:space="preserve">buses result in increased GHG emissions whilst only having a marginal difference on local pollutants. The grid factor would need to drop by 10% </w:t>
      </w:r>
      <w:r w:rsidR="007B73C4">
        <w:t xml:space="preserve">for electric buses </w:t>
      </w:r>
      <w:r>
        <w:t xml:space="preserve">to have the same </w:t>
      </w:r>
      <w:r w:rsidR="008A0835">
        <w:t xml:space="preserve">GHG </w:t>
      </w:r>
      <w:r>
        <w:t>emission level as diesel buses and by 30% to achieve the same emission level as hybrid buses.</w:t>
      </w:r>
    </w:p>
    <w:bookmarkEnd w:id="26"/>
    <w:p w14:paraId="6565899C" w14:textId="638BD104" w:rsidR="005209F9" w:rsidRPr="007A3348" w:rsidRDefault="005209F9" w:rsidP="004A66BA">
      <w:pPr>
        <w:jc w:val="both"/>
      </w:pPr>
      <w:r>
        <w:lastRenderedPageBreak/>
        <w:t>The following table compares the financial performance of alternative bus technologies.</w:t>
      </w:r>
    </w:p>
    <w:p w14:paraId="31A47EAF" w14:textId="491B5096" w:rsidR="007A3348" w:rsidRPr="005209F9" w:rsidRDefault="00443AB4" w:rsidP="005209F9">
      <w:pPr>
        <w:pStyle w:val="NoSpacing"/>
        <w:rPr>
          <w:b/>
          <w:sz w:val="20"/>
          <w:szCs w:val="20"/>
        </w:rPr>
      </w:pPr>
      <w:r>
        <w:rPr>
          <w:b/>
          <w:sz w:val="20"/>
          <w:szCs w:val="20"/>
        </w:rPr>
        <w:br w:type="column"/>
      </w:r>
      <w:r w:rsidR="005209F9" w:rsidRPr="005209F9">
        <w:rPr>
          <w:b/>
          <w:sz w:val="20"/>
          <w:szCs w:val="20"/>
        </w:rPr>
        <w:lastRenderedPageBreak/>
        <w:t xml:space="preserve">Table </w:t>
      </w:r>
      <w:r w:rsidR="005209F9" w:rsidRPr="005209F9">
        <w:rPr>
          <w:b/>
          <w:sz w:val="20"/>
          <w:szCs w:val="20"/>
        </w:rPr>
        <w:fldChar w:fldCharType="begin"/>
      </w:r>
      <w:r w:rsidR="005209F9" w:rsidRPr="005209F9">
        <w:rPr>
          <w:b/>
          <w:sz w:val="20"/>
          <w:szCs w:val="20"/>
        </w:rPr>
        <w:instrText xml:space="preserve"> SEQ Table \* ARABIC </w:instrText>
      </w:r>
      <w:r w:rsidR="005209F9" w:rsidRPr="005209F9">
        <w:rPr>
          <w:b/>
          <w:sz w:val="20"/>
          <w:szCs w:val="20"/>
        </w:rPr>
        <w:fldChar w:fldCharType="separate"/>
      </w:r>
      <w:r w:rsidR="00B20155">
        <w:rPr>
          <w:b/>
          <w:noProof/>
          <w:sz w:val="20"/>
          <w:szCs w:val="20"/>
        </w:rPr>
        <w:t>4</w:t>
      </w:r>
      <w:r w:rsidR="005209F9" w:rsidRPr="005209F9">
        <w:rPr>
          <w:b/>
          <w:sz w:val="20"/>
          <w:szCs w:val="20"/>
        </w:rPr>
        <w:fldChar w:fldCharType="end"/>
      </w:r>
      <w:r w:rsidR="005209F9" w:rsidRPr="005209F9">
        <w:rPr>
          <w:b/>
          <w:sz w:val="20"/>
          <w:szCs w:val="20"/>
        </w:rPr>
        <w:t>: Financial Performance of 12m Urban Buses in Pristina</w:t>
      </w:r>
      <w:r w:rsidR="00CD11AA">
        <w:rPr>
          <w:b/>
          <w:sz w:val="20"/>
          <w:szCs w:val="20"/>
        </w:rPr>
        <w:t xml:space="preserve"> (all values in Euro)</w:t>
      </w:r>
    </w:p>
    <w:tbl>
      <w:tblPr>
        <w:tblStyle w:val="TableGrid"/>
        <w:tblW w:w="0" w:type="auto"/>
        <w:tblLook w:val="04A0" w:firstRow="1" w:lastRow="0" w:firstColumn="1" w:lastColumn="0" w:noHBand="0" w:noVBand="1"/>
      </w:tblPr>
      <w:tblGrid>
        <w:gridCol w:w="2875"/>
        <w:gridCol w:w="1535"/>
        <w:gridCol w:w="1535"/>
        <w:gridCol w:w="1535"/>
        <w:gridCol w:w="1536"/>
      </w:tblGrid>
      <w:tr w:rsidR="005209F9" w:rsidRPr="005209F9" w14:paraId="05E420DD" w14:textId="77777777" w:rsidTr="00CD11AA">
        <w:tc>
          <w:tcPr>
            <w:tcW w:w="2875" w:type="dxa"/>
            <w:shd w:val="clear" w:color="auto" w:fill="D9E2F3" w:themeFill="accent1" w:themeFillTint="33"/>
          </w:tcPr>
          <w:p w14:paraId="2530A645" w14:textId="1CC559E6" w:rsidR="005209F9" w:rsidRPr="005209F9" w:rsidRDefault="005209F9" w:rsidP="005209F9">
            <w:pPr>
              <w:pStyle w:val="NoSpacing"/>
              <w:rPr>
                <w:b/>
                <w:sz w:val="20"/>
                <w:szCs w:val="20"/>
              </w:rPr>
            </w:pPr>
            <w:r w:rsidRPr="005209F9">
              <w:rPr>
                <w:b/>
                <w:sz w:val="20"/>
                <w:szCs w:val="20"/>
              </w:rPr>
              <w:t>Parameter</w:t>
            </w:r>
          </w:p>
        </w:tc>
        <w:tc>
          <w:tcPr>
            <w:tcW w:w="1535" w:type="dxa"/>
            <w:shd w:val="clear" w:color="auto" w:fill="D9E2F3" w:themeFill="accent1" w:themeFillTint="33"/>
          </w:tcPr>
          <w:p w14:paraId="56676DF8" w14:textId="5A167D7B" w:rsidR="005209F9" w:rsidRPr="005209F9" w:rsidRDefault="005209F9" w:rsidP="00CD11AA">
            <w:pPr>
              <w:pStyle w:val="NoSpacing"/>
              <w:jc w:val="center"/>
              <w:rPr>
                <w:b/>
                <w:sz w:val="20"/>
                <w:szCs w:val="20"/>
              </w:rPr>
            </w:pPr>
            <w:r w:rsidRPr="005209F9">
              <w:rPr>
                <w:b/>
                <w:sz w:val="20"/>
                <w:szCs w:val="20"/>
              </w:rPr>
              <w:t>Euro VI Diesel Bus</w:t>
            </w:r>
          </w:p>
        </w:tc>
        <w:tc>
          <w:tcPr>
            <w:tcW w:w="1535" w:type="dxa"/>
            <w:shd w:val="clear" w:color="auto" w:fill="D9E2F3" w:themeFill="accent1" w:themeFillTint="33"/>
          </w:tcPr>
          <w:p w14:paraId="58F2B92E" w14:textId="2BD8C8FA" w:rsidR="005209F9" w:rsidRPr="005209F9" w:rsidRDefault="005209F9" w:rsidP="00CD11AA">
            <w:pPr>
              <w:pStyle w:val="NoSpacing"/>
              <w:jc w:val="center"/>
              <w:rPr>
                <w:b/>
                <w:sz w:val="20"/>
                <w:szCs w:val="20"/>
              </w:rPr>
            </w:pPr>
            <w:r w:rsidRPr="005209F9">
              <w:rPr>
                <w:b/>
                <w:sz w:val="20"/>
                <w:szCs w:val="20"/>
              </w:rPr>
              <w:t>Euro VI Hybrid Bus</w:t>
            </w:r>
          </w:p>
        </w:tc>
        <w:tc>
          <w:tcPr>
            <w:tcW w:w="1535" w:type="dxa"/>
            <w:shd w:val="clear" w:color="auto" w:fill="D9E2F3" w:themeFill="accent1" w:themeFillTint="33"/>
          </w:tcPr>
          <w:p w14:paraId="72B6FDBD" w14:textId="7F6EC473" w:rsidR="005209F9" w:rsidRPr="005209F9" w:rsidRDefault="005209F9" w:rsidP="00CD11AA">
            <w:pPr>
              <w:pStyle w:val="NoSpacing"/>
              <w:jc w:val="center"/>
              <w:rPr>
                <w:b/>
                <w:sz w:val="20"/>
                <w:szCs w:val="20"/>
              </w:rPr>
            </w:pPr>
            <w:r w:rsidRPr="005209F9">
              <w:rPr>
                <w:b/>
                <w:sz w:val="20"/>
                <w:szCs w:val="20"/>
              </w:rPr>
              <w:t>Slow Charged BEB</w:t>
            </w:r>
          </w:p>
        </w:tc>
        <w:tc>
          <w:tcPr>
            <w:tcW w:w="1536" w:type="dxa"/>
            <w:shd w:val="clear" w:color="auto" w:fill="D9E2F3" w:themeFill="accent1" w:themeFillTint="33"/>
          </w:tcPr>
          <w:p w14:paraId="7131284E" w14:textId="0A6FCB50" w:rsidR="005209F9" w:rsidRPr="005209F9" w:rsidRDefault="005209F9" w:rsidP="00CD11AA">
            <w:pPr>
              <w:pStyle w:val="NoSpacing"/>
              <w:jc w:val="center"/>
              <w:rPr>
                <w:b/>
                <w:sz w:val="20"/>
                <w:szCs w:val="20"/>
              </w:rPr>
            </w:pPr>
            <w:r w:rsidRPr="005209F9">
              <w:rPr>
                <w:b/>
                <w:sz w:val="20"/>
                <w:szCs w:val="20"/>
              </w:rPr>
              <w:t>Fast Charged BEB</w:t>
            </w:r>
          </w:p>
        </w:tc>
      </w:tr>
      <w:tr w:rsidR="005209F9" w:rsidRPr="005209F9" w14:paraId="5F87BFD2" w14:textId="77777777" w:rsidTr="00CD11AA">
        <w:tc>
          <w:tcPr>
            <w:tcW w:w="2875" w:type="dxa"/>
          </w:tcPr>
          <w:p w14:paraId="1BCD80C0" w14:textId="02265938" w:rsidR="005209F9" w:rsidRPr="005209F9" w:rsidRDefault="005209F9" w:rsidP="005209F9">
            <w:pPr>
              <w:pStyle w:val="NoSpacing"/>
              <w:rPr>
                <w:sz w:val="20"/>
                <w:szCs w:val="20"/>
              </w:rPr>
            </w:pPr>
            <w:r>
              <w:rPr>
                <w:sz w:val="20"/>
                <w:szCs w:val="20"/>
              </w:rPr>
              <w:t>CAPEX</w:t>
            </w:r>
            <w:r w:rsidR="00CD11AA">
              <w:rPr>
                <w:sz w:val="20"/>
                <w:szCs w:val="20"/>
              </w:rPr>
              <w:t xml:space="preserve"> bus</w:t>
            </w:r>
            <w:r w:rsidR="00976E7A">
              <w:rPr>
                <w:rStyle w:val="FootnoteReference"/>
                <w:sz w:val="20"/>
                <w:szCs w:val="20"/>
              </w:rPr>
              <w:footnoteReference w:id="24"/>
            </w:r>
            <w:r w:rsidR="00CD11AA">
              <w:rPr>
                <w:sz w:val="20"/>
                <w:szCs w:val="20"/>
              </w:rPr>
              <w:t xml:space="preserve"> </w:t>
            </w:r>
          </w:p>
        </w:tc>
        <w:tc>
          <w:tcPr>
            <w:tcW w:w="1535" w:type="dxa"/>
          </w:tcPr>
          <w:p w14:paraId="35D0FDA6" w14:textId="24631F1B" w:rsidR="005209F9" w:rsidRPr="005209F9" w:rsidRDefault="00CD11AA" w:rsidP="00CD11AA">
            <w:pPr>
              <w:pStyle w:val="NoSpacing"/>
              <w:jc w:val="center"/>
              <w:rPr>
                <w:sz w:val="20"/>
                <w:szCs w:val="20"/>
              </w:rPr>
            </w:pPr>
            <w:r>
              <w:rPr>
                <w:sz w:val="20"/>
                <w:szCs w:val="20"/>
              </w:rPr>
              <w:t>130,000</w:t>
            </w:r>
          </w:p>
        </w:tc>
        <w:tc>
          <w:tcPr>
            <w:tcW w:w="1535" w:type="dxa"/>
          </w:tcPr>
          <w:p w14:paraId="2D9F901D" w14:textId="2FC31491" w:rsidR="005209F9" w:rsidRPr="005209F9" w:rsidRDefault="00CD11AA" w:rsidP="00CD11AA">
            <w:pPr>
              <w:pStyle w:val="NoSpacing"/>
              <w:jc w:val="center"/>
              <w:rPr>
                <w:sz w:val="20"/>
                <w:szCs w:val="20"/>
              </w:rPr>
            </w:pPr>
            <w:r>
              <w:rPr>
                <w:sz w:val="20"/>
                <w:szCs w:val="20"/>
              </w:rPr>
              <w:t>175,000</w:t>
            </w:r>
          </w:p>
        </w:tc>
        <w:tc>
          <w:tcPr>
            <w:tcW w:w="1535" w:type="dxa"/>
          </w:tcPr>
          <w:p w14:paraId="5D6874F6" w14:textId="7176F68F" w:rsidR="005209F9" w:rsidRPr="005209F9" w:rsidRDefault="001E75AA" w:rsidP="00CD11AA">
            <w:pPr>
              <w:pStyle w:val="NoSpacing"/>
              <w:jc w:val="center"/>
              <w:rPr>
                <w:sz w:val="20"/>
                <w:szCs w:val="20"/>
              </w:rPr>
            </w:pPr>
            <w:r>
              <w:rPr>
                <w:sz w:val="20"/>
                <w:szCs w:val="20"/>
              </w:rPr>
              <w:t>32</w:t>
            </w:r>
            <w:r w:rsidR="00CD11AA">
              <w:rPr>
                <w:sz w:val="20"/>
                <w:szCs w:val="20"/>
              </w:rPr>
              <w:t>0,000</w:t>
            </w:r>
          </w:p>
        </w:tc>
        <w:tc>
          <w:tcPr>
            <w:tcW w:w="1536" w:type="dxa"/>
          </w:tcPr>
          <w:p w14:paraId="0B5BE5B3" w14:textId="514375FF" w:rsidR="005209F9" w:rsidRPr="005209F9" w:rsidRDefault="00CD11AA" w:rsidP="00CD11AA">
            <w:pPr>
              <w:pStyle w:val="NoSpacing"/>
              <w:jc w:val="center"/>
              <w:rPr>
                <w:sz w:val="20"/>
                <w:szCs w:val="20"/>
              </w:rPr>
            </w:pPr>
            <w:r>
              <w:rPr>
                <w:sz w:val="20"/>
                <w:szCs w:val="20"/>
              </w:rPr>
              <w:t>2</w:t>
            </w:r>
            <w:r w:rsidR="001E75AA">
              <w:rPr>
                <w:sz w:val="20"/>
                <w:szCs w:val="20"/>
              </w:rPr>
              <w:t>6</w:t>
            </w:r>
            <w:r>
              <w:rPr>
                <w:sz w:val="20"/>
                <w:szCs w:val="20"/>
              </w:rPr>
              <w:t>0,000</w:t>
            </w:r>
          </w:p>
        </w:tc>
      </w:tr>
      <w:tr w:rsidR="00CD11AA" w:rsidRPr="005209F9" w14:paraId="4A2CFA3A" w14:textId="77777777" w:rsidTr="00CD11AA">
        <w:tc>
          <w:tcPr>
            <w:tcW w:w="2875" w:type="dxa"/>
          </w:tcPr>
          <w:p w14:paraId="5316BBD2" w14:textId="2DDE2262" w:rsidR="00CD11AA" w:rsidRDefault="00CD11AA" w:rsidP="005209F9">
            <w:pPr>
              <w:pStyle w:val="NoSpacing"/>
              <w:rPr>
                <w:sz w:val="20"/>
                <w:szCs w:val="20"/>
              </w:rPr>
            </w:pPr>
            <w:r>
              <w:rPr>
                <w:sz w:val="20"/>
                <w:szCs w:val="20"/>
              </w:rPr>
              <w:t>CAPEX infrastructure</w:t>
            </w:r>
            <w:r w:rsidR="00C200E0">
              <w:rPr>
                <w:sz w:val="20"/>
                <w:szCs w:val="20"/>
              </w:rPr>
              <w:t xml:space="preserve"> for bus</w:t>
            </w:r>
            <w:r>
              <w:rPr>
                <w:rStyle w:val="FootnoteReference"/>
                <w:sz w:val="20"/>
                <w:szCs w:val="20"/>
              </w:rPr>
              <w:footnoteReference w:id="25"/>
            </w:r>
          </w:p>
        </w:tc>
        <w:tc>
          <w:tcPr>
            <w:tcW w:w="1535" w:type="dxa"/>
          </w:tcPr>
          <w:p w14:paraId="2A303B5C" w14:textId="6D56E4B2" w:rsidR="00CD11AA" w:rsidRPr="005209F9" w:rsidRDefault="00CD11AA" w:rsidP="00CD11AA">
            <w:pPr>
              <w:pStyle w:val="NoSpacing"/>
              <w:jc w:val="center"/>
              <w:rPr>
                <w:sz w:val="20"/>
                <w:szCs w:val="20"/>
              </w:rPr>
            </w:pPr>
            <w:r>
              <w:rPr>
                <w:sz w:val="20"/>
                <w:szCs w:val="20"/>
              </w:rPr>
              <w:t>0</w:t>
            </w:r>
          </w:p>
        </w:tc>
        <w:tc>
          <w:tcPr>
            <w:tcW w:w="1535" w:type="dxa"/>
          </w:tcPr>
          <w:p w14:paraId="17620A9F" w14:textId="39907C72" w:rsidR="00CD11AA" w:rsidRPr="005209F9" w:rsidRDefault="00CD11AA" w:rsidP="00CD11AA">
            <w:pPr>
              <w:pStyle w:val="NoSpacing"/>
              <w:jc w:val="center"/>
              <w:rPr>
                <w:sz w:val="20"/>
                <w:szCs w:val="20"/>
              </w:rPr>
            </w:pPr>
            <w:r>
              <w:rPr>
                <w:sz w:val="20"/>
                <w:szCs w:val="20"/>
              </w:rPr>
              <w:t>0</w:t>
            </w:r>
          </w:p>
        </w:tc>
        <w:tc>
          <w:tcPr>
            <w:tcW w:w="1535" w:type="dxa"/>
          </w:tcPr>
          <w:p w14:paraId="273E3334" w14:textId="68A5B2D4" w:rsidR="00CD11AA" w:rsidRPr="005209F9" w:rsidRDefault="00CD11AA" w:rsidP="00CD11AA">
            <w:pPr>
              <w:pStyle w:val="NoSpacing"/>
              <w:jc w:val="center"/>
              <w:rPr>
                <w:sz w:val="20"/>
                <w:szCs w:val="20"/>
              </w:rPr>
            </w:pPr>
            <w:r>
              <w:rPr>
                <w:sz w:val="20"/>
                <w:szCs w:val="20"/>
              </w:rPr>
              <w:t>8,000</w:t>
            </w:r>
          </w:p>
        </w:tc>
        <w:tc>
          <w:tcPr>
            <w:tcW w:w="1536" w:type="dxa"/>
          </w:tcPr>
          <w:p w14:paraId="183F29A2" w14:textId="1A0A69F0" w:rsidR="00CD11AA" w:rsidRPr="005209F9" w:rsidRDefault="00CD11AA" w:rsidP="00CD11AA">
            <w:pPr>
              <w:pStyle w:val="NoSpacing"/>
              <w:jc w:val="center"/>
              <w:rPr>
                <w:sz w:val="20"/>
                <w:szCs w:val="20"/>
              </w:rPr>
            </w:pPr>
            <w:r>
              <w:rPr>
                <w:sz w:val="20"/>
                <w:szCs w:val="20"/>
              </w:rPr>
              <w:t>15,000</w:t>
            </w:r>
          </w:p>
        </w:tc>
      </w:tr>
      <w:tr w:rsidR="000D38DF" w:rsidRPr="005209F9" w14:paraId="50D6BFA8" w14:textId="77777777" w:rsidTr="00CD11AA">
        <w:tc>
          <w:tcPr>
            <w:tcW w:w="2875" w:type="dxa"/>
          </w:tcPr>
          <w:p w14:paraId="03625DE5" w14:textId="5B2B2C6D" w:rsidR="000D38DF" w:rsidRDefault="000D38DF" w:rsidP="005209F9">
            <w:pPr>
              <w:pStyle w:val="NoSpacing"/>
              <w:rPr>
                <w:sz w:val="20"/>
                <w:szCs w:val="20"/>
              </w:rPr>
            </w:pPr>
            <w:r>
              <w:rPr>
                <w:sz w:val="20"/>
                <w:szCs w:val="20"/>
              </w:rPr>
              <w:t>Replacement cost battery in year 8</w:t>
            </w:r>
          </w:p>
        </w:tc>
        <w:tc>
          <w:tcPr>
            <w:tcW w:w="1535" w:type="dxa"/>
          </w:tcPr>
          <w:p w14:paraId="6FB8CCC4" w14:textId="22542DFD" w:rsidR="000D38DF" w:rsidRDefault="000D38DF" w:rsidP="00CD11AA">
            <w:pPr>
              <w:pStyle w:val="NoSpacing"/>
              <w:jc w:val="center"/>
              <w:rPr>
                <w:sz w:val="20"/>
                <w:szCs w:val="20"/>
              </w:rPr>
            </w:pPr>
            <w:r>
              <w:rPr>
                <w:sz w:val="20"/>
                <w:szCs w:val="20"/>
              </w:rPr>
              <w:t>0</w:t>
            </w:r>
          </w:p>
        </w:tc>
        <w:tc>
          <w:tcPr>
            <w:tcW w:w="1535" w:type="dxa"/>
          </w:tcPr>
          <w:p w14:paraId="1F946C59" w14:textId="1274F4F7" w:rsidR="000D38DF" w:rsidRDefault="000D38DF" w:rsidP="00CD11AA">
            <w:pPr>
              <w:pStyle w:val="NoSpacing"/>
              <w:jc w:val="center"/>
              <w:rPr>
                <w:sz w:val="20"/>
                <w:szCs w:val="20"/>
              </w:rPr>
            </w:pPr>
            <w:r>
              <w:rPr>
                <w:sz w:val="20"/>
                <w:szCs w:val="20"/>
              </w:rPr>
              <w:t>0</w:t>
            </w:r>
          </w:p>
        </w:tc>
        <w:tc>
          <w:tcPr>
            <w:tcW w:w="1535" w:type="dxa"/>
          </w:tcPr>
          <w:p w14:paraId="1C0D509A" w14:textId="10033288" w:rsidR="000D38DF" w:rsidRDefault="000D38DF" w:rsidP="00CD11AA">
            <w:pPr>
              <w:pStyle w:val="NoSpacing"/>
              <w:jc w:val="center"/>
              <w:rPr>
                <w:sz w:val="20"/>
                <w:szCs w:val="20"/>
              </w:rPr>
            </w:pPr>
            <w:r>
              <w:rPr>
                <w:sz w:val="20"/>
                <w:szCs w:val="20"/>
              </w:rPr>
              <w:t>58,000</w:t>
            </w:r>
          </w:p>
        </w:tc>
        <w:tc>
          <w:tcPr>
            <w:tcW w:w="1536" w:type="dxa"/>
          </w:tcPr>
          <w:p w14:paraId="45D9D540" w14:textId="1813016E" w:rsidR="000D38DF" w:rsidRDefault="000D38DF" w:rsidP="00CD11AA">
            <w:pPr>
              <w:pStyle w:val="NoSpacing"/>
              <w:jc w:val="center"/>
              <w:rPr>
                <w:sz w:val="20"/>
                <w:szCs w:val="20"/>
              </w:rPr>
            </w:pPr>
            <w:r>
              <w:rPr>
                <w:sz w:val="20"/>
                <w:szCs w:val="20"/>
              </w:rPr>
              <w:t>29,000</w:t>
            </w:r>
          </w:p>
        </w:tc>
      </w:tr>
      <w:tr w:rsidR="005209F9" w:rsidRPr="005209F9" w14:paraId="4536D4BB" w14:textId="77777777" w:rsidTr="00CD11AA">
        <w:tc>
          <w:tcPr>
            <w:tcW w:w="2875" w:type="dxa"/>
          </w:tcPr>
          <w:p w14:paraId="75D6B32D" w14:textId="0C794701" w:rsidR="005209F9" w:rsidRPr="005209F9" w:rsidRDefault="005209F9" w:rsidP="005209F9">
            <w:pPr>
              <w:pStyle w:val="NoSpacing"/>
              <w:rPr>
                <w:sz w:val="20"/>
                <w:szCs w:val="20"/>
              </w:rPr>
            </w:pPr>
            <w:r>
              <w:rPr>
                <w:sz w:val="20"/>
                <w:szCs w:val="20"/>
              </w:rPr>
              <w:t>Energy cost per annum</w:t>
            </w:r>
            <w:r w:rsidR="00CD11AA">
              <w:rPr>
                <w:rStyle w:val="FootnoteReference"/>
                <w:sz w:val="20"/>
                <w:szCs w:val="20"/>
              </w:rPr>
              <w:footnoteReference w:id="26"/>
            </w:r>
          </w:p>
        </w:tc>
        <w:tc>
          <w:tcPr>
            <w:tcW w:w="1535" w:type="dxa"/>
          </w:tcPr>
          <w:p w14:paraId="48A4C806" w14:textId="49D521AA" w:rsidR="005209F9" w:rsidRPr="005209F9" w:rsidRDefault="00CD11AA" w:rsidP="00CD11AA">
            <w:pPr>
              <w:pStyle w:val="NoSpacing"/>
              <w:jc w:val="center"/>
              <w:rPr>
                <w:sz w:val="20"/>
                <w:szCs w:val="20"/>
              </w:rPr>
            </w:pPr>
            <w:r>
              <w:rPr>
                <w:sz w:val="20"/>
                <w:szCs w:val="20"/>
              </w:rPr>
              <w:t>25,400</w:t>
            </w:r>
          </w:p>
        </w:tc>
        <w:tc>
          <w:tcPr>
            <w:tcW w:w="1535" w:type="dxa"/>
          </w:tcPr>
          <w:p w14:paraId="749A5FA0" w14:textId="5B823A91" w:rsidR="005209F9" w:rsidRPr="005209F9" w:rsidRDefault="00CD11AA" w:rsidP="00CD11AA">
            <w:pPr>
              <w:pStyle w:val="NoSpacing"/>
              <w:jc w:val="center"/>
              <w:rPr>
                <w:sz w:val="20"/>
                <w:szCs w:val="20"/>
              </w:rPr>
            </w:pPr>
            <w:r>
              <w:rPr>
                <w:sz w:val="20"/>
                <w:szCs w:val="20"/>
              </w:rPr>
              <w:t>19,100</w:t>
            </w:r>
          </w:p>
        </w:tc>
        <w:tc>
          <w:tcPr>
            <w:tcW w:w="1535" w:type="dxa"/>
          </w:tcPr>
          <w:p w14:paraId="615367F9" w14:textId="447BB9F1" w:rsidR="005209F9" w:rsidRPr="005209F9" w:rsidRDefault="00CD11AA" w:rsidP="00CD11AA">
            <w:pPr>
              <w:pStyle w:val="NoSpacing"/>
              <w:jc w:val="center"/>
              <w:rPr>
                <w:sz w:val="20"/>
                <w:szCs w:val="20"/>
              </w:rPr>
            </w:pPr>
            <w:r>
              <w:rPr>
                <w:sz w:val="20"/>
                <w:szCs w:val="20"/>
              </w:rPr>
              <w:t>5,100</w:t>
            </w:r>
          </w:p>
        </w:tc>
        <w:tc>
          <w:tcPr>
            <w:tcW w:w="1536" w:type="dxa"/>
          </w:tcPr>
          <w:p w14:paraId="57C89632" w14:textId="43C23508" w:rsidR="005209F9" w:rsidRPr="005209F9" w:rsidRDefault="00CD11AA" w:rsidP="00CD11AA">
            <w:pPr>
              <w:pStyle w:val="NoSpacing"/>
              <w:jc w:val="center"/>
              <w:rPr>
                <w:sz w:val="20"/>
                <w:szCs w:val="20"/>
              </w:rPr>
            </w:pPr>
            <w:r>
              <w:rPr>
                <w:sz w:val="20"/>
                <w:szCs w:val="20"/>
              </w:rPr>
              <w:t>6,300</w:t>
            </w:r>
          </w:p>
        </w:tc>
      </w:tr>
      <w:tr w:rsidR="005209F9" w:rsidRPr="005209F9" w14:paraId="4A32FBB8" w14:textId="77777777" w:rsidTr="00CD11AA">
        <w:tc>
          <w:tcPr>
            <w:tcW w:w="2875" w:type="dxa"/>
          </w:tcPr>
          <w:p w14:paraId="638BD83B" w14:textId="788A7CC1" w:rsidR="005209F9" w:rsidRPr="005209F9" w:rsidRDefault="005209F9" w:rsidP="005209F9">
            <w:pPr>
              <w:pStyle w:val="NoSpacing"/>
              <w:rPr>
                <w:sz w:val="20"/>
                <w:szCs w:val="20"/>
              </w:rPr>
            </w:pPr>
            <w:r>
              <w:rPr>
                <w:sz w:val="20"/>
                <w:szCs w:val="20"/>
              </w:rPr>
              <w:t xml:space="preserve">Maintenance cost </w:t>
            </w:r>
            <w:r w:rsidR="005D4600">
              <w:rPr>
                <w:sz w:val="20"/>
                <w:szCs w:val="20"/>
              </w:rPr>
              <w:t xml:space="preserve">bus </w:t>
            </w:r>
            <w:r>
              <w:rPr>
                <w:sz w:val="20"/>
                <w:szCs w:val="20"/>
              </w:rPr>
              <w:t>per annum</w:t>
            </w:r>
            <w:r w:rsidR="00CD11AA">
              <w:rPr>
                <w:rStyle w:val="FootnoteReference"/>
                <w:sz w:val="20"/>
                <w:szCs w:val="20"/>
              </w:rPr>
              <w:footnoteReference w:id="27"/>
            </w:r>
          </w:p>
        </w:tc>
        <w:tc>
          <w:tcPr>
            <w:tcW w:w="1535" w:type="dxa"/>
          </w:tcPr>
          <w:p w14:paraId="06F34886" w14:textId="2572686D" w:rsidR="005209F9" w:rsidRPr="005209F9" w:rsidRDefault="00CD11AA" w:rsidP="00CD11AA">
            <w:pPr>
              <w:pStyle w:val="NoSpacing"/>
              <w:jc w:val="center"/>
              <w:rPr>
                <w:sz w:val="20"/>
                <w:szCs w:val="20"/>
              </w:rPr>
            </w:pPr>
            <w:r>
              <w:rPr>
                <w:sz w:val="20"/>
                <w:szCs w:val="20"/>
              </w:rPr>
              <w:t>7,500</w:t>
            </w:r>
          </w:p>
        </w:tc>
        <w:tc>
          <w:tcPr>
            <w:tcW w:w="1535" w:type="dxa"/>
          </w:tcPr>
          <w:p w14:paraId="3E31DE2C" w14:textId="2A09706E" w:rsidR="005209F9" w:rsidRPr="005209F9" w:rsidRDefault="00CD11AA" w:rsidP="00CD11AA">
            <w:pPr>
              <w:pStyle w:val="NoSpacing"/>
              <w:jc w:val="center"/>
              <w:rPr>
                <w:sz w:val="20"/>
                <w:szCs w:val="20"/>
              </w:rPr>
            </w:pPr>
            <w:r>
              <w:rPr>
                <w:sz w:val="20"/>
                <w:szCs w:val="20"/>
              </w:rPr>
              <w:t>7,500</w:t>
            </w:r>
          </w:p>
        </w:tc>
        <w:tc>
          <w:tcPr>
            <w:tcW w:w="1535" w:type="dxa"/>
          </w:tcPr>
          <w:p w14:paraId="1A251F3E" w14:textId="2BDD3F4A" w:rsidR="005209F9" w:rsidRPr="005209F9" w:rsidRDefault="00CD11AA" w:rsidP="00CD11AA">
            <w:pPr>
              <w:pStyle w:val="NoSpacing"/>
              <w:jc w:val="center"/>
              <w:rPr>
                <w:sz w:val="20"/>
                <w:szCs w:val="20"/>
              </w:rPr>
            </w:pPr>
            <w:r>
              <w:rPr>
                <w:sz w:val="20"/>
                <w:szCs w:val="20"/>
              </w:rPr>
              <w:t>6,000</w:t>
            </w:r>
          </w:p>
        </w:tc>
        <w:tc>
          <w:tcPr>
            <w:tcW w:w="1536" w:type="dxa"/>
          </w:tcPr>
          <w:p w14:paraId="1D2C5E86" w14:textId="115C07ED" w:rsidR="005209F9" w:rsidRPr="005209F9" w:rsidRDefault="00CD11AA" w:rsidP="00CD11AA">
            <w:pPr>
              <w:pStyle w:val="NoSpacing"/>
              <w:jc w:val="center"/>
              <w:rPr>
                <w:sz w:val="20"/>
                <w:szCs w:val="20"/>
              </w:rPr>
            </w:pPr>
            <w:r>
              <w:rPr>
                <w:sz w:val="20"/>
                <w:szCs w:val="20"/>
              </w:rPr>
              <w:t>6,000</w:t>
            </w:r>
          </w:p>
        </w:tc>
      </w:tr>
      <w:tr w:rsidR="005D4600" w:rsidRPr="005209F9" w14:paraId="0AF0338C" w14:textId="77777777" w:rsidTr="00CD11AA">
        <w:tc>
          <w:tcPr>
            <w:tcW w:w="2875" w:type="dxa"/>
          </w:tcPr>
          <w:p w14:paraId="10F718A2" w14:textId="082060DA" w:rsidR="005D4600" w:rsidRDefault="005D4600" w:rsidP="005209F9">
            <w:pPr>
              <w:pStyle w:val="NoSpacing"/>
              <w:rPr>
                <w:sz w:val="20"/>
                <w:szCs w:val="20"/>
              </w:rPr>
            </w:pPr>
            <w:r>
              <w:rPr>
                <w:sz w:val="20"/>
                <w:szCs w:val="20"/>
              </w:rPr>
              <w:t>Maintenance cost infrastructure per annum</w:t>
            </w:r>
          </w:p>
        </w:tc>
        <w:tc>
          <w:tcPr>
            <w:tcW w:w="1535" w:type="dxa"/>
          </w:tcPr>
          <w:p w14:paraId="7278B3F9" w14:textId="5D3046FD" w:rsidR="005D4600" w:rsidRDefault="005D4600" w:rsidP="00CD11AA">
            <w:pPr>
              <w:pStyle w:val="NoSpacing"/>
              <w:jc w:val="center"/>
              <w:rPr>
                <w:sz w:val="20"/>
                <w:szCs w:val="20"/>
              </w:rPr>
            </w:pPr>
            <w:r>
              <w:rPr>
                <w:sz w:val="20"/>
                <w:szCs w:val="20"/>
              </w:rPr>
              <w:t>0</w:t>
            </w:r>
          </w:p>
        </w:tc>
        <w:tc>
          <w:tcPr>
            <w:tcW w:w="1535" w:type="dxa"/>
          </w:tcPr>
          <w:p w14:paraId="1B9D4F58" w14:textId="20202FCE" w:rsidR="005D4600" w:rsidRDefault="005D4600" w:rsidP="00CD11AA">
            <w:pPr>
              <w:pStyle w:val="NoSpacing"/>
              <w:jc w:val="center"/>
              <w:rPr>
                <w:sz w:val="20"/>
                <w:szCs w:val="20"/>
              </w:rPr>
            </w:pPr>
            <w:r>
              <w:rPr>
                <w:sz w:val="20"/>
                <w:szCs w:val="20"/>
              </w:rPr>
              <w:t>0</w:t>
            </w:r>
          </w:p>
        </w:tc>
        <w:tc>
          <w:tcPr>
            <w:tcW w:w="1535" w:type="dxa"/>
          </w:tcPr>
          <w:p w14:paraId="7CF9AE6B" w14:textId="492C0F14" w:rsidR="005D4600" w:rsidRDefault="005D4600" w:rsidP="00CD11AA">
            <w:pPr>
              <w:pStyle w:val="NoSpacing"/>
              <w:jc w:val="center"/>
              <w:rPr>
                <w:sz w:val="20"/>
                <w:szCs w:val="20"/>
              </w:rPr>
            </w:pPr>
            <w:r>
              <w:rPr>
                <w:sz w:val="20"/>
                <w:szCs w:val="20"/>
              </w:rPr>
              <w:t>160</w:t>
            </w:r>
          </w:p>
        </w:tc>
        <w:tc>
          <w:tcPr>
            <w:tcW w:w="1536" w:type="dxa"/>
          </w:tcPr>
          <w:p w14:paraId="11A53BB4" w14:textId="2C9533C3" w:rsidR="005D4600" w:rsidRDefault="005D4600" w:rsidP="00CD11AA">
            <w:pPr>
              <w:pStyle w:val="NoSpacing"/>
              <w:jc w:val="center"/>
              <w:rPr>
                <w:sz w:val="20"/>
                <w:szCs w:val="20"/>
              </w:rPr>
            </w:pPr>
            <w:r>
              <w:rPr>
                <w:sz w:val="20"/>
                <w:szCs w:val="20"/>
              </w:rPr>
              <w:t>300</w:t>
            </w:r>
          </w:p>
        </w:tc>
      </w:tr>
      <w:tr w:rsidR="005209F9" w:rsidRPr="005209F9" w14:paraId="6CC0A62E" w14:textId="77777777" w:rsidTr="00CD11AA">
        <w:tc>
          <w:tcPr>
            <w:tcW w:w="2875" w:type="dxa"/>
          </w:tcPr>
          <w:p w14:paraId="20EF8ECC" w14:textId="2FC0E7BD" w:rsidR="005209F9" w:rsidRPr="005209F9" w:rsidRDefault="00CD11AA" w:rsidP="005209F9">
            <w:pPr>
              <w:pStyle w:val="NoSpacing"/>
              <w:rPr>
                <w:sz w:val="20"/>
                <w:szCs w:val="20"/>
              </w:rPr>
            </w:pPr>
            <w:r>
              <w:rPr>
                <w:sz w:val="20"/>
                <w:szCs w:val="20"/>
              </w:rPr>
              <w:t>OPEX per annum</w:t>
            </w:r>
            <w:r>
              <w:rPr>
                <w:rStyle w:val="FootnoteReference"/>
                <w:sz w:val="20"/>
                <w:szCs w:val="20"/>
              </w:rPr>
              <w:footnoteReference w:id="28"/>
            </w:r>
          </w:p>
        </w:tc>
        <w:tc>
          <w:tcPr>
            <w:tcW w:w="1535" w:type="dxa"/>
          </w:tcPr>
          <w:p w14:paraId="2145F07E" w14:textId="4DA16801" w:rsidR="005209F9" w:rsidRPr="005209F9" w:rsidRDefault="00CD11AA" w:rsidP="00CD11AA">
            <w:pPr>
              <w:pStyle w:val="NoSpacing"/>
              <w:jc w:val="center"/>
              <w:rPr>
                <w:sz w:val="20"/>
                <w:szCs w:val="20"/>
              </w:rPr>
            </w:pPr>
            <w:r>
              <w:rPr>
                <w:sz w:val="20"/>
                <w:szCs w:val="20"/>
              </w:rPr>
              <w:t>32,900</w:t>
            </w:r>
          </w:p>
        </w:tc>
        <w:tc>
          <w:tcPr>
            <w:tcW w:w="1535" w:type="dxa"/>
          </w:tcPr>
          <w:p w14:paraId="1327D716" w14:textId="2AFFE183" w:rsidR="005209F9" w:rsidRPr="005209F9" w:rsidRDefault="00CD11AA" w:rsidP="00CD11AA">
            <w:pPr>
              <w:pStyle w:val="NoSpacing"/>
              <w:jc w:val="center"/>
              <w:rPr>
                <w:sz w:val="20"/>
                <w:szCs w:val="20"/>
              </w:rPr>
            </w:pPr>
            <w:r>
              <w:rPr>
                <w:sz w:val="20"/>
                <w:szCs w:val="20"/>
              </w:rPr>
              <w:t>26,600</w:t>
            </w:r>
          </w:p>
        </w:tc>
        <w:tc>
          <w:tcPr>
            <w:tcW w:w="1535" w:type="dxa"/>
          </w:tcPr>
          <w:p w14:paraId="7A731B24" w14:textId="040B073B" w:rsidR="005209F9" w:rsidRPr="005209F9" w:rsidRDefault="00CD11AA" w:rsidP="00CD11AA">
            <w:pPr>
              <w:pStyle w:val="NoSpacing"/>
              <w:jc w:val="center"/>
              <w:rPr>
                <w:sz w:val="20"/>
                <w:szCs w:val="20"/>
              </w:rPr>
            </w:pPr>
            <w:r>
              <w:rPr>
                <w:sz w:val="20"/>
                <w:szCs w:val="20"/>
              </w:rPr>
              <w:t>11,</w:t>
            </w:r>
            <w:r w:rsidR="001E75AA">
              <w:rPr>
                <w:sz w:val="20"/>
                <w:szCs w:val="20"/>
              </w:rPr>
              <w:t>3</w:t>
            </w:r>
            <w:r>
              <w:rPr>
                <w:sz w:val="20"/>
                <w:szCs w:val="20"/>
              </w:rPr>
              <w:t>00</w:t>
            </w:r>
          </w:p>
        </w:tc>
        <w:tc>
          <w:tcPr>
            <w:tcW w:w="1536" w:type="dxa"/>
          </w:tcPr>
          <w:p w14:paraId="2CE51E1A" w14:textId="2E18DFE8" w:rsidR="005209F9" w:rsidRPr="005209F9" w:rsidRDefault="00CD11AA" w:rsidP="00CD11AA">
            <w:pPr>
              <w:pStyle w:val="NoSpacing"/>
              <w:jc w:val="center"/>
              <w:rPr>
                <w:sz w:val="20"/>
                <w:szCs w:val="20"/>
              </w:rPr>
            </w:pPr>
            <w:r>
              <w:rPr>
                <w:sz w:val="20"/>
                <w:szCs w:val="20"/>
              </w:rPr>
              <w:t>12,</w:t>
            </w:r>
            <w:r w:rsidR="001E75AA">
              <w:rPr>
                <w:sz w:val="20"/>
                <w:szCs w:val="20"/>
              </w:rPr>
              <w:t>6</w:t>
            </w:r>
            <w:r>
              <w:rPr>
                <w:sz w:val="20"/>
                <w:szCs w:val="20"/>
              </w:rPr>
              <w:t>00</w:t>
            </w:r>
          </w:p>
        </w:tc>
      </w:tr>
      <w:tr w:rsidR="005209F9" w:rsidRPr="005209F9" w14:paraId="2E162CF8" w14:textId="77777777" w:rsidTr="00CD11AA">
        <w:tc>
          <w:tcPr>
            <w:tcW w:w="2875" w:type="dxa"/>
          </w:tcPr>
          <w:p w14:paraId="35B431A4" w14:textId="1C8EEACA" w:rsidR="005209F9" w:rsidRPr="005209F9" w:rsidRDefault="00CD11AA" w:rsidP="005209F9">
            <w:pPr>
              <w:pStyle w:val="NoSpacing"/>
              <w:rPr>
                <w:sz w:val="20"/>
                <w:szCs w:val="20"/>
              </w:rPr>
            </w:pPr>
            <w:r>
              <w:rPr>
                <w:sz w:val="20"/>
                <w:szCs w:val="20"/>
              </w:rPr>
              <w:t>TCO per km</w:t>
            </w:r>
            <w:r>
              <w:rPr>
                <w:rStyle w:val="FootnoteReference"/>
                <w:sz w:val="20"/>
                <w:szCs w:val="20"/>
              </w:rPr>
              <w:footnoteReference w:id="29"/>
            </w:r>
          </w:p>
        </w:tc>
        <w:tc>
          <w:tcPr>
            <w:tcW w:w="1535" w:type="dxa"/>
          </w:tcPr>
          <w:p w14:paraId="5CE12F07" w14:textId="6A29AB65" w:rsidR="005209F9" w:rsidRPr="005209F9" w:rsidRDefault="00CD11AA" w:rsidP="00CD11AA">
            <w:pPr>
              <w:pStyle w:val="NoSpacing"/>
              <w:jc w:val="center"/>
              <w:rPr>
                <w:sz w:val="20"/>
                <w:szCs w:val="20"/>
              </w:rPr>
            </w:pPr>
            <w:r>
              <w:rPr>
                <w:sz w:val="20"/>
                <w:szCs w:val="20"/>
              </w:rPr>
              <w:t>0.50</w:t>
            </w:r>
          </w:p>
        </w:tc>
        <w:tc>
          <w:tcPr>
            <w:tcW w:w="1535" w:type="dxa"/>
          </w:tcPr>
          <w:p w14:paraId="45D60033" w14:textId="7D78CB01" w:rsidR="005209F9" w:rsidRPr="005209F9" w:rsidRDefault="00CD11AA" w:rsidP="00CD11AA">
            <w:pPr>
              <w:pStyle w:val="NoSpacing"/>
              <w:jc w:val="center"/>
              <w:rPr>
                <w:sz w:val="20"/>
                <w:szCs w:val="20"/>
              </w:rPr>
            </w:pPr>
            <w:r>
              <w:rPr>
                <w:sz w:val="20"/>
                <w:szCs w:val="20"/>
              </w:rPr>
              <w:t>0.49</w:t>
            </w:r>
          </w:p>
        </w:tc>
        <w:tc>
          <w:tcPr>
            <w:tcW w:w="1535" w:type="dxa"/>
          </w:tcPr>
          <w:p w14:paraId="3DD28A81" w14:textId="77056D18" w:rsidR="005209F9" w:rsidRPr="005209F9" w:rsidRDefault="00CD11AA" w:rsidP="00CD11AA">
            <w:pPr>
              <w:pStyle w:val="NoSpacing"/>
              <w:jc w:val="center"/>
              <w:rPr>
                <w:sz w:val="20"/>
                <w:szCs w:val="20"/>
              </w:rPr>
            </w:pPr>
            <w:r>
              <w:rPr>
                <w:sz w:val="20"/>
                <w:szCs w:val="20"/>
              </w:rPr>
              <w:t>0.4</w:t>
            </w:r>
            <w:r w:rsidR="001E75AA">
              <w:rPr>
                <w:sz w:val="20"/>
                <w:szCs w:val="20"/>
              </w:rPr>
              <w:t>9</w:t>
            </w:r>
          </w:p>
        </w:tc>
        <w:tc>
          <w:tcPr>
            <w:tcW w:w="1536" w:type="dxa"/>
          </w:tcPr>
          <w:p w14:paraId="511858DE" w14:textId="2B751FA9" w:rsidR="005209F9" w:rsidRPr="005209F9" w:rsidRDefault="00CD11AA" w:rsidP="00CD11AA">
            <w:pPr>
              <w:pStyle w:val="NoSpacing"/>
              <w:jc w:val="center"/>
              <w:rPr>
                <w:sz w:val="20"/>
                <w:szCs w:val="20"/>
              </w:rPr>
            </w:pPr>
            <w:r>
              <w:rPr>
                <w:sz w:val="20"/>
                <w:szCs w:val="20"/>
              </w:rPr>
              <w:t>0.4</w:t>
            </w:r>
            <w:r w:rsidR="001E75AA">
              <w:rPr>
                <w:sz w:val="20"/>
                <w:szCs w:val="20"/>
              </w:rPr>
              <w:t>3</w:t>
            </w:r>
          </w:p>
        </w:tc>
      </w:tr>
    </w:tbl>
    <w:p w14:paraId="57A7DED5" w14:textId="19D988A8" w:rsidR="005209F9" w:rsidRPr="001A1BD0" w:rsidRDefault="00CD11AA" w:rsidP="001A1BD0">
      <w:pPr>
        <w:pStyle w:val="NoSpacing"/>
        <w:rPr>
          <w:sz w:val="20"/>
        </w:rPr>
      </w:pPr>
      <w:r w:rsidRPr="001A1BD0">
        <w:rPr>
          <w:sz w:val="20"/>
        </w:rPr>
        <w:t>Source: Grutter Consulting; see annex for sources and details; based on lifespan of 20 years and 50,000km/a</w:t>
      </w:r>
      <w:r w:rsidR="001A1BD0" w:rsidRPr="001A1BD0">
        <w:rPr>
          <w:sz w:val="20"/>
        </w:rPr>
        <w:t>;</w:t>
      </w:r>
    </w:p>
    <w:p w14:paraId="495C4D87" w14:textId="0222E723" w:rsidR="001A1BD0" w:rsidRDefault="001A1BD0" w:rsidP="001A1BD0">
      <w:pPr>
        <w:pStyle w:val="NoSpacing"/>
        <w:rPr>
          <w:sz w:val="20"/>
        </w:rPr>
      </w:pPr>
      <w:r w:rsidRPr="001A1BD0">
        <w:rPr>
          <w:sz w:val="20"/>
        </w:rPr>
        <w:t xml:space="preserve">CAPEX = Capital Expenditure; OPEX = Operational </w:t>
      </w:r>
      <w:r>
        <w:rPr>
          <w:sz w:val="20"/>
        </w:rPr>
        <w:t>E</w:t>
      </w:r>
      <w:r w:rsidRPr="001A1BD0">
        <w:rPr>
          <w:sz w:val="20"/>
        </w:rPr>
        <w:t>xpenditure; TCO = Total Cost of Ownership</w:t>
      </w:r>
    </w:p>
    <w:p w14:paraId="77FF8CAA" w14:textId="77777777" w:rsidR="001A1BD0" w:rsidRPr="001A1BD0" w:rsidRDefault="001A1BD0" w:rsidP="001A1BD0">
      <w:pPr>
        <w:pStyle w:val="NoSpacing"/>
        <w:rPr>
          <w:sz w:val="20"/>
        </w:rPr>
      </w:pPr>
    </w:p>
    <w:p w14:paraId="2E9E64C5" w14:textId="28E70E87" w:rsidR="007A3348" w:rsidRDefault="00CD11AA" w:rsidP="00A5043E">
      <w:pPr>
        <w:jc w:val="both"/>
      </w:pPr>
      <w:r>
        <w:t xml:space="preserve">Slow and fast charged BEBs have different CAPEX and OPEX costs. Slow charged BEBs have a higher bus </w:t>
      </w:r>
      <w:r w:rsidR="001A1BD0">
        <w:t xml:space="preserve">investment </w:t>
      </w:r>
      <w:r>
        <w:t>cost due to having more batteries on-board whilst the charger investment is lower as only a slow-charger is required whilst fast-charged BEBs require a slow charger and a fast charger</w:t>
      </w:r>
      <w:r>
        <w:rPr>
          <w:rStyle w:val="FootnoteReference"/>
        </w:rPr>
        <w:footnoteReference w:id="30"/>
      </w:r>
      <w:r>
        <w:t>. Battery replacement costs are different between the two bus types due to different sizes of battery packs</w:t>
      </w:r>
      <w:r w:rsidR="001A1BD0">
        <w:t>.</w:t>
      </w:r>
      <w:r>
        <w:t xml:space="preserve"> </w:t>
      </w:r>
      <w:r w:rsidR="001A1BD0">
        <w:t>E</w:t>
      </w:r>
      <w:r>
        <w:t xml:space="preserve">lectricity costs are </w:t>
      </w:r>
      <w:r w:rsidR="001A1BD0">
        <w:t xml:space="preserve">also </w:t>
      </w:r>
      <w:r>
        <w:t xml:space="preserve">different as slow-charged buses only </w:t>
      </w:r>
      <w:r w:rsidR="001A1BD0">
        <w:t xml:space="preserve">consume </w:t>
      </w:r>
      <w:r>
        <w:t>electricity at night with a relatively low power demand whilst fast charged buses have a higher electricity price as they also consume electricity during peak periods and incur in a higher demand charge.</w:t>
      </w:r>
    </w:p>
    <w:p w14:paraId="5A0A6449" w14:textId="199835D8" w:rsidR="00A5043E" w:rsidRDefault="00A5043E" w:rsidP="001A1BD0">
      <w:pPr>
        <w:jc w:val="both"/>
      </w:pPr>
      <w:bookmarkStart w:id="27" w:name="_Hlk7188525"/>
      <w:r>
        <w:t>Fast-charged BEBs are the option with the lowest cost for Pristina. Although their investment is around do</w:t>
      </w:r>
      <w:r w:rsidR="008B02D5">
        <w:t>ub</w:t>
      </w:r>
      <w:r>
        <w:t>le of a diesel unit</w:t>
      </w:r>
      <w:r w:rsidR="001E75AA">
        <w:t>,</w:t>
      </w:r>
      <w:r>
        <w:t xml:space="preserve"> they can recover this investment due to much lower energy costs. This is due to the very low electricity prices. </w:t>
      </w:r>
      <w:r w:rsidR="001E75AA">
        <w:t>W</w:t>
      </w:r>
      <w:r>
        <w:t>ith the m</w:t>
      </w:r>
      <w:r w:rsidR="001E75AA">
        <w:t>o</w:t>
      </w:r>
      <w:r>
        <w:t xml:space="preserve">dernization of the grid it is expected that electricity prices will increase </w:t>
      </w:r>
      <w:r w:rsidR="001E75AA">
        <w:t xml:space="preserve">strongly </w:t>
      </w:r>
      <w:r>
        <w:t>in the near future.</w:t>
      </w:r>
      <w:r w:rsidR="001E75AA">
        <w:t xml:space="preserve"> </w:t>
      </w:r>
      <w:r w:rsidR="00992C80">
        <w:t xml:space="preserve"> </w:t>
      </w:r>
      <w:r w:rsidR="005D4600">
        <w:t>Even if electricity prices would double</w:t>
      </w:r>
      <w:r w:rsidR="001A4A08">
        <w:t>,</w:t>
      </w:r>
      <w:r w:rsidR="005D4600">
        <w:t xml:space="preserve"> electric buses would still be financially more attractive than diesel units.</w:t>
      </w:r>
      <w:r>
        <w:t xml:space="preserve">  </w:t>
      </w:r>
      <w:bookmarkEnd w:id="27"/>
    </w:p>
    <w:p w14:paraId="3856A03B" w14:textId="1A084807" w:rsidR="005C39A9" w:rsidRDefault="005C39A9" w:rsidP="005C39A9">
      <w:pPr>
        <w:pStyle w:val="Heading2"/>
      </w:pPr>
      <w:bookmarkStart w:id="28" w:name="_Toc7256801"/>
      <w:r>
        <w:t>4.</w:t>
      </w:r>
      <w:r w:rsidR="00C11D79">
        <w:t>7</w:t>
      </w:r>
      <w:r>
        <w:t>. Conclusions and Recommendations</w:t>
      </w:r>
      <w:bookmarkEnd w:id="28"/>
    </w:p>
    <w:p w14:paraId="74C67CEF" w14:textId="5F76C011" w:rsidR="005C39A9" w:rsidRDefault="005C39A9" w:rsidP="005C39A9"/>
    <w:p w14:paraId="0FC1B7E6" w14:textId="4DB309A0" w:rsidR="00A13ABE" w:rsidRDefault="001E75AA" w:rsidP="00A13ABE">
      <w:pPr>
        <w:jc w:val="both"/>
      </w:pPr>
      <w:bookmarkStart w:id="29" w:name="_Hlk7188636"/>
      <w:r>
        <w:t xml:space="preserve">The largest pollution impact would result from replacing old and small </w:t>
      </w:r>
      <w:r w:rsidR="006D0693">
        <w:t>buses</w:t>
      </w:r>
      <w:r>
        <w:t xml:space="preserve"> with large new units (see following figure)</w:t>
      </w:r>
      <w:r w:rsidR="006D0693">
        <w:t xml:space="preserve"> under the condition that bus service quality for users does not decline</w:t>
      </w:r>
      <w:r w:rsidR="00FE6F04">
        <w:rPr>
          <w:rStyle w:val="FootnoteReference"/>
        </w:rPr>
        <w:footnoteReference w:id="31"/>
      </w:r>
      <w:r w:rsidR="006D0693">
        <w:t xml:space="preserve"> (e.g. no significant decline of frequencies)</w:t>
      </w:r>
      <w:r w:rsidR="005D4600">
        <w:t xml:space="preserve">. </w:t>
      </w:r>
    </w:p>
    <w:p w14:paraId="719CD6AE" w14:textId="03BF701A" w:rsidR="00A13ABE" w:rsidRPr="00690CCD" w:rsidRDefault="00443AB4" w:rsidP="00690CCD">
      <w:pPr>
        <w:pStyle w:val="NoSpacing"/>
        <w:rPr>
          <w:b/>
          <w:sz w:val="20"/>
        </w:rPr>
      </w:pPr>
      <w:r>
        <w:rPr>
          <w:b/>
          <w:sz w:val="20"/>
        </w:rPr>
        <w:br w:type="column"/>
      </w:r>
      <w:r w:rsidR="00A13ABE" w:rsidRPr="00690CCD">
        <w:rPr>
          <w:b/>
          <w:sz w:val="20"/>
        </w:rPr>
        <w:lastRenderedPageBreak/>
        <w:t xml:space="preserve">Figure </w:t>
      </w:r>
      <w:r w:rsidR="00A13ABE" w:rsidRPr="00690CCD">
        <w:rPr>
          <w:b/>
          <w:sz w:val="20"/>
        </w:rPr>
        <w:fldChar w:fldCharType="begin"/>
      </w:r>
      <w:r w:rsidR="00A13ABE" w:rsidRPr="00690CCD">
        <w:rPr>
          <w:b/>
          <w:sz w:val="20"/>
        </w:rPr>
        <w:instrText xml:space="preserve"> SEQ Figure \* ARABIC </w:instrText>
      </w:r>
      <w:r w:rsidR="00A13ABE" w:rsidRPr="00690CCD">
        <w:rPr>
          <w:b/>
          <w:sz w:val="20"/>
        </w:rPr>
        <w:fldChar w:fldCharType="separate"/>
      </w:r>
      <w:r>
        <w:rPr>
          <w:b/>
          <w:noProof/>
          <w:sz w:val="20"/>
        </w:rPr>
        <w:t>8</w:t>
      </w:r>
      <w:r w:rsidR="00A13ABE" w:rsidRPr="00690CCD">
        <w:rPr>
          <w:b/>
          <w:sz w:val="20"/>
        </w:rPr>
        <w:fldChar w:fldCharType="end"/>
      </w:r>
      <w:r w:rsidR="00A13ABE" w:rsidRPr="00690CCD">
        <w:rPr>
          <w:b/>
          <w:sz w:val="20"/>
        </w:rPr>
        <w:t xml:space="preserve">: Relation of Emissions </w:t>
      </w:r>
      <w:r w:rsidR="00690CCD" w:rsidRPr="00690CCD">
        <w:rPr>
          <w:b/>
          <w:sz w:val="20"/>
        </w:rPr>
        <w:t>Small Euro II to large Euro VI Diesel Bus</w:t>
      </w:r>
    </w:p>
    <w:p w14:paraId="6736990B" w14:textId="67F8CBCE" w:rsidR="00A13ABE" w:rsidRPr="00690CCD" w:rsidRDefault="00A13ABE" w:rsidP="00690CCD">
      <w:pPr>
        <w:pStyle w:val="NoSpacing"/>
        <w:rPr>
          <w:sz w:val="20"/>
        </w:rPr>
      </w:pPr>
      <w:r w:rsidRPr="00690CCD">
        <w:rPr>
          <w:noProof/>
          <w:sz w:val="20"/>
        </w:rPr>
        <w:drawing>
          <wp:inline distT="0" distB="0" distL="0" distR="0" wp14:anchorId="1712998A" wp14:editId="14EAC6A2">
            <wp:extent cx="4572000" cy="2689860"/>
            <wp:effectExtent l="0" t="0" r="0" b="15240"/>
            <wp:docPr id="2" name="Chart 2">
              <a:extLst xmlns:a="http://schemas.openxmlformats.org/drawingml/2006/main">
                <a:ext uri="{FF2B5EF4-FFF2-40B4-BE49-F238E27FC236}">
                  <a16:creationId xmlns:a16="http://schemas.microsoft.com/office/drawing/2014/main" id="{D4F473F0-4546-497B-9488-1FFDF33F34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EAF8F6D" w14:textId="3D74BA4B" w:rsidR="00690CCD" w:rsidRDefault="00690CCD" w:rsidP="00690CCD">
      <w:pPr>
        <w:pStyle w:val="NoSpacing"/>
        <w:rPr>
          <w:sz w:val="20"/>
        </w:rPr>
      </w:pPr>
      <w:r w:rsidRPr="00690CCD">
        <w:rPr>
          <w:sz w:val="20"/>
        </w:rPr>
        <w:t xml:space="preserve">Source: </w:t>
      </w:r>
      <w:r w:rsidR="001D6887" w:rsidRPr="00690CCD">
        <w:rPr>
          <w:sz w:val="20"/>
        </w:rPr>
        <w:t xml:space="preserve">based on 2 Euro II </w:t>
      </w:r>
      <w:r w:rsidR="001D6887">
        <w:rPr>
          <w:sz w:val="20"/>
        </w:rPr>
        <w:t xml:space="preserve">mid buses (&lt;15t, 8m) </w:t>
      </w:r>
      <w:r w:rsidR="001D6887" w:rsidRPr="00690CCD">
        <w:rPr>
          <w:sz w:val="20"/>
        </w:rPr>
        <w:t>buses replaced with 1 large Euro VI bus</w:t>
      </w:r>
      <w:r w:rsidR="001D6887">
        <w:rPr>
          <w:sz w:val="20"/>
        </w:rPr>
        <w:t xml:space="preserve"> (15-18t, 12m)</w:t>
      </w:r>
      <w:r w:rsidR="001D6887" w:rsidRPr="00690CCD">
        <w:rPr>
          <w:sz w:val="20"/>
        </w:rPr>
        <w:t>; based on COPERT, 2018, Tier 3 with 18km/h speed, 50% load factor and 0% gradient; GHG includes WTW and Black Carbon emissions</w:t>
      </w:r>
    </w:p>
    <w:p w14:paraId="256A9C77" w14:textId="211C82D4" w:rsidR="00690CCD" w:rsidRDefault="00690CCD" w:rsidP="00690CCD">
      <w:pPr>
        <w:pStyle w:val="NoSpacing"/>
        <w:rPr>
          <w:sz w:val="20"/>
        </w:rPr>
      </w:pPr>
    </w:p>
    <w:p w14:paraId="47B81FE6" w14:textId="0515E947" w:rsidR="00690CCD" w:rsidRPr="00690CCD" w:rsidRDefault="00690CCD" w:rsidP="00690CCD">
      <w:pPr>
        <w:jc w:val="both"/>
      </w:pPr>
      <w:r>
        <w:t>One new large diesel Euro VI bus reduces over 95% of PM</w:t>
      </w:r>
      <w:r w:rsidRPr="00690CCD">
        <w:rPr>
          <w:vertAlign w:val="subscript"/>
        </w:rPr>
        <w:t>2.5</w:t>
      </w:r>
      <w:r>
        <w:t xml:space="preserve"> and NO</w:t>
      </w:r>
      <w:r w:rsidRPr="00690CCD">
        <w:rPr>
          <w:vertAlign w:val="subscript"/>
        </w:rPr>
        <w:t>x</w:t>
      </w:r>
      <w:r>
        <w:t xml:space="preserve"> </w:t>
      </w:r>
      <w:r w:rsidR="001D6887">
        <w:t xml:space="preserve">emissions </w:t>
      </w:r>
      <w:r>
        <w:t xml:space="preserve">and around 40% of GHG compared to </w:t>
      </w:r>
      <w:r w:rsidR="001A1BD0">
        <w:t>operating with the</w:t>
      </w:r>
      <w:r>
        <w:t xml:space="preserve"> current </w:t>
      </w:r>
      <w:r w:rsidR="001D6887">
        <w:t>medium sized</w:t>
      </w:r>
      <w:r>
        <w:t xml:space="preserve"> diesel units. Annually per new bus some 4,000 Euro of pollution costs could be avoided. The large impact is therefore clearly on replacing the current small </w:t>
      </w:r>
      <w:r w:rsidR="001D6887">
        <w:t xml:space="preserve">and medium sized </w:t>
      </w:r>
      <w:r>
        <w:t>units with larger modern buses</w:t>
      </w:r>
      <w:r w:rsidR="006D0693">
        <w:t xml:space="preserve"> as longs as service quality levels remain </w:t>
      </w:r>
      <w:r w:rsidR="0074077A">
        <w:t>at certain level</w:t>
      </w:r>
      <w:r w:rsidR="006D0693">
        <w:t>.</w:t>
      </w:r>
    </w:p>
    <w:p w14:paraId="4B3CB169" w14:textId="3D02869F" w:rsidR="00CC21E7" w:rsidRDefault="007B2E4A" w:rsidP="00690CCD">
      <w:pPr>
        <w:jc w:val="both"/>
      </w:pPr>
      <w:r>
        <w:t>Fast-charged electric buses have a lower TCO than diesel or hybrid units. They also have less local pollution, whilst having currently higher GHG emissions. The main problem currently is that the electric grid is not in conditions to take on high loads which are required with high-powered chargers of 300-400kW for fast-charged BEBs. However, the electric sector in Kosovo is undergoing rapid changes with the oldest power plant being shut down, others being refurbished and new renewable power coming on-line. Also grid losses shall be reduced drastically in the near future whilst the grid is being stabilized. However, the cost of producing electricity will increase which presumably will lead to increasing electricity prices. With a stable grid, fast-charged BEBs would be the technology of choice as pollution levels could be lowered (with a strongly decreasing carbon grid factor this would not go at the expense of increasing GHG emissions) whilst TCOs are, even with increasing electricity prices, potentially lower than those of diesel buses. In the short-term (next 2-3 years) hybrid or diesel units are however, basically due to the instability of the grid i.e. technical reasons, more appropriate.  As soon as the gird is more stable electric buses are however considered the best choice in environmental and financial terms.</w:t>
      </w:r>
    </w:p>
    <w:p w14:paraId="24F366B1" w14:textId="7C8FA696" w:rsidR="006D0693" w:rsidRDefault="006D0693" w:rsidP="00690CCD">
      <w:pPr>
        <w:jc w:val="both"/>
      </w:pPr>
      <w:r>
        <w:t xml:space="preserve">Summarized hybrid buses are considered to be currently the optimal solution for Kosovo. Once the grid is stabilized and the carbon grid factor drops electric buses would the financially and environmentally most attractive option. </w:t>
      </w:r>
    </w:p>
    <w:p w14:paraId="1DD99316" w14:textId="77777777" w:rsidR="007B2E4A" w:rsidRDefault="007B2E4A" w:rsidP="00690CCD">
      <w:pPr>
        <w:jc w:val="both"/>
      </w:pPr>
    </w:p>
    <w:bookmarkEnd w:id="29"/>
    <w:p w14:paraId="09086BF2" w14:textId="50018B5E" w:rsidR="001A1BD0" w:rsidRDefault="001A1BD0">
      <w:pPr>
        <w:rPr>
          <w:rFonts w:asciiTheme="majorHAnsi" w:eastAsiaTheme="majorEastAsia" w:hAnsiTheme="majorHAnsi" w:cstheme="majorBidi"/>
          <w:color w:val="2F5496" w:themeColor="accent1" w:themeShade="BF"/>
          <w:sz w:val="32"/>
          <w:szCs w:val="32"/>
        </w:rPr>
      </w:pPr>
      <w:r>
        <w:br w:type="page"/>
      </w:r>
    </w:p>
    <w:p w14:paraId="42BC46BF" w14:textId="0148CF53" w:rsidR="00CC21E7" w:rsidRDefault="00CC21E7" w:rsidP="00CC21E7">
      <w:pPr>
        <w:pStyle w:val="Heading1"/>
      </w:pPr>
      <w:bookmarkStart w:id="30" w:name="_Toc7256802"/>
      <w:r>
        <w:lastRenderedPageBreak/>
        <w:t xml:space="preserve">5. </w:t>
      </w:r>
      <w:r w:rsidR="00142976">
        <w:t>Tax Policies Promoting</w:t>
      </w:r>
      <w:r>
        <w:t xml:space="preserve"> Low Emission </w:t>
      </w:r>
      <w:bookmarkEnd w:id="30"/>
      <w:r w:rsidR="0029639D">
        <w:t>Passenger Cars</w:t>
      </w:r>
    </w:p>
    <w:p w14:paraId="286D6E1C" w14:textId="5F88C8C0" w:rsidR="00CC21E7" w:rsidRDefault="000B451A" w:rsidP="000B451A">
      <w:pPr>
        <w:pStyle w:val="Heading2"/>
      </w:pPr>
      <w:bookmarkStart w:id="31" w:name="_Toc7256803"/>
      <w:r>
        <w:t>5.1. Current Status</w:t>
      </w:r>
      <w:bookmarkEnd w:id="31"/>
    </w:p>
    <w:p w14:paraId="1D8A632A" w14:textId="44F6E42B" w:rsidR="000B451A" w:rsidRDefault="000B451A" w:rsidP="000B451A"/>
    <w:p w14:paraId="4E9C19C4" w14:textId="48267F5D" w:rsidR="000B451A" w:rsidRDefault="0029639D" w:rsidP="000B451A">
      <w:pPr>
        <w:jc w:val="both"/>
      </w:pPr>
      <w:bookmarkStart w:id="32" w:name="_Hlk7188701"/>
      <w:r>
        <w:t xml:space="preserve">Currently passenger cars of less than 3.5t pay annually a road tax of 90 Euro and </w:t>
      </w:r>
      <w:r w:rsidR="002765D2">
        <w:t xml:space="preserve">an </w:t>
      </w:r>
      <w:r w:rsidR="00033C3B">
        <w:t>additional ecological</w:t>
      </w:r>
      <w:r>
        <w:t xml:space="preserve"> flat tax of 10 Euro</w:t>
      </w:r>
      <w:r w:rsidR="009C514E">
        <w:rPr>
          <w:rStyle w:val="FootnoteReference"/>
        </w:rPr>
        <w:footnoteReference w:id="32"/>
      </w:r>
      <w:r>
        <w:t xml:space="preserve">. </w:t>
      </w:r>
      <w:r w:rsidR="009C514E">
        <w:t xml:space="preserve">The MOIT is currently proposing an update to this law differentiating the ecological tax </w:t>
      </w:r>
      <w:r w:rsidR="000B451A">
        <w:t>based on the age of the vehicle</w:t>
      </w:r>
      <w:r w:rsidR="005C7551">
        <w:t xml:space="preserve"> </w:t>
      </w:r>
      <w:r w:rsidR="000B451A">
        <w:t xml:space="preserve">with a range of 0 Euro for new vehicles </w:t>
      </w:r>
      <w:r w:rsidR="009C514E">
        <w:t xml:space="preserve">and </w:t>
      </w:r>
      <w:r w:rsidR="000B451A">
        <w:t xml:space="preserve">a maximum of </w:t>
      </w:r>
      <w:r w:rsidR="00624B66">
        <w:t>75</w:t>
      </w:r>
      <w:r w:rsidR="000B451A">
        <w:t xml:space="preserve"> Euro per annum for very old vehicles and various brackets in-between</w:t>
      </w:r>
      <w:r w:rsidR="00624B66">
        <w:rPr>
          <w:rStyle w:val="FootnoteReference"/>
        </w:rPr>
        <w:footnoteReference w:id="33"/>
      </w:r>
      <w:r w:rsidR="000B451A">
        <w:t>. No differentiation is made between gasoline and diesel vehicles.</w:t>
      </w:r>
      <w:r w:rsidR="005C7551">
        <w:t xml:space="preserve"> </w:t>
      </w:r>
    </w:p>
    <w:p w14:paraId="6C509D13" w14:textId="35DDFC6C" w:rsidR="000B451A" w:rsidRDefault="000B451A" w:rsidP="000B451A">
      <w:pPr>
        <w:jc w:val="both"/>
      </w:pPr>
      <w:r>
        <w:t xml:space="preserve">Vehicle import </w:t>
      </w:r>
      <w:r w:rsidR="00326F3C">
        <w:t xml:space="preserve">duties and excise taxes </w:t>
      </w:r>
      <w:r>
        <w:t>represent one of the major income sources for the government. Any change of tax structures thus needs to be at minimum fiscally neutral or fiscally positive. Reducing import duties for new or low-emission vehicles thus needs to be compensated with higher duties for other vehicles.</w:t>
      </w:r>
      <w:r w:rsidR="005C7551">
        <w:t xml:space="preserve"> Any change of tax structure needs to be approved by the Ministry of Finance but can be proposed by the Ministry of </w:t>
      </w:r>
      <w:r w:rsidR="00874A8D">
        <w:t xml:space="preserve">Infrastructure and </w:t>
      </w:r>
      <w:r w:rsidR="005C7551">
        <w:t>Transport.</w:t>
      </w:r>
      <w:r w:rsidR="00326F3C" w:rsidRPr="00326F3C">
        <w:rPr>
          <w:rFonts w:ascii="&amp;quot" w:hAnsi="&amp;quot"/>
          <w:color w:val="000000"/>
          <w:sz w:val="27"/>
          <w:szCs w:val="27"/>
        </w:rPr>
        <w:t xml:space="preserve"> </w:t>
      </w:r>
      <w:r w:rsidR="00326F3C" w:rsidRPr="00326F3C">
        <w:t xml:space="preserve">Kosovo is a member of the Central European Free Trade Agreement (CEFTA) and the World Customs Organization.  </w:t>
      </w:r>
      <w:r w:rsidR="00973B9D">
        <w:t>Next to VAT and import duty</w:t>
      </w:r>
      <w:r w:rsidR="003941E8">
        <w:t>, v</w:t>
      </w:r>
      <w:r w:rsidR="00326F3C">
        <w:t xml:space="preserve">ehicles </w:t>
      </w:r>
      <w:r w:rsidR="00326F3C" w:rsidRPr="00326F3C">
        <w:t>are also subject to an additional excise tax. </w:t>
      </w:r>
    </w:p>
    <w:p w14:paraId="20298856" w14:textId="0E2CF961" w:rsidR="00033C3B" w:rsidRDefault="00033C3B" w:rsidP="000B451A">
      <w:pPr>
        <w:jc w:val="both"/>
      </w:pPr>
      <w:r>
        <w:rPr>
          <w:rFonts w:eastAsia="Times New Roman"/>
        </w:rPr>
        <w:t xml:space="preserve">Kosovo has very unstable requirements for imported vehicles: before 2011, the age limit of second-hand vehicles was 8 years; between 2011 and 2015, the age limit was 13 years; between 2015 and 2018, there was no limit; and after 2018 the age limit is 10 years. </w:t>
      </w:r>
    </w:p>
    <w:bookmarkEnd w:id="32"/>
    <w:p w14:paraId="31068013" w14:textId="177F0A09" w:rsidR="005C7551" w:rsidRDefault="005C7551" w:rsidP="005C7551">
      <w:pPr>
        <w:jc w:val="both"/>
      </w:pPr>
      <w:r>
        <w:t xml:space="preserve">The following graph shows the average age of imported vehicles to Kosovo. 2018 the average age of imported vehicles dropped compared to previous years as a maximum age limit of 10 years was introduced for the import of used vehicles. This age restriction is again under discussion at the </w:t>
      </w:r>
      <w:proofErr w:type="gramStart"/>
      <w:r>
        <w:t>Parliament.</w:t>
      </w:r>
      <w:r w:rsidR="004D0C6F">
        <w:t>.</w:t>
      </w:r>
      <w:proofErr w:type="gramEnd"/>
    </w:p>
    <w:p w14:paraId="10158270" w14:textId="41751BAD" w:rsidR="004D0C6F" w:rsidRPr="004D0C6F" w:rsidRDefault="004D0C6F" w:rsidP="004D0C6F">
      <w:pPr>
        <w:pStyle w:val="NoSpacing"/>
        <w:rPr>
          <w:b/>
          <w:sz w:val="20"/>
        </w:rPr>
      </w:pPr>
      <w:r w:rsidRPr="004D0C6F">
        <w:rPr>
          <w:b/>
          <w:sz w:val="20"/>
        </w:rPr>
        <w:t xml:space="preserve">Figure </w:t>
      </w:r>
      <w:r w:rsidRPr="004D0C6F">
        <w:rPr>
          <w:b/>
          <w:sz w:val="20"/>
        </w:rPr>
        <w:fldChar w:fldCharType="begin"/>
      </w:r>
      <w:r w:rsidRPr="004D0C6F">
        <w:rPr>
          <w:b/>
          <w:sz w:val="20"/>
        </w:rPr>
        <w:instrText xml:space="preserve"> SEQ Figure \* ARABIC </w:instrText>
      </w:r>
      <w:r w:rsidRPr="004D0C6F">
        <w:rPr>
          <w:b/>
          <w:sz w:val="20"/>
        </w:rPr>
        <w:fldChar w:fldCharType="separate"/>
      </w:r>
      <w:r w:rsidR="00443AB4">
        <w:rPr>
          <w:b/>
          <w:noProof/>
          <w:sz w:val="20"/>
        </w:rPr>
        <w:t>9</w:t>
      </w:r>
      <w:r w:rsidRPr="004D0C6F">
        <w:rPr>
          <w:b/>
          <w:sz w:val="20"/>
        </w:rPr>
        <w:fldChar w:fldCharType="end"/>
      </w:r>
      <w:r w:rsidRPr="004D0C6F">
        <w:rPr>
          <w:b/>
          <w:sz w:val="20"/>
        </w:rPr>
        <w:t xml:space="preserve">: Average Age </w:t>
      </w:r>
      <w:r w:rsidR="001226D6">
        <w:rPr>
          <w:b/>
          <w:sz w:val="20"/>
        </w:rPr>
        <w:t xml:space="preserve">of </w:t>
      </w:r>
      <w:r w:rsidRPr="004D0C6F">
        <w:rPr>
          <w:b/>
          <w:sz w:val="20"/>
        </w:rPr>
        <w:t>Imported Cars Kosovo</w:t>
      </w:r>
    </w:p>
    <w:p w14:paraId="76B0A72E" w14:textId="5EC2688F" w:rsidR="004D0C6F" w:rsidRPr="004D0C6F" w:rsidRDefault="004D0C6F" w:rsidP="004D0C6F">
      <w:pPr>
        <w:pStyle w:val="NoSpacing"/>
        <w:rPr>
          <w:sz w:val="20"/>
        </w:rPr>
      </w:pPr>
      <w:r w:rsidRPr="004D0C6F">
        <w:rPr>
          <w:noProof/>
          <w:sz w:val="20"/>
        </w:rPr>
        <w:drawing>
          <wp:inline distT="0" distB="0" distL="0" distR="0" wp14:anchorId="3E1DF718" wp14:editId="228B234F">
            <wp:extent cx="5341620" cy="2598420"/>
            <wp:effectExtent l="0" t="0" r="11430" b="11430"/>
            <wp:docPr id="4" name="Chart 4">
              <a:extLst xmlns:a="http://schemas.openxmlformats.org/drawingml/2006/main">
                <a:ext uri="{FF2B5EF4-FFF2-40B4-BE49-F238E27FC236}">
                  <a16:creationId xmlns:a16="http://schemas.microsoft.com/office/drawing/2014/main" id="{F06D9EA7-0ECA-40BC-8CCB-4B6FF78D42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3322A50" w14:textId="026B8501" w:rsidR="004D0C6F" w:rsidRPr="004D0C6F" w:rsidRDefault="004D0C6F" w:rsidP="004D0C6F">
      <w:pPr>
        <w:pStyle w:val="NoSpacing"/>
        <w:rPr>
          <w:sz w:val="20"/>
        </w:rPr>
      </w:pPr>
      <w:r w:rsidRPr="004D0C6F">
        <w:rPr>
          <w:sz w:val="20"/>
        </w:rPr>
        <w:t xml:space="preserve">Source: MOF, </w:t>
      </w:r>
      <w:r w:rsidR="0044498B">
        <w:rPr>
          <w:sz w:val="20"/>
        </w:rPr>
        <w:t>c</w:t>
      </w:r>
      <w:r w:rsidRPr="004D0C6F">
        <w:rPr>
          <w:sz w:val="20"/>
        </w:rPr>
        <w:t>ustoms authority</w:t>
      </w:r>
      <w:r w:rsidR="001226D6">
        <w:rPr>
          <w:sz w:val="20"/>
        </w:rPr>
        <w:t xml:space="preserve"> </w:t>
      </w:r>
    </w:p>
    <w:p w14:paraId="0D2BA87C" w14:textId="759002DA" w:rsidR="005C7551" w:rsidRDefault="005C7551" w:rsidP="0044498B">
      <w:pPr>
        <w:pStyle w:val="NoSpacing"/>
      </w:pPr>
    </w:p>
    <w:p w14:paraId="097F55B2" w14:textId="750737EC" w:rsidR="003941E8" w:rsidRDefault="002D1915" w:rsidP="003941E8">
      <w:pPr>
        <w:jc w:val="both"/>
      </w:pPr>
      <w:r>
        <w:lastRenderedPageBreak/>
        <w:t>Nearly 90% of vehicles imported are diesel cars. This share has been slightly increasing in the last 5 years (see following figure).</w:t>
      </w:r>
      <w:r w:rsidR="003941E8" w:rsidRPr="003941E8">
        <w:t xml:space="preserve"> </w:t>
      </w:r>
      <w:r w:rsidR="003941E8">
        <w:t xml:space="preserve">Average diesel cars have slightly larger engines and higher value (on average 2,000cc in 2018 against 1,400cc for gasoline units) thus also paying on average a higher tax. Vehicles are sourced primarily from Europe, especially Germany. </w:t>
      </w:r>
    </w:p>
    <w:p w14:paraId="44F7AB99" w14:textId="1F667478" w:rsidR="0044498B" w:rsidRPr="00443AB4" w:rsidRDefault="0044498B" w:rsidP="00443AB4">
      <w:pPr>
        <w:pStyle w:val="NoSpacing"/>
        <w:rPr>
          <w:b/>
          <w:bCs/>
          <w:sz w:val="20"/>
          <w:szCs w:val="20"/>
        </w:rPr>
      </w:pPr>
      <w:r w:rsidRPr="00443AB4">
        <w:rPr>
          <w:b/>
          <w:bCs/>
          <w:sz w:val="20"/>
          <w:szCs w:val="20"/>
        </w:rPr>
        <w:t xml:space="preserve">Figure </w:t>
      </w:r>
      <w:r w:rsidRPr="00443AB4">
        <w:rPr>
          <w:b/>
          <w:bCs/>
          <w:sz w:val="20"/>
          <w:szCs w:val="20"/>
        </w:rPr>
        <w:fldChar w:fldCharType="begin"/>
      </w:r>
      <w:r w:rsidRPr="00443AB4">
        <w:rPr>
          <w:b/>
          <w:bCs/>
          <w:sz w:val="20"/>
          <w:szCs w:val="20"/>
        </w:rPr>
        <w:instrText xml:space="preserve"> SEQ Figure \* ARABIC </w:instrText>
      </w:r>
      <w:r w:rsidRPr="00443AB4">
        <w:rPr>
          <w:b/>
          <w:bCs/>
          <w:sz w:val="20"/>
          <w:szCs w:val="20"/>
        </w:rPr>
        <w:fldChar w:fldCharType="separate"/>
      </w:r>
      <w:r w:rsidR="00443AB4" w:rsidRPr="00443AB4">
        <w:rPr>
          <w:b/>
          <w:bCs/>
          <w:noProof/>
          <w:sz w:val="20"/>
          <w:szCs w:val="20"/>
        </w:rPr>
        <w:t>10</w:t>
      </w:r>
      <w:r w:rsidRPr="00443AB4">
        <w:rPr>
          <w:b/>
          <w:bCs/>
          <w:sz w:val="20"/>
          <w:szCs w:val="20"/>
        </w:rPr>
        <w:fldChar w:fldCharType="end"/>
      </w:r>
      <w:r w:rsidRPr="00443AB4">
        <w:rPr>
          <w:b/>
          <w:bCs/>
          <w:sz w:val="20"/>
          <w:szCs w:val="20"/>
        </w:rPr>
        <w:t>: Number of Imported Cars Kosovo</w:t>
      </w:r>
    </w:p>
    <w:p w14:paraId="6C7ED9FB" w14:textId="6FA5BB1F" w:rsidR="0044498B" w:rsidRPr="004D0C6F" w:rsidRDefault="0044498B" w:rsidP="0044498B">
      <w:pPr>
        <w:pStyle w:val="NoSpacing"/>
        <w:rPr>
          <w:sz w:val="20"/>
        </w:rPr>
      </w:pPr>
      <w:r>
        <w:rPr>
          <w:noProof/>
        </w:rPr>
        <w:drawing>
          <wp:inline distT="0" distB="0" distL="0" distR="0" wp14:anchorId="440876DE" wp14:editId="34B66926">
            <wp:extent cx="5234940" cy="2903220"/>
            <wp:effectExtent l="0" t="0" r="3810" b="11430"/>
            <wp:docPr id="9" name="Chart 9">
              <a:extLst xmlns:a="http://schemas.openxmlformats.org/drawingml/2006/main">
                <a:ext uri="{FF2B5EF4-FFF2-40B4-BE49-F238E27FC236}">
                  <a16:creationId xmlns:a16="http://schemas.microsoft.com/office/drawing/2014/main" id="{E11098AC-1D0C-4A14-A905-433F0EBD04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1FA9374" w14:textId="73F55255" w:rsidR="0044498B" w:rsidRDefault="0044498B" w:rsidP="0044498B">
      <w:pPr>
        <w:jc w:val="both"/>
      </w:pPr>
      <w:r w:rsidRPr="004D0C6F">
        <w:rPr>
          <w:sz w:val="20"/>
        </w:rPr>
        <w:t xml:space="preserve">Source: MOF, </w:t>
      </w:r>
      <w:r w:rsidR="003941E8">
        <w:rPr>
          <w:sz w:val="20"/>
        </w:rPr>
        <w:t>c</w:t>
      </w:r>
      <w:r w:rsidRPr="004D0C6F">
        <w:rPr>
          <w:sz w:val="20"/>
        </w:rPr>
        <w:t>ustoms authority</w:t>
      </w:r>
      <w:r>
        <w:rPr>
          <w:rStyle w:val="FootnoteReference"/>
          <w:sz w:val="20"/>
        </w:rPr>
        <w:footnoteReference w:id="34"/>
      </w:r>
    </w:p>
    <w:p w14:paraId="7AB4B948" w14:textId="570D9726" w:rsidR="00D166B1" w:rsidRDefault="00D166B1" w:rsidP="00D166B1">
      <w:pPr>
        <w:pStyle w:val="Heading2"/>
      </w:pPr>
      <w:bookmarkStart w:id="33" w:name="_Toc7256804"/>
      <w:r>
        <w:t>5.2. Impact on Emissions</w:t>
      </w:r>
      <w:bookmarkEnd w:id="33"/>
    </w:p>
    <w:p w14:paraId="3F6C62F9" w14:textId="77777777" w:rsidR="00D166B1" w:rsidRPr="00D166B1" w:rsidRDefault="00D166B1" w:rsidP="00D166B1"/>
    <w:p w14:paraId="00227533" w14:textId="0234FEB0" w:rsidR="000B451A" w:rsidRDefault="004D0C6F" w:rsidP="005C7551">
      <w:pPr>
        <w:jc w:val="both"/>
      </w:pPr>
      <w:r>
        <w:t>The following table shows the introduction of vehicle emission standards for date of first registration</w:t>
      </w:r>
      <w:r w:rsidR="004F59F6">
        <w:rPr>
          <w:rStyle w:val="FootnoteReference"/>
        </w:rPr>
        <w:footnoteReference w:id="35"/>
      </w:r>
      <w:r>
        <w:t xml:space="preserve"> in the EU thus indicating what type of vehicles are introduced in Kosovo.</w:t>
      </w:r>
    </w:p>
    <w:p w14:paraId="257B7C49" w14:textId="456222EA" w:rsidR="004D0C6F" w:rsidRPr="004D0C6F" w:rsidRDefault="004D0C6F" w:rsidP="004D0C6F">
      <w:pPr>
        <w:pStyle w:val="NoSpacing"/>
        <w:rPr>
          <w:b/>
          <w:sz w:val="20"/>
        </w:rPr>
      </w:pPr>
      <w:bookmarkStart w:id="34" w:name="_Hlk7246327"/>
      <w:r w:rsidRPr="004D0C6F">
        <w:rPr>
          <w:b/>
          <w:sz w:val="20"/>
        </w:rPr>
        <w:t xml:space="preserve">Table </w:t>
      </w:r>
      <w:r w:rsidRPr="004D0C6F">
        <w:rPr>
          <w:b/>
          <w:sz w:val="20"/>
        </w:rPr>
        <w:fldChar w:fldCharType="begin"/>
      </w:r>
      <w:r w:rsidRPr="004D0C6F">
        <w:rPr>
          <w:b/>
          <w:sz w:val="20"/>
        </w:rPr>
        <w:instrText xml:space="preserve"> SEQ Table \* ARABIC </w:instrText>
      </w:r>
      <w:r w:rsidRPr="004D0C6F">
        <w:rPr>
          <w:b/>
          <w:sz w:val="20"/>
        </w:rPr>
        <w:fldChar w:fldCharType="separate"/>
      </w:r>
      <w:r w:rsidR="00443AB4">
        <w:rPr>
          <w:b/>
          <w:noProof/>
          <w:sz w:val="20"/>
        </w:rPr>
        <w:t>5</w:t>
      </w:r>
      <w:r w:rsidRPr="004D0C6F">
        <w:rPr>
          <w:b/>
          <w:sz w:val="20"/>
        </w:rPr>
        <w:fldChar w:fldCharType="end"/>
      </w:r>
      <w:r w:rsidRPr="004D0C6F">
        <w:rPr>
          <w:b/>
          <w:sz w:val="20"/>
        </w:rPr>
        <w:t>: Vehicle Emission Standards for Passenger Cars EU (petrol and diesel)</w:t>
      </w:r>
    </w:p>
    <w:tbl>
      <w:tblPr>
        <w:tblStyle w:val="TableGrid"/>
        <w:tblW w:w="0" w:type="auto"/>
        <w:tblLook w:val="04A0" w:firstRow="1" w:lastRow="0" w:firstColumn="1" w:lastColumn="0" w:noHBand="0" w:noVBand="1"/>
      </w:tblPr>
      <w:tblGrid>
        <w:gridCol w:w="1345"/>
        <w:gridCol w:w="2610"/>
      </w:tblGrid>
      <w:tr w:rsidR="004D0C6F" w:rsidRPr="004D0C6F" w14:paraId="44B15BB9" w14:textId="77777777" w:rsidTr="004F59F6">
        <w:tc>
          <w:tcPr>
            <w:tcW w:w="1345" w:type="dxa"/>
            <w:shd w:val="clear" w:color="auto" w:fill="D9E2F3" w:themeFill="accent1" w:themeFillTint="33"/>
          </w:tcPr>
          <w:p w14:paraId="7925DC09" w14:textId="046428BA" w:rsidR="004D0C6F" w:rsidRPr="004D0C6F" w:rsidRDefault="004D0C6F" w:rsidP="004D0C6F">
            <w:pPr>
              <w:pStyle w:val="NoSpacing"/>
              <w:rPr>
                <w:b/>
                <w:sz w:val="20"/>
              </w:rPr>
            </w:pPr>
            <w:r w:rsidRPr="004D0C6F">
              <w:rPr>
                <w:b/>
                <w:sz w:val="20"/>
              </w:rPr>
              <w:t xml:space="preserve">Standard </w:t>
            </w:r>
          </w:p>
        </w:tc>
        <w:tc>
          <w:tcPr>
            <w:tcW w:w="2610" w:type="dxa"/>
            <w:shd w:val="clear" w:color="auto" w:fill="D9E2F3" w:themeFill="accent1" w:themeFillTint="33"/>
          </w:tcPr>
          <w:p w14:paraId="3C773823" w14:textId="35BDADA0" w:rsidR="004D0C6F" w:rsidRPr="004D0C6F" w:rsidRDefault="004D0C6F" w:rsidP="004F59F6">
            <w:pPr>
              <w:pStyle w:val="NoSpacing"/>
              <w:jc w:val="center"/>
              <w:rPr>
                <w:b/>
                <w:sz w:val="20"/>
              </w:rPr>
            </w:pPr>
            <w:r w:rsidRPr="004D0C6F">
              <w:rPr>
                <w:b/>
                <w:sz w:val="20"/>
              </w:rPr>
              <w:t>Date of 1</w:t>
            </w:r>
            <w:r w:rsidRPr="004D0C6F">
              <w:rPr>
                <w:b/>
                <w:sz w:val="20"/>
                <w:vertAlign w:val="superscript"/>
              </w:rPr>
              <w:t>st</w:t>
            </w:r>
            <w:r w:rsidRPr="004D0C6F">
              <w:rPr>
                <w:b/>
                <w:sz w:val="20"/>
              </w:rPr>
              <w:t xml:space="preserve"> Registration</w:t>
            </w:r>
          </w:p>
        </w:tc>
      </w:tr>
      <w:tr w:rsidR="004D0C6F" w:rsidRPr="004D0C6F" w14:paraId="25BE4602" w14:textId="77777777" w:rsidTr="004F59F6">
        <w:tc>
          <w:tcPr>
            <w:tcW w:w="1345" w:type="dxa"/>
          </w:tcPr>
          <w:p w14:paraId="6318AD35" w14:textId="302FC556" w:rsidR="004D0C6F" w:rsidRPr="004D0C6F" w:rsidRDefault="004D0C6F" w:rsidP="004D0C6F">
            <w:pPr>
              <w:pStyle w:val="NoSpacing"/>
              <w:rPr>
                <w:sz w:val="20"/>
              </w:rPr>
            </w:pPr>
            <w:r>
              <w:rPr>
                <w:sz w:val="20"/>
              </w:rPr>
              <w:t>Euro 3</w:t>
            </w:r>
          </w:p>
        </w:tc>
        <w:tc>
          <w:tcPr>
            <w:tcW w:w="2610" w:type="dxa"/>
          </w:tcPr>
          <w:p w14:paraId="44B9C4C3" w14:textId="5C1E7800" w:rsidR="004D0C6F" w:rsidRPr="004D0C6F" w:rsidRDefault="004D0C6F" w:rsidP="004F59F6">
            <w:pPr>
              <w:pStyle w:val="NoSpacing"/>
              <w:jc w:val="center"/>
              <w:rPr>
                <w:sz w:val="20"/>
              </w:rPr>
            </w:pPr>
            <w:r>
              <w:rPr>
                <w:sz w:val="20"/>
              </w:rPr>
              <w:t>01/2001</w:t>
            </w:r>
          </w:p>
        </w:tc>
      </w:tr>
      <w:tr w:rsidR="004D0C6F" w:rsidRPr="004D0C6F" w14:paraId="05D7BB2D" w14:textId="77777777" w:rsidTr="004F59F6">
        <w:tc>
          <w:tcPr>
            <w:tcW w:w="1345" w:type="dxa"/>
          </w:tcPr>
          <w:p w14:paraId="0F90740D" w14:textId="5CE1E636" w:rsidR="004D0C6F" w:rsidRPr="004D0C6F" w:rsidRDefault="004D0C6F" w:rsidP="004D0C6F">
            <w:pPr>
              <w:pStyle w:val="NoSpacing"/>
              <w:rPr>
                <w:sz w:val="20"/>
              </w:rPr>
            </w:pPr>
            <w:r>
              <w:rPr>
                <w:sz w:val="20"/>
              </w:rPr>
              <w:t>Euro 4</w:t>
            </w:r>
          </w:p>
        </w:tc>
        <w:tc>
          <w:tcPr>
            <w:tcW w:w="2610" w:type="dxa"/>
          </w:tcPr>
          <w:p w14:paraId="33C0C87A" w14:textId="69FF8CEB" w:rsidR="004D0C6F" w:rsidRPr="004D0C6F" w:rsidRDefault="004D0C6F" w:rsidP="004F59F6">
            <w:pPr>
              <w:pStyle w:val="NoSpacing"/>
              <w:jc w:val="center"/>
              <w:rPr>
                <w:sz w:val="20"/>
              </w:rPr>
            </w:pPr>
            <w:r>
              <w:rPr>
                <w:sz w:val="20"/>
              </w:rPr>
              <w:t>01/2006</w:t>
            </w:r>
          </w:p>
        </w:tc>
      </w:tr>
      <w:tr w:rsidR="004D0C6F" w:rsidRPr="004D0C6F" w14:paraId="01808DDA" w14:textId="77777777" w:rsidTr="004F59F6">
        <w:tc>
          <w:tcPr>
            <w:tcW w:w="1345" w:type="dxa"/>
          </w:tcPr>
          <w:p w14:paraId="4034726F" w14:textId="626281DA" w:rsidR="004D0C6F" w:rsidRPr="004D0C6F" w:rsidRDefault="004D0C6F" w:rsidP="004D0C6F">
            <w:pPr>
              <w:pStyle w:val="NoSpacing"/>
              <w:rPr>
                <w:sz w:val="20"/>
              </w:rPr>
            </w:pPr>
            <w:r>
              <w:rPr>
                <w:sz w:val="20"/>
              </w:rPr>
              <w:t>Euro 5</w:t>
            </w:r>
          </w:p>
        </w:tc>
        <w:tc>
          <w:tcPr>
            <w:tcW w:w="2610" w:type="dxa"/>
          </w:tcPr>
          <w:p w14:paraId="3716D1EF" w14:textId="1F1621AC" w:rsidR="004D0C6F" w:rsidRPr="004D0C6F" w:rsidRDefault="004D0C6F" w:rsidP="004F59F6">
            <w:pPr>
              <w:pStyle w:val="NoSpacing"/>
              <w:jc w:val="center"/>
              <w:rPr>
                <w:sz w:val="20"/>
              </w:rPr>
            </w:pPr>
            <w:r>
              <w:rPr>
                <w:sz w:val="20"/>
              </w:rPr>
              <w:t>0</w:t>
            </w:r>
            <w:r w:rsidR="004F59F6">
              <w:rPr>
                <w:sz w:val="20"/>
              </w:rPr>
              <w:t>1</w:t>
            </w:r>
            <w:r>
              <w:rPr>
                <w:sz w:val="20"/>
              </w:rPr>
              <w:t>/20</w:t>
            </w:r>
            <w:r w:rsidR="004F59F6">
              <w:rPr>
                <w:sz w:val="20"/>
              </w:rPr>
              <w:t>11</w:t>
            </w:r>
          </w:p>
        </w:tc>
      </w:tr>
      <w:tr w:rsidR="004D0C6F" w:rsidRPr="004D0C6F" w14:paraId="55124F02" w14:textId="77777777" w:rsidTr="004F59F6">
        <w:tc>
          <w:tcPr>
            <w:tcW w:w="1345" w:type="dxa"/>
          </w:tcPr>
          <w:p w14:paraId="0854CF3F" w14:textId="794E3D9E" w:rsidR="004D0C6F" w:rsidRDefault="004D0C6F" w:rsidP="004D0C6F">
            <w:pPr>
              <w:pStyle w:val="NoSpacing"/>
              <w:rPr>
                <w:sz w:val="20"/>
              </w:rPr>
            </w:pPr>
            <w:r>
              <w:rPr>
                <w:sz w:val="20"/>
              </w:rPr>
              <w:t>Euro 6</w:t>
            </w:r>
          </w:p>
        </w:tc>
        <w:tc>
          <w:tcPr>
            <w:tcW w:w="2610" w:type="dxa"/>
          </w:tcPr>
          <w:p w14:paraId="389F5F28" w14:textId="496D9F82" w:rsidR="004D0C6F" w:rsidRDefault="004D0C6F" w:rsidP="004F59F6">
            <w:pPr>
              <w:pStyle w:val="NoSpacing"/>
              <w:jc w:val="center"/>
              <w:rPr>
                <w:sz w:val="20"/>
              </w:rPr>
            </w:pPr>
            <w:r>
              <w:rPr>
                <w:sz w:val="20"/>
              </w:rPr>
              <w:t>09/2015</w:t>
            </w:r>
          </w:p>
        </w:tc>
      </w:tr>
    </w:tbl>
    <w:p w14:paraId="6C121A67" w14:textId="5E4AFBCB" w:rsidR="004D0C6F" w:rsidRDefault="004F59F6" w:rsidP="004F59F6">
      <w:pPr>
        <w:pStyle w:val="NoSpacing"/>
        <w:rPr>
          <w:sz w:val="20"/>
        </w:rPr>
      </w:pPr>
      <w:r>
        <w:rPr>
          <w:sz w:val="20"/>
        </w:rPr>
        <w:t xml:space="preserve">Source: </w:t>
      </w:r>
      <w:hyperlink r:id="rId20" w:history="1">
        <w:r w:rsidRPr="00AA11E9">
          <w:rPr>
            <w:rStyle w:val="Hyperlink"/>
            <w:sz w:val="20"/>
          </w:rPr>
          <w:t>https://www.dieselnet.com/standards/eu/ld.php</w:t>
        </w:r>
      </w:hyperlink>
    </w:p>
    <w:bookmarkEnd w:id="34"/>
    <w:p w14:paraId="0C4E1B58" w14:textId="77777777" w:rsidR="004F59F6" w:rsidRPr="004F59F6" w:rsidRDefault="004F59F6" w:rsidP="004F59F6">
      <w:pPr>
        <w:pStyle w:val="NoSpacing"/>
        <w:rPr>
          <w:sz w:val="20"/>
        </w:rPr>
      </w:pPr>
    </w:p>
    <w:p w14:paraId="30373FD7" w14:textId="6588B0F2" w:rsidR="004F59F6" w:rsidRDefault="004F59F6" w:rsidP="005C7551">
      <w:pPr>
        <w:jc w:val="both"/>
      </w:pPr>
      <w:r>
        <w:t xml:space="preserve">Vehicles </w:t>
      </w:r>
      <w:r w:rsidR="001226D6">
        <w:t>imported to Kosovo are therefore currently</w:t>
      </w:r>
      <w:r>
        <w:t xml:space="preserve"> on average Euro 4 and 5 units. The following graph compares NO</w:t>
      </w:r>
      <w:r w:rsidRPr="00DC3A36">
        <w:rPr>
          <w:vertAlign w:val="subscript"/>
        </w:rPr>
        <w:t>x</w:t>
      </w:r>
      <w:r>
        <w:t xml:space="preserve"> and PM</w:t>
      </w:r>
      <w:r w:rsidRPr="00DC3A36">
        <w:rPr>
          <w:vertAlign w:val="subscript"/>
        </w:rPr>
        <w:t>2.5</w:t>
      </w:r>
      <w:r>
        <w:t xml:space="preserve"> of gasoline and diesel </w:t>
      </w:r>
      <w:r w:rsidR="001226D6">
        <w:t xml:space="preserve">cars </w:t>
      </w:r>
      <w:r>
        <w:t xml:space="preserve">for Euro 4, 5 and 6 </w:t>
      </w:r>
      <w:r w:rsidR="001226D6">
        <w:t>vehicle emission standards</w:t>
      </w:r>
      <w:r w:rsidR="00E4352D">
        <w:t xml:space="preserve"> using the European Union emission model COPERT </w:t>
      </w:r>
      <w:r w:rsidR="00DC3A36">
        <w:rPr>
          <w:rStyle w:val="FootnoteReference"/>
        </w:rPr>
        <w:footnoteReference w:id="36"/>
      </w:r>
      <w:r>
        <w:t>.</w:t>
      </w:r>
    </w:p>
    <w:p w14:paraId="1F2C3E10" w14:textId="54C72253" w:rsidR="000363E2" w:rsidRPr="00115C76" w:rsidRDefault="00326F3C" w:rsidP="00115C76">
      <w:pPr>
        <w:pStyle w:val="NoSpacing"/>
        <w:rPr>
          <w:b/>
          <w:sz w:val="20"/>
        </w:rPr>
      </w:pPr>
      <w:r>
        <w:rPr>
          <w:b/>
          <w:sz w:val="20"/>
        </w:rPr>
        <w:br w:type="column"/>
      </w:r>
      <w:r w:rsidR="000363E2" w:rsidRPr="00115C76">
        <w:rPr>
          <w:b/>
          <w:sz w:val="20"/>
        </w:rPr>
        <w:lastRenderedPageBreak/>
        <w:t xml:space="preserve">Figure </w:t>
      </w:r>
      <w:r w:rsidR="000363E2" w:rsidRPr="00115C76">
        <w:rPr>
          <w:b/>
          <w:sz w:val="20"/>
        </w:rPr>
        <w:fldChar w:fldCharType="begin"/>
      </w:r>
      <w:r w:rsidR="000363E2" w:rsidRPr="00115C76">
        <w:rPr>
          <w:b/>
          <w:sz w:val="20"/>
        </w:rPr>
        <w:instrText xml:space="preserve"> SEQ Figure \* ARABIC </w:instrText>
      </w:r>
      <w:r w:rsidR="000363E2" w:rsidRPr="00115C76">
        <w:rPr>
          <w:b/>
          <w:sz w:val="20"/>
        </w:rPr>
        <w:fldChar w:fldCharType="separate"/>
      </w:r>
      <w:r w:rsidR="00443AB4">
        <w:rPr>
          <w:b/>
          <w:noProof/>
          <w:sz w:val="20"/>
        </w:rPr>
        <w:t>11</w:t>
      </w:r>
      <w:r w:rsidR="000363E2" w:rsidRPr="00115C76">
        <w:rPr>
          <w:b/>
          <w:sz w:val="20"/>
        </w:rPr>
        <w:fldChar w:fldCharType="end"/>
      </w:r>
      <w:r w:rsidR="00115C76" w:rsidRPr="00115C76">
        <w:rPr>
          <w:b/>
          <w:sz w:val="20"/>
        </w:rPr>
        <w:t>:</w:t>
      </w:r>
      <w:r w:rsidR="000363E2" w:rsidRPr="00115C76">
        <w:rPr>
          <w:b/>
          <w:sz w:val="20"/>
        </w:rPr>
        <w:t xml:space="preserve"> Emission Factors Diesel and Gasoline Passenger Cars</w:t>
      </w:r>
    </w:p>
    <w:p w14:paraId="4D78FBBC" w14:textId="48522387" w:rsidR="000363E2" w:rsidRPr="00115C76" w:rsidRDefault="00115C76" w:rsidP="00115C76">
      <w:pPr>
        <w:pStyle w:val="NoSpacing"/>
        <w:rPr>
          <w:sz w:val="20"/>
        </w:rPr>
      </w:pPr>
      <w:r w:rsidRPr="00115C76">
        <w:rPr>
          <w:noProof/>
          <w:sz w:val="20"/>
        </w:rPr>
        <w:drawing>
          <wp:inline distT="0" distB="0" distL="0" distR="0" wp14:anchorId="53DEB04C" wp14:editId="6A05FDC5">
            <wp:extent cx="2834640" cy="2506980"/>
            <wp:effectExtent l="0" t="0" r="3810" b="7620"/>
            <wp:docPr id="5" name="Chart 5">
              <a:extLst xmlns:a="http://schemas.openxmlformats.org/drawingml/2006/main">
                <a:ext uri="{FF2B5EF4-FFF2-40B4-BE49-F238E27FC236}">
                  <a16:creationId xmlns:a16="http://schemas.microsoft.com/office/drawing/2014/main" id="{0C84A197-120C-4452-A7EA-9A00EE918D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115C76">
        <w:rPr>
          <w:sz w:val="20"/>
        </w:rPr>
        <w:t xml:space="preserve"> </w:t>
      </w:r>
      <w:r w:rsidRPr="00115C76">
        <w:rPr>
          <w:noProof/>
          <w:sz w:val="20"/>
        </w:rPr>
        <w:drawing>
          <wp:inline distT="0" distB="0" distL="0" distR="0" wp14:anchorId="1229D1CE" wp14:editId="7C735938">
            <wp:extent cx="2834640" cy="2506980"/>
            <wp:effectExtent l="0" t="0" r="3810" b="7620"/>
            <wp:docPr id="6" name="Chart 6">
              <a:extLst xmlns:a="http://schemas.openxmlformats.org/drawingml/2006/main">
                <a:ext uri="{FF2B5EF4-FFF2-40B4-BE49-F238E27FC236}">
                  <a16:creationId xmlns:a16="http://schemas.microsoft.com/office/drawing/2014/main" id="{940B3ED7-5348-404D-9F16-97CA623AF7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86605B0" w14:textId="6C5DF0F3" w:rsidR="000363E2" w:rsidRPr="00115C76" w:rsidRDefault="000363E2" w:rsidP="00115C76">
      <w:pPr>
        <w:pStyle w:val="NoSpacing"/>
        <w:rPr>
          <w:sz w:val="20"/>
        </w:rPr>
      </w:pPr>
      <w:r w:rsidRPr="00115C76">
        <w:rPr>
          <w:sz w:val="20"/>
        </w:rPr>
        <w:t>Source: calculation based on COPERT, 2018, Tier 3 method, using a speed of 50k/h</w:t>
      </w:r>
      <w:r w:rsidR="003941E8">
        <w:rPr>
          <w:sz w:val="20"/>
        </w:rPr>
        <w:t>; medium sized car</w:t>
      </w:r>
    </w:p>
    <w:p w14:paraId="4D646911" w14:textId="77777777" w:rsidR="00227F60" w:rsidRDefault="00227F60" w:rsidP="00115C76">
      <w:pPr>
        <w:pStyle w:val="NoSpacing"/>
      </w:pPr>
    </w:p>
    <w:p w14:paraId="30DC245C" w14:textId="3267A4FE" w:rsidR="00227F60" w:rsidRDefault="003941E8" w:rsidP="00115C76">
      <w:pPr>
        <w:jc w:val="both"/>
      </w:pPr>
      <w:r>
        <w:t>Two conclusions can be reached from these figures</w:t>
      </w:r>
      <w:r w:rsidR="00227F60">
        <w:t>:</w:t>
      </w:r>
    </w:p>
    <w:p w14:paraId="23E73F1B" w14:textId="5E1F05E7" w:rsidR="00227F60" w:rsidRPr="009F0B07" w:rsidRDefault="00227F60" w:rsidP="009F0B07">
      <w:pPr>
        <w:pStyle w:val="ListParagraph"/>
        <w:numPr>
          <w:ilvl w:val="0"/>
          <w:numId w:val="44"/>
        </w:numPr>
        <w:jc w:val="both"/>
        <w:rPr>
          <w:lang w:val="en-GB"/>
        </w:rPr>
      </w:pPr>
      <w:bookmarkStart w:id="35" w:name="_Hlk7188904"/>
      <w:r w:rsidRPr="00227F60">
        <w:rPr>
          <w:lang w:val="en-GB"/>
        </w:rPr>
        <w:t>Age is a very relevant criteria for diesel cars, but not so much for gasoline units.</w:t>
      </w:r>
      <w:r w:rsidR="009F0B07" w:rsidRPr="009F0B07">
        <w:rPr>
          <w:lang w:val="en-GB"/>
        </w:rPr>
        <w:t xml:space="preserve"> </w:t>
      </w:r>
      <w:r w:rsidR="009F0B07" w:rsidRPr="00DF2689">
        <w:rPr>
          <w:lang w:val="en-GB"/>
        </w:rPr>
        <w:t>Older diesel vehicles (Euro 4 and 5) are very dirty and emit far more than Euro 6 units</w:t>
      </w:r>
      <w:bookmarkEnd w:id="35"/>
      <w:r w:rsidR="009F0B07" w:rsidRPr="00DF2689">
        <w:rPr>
          <w:lang w:val="en-GB"/>
        </w:rPr>
        <w:t>.</w:t>
      </w:r>
    </w:p>
    <w:p w14:paraId="29B6CE52" w14:textId="0E295E00" w:rsidR="009F0B07" w:rsidRPr="009F0B07" w:rsidRDefault="001226D6" w:rsidP="009F0B07">
      <w:pPr>
        <w:pStyle w:val="ListParagraph"/>
        <w:numPr>
          <w:ilvl w:val="0"/>
          <w:numId w:val="44"/>
        </w:numPr>
        <w:jc w:val="both"/>
        <w:rPr>
          <w:lang w:val="en-GB"/>
        </w:rPr>
      </w:pPr>
      <w:bookmarkStart w:id="36" w:name="_Hlk7188924"/>
      <w:r>
        <w:rPr>
          <w:lang w:val="en-GB"/>
        </w:rPr>
        <w:t>The f</w:t>
      </w:r>
      <w:r w:rsidR="00227F60" w:rsidRPr="00227F60">
        <w:rPr>
          <w:lang w:val="en-GB"/>
        </w:rPr>
        <w:t>uel type is a very relevant criteria for emissions.</w:t>
      </w:r>
      <w:r w:rsidR="009F0B07">
        <w:rPr>
          <w:lang w:val="en-GB"/>
        </w:rPr>
        <w:t xml:space="preserve"> </w:t>
      </w:r>
      <w:r w:rsidR="009F0B07" w:rsidRPr="009F0B07">
        <w:t>Gasoline vehicles have overall less emissions than diesel units</w:t>
      </w:r>
      <w:bookmarkEnd w:id="36"/>
      <w:r w:rsidR="009F0B07" w:rsidRPr="009F0B07">
        <w:t>.</w:t>
      </w:r>
    </w:p>
    <w:p w14:paraId="78CA15CB" w14:textId="09160219" w:rsidR="00227F60" w:rsidRDefault="00227F60" w:rsidP="00227F60">
      <w:pPr>
        <w:jc w:val="both"/>
      </w:pPr>
      <w:bookmarkStart w:id="37" w:name="_Hlk7188840"/>
      <w:r>
        <w:t xml:space="preserve">By introducing measures which favour younger vehicles the average imported vehicle would be Euro 5 or 6 instead of Euro 4. Based on the average number of vehicles imported annually in </w:t>
      </w:r>
      <w:r w:rsidR="009F0B07">
        <w:t>K</w:t>
      </w:r>
      <w:r>
        <w:t xml:space="preserve">osovo, </w:t>
      </w:r>
      <w:r w:rsidR="001226D6">
        <w:t xml:space="preserve">importing </w:t>
      </w:r>
      <w:r w:rsidR="00670B1C">
        <w:t xml:space="preserve">Euro 6 instead of </w:t>
      </w:r>
      <w:r w:rsidR="001226D6">
        <w:t xml:space="preserve">Euro 4 </w:t>
      </w:r>
      <w:r w:rsidR="00670B1C">
        <w:t xml:space="preserve">diesel </w:t>
      </w:r>
      <w:r w:rsidR="001226D6">
        <w:t>cars</w:t>
      </w:r>
      <w:r w:rsidR="00670B1C">
        <w:rPr>
          <w:rStyle w:val="FootnoteReference"/>
        </w:rPr>
        <w:footnoteReference w:id="37"/>
      </w:r>
      <w:r w:rsidR="001226D6">
        <w:t xml:space="preserve">, </w:t>
      </w:r>
      <w:r>
        <w:t xml:space="preserve">would result by 2025 in a </w:t>
      </w:r>
      <w:r w:rsidR="001226D6">
        <w:t xml:space="preserve">reduction </w:t>
      </w:r>
      <w:r>
        <w:t xml:space="preserve">of </w:t>
      </w:r>
      <w:r w:rsidR="00670B1C">
        <w:t>82</w:t>
      </w:r>
      <w:r w:rsidR="009F0B07">
        <w:t xml:space="preserve"> tons of NO</w:t>
      </w:r>
      <w:r w:rsidR="009F0B07" w:rsidRPr="009F0B07">
        <w:rPr>
          <w:vertAlign w:val="subscript"/>
        </w:rPr>
        <w:t>x</w:t>
      </w:r>
      <w:r w:rsidR="009F0B07">
        <w:t xml:space="preserve"> and </w:t>
      </w:r>
      <w:r w:rsidR="00670B1C">
        <w:t>16</w:t>
      </w:r>
      <w:r w:rsidR="009F0B07">
        <w:t xml:space="preserve"> tons of PM</w:t>
      </w:r>
      <w:r w:rsidR="009F0B07" w:rsidRPr="009F0B07">
        <w:rPr>
          <w:vertAlign w:val="subscript"/>
        </w:rPr>
        <w:t>2.5</w:t>
      </w:r>
      <w:r w:rsidR="009F0B07">
        <w:t>.</w:t>
      </w:r>
    </w:p>
    <w:p w14:paraId="1653686E" w14:textId="6BE4A9DD" w:rsidR="009F0B07" w:rsidRPr="00227F60" w:rsidRDefault="009F0B07" w:rsidP="00227F60">
      <w:pPr>
        <w:jc w:val="both"/>
      </w:pPr>
      <w:bookmarkStart w:id="38" w:name="_Hlk7188947"/>
      <w:r>
        <w:t xml:space="preserve">By introducing measures which favour gasoline versus diesel </w:t>
      </w:r>
      <w:r w:rsidR="00340148">
        <w:t xml:space="preserve">passenger cars </w:t>
      </w:r>
      <w:r>
        <w:t xml:space="preserve">in 2025 nearly </w:t>
      </w:r>
      <w:r w:rsidR="00502A9F">
        <w:t>8</w:t>
      </w:r>
      <w:r>
        <w:t>00 tons of NO</w:t>
      </w:r>
      <w:r w:rsidRPr="009F0B07">
        <w:rPr>
          <w:vertAlign w:val="subscript"/>
        </w:rPr>
        <w:t>x</w:t>
      </w:r>
      <w:r>
        <w:t xml:space="preserve"> and </w:t>
      </w:r>
      <w:r w:rsidR="00502A9F">
        <w:t>46</w:t>
      </w:r>
      <w:r>
        <w:t xml:space="preserve"> tons of PM</w:t>
      </w:r>
      <w:r w:rsidRPr="009F0B07">
        <w:rPr>
          <w:vertAlign w:val="subscript"/>
        </w:rPr>
        <w:t>2.5</w:t>
      </w:r>
      <w:r>
        <w:t xml:space="preserve"> emissions could be avoided</w:t>
      </w:r>
      <w:r w:rsidR="001226D6">
        <w:t xml:space="preserve"> (assuming no more import of diesel passenger cars)</w:t>
      </w:r>
      <w:r>
        <w:t xml:space="preserve">. This represents a reduction compared to the BAU scenario </w:t>
      </w:r>
      <w:r w:rsidR="00502A9F">
        <w:t xml:space="preserve">for 2025 </w:t>
      </w:r>
      <w:r>
        <w:t>of 1</w:t>
      </w:r>
      <w:r w:rsidR="00502A9F">
        <w:t>3</w:t>
      </w:r>
      <w:r>
        <w:t>% of NO</w:t>
      </w:r>
      <w:r w:rsidRPr="009F0B07">
        <w:rPr>
          <w:vertAlign w:val="subscript"/>
        </w:rPr>
        <w:t>x</w:t>
      </w:r>
      <w:r>
        <w:t xml:space="preserve"> and 2</w:t>
      </w:r>
      <w:r w:rsidR="00502A9F">
        <w:t>1</w:t>
      </w:r>
      <w:r>
        <w:t>% of PM</w:t>
      </w:r>
      <w:r w:rsidRPr="009F0B07">
        <w:rPr>
          <w:vertAlign w:val="subscript"/>
        </w:rPr>
        <w:t>2.5</w:t>
      </w:r>
      <w:r>
        <w:t xml:space="preserve"> emissions</w:t>
      </w:r>
      <w:bookmarkEnd w:id="38"/>
      <w:r>
        <w:t>.</w:t>
      </w:r>
    </w:p>
    <w:bookmarkEnd w:id="37"/>
    <w:p w14:paraId="64D703AC" w14:textId="5E71CA1E" w:rsidR="00115C76" w:rsidRDefault="00115C76" w:rsidP="00115C76">
      <w:pPr>
        <w:jc w:val="both"/>
      </w:pPr>
    </w:p>
    <w:p w14:paraId="65BB8A83" w14:textId="0C60FFAC" w:rsidR="00885016" w:rsidRDefault="00885016" w:rsidP="00885016">
      <w:pPr>
        <w:jc w:val="both"/>
      </w:pPr>
      <w:r>
        <w:t>For diesel cars, actual emission values especially of the critical pollutants PM</w:t>
      </w:r>
      <w:r w:rsidRPr="00885016">
        <w:rPr>
          <w:vertAlign w:val="subscript"/>
        </w:rPr>
        <w:t>2.5</w:t>
      </w:r>
      <w:r>
        <w:t xml:space="preserve"> and NO</w:t>
      </w:r>
      <w:r>
        <w:rPr>
          <w:vertAlign w:val="subscript"/>
        </w:rPr>
        <w:t>x</w:t>
      </w:r>
      <w:r>
        <w:t xml:space="preserve"> are </w:t>
      </w:r>
      <w:r w:rsidR="00993A9D">
        <w:t>in practice</w:t>
      </w:r>
      <w:r>
        <w:t xml:space="preserve"> significantly higher than reported values</w:t>
      </w:r>
      <w:r w:rsidR="00C86E20">
        <w:rPr>
          <w:rStyle w:val="FootnoteReference"/>
        </w:rPr>
        <w:footnoteReference w:id="38"/>
      </w:r>
      <w:r>
        <w:t xml:space="preserve"> due to following factors:</w:t>
      </w:r>
    </w:p>
    <w:p w14:paraId="68D07256" w14:textId="617E4A7C" w:rsidR="00885016" w:rsidRPr="00DF2689" w:rsidRDefault="00885016" w:rsidP="00885016">
      <w:pPr>
        <w:pStyle w:val="ListParagraph"/>
        <w:numPr>
          <w:ilvl w:val="0"/>
          <w:numId w:val="36"/>
        </w:numPr>
        <w:jc w:val="both"/>
        <w:rPr>
          <w:lang w:val="en-GB"/>
        </w:rPr>
      </w:pPr>
      <w:r w:rsidRPr="00DF2689">
        <w:rPr>
          <w:lang w:val="en-GB"/>
        </w:rPr>
        <w:t xml:space="preserve">Car manufacturers, not only since VW, do not necessarily comply with standards, </w:t>
      </w:r>
      <w:r w:rsidR="00A73AF6">
        <w:rPr>
          <w:lang w:val="en-GB"/>
        </w:rPr>
        <w:t xml:space="preserve">and may </w:t>
      </w:r>
      <w:r w:rsidRPr="00DF2689">
        <w:rPr>
          <w:lang w:val="en-GB"/>
        </w:rPr>
        <w:t>circumvent the system. The trustworthiness of tests is therefore very limited, even if results are reported by 3</w:t>
      </w:r>
      <w:r w:rsidRPr="00DF2689">
        <w:rPr>
          <w:vertAlign w:val="superscript"/>
          <w:lang w:val="en-GB"/>
        </w:rPr>
        <w:t>rd</w:t>
      </w:r>
      <w:r w:rsidRPr="00DF2689">
        <w:rPr>
          <w:lang w:val="en-GB"/>
        </w:rPr>
        <w:t xml:space="preserve"> parties as car manufacturers apply political pressure on weak environmental authorities. </w:t>
      </w:r>
    </w:p>
    <w:p w14:paraId="1E6F5D64" w14:textId="77777777" w:rsidR="00885016" w:rsidRPr="00DF2689" w:rsidRDefault="00885016" w:rsidP="00885016">
      <w:pPr>
        <w:pStyle w:val="ListParagraph"/>
        <w:numPr>
          <w:ilvl w:val="0"/>
          <w:numId w:val="36"/>
        </w:numPr>
        <w:jc w:val="both"/>
        <w:rPr>
          <w:lang w:val="en-GB"/>
        </w:rPr>
      </w:pPr>
      <w:r w:rsidRPr="00DF2689">
        <w:rPr>
          <w:lang w:val="en-GB"/>
        </w:rPr>
        <w:t>Reports from ICCT as well as others show that under actual driving conditions vehicle emissions are still significantly higher, also of Euro 6 vehicles, than the type-approval values. Average on-road NO</w:t>
      </w:r>
      <w:r w:rsidRPr="00DF2689">
        <w:rPr>
          <w:vertAlign w:val="subscript"/>
          <w:lang w:val="en-GB"/>
        </w:rPr>
        <w:t>x</w:t>
      </w:r>
      <w:r w:rsidRPr="00DF2689">
        <w:rPr>
          <w:lang w:val="en-GB"/>
        </w:rPr>
        <w:t xml:space="preserve"> emissions of Euro 6 diesel passenger cars have been reported to be factor 7 higher than type-approval figures with some vehicles emitting factor 25 higher values </w:t>
      </w:r>
      <w:r w:rsidRPr="00DF2689">
        <w:rPr>
          <w:lang w:val="en-GB"/>
        </w:rPr>
        <w:lastRenderedPageBreak/>
        <w:t>than reported ones</w:t>
      </w:r>
      <w:r w:rsidRPr="00DF2689">
        <w:rPr>
          <w:rStyle w:val="FootnoteReference"/>
          <w:lang w:val="en-GB"/>
        </w:rPr>
        <w:footnoteReference w:id="39"/>
      </w:r>
      <w:r w:rsidRPr="00DF2689">
        <w:rPr>
          <w:lang w:val="en-GB"/>
        </w:rPr>
        <w:t xml:space="preserve">. Latter is not surprising as for the type approval test normalized conditions are used with vehicles being conditioned and adjusted in a manner which is very much different from actual road usage (e.g. components are eliminated from the car, no AC is used, special wheels, tyres and fuels are used etc.). The type approval certification also does not capture real-world operating conditions of engines concerning torque and speed. Even with the expected introduction of the RDE (Real Driving Emissions) standard differences of factor 4 are still expected. </w:t>
      </w:r>
    </w:p>
    <w:p w14:paraId="2A35925D" w14:textId="77777777" w:rsidR="00885016" w:rsidRPr="00DF2689" w:rsidRDefault="00885016" w:rsidP="00885016">
      <w:pPr>
        <w:pStyle w:val="ListParagraph"/>
        <w:numPr>
          <w:ilvl w:val="0"/>
          <w:numId w:val="36"/>
        </w:numPr>
        <w:jc w:val="both"/>
        <w:rPr>
          <w:lang w:val="en-GB"/>
        </w:rPr>
      </w:pPr>
      <w:r w:rsidRPr="00DF2689">
        <w:rPr>
          <w:lang w:val="en-GB"/>
        </w:rPr>
        <w:t>With low ambient temperatures emission control devices work with a far lower effectiveness. German investigators found that many car manufacturers have legally installed software which shuts off exhaust treatment systems in cold weather to reduce the risk of condensation building up in catalytic converters. Cold weather has been defined by some producers as temperatures below 19</w:t>
      </w:r>
      <w:r w:rsidRPr="00DF2689">
        <w:rPr>
          <w:rFonts w:cstheme="minorHAnsi"/>
          <w:vertAlign w:val="superscript"/>
          <w:lang w:val="en-GB"/>
        </w:rPr>
        <w:t>0</w:t>
      </w:r>
      <w:r w:rsidRPr="00DF2689">
        <w:rPr>
          <w:lang w:val="en-GB"/>
        </w:rPr>
        <w:t>C i.e. most of the time the emission control equipment is shut off</w:t>
      </w:r>
      <w:r w:rsidRPr="00DF2689">
        <w:rPr>
          <w:rStyle w:val="FootnoteReference"/>
          <w:lang w:val="en-GB"/>
        </w:rPr>
        <w:footnoteReference w:id="40"/>
      </w:r>
      <w:r w:rsidRPr="00DF2689">
        <w:rPr>
          <w:lang w:val="en-GB"/>
        </w:rPr>
        <w:t>. This reduces the need for expensive urea used as additive for eliminating NO</w:t>
      </w:r>
      <w:r w:rsidRPr="00DF2689">
        <w:rPr>
          <w:vertAlign w:val="subscript"/>
          <w:lang w:val="en-GB"/>
        </w:rPr>
        <w:t>x</w:t>
      </w:r>
      <w:r w:rsidRPr="00DF2689">
        <w:rPr>
          <w:lang w:val="en-GB"/>
        </w:rPr>
        <w:t xml:space="preserve"> from exhaust fumes but results in skyrocketing NO</w:t>
      </w:r>
      <w:r w:rsidRPr="00DF2689">
        <w:rPr>
          <w:vertAlign w:val="subscript"/>
          <w:lang w:val="en-GB"/>
        </w:rPr>
        <w:t>x</w:t>
      </w:r>
      <w:r w:rsidRPr="00DF2689">
        <w:rPr>
          <w:lang w:val="en-GB"/>
        </w:rPr>
        <w:t xml:space="preserve"> emissions</w:t>
      </w:r>
      <w:r w:rsidRPr="00DF2689">
        <w:rPr>
          <w:rStyle w:val="FootnoteReference"/>
          <w:lang w:val="en-GB"/>
        </w:rPr>
        <w:footnoteReference w:id="41"/>
      </w:r>
      <w:r w:rsidRPr="00DF2689">
        <w:rPr>
          <w:lang w:val="en-GB"/>
        </w:rPr>
        <w:t xml:space="preserve">. </w:t>
      </w:r>
    </w:p>
    <w:p w14:paraId="7EC17D6B" w14:textId="77777777" w:rsidR="00885016" w:rsidRPr="00DF2689" w:rsidRDefault="00885016" w:rsidP="00885016">
      <w:pPr>
        <w:pStyle w:val="ListParagraph"/>
        <w:numPr>
          <w:ilvl w:val="0"/>
          <w:numId w:val="36"/>
        </w:numPr>
        <w:jc w:val="both"/>
        <w:rPr>
          <w:lang w:val="en-GB"/>
        </w:rPr>
      </w:pPr>
      <w:r w:rsidRPr="00DF2689">
        <w:rPr>
          <w:lang w:val="en-GB"/>
        </w:rPr>
        <w:t>In cold start conditions pollution control devices work far less effectively. This is a prevalent condition in urban areas where driving distances are short and engines operate primarily at cold driving conditions. Cold engine emissions for PM</w:t>
      </w:r>
      <w:r w:rsidRPr="00DF2689">
        <w:rPr>
          <w:vertAlign w:val="subscript"/>
          <w:lang w:val="en-GB"/>
        </w:rPr>
        <w:t>2.5</w:t>
      </w:r>
      <w:r w:rsidRPr="00DF2689">
        <w:rPr>
          <w:lang w:val="en-GB"/>
        </w:rPr>
        <w:t xml:space="preserve"> are e.g. more than factor 3 higher compared to engines operating at high temperatures</w:t>
      </w:r>
      <w:r w:rsidRPr="00DF2689">
        <w:rPr>
          <w:rStyle w:val="FootnoteReference"/>
          <w:lang w:val="en-GB"/>
        </w:rPr>
        <w:footnoteReference w:id="42"/>
      </w:r>
      <w:r w:rsidRPr="00DF2689">
        <w:rPr>
          <w:lang w:val="en-GB"/>
        </w:rPr>
        <w:t>.</w:t>
      </w:r>
    </w:p>
    <w:p w14:paraId="674A3899" w14:textId="3E5570E8" w:rsidR="00885016" w:rsidRPr="00DF2689" w:rsidRDefault="00885016" w:rsidP="00885016">
      <w:pPr>
        <w:pStyle w:val="ListParagraph"/>
        <w:numPr>
          <w:ilvl w:val="0"/>
          <w:numId w:val="36"/>
        </w:numPr>
        <w:jc w:val="both"/>
        <w:rPr>
          <w:lang w:val="en-GB"/>
        </w:rPr>
      </w:pPr>
      <w:r w:rsidRPr="00DF2689">
        <w:rPr>
          <w:lang w:val="en-GB"/>
        </w:rPr>
        <w:t xml:space="preserve">Controlling and enforcing adequate vehicle maintenance and vehicle inspection programs is far more complex and costly for diesel than for gasoline engines. The </w:t>
      </w:r>
      <w:proofErr w:type="spellStart"/>
      <w:r w:rsidRPr="00DF2689">
        <w:rPr>
          <w:lang w:val="en-GB"/>
        </w:rPr>
        <w:t>snap-on</w:t>
      </w:r>
      <w:proofErr w:type="spellEnd"/>
      <w:r w:rsidRPr="00DF2689">
        <w:rPr>
          <w:lang w:val="en-GB"/>
        </w:rPr>
        <w:t xml:space="preserve"> test used for diesel engines has limited reliability and depends basically on how the test is performed. Controls are very easily circumvented and on-road controls are costly and complex. Therefore, inspection programs with diesel vehicles</w:t>
      </w:r>
      <w:r w:rsidR="00C32C42">
        <w:rPr>
          <w:lang w:val="en-GB"/>
        </w:rPr>
        <w:t xml:space="preserve"> sometime fail</w:t>
      </w:r>
      <w:r w:rsidRPr="00DF2689">
        <w:rPr>
          <w:lang w:val="en-GB"/>
        </w:rPr>
        <w:t>.</w:t>
      </w:r>
    </w:p>
    <w:p w14:paraId="4A9D5B73" w14:textId="78CB24FA" w:rsidR="00885016" w:rsidRPr="00DF2689" w:rsidRDefault="00885016" w:rsidP="00885016">
      <w:pPr>
        <w:pStyle w:val="ListParagraph"/>
        <w:numPr>
          <w:ilvl w:val="0"/>
          <w:numId w:val="36"/>
        </w:numPr>
        <w:jc w:val="both"/>
        <w:rPr>
          <w:lang w:val="en-GB"/>
        </w:rPr>
      </w:pPr>
      <w:r w:rsidRPr="00DF2689">
        <w:rPr>
          <w:lang w:val="en-GB"/>
        </w:rPr>
        <w:t>Vehicle degradation results in significantly higher PM</w:t>
      </w:r>
      <w:r w:rsidRPr="00DF2689">
        <w:rPr>
          <w:vertAlign w:val="subscript"/>
          <w:lang w:val="en-GB"/>
        </w:rPr>
        <w:t>2.5</w:t>
      </w:r>
      <w:r w:rsidRPr="00DF2689">
        <w:rPr>
          <w:lang w:val="en-GB"/>
        </w:rPr>
        <w:t xml:space="preserve"> and NO</w:t>
      </w:r>
      <w:r w:rsidRPr="00DF2689">
        <w:rPr>
          <w:vertAlign w:val="subscript"/>
          <w:lang w:val="en-GB"/>
        </w:rPr>
        <w:t>x</w:t>
      </w:r>
      <w:r w:rsidRPr="00DF2689">
        <w:rPr>
          <w:lang w:val="en-GB"/>
        </w:rPr>
        <w:t xml:space="preserve"> emissions of diesel passenger cars and light duty vehicles</w:t>
      </w:r>
      <w:r w:rsidR="00DE5CC6">
        <w:rPr>
          <w:rStyle w:val="FootnoteReference"/>
          <w:lang w:val="en-GB"/>
        </w:rPr>
        <w:footnoteReference w:id="43"/>
      </w:r>
      <w:r w:rsidRPr="00DF2689">
        <w:rPr>
          <w:lang w:val="en-GB"/>
        </w:rPr>
        <w:t>. Real world emissions can therefore be factor 4 times or higher with an increasing vehicle age.</w:t>
      </w:r>
    </w:p>
    <w:p w14:paraId="39C0113E" w14:textId="407945EA" w:rsidR="00885016" w:rsidRPr="00DF2689" w:rsidRDefault="001226D6" w:rsidP="003D7E78">
      <w:pPr>
        <w:pStyle w:val="ListParagraph"/>
        <w:numPr>
          <w:ilvl w:val="0"/>
          <w:numId w:val="37"/>
        </w:numPr>
        <w:jc w:val="both"/>
      </w:pPr>
      <w:r>
        <w:rPr>
          <w:b/>
          <w:sz w:val="20"/>
        </w:rPr>
        <w:br w:type="column"/>
      </w:r>
      <w:r w:rsidR="00DE5CC6" w:rsidRPr="00885016" w:rsidDel="00DE5CC6">
        <w:rPr>
          <w:b/>
          <w:sz w:val="20"/>
        </w:rPr>
        <w:lastRenderedPageBreak/>
        <w:t xml:space="preserve"> </w:t>
      </w:r>
      <w:r w:rsidR="00885016" w:rsidRPr="00DF2689">
        <w:t xml:space="preserve">Maintenance of diesel engines is far more critical and complex than of gasoline ones. This results often in far higher actual emissions than if the vehicle would be maintained well. The required emission control devices including </w:t>
      </w:r>
      <w:r>
        <w:t>Diesel Particle Filters (</w:t>
      </w:r>
      <w:r w:rsidR="00885016" w:rsidRPr="00DF2689">
        <w:t>DPFs</w:t>
      </w:r>
      <w:r>
        <w:t>)</w:t>
      </w:r>
      <w:r w:rsidR="00885016" w:rsidRPr="00DF2689">
        <w:t xml:space="preserve"> for Euro 6 require regular specialized maintenance. For NO</w:t>
      </w:r>
      <w:r w:rsidR="00885016" w:rsidRPr="00DF2689">
        <w:rPr>
          <w:vertAlign w:val="subscript"/>
        </w:rPr>
        <w:t>2</w:t>
      </w:r>
      <w:r w:rsidR="00885016" w:rsidRPr="00DF2689">
        <w:t xml:space="preserve"> reduction most vehicles use an additive. If the DPF is not maintained properly or if the additive is not added to the engine, latter will continue to work and deliver power but the emissions will skyrocket reaching Euro 2 levels. Therefore, actual emissions of Euro 6 vehicles, if badly maintained, can be comparable to Euro 2 engines. Even with a strict enforcement and control system, random roadside checks performed in Santiago have shown that emission control equipment of diesel engines is often not working properly</w:t>
      </w:r>
      <w:r w:rsidR="00885016" w:rsidRPr="00DF2689">
        <w:rPr>
          <w:rStyle w:val="FootnoteReference"/>
        </w:rPr>
        <w:footnoteReference w:id="44"/>
      </w:r>
      <w:r w:rsidR="00885016" w:rsidRPr="00DF2689">
        <w:t>.</w:t>
      </w:r>
    </w:p>
    <w:p w14:paraId="57F342C9" w14:textId="18623E7C" w:rsidR="00DC3A36" w:rsidRDefault="00DC3A36" w:rsidP="00885016">
      <w:pPr>
        <w:jc w:val="both"/>
      </w:pPr>
      <w:r>
        <w:t>Gasoline vehicles on the other hand show little deterioration of emission control equipment.</w:t>
      </w:r>
      <w:r w:rsidRPr="00DC3A36">
        <w:t xml:space="preserve"> </w:t>
      </w:r>
      <w:r>
        <w:t xml:space="preserve">Whilst anecdotal reference does exist of eliminating pollution control equipment, this is not estimated to be done widespread as this can cause serious engine malfunction, high fuel consumption and power loss, all of which is not in interest of the vehicle owner. </w:t>
      </w:r>
      <w:r w:rsidRPr="00885016">
        <w:rPr>
          <w:color w:val="2E2E2E"/>
        </w:rPr>
        <w:t>Deterioration rates of petrol car emission levels derived from more than 110,000 records collected over the past thirteen years from on-road emission remote sensing in Z</w:t>
      </w:r>
      <w:r w:rsidRPr="00885016">
        <w:rPr>
          <w:rFonts w:cstheme="minorHAnsi"/>
          <w:color w:val="2E2E2E"/>
        </w:rPr>
        <w:t>ü</w:t>
      </w:r>
      <w:r w:rsidRPr="00885016">
        <w:rPr>
          <w:color w:val="2E2E2E"/>
        </w:rPr>
        <w:t>rich/Switzerland show that deterioration rates for gasoline vehicles are much lower than assumed so far with no evidence of high emitters</w:t>
      </w:r>
      <w:r>
        <w:rPr>
          <w:rStyle w:val="FootnoteReference"/>
          <w:color w:val="2E2E2E"/>
        </w:rPr>
        <w:footnoteReference w:id="45"/>
      </w:r>
      <w:r w:rsidRPr="00885016">
        <w:rPr>
          <w:color w:val="2E2E2E"/>
        </w:rPr>
        <w:t>. The deterioration of the emission control systems takes place gradually over the observed lifetime of up to twenty years. No significantly higher frequency or elevated levels of high emission events was found over time, thus ruling out an increased share of vehicles with dysfunctional emission control equipment. The durability of emission controls has much improved in the last 4 decades and even vehicles over 20 years of age rarely have broken emission controls i.e. it can be assumed that the large majority of gasoline cars work without having excessive pollution levels.</w:t>
      </w:r>
      <w:r>
        <w:t xml:space="preserve"> </w:t>
      </w:r>
    </w:p>
    <w:p w14:paraId="6AF4A64F" w14:textId="7CB6ABB6" w:rsidR="00D166B1" w:rsidRDefault="00D166B1" w:rsidP="00D166B1">
      <w:pPr>
        <w:jc w:val="both"/>
      </w:pPr>
      <w:r>
        <w:t>Even with best available diesel technologies, the real-world performance of diesel engines results in high PM</w:t>
      </w:r>
      <w:r w:rsidR="00885016" w:rsidRPr="00885016">
        <w:rPr>
          <w:vertAlign w:val="subscript"/>
        </w:rPr>
        <w:t>2.5</w:t>
      </w:r>
      <w:r>
        <w:t xml:space="preserve"> and NO</w:t>
      </w:r>
      <w:r w:rsidR="00885016">
        <w:rPr>
          <w:vertAlign w:val="subscript"/>
        </w:rPr>
        <w:t>x</w:t>
      </w:r>
      <w:r>
        <w:t xml:space="preserve"> emissions creating air pollution and health problems. This fact is increasingly being recognized worldwide:</w:t>
      </w:r>
    </w:p>
    <w:p w14:paraId="469D0F8C" w14:textId="77777777" w:rsidR="00D166B1" w:rsidRPr="00F455D9" w:rsidRDefault="00D166B1" w:rsidP="00D166B1">
      <w:pPr>
        <w:pStyle w:val="ListParagraph"/>
        <w:numPr>
          <w:ilvl w:val="0"/>
          <w:numId w:val="35"/>
        </w:numPr>
        <w:spacing w:after="160" w:line="259" w:lineRule="auto"/>
        <w:jc w:val="both"/>
        <w:rPr>
          <w:lang w:val="en-GB"/>
        </w:rPr>
      </w:pPr>
      <w:r w:rsidRPr="00F455D9">
        <w:rPr>
          <w:lang w:val="en-GB"/>
        </w:rPr>
        <w:t>A senior EU civil servant has called the EUs diesel-vehicle emissions policy an almost complete failure. He also stated that absolute NO</w:t>
      </w:r>
      <w:r w:rsidRPr="00F455D9">
        <w:rPr>
          <w:vertAlign w:val="subscript"/>
          <w:lang w:val="en-GB"/>
        </w:rPr>
        <w:t>x</w:t>
      </w:r>
      <w:r w:rsidRPr="00F455D9">
        <w:rPr>
          <w:lang w:val="en-GB"/>
        </w:rPr>
        <w:t xml:space="preserve"> emissions of diesel vehicles under real driving conditions have hardly changed despite all regulations</w:t>
      </w:r>
      <w:r w:rsidRPr="00F455D9">
        <w:rPr>
          <w:rStyle w:val="FootnoteReference"/>
          <w:lang w:val="en-GB"/>
        </w:rPr>
        <w:footnoteReference w:id="46"/>
      </w:r>
      <w:r w:rsidRPr="00F455D9">
        <w:rPr>
          <w:lang w:val="en-GB"/>
        </w:rPr>
        <w:t>.</w:t>
      </w:r>
    </w:p>
    <w:p w14:paraId="126A489A" w14:textId="77777777" w:rsidR="00D166B1" w:rsidRPr="00F455D9" w:rsidRDefault="00D166B1" w:rsidP="00D166B1">
      <w:pPr>
        <w:pStyle w:val="ListParagraph"/>
        <w:numPr>
          <w:ilvl w:val="0"/>
          <w:numId w:val="35"/>
        </w:numPr>
        <w:spacing w:after="160" w:line="259" w:lineRule="auto"/>
        <w:jc w:val="both"/>
        <w:rPr>
          <w:lang w:val="en-GB"/>
        </w:rPr>
      </w:pPr>
      <w:r w:rsidRPr="00F455D9">
        <w:rPr>
          <w:lang w:val="en-GB"/>
        </w:rPr>
        <w:t>The government’s Chief Medical Officer of the UK Dame Sally Davies has called for a phase out of diesel vehicles as these cause tens of thousands of deaths each year</w:t>
      </w:r>
      <w:r w:rsidRPr="00F455D9">
        <w:rPr>
          <w:rStyle w:val="FootnoteReference"/>
          <w:lang w:val="en-GB"/>
        </w:rPr>
        <w:footnoteReference w:id="47"/>
      </w:r>
      <w:r w:rsidRPr="00F455D9">
        <w:rPr>
          <w:lang w:val="en-GB"/>
        </w:rPr>
        <w:t>.</w:t>
      </w:r>
    </w:p>
    <w:p w14:paraId="126FEE26" w14:textId="440ACC14" w:rsidR="00D166B1" w:rsidRPr="00F455D9" w:rsidRDefault="00D166B1" w:rsidP="00D166B1">
      <w:pPr>
        <w:pStyle w:val="ListParagraph"/>
        <w:numPr>
          <w:ilvl w:val="0"/>
          <w:numId w:val="35"/>
        </w:numPr>
        <w:spacing w:after="160" w:line="259" w:lineRule="auto"/>
        <w:jc w:val="both"/>
        <w:rPr>
          <w:lang w:val="en-GB"/>
        </w:rPr>
      </w:pPr>
      <w:r w:rsidRPr="00F455D9">
        <w:rPr>
          <w:lang w:val="en-GB"/>
        </w:rPr>
        <w:t>Oslo banned due to serious air pollution all diesel vehicles on municipal roads during a time of January 2017. This was due to very high levels of smog caused by NO</w:t>
      </w:r>
      <w:r w:rsidR="00885016" w:rsidRPr="00F455D9">
        <w:rPr>
          <w:vertAlign w:val="subscript"/>
          <w:lang w:val="en-GB"/>
        </w:rPr>
        <w:t>x</w:t>
      </w:r>
      <w:r w:rsidRPr="00F455D9">
        <w:rPr>
          <w:lang w:val="en-GB"/>
        </w:rPr>
        <w:t xml:space="preserve"> emissions. The ban was only levied on diesel vehicles and on all Euro categories.</w:t>
      </w:r>
      <w:r w:rsidR="00F455D9">
        <w:rPr>
          <w:lang w:val="en-GB"/>
        </w:rPr>
        <w:t xml:space="preserve"> Multiple other cities in Europe have issued similar bans for diesel vehicles.</w:t>
      </w:r>
    </w:p>
    <w:p w14:paraId="1B0424C3" w14:textId="23774C06" w:rsidR="00F455D9" w:rsidRPr="00F455D9" w:rsidRDefault="00F455D9" w:rsidP="00D166B1">
      <w:pPr>
        <w:pStyle w:val="ListParagraph"/>
        <w:numPr>
          <w:ilvl w:val="0"/>
          <w:numId w:val="35"/>
        </w:numPr>
        <w:spacing w:after="160" w:line="259" w:lineRule="auto"/>
        <w:jc w:val="both"/>
        <w:rPr>
          <w:lang w:val="en-GB"/>
        </w:rPr>
      </w:pPr>
      <w:r w:rsidRPr="00F455D9">
        <w:rPr>
          <w:lang w:val="en-GB"/>
        </w:rPr>
        <w:t xml:space="preserve">London introduced in April 2019 the </w:t>
      </w:r>
      <w:bookmarkStart w:id="39" w:name="_Hlk7186993"/>
      <w:r w:rsidRPr="00F455D9">
        <w:rPr>
          <w:lang w:val="en-GB"/>
        </w:rPr>
        <w:t>Ultra</w:t>
      </w:r>
      <w:r>
        <w:rPr>
          <w:lang w:val="en-GB"/>
        </w:rPr>
        <w:t>-</w:t>
      </w:r>
      <w:r w:rsidRPr="00F455D9">
        <w:rPr>
          <w:lang w:val="en-GB"/>
        </w:rPr>
        <w:t>Low Emissions Zone</w:t>
      </w:r>
      <w:bookmarkEnd w:id="39"/>
      <w:r w:rsidRPr="00F455D9">
        <w:rPr>
          <w:lang w:val="en-GB"/>
        </w:rPr>
        <w:t xml:space="preserve"> (ULEZ). All diesel vehicles except Euro 6 units have to pay daily GBP 12.50 to enter the zone, in additi</w:t>
      </w:r>
      <w:r>
        <w:rPr>
          <w:lang w:val="en-GB"/>
        </w:rPr>
        <w:t>o</w:t>
      </w:r>
      <w:r w:rsidRPr="00F455D9">
        <w:rPr>
          <w:lang w:val="en-GB"/>
        </w:rPr>
        <w:t>n to</w:t>
      </w:r>
      <w:r>
        <w:rPr>
          <w:lang w:val="en-GB"/>
        </w:rPr>
        <w:t xml:space="preserve"> </w:t>
      </w:r>
      <w:r w:rsidRPr="00F455D9">
        <w:rPr>
          <w:lang w:val="en-GB"/>
        </w:rPr>
        <w:t>the congestion zone</w:t>
      </w:r>
      <w:r w:rsidRPr="00F455D9">
        <w:rPr>
          <w:rStyle w:val="FootnoteReference"/>
          <w:lang w:val="en-GB"/>
        </w:rPr>
        <w:footnoteReference w:id="48"/>
      </w:r>
      <w:r w:rsidRPr="00F455D9">
        <w:rPr>
          <w:lang w:val="en-GB"/>
        </w:rPr>
        <w:t>.</w:t>
      </w:r>
    </w:p>
    <w:p w14:paraId="5E613C87" w14:textId="77777777" w:rsidR="00D166B1" w:rsidRPr="00F455D9" w:rsidRDefault="00D166B1" w:rsidP="00D166B1">
      <w:pPr>
        <w:pStyle w:val="ListParagraph"/>
        <w:numPr>
          <w:ilvl w:val="0"/>
          <w:numId w:val="35"/>
        </w:numPr>
        <w:spacing w:after="160" w:line="259" w:lineRule="auto"/>
        <w:jc w:val="both"/>
        <w:rPr>
          <w:lang w:val="en-GB"/>
        </w:rPr>
      </w:pPr>
      <w:r w:rsidRPr="00F455D9">
        <w:rPr>
          <w:lang w:val="en-GB"/>
        </w:rPr>
        <w:lastRenderedPageBreak/>
        <w:t>The National Green Tribunal in India has issued an order in July 2016 to ban more than 10-year-old diesel vehicles in Delhi</w:t>
      </w:r>
      <w:r w:rsidRPr="00F455D9">
        <w:rPr>
          <w:rStyle w:val="FootnoteReference"/>
          <w:lang w:val="en-GB"/>
        </w:rPr>
        <w:footnoteReference w:id="49"/>
      </w:r>
      <w:r w:rsidRPr="00F455D9">
        <w:rPr>
          <w:lang w:val="en-GB"/>
        </w:rPr>
        <w:t>.</w:t>
      </w:r>
    </w:p>
    <w:p w14:paraId="15E1E35B" w14:textId="1327E77F" w:rsidR="00885016" w:rsidRPr="00F455D9" w:rsidRDefault="00D166B1" w:rsidP="00D166B1">
      <w:pPr>
        <w:pStyle w:val="ListParagraph"/>
        <w:numPr>
          <w:ilvl w:val="0"/>
          <w:numId w:val="35"/>
        </w:numPr>
        <w:spacing w:after="160" w:line="259" w:lineRule="auto"/>
        <w:jc w:val="both"/>
        <w:rPr>
          <w:lang w:val="en-GB"/>
        </w:rPr>
      </w:pPr>
      <w:r w:rsidRPr="00F455D9">
        <w:rPr>
          <w:lang w:val="en-GB"/>
        </w:rPr>
        <w:t>The Swiss Investment Bank UBS has made the claim that diesel cars will disappear from the global market by 2025 due to pollution problems</w:t>
      </w:r>
      <w:r w:rsidRPr="00F455D9">
        <w:rPr>
          <w:rStyle w:val="FootnoteReference"/>
          <w:lang w:val="en-GB"/>
        </w:rPr>
        <w:footnoteReference w:id="50"/>
      </w:r>
      <w:r w:rsidRPr="00F455D9">
        <w:rPr>
          <w:lang w:val="en-GB"/>
        </w:rPr>
        <w:t>.</w:t>
      </w:r>
    </w:p>
    <w:p w14:paraId="7CE8BAD7" w14:textId="050BBA50" w:rsidR="00F455D9" w:rsidRPr="00F455D9" w:rsidRDefault="00F455D9" w:rsidP="00D166B1">
      <w:pPr>
        <w:pStyle w:val="ListParagraph"/>
        <w:numPr>
          <w:ilvl w:val="0"/>
          <w:numId w:val="35"/>
        </w:numPr>
        <w:spacing w:after="160" w:line="259" w:lineRule="auto"/>
        <w:jc w:val="both"/>
        <w:rPr>
          <w:lang w:val="en-GB"/>
        </w:rPr>
      </w:pPr>
      <w:r w:rsidRPr="00F455D9">
        <w:rPr>
          <w:lang w:val="en-GB"/>
        </w:rPr>
        <w:t>The US, the largest car market in the world, has less than 3% diesel passenger cars and SUVs</w:t>
      </w:r>
      <w:r w:rsidRPr="00F455D9">
        <w:rPr>
          <w:rStyle w:val="FootnoteReference"/>
          <w:lang w:val="en-GB"/>
        </w:rPr>
        <w:footnoteReference w:id="51"/>
      </w:r>
      <w:r w:rsidRPr="00F455D9">
        <w:rPr>
          <w:lang w:val="en-GB"/>
        </w:rPr>
        <w:t xml:space="preserve">. </w:t>
      </w:r>
      <w:r w:rsidR="007D6917">
        <w:rPr>
          <w:lang w:val="en-GB"/>
        </w:rPr>
        <w:t xml:space="preserve">PR China does not use diesel engines for passenger cars. </w:t>
      </w:r>
      <w:r w:rsidRPr="00F455D9">
        <w:rPr>
          <w:lang w:val="en-GB"/>
        </w:rPr>
        <w:t>Bolivia, a country landlocked and with a small vehicle number and in a more precarious economic situation than Kosovo only allows diesel vehicles with engines larger than 4 litres</w:t>
      </w:r>
      <w:r w:rsidRPr="00F455D9">
        <w:rPr>
          <w:rStyle w:val="FootnoteReference"/>
          <w:lang w:val="en-GB"/>
        </w:rPr>
        <w:footnoteReference w:id="52"/>
      </w:r>
      <w:r w:rsidRPr="00F455D9">
        <w:rPr>
          <w:lang w:val="en-GB"/>
        </w:rPr>
        <w:t>. Brazil, banned diesel cars in the 70</w:t>
      </w:r>
      <w:r w:rsidRPr="00F455D9">
        <w:rPr>
          <w:vertAlign w:val="superscript"/>
          <w:lang w:val="en-GB"/>
        </w:rPr>
        <w:t>ies</w:t>
      </w:r>
      <w:r w:rsidRPr="00F455D9">
        <w:rPr>
          <w:rStyle w:val="FootnoteReference"/>
          <w:lang w:val="en-GB"/>
        </w:rPr>
        <w:t xml:space="preserve"> </w:t>
      </w:r>
      <w:r w:rsidRPr="00F455D9">
        <w:rPr>
          <w:rStyle w:val="FootnoteReference"/>
          <w:lang w:val="en-GB"/>
        </w:rPr>
        <w:footnoteReference w:id="53"/>
      </w:r>
      <w:r w:rsidRPr="00F455D9">
        <w:rPr>
          <w:lang w:val="en-GB"/>
        </w:rPr>
        <w:t xml:space="preserve">. It is therefore obvious that there is no technical requirement for using diesel </w:t>
      </w:r>
      <w:r w:rsidR="00053DD0">
        <w:rPr>
          <w:lang w:val="en-GB"/>
        </w:rPr>
        <w:t>vehicles especially for passenger cars</w:t>
      </w:r>
      <w:r w:rsidRPr="00F455D9">
        <w:rPr>
          <w:lang w:val="en-GB"/>
        </w:rPr>
        <w:t xml:space="preserve">.  </w:t>
      </w:r>
    </w:p>
    <w:p w14:paraId="3204672B" w14:textId="60EA7A0C" w:rsidR="00D166B1" w:rsidRDefault="00F455D9" w:rsidP="00D166B1">
      <w:pPr>
        <w:jc w:val="both"/>
      </w:pPr>
      <w:bookmarkStart w:id="40" w:name="_Hlk7189035"/>
      <w:r>
        <w:t>Old diesel cars have dropped in prices as people in western Europe are not willing to purchase anymore such vehicles due to existing or looming driving bans. This results in massive exp</w:t>
      </w:r>
      <w:r w:rsidR="007D6917">
        <w:t>o</w:t>
      </w:r>
      <w:r>
        <w:t xml:space="preserve">rts of old dirty cars to </w:t>
      </w:r>
      <w:r w:rsidR="007D6917">
        <w:t>E</w:t>
      </w:r>
      <w:r>
        <w:t>astern Europe including Kosovo</w:t>
      </w:r>
      <w:r>
        <w:rPr>
          <w:rStyle w:val="FootnoteReference"/>
        </w:rPr>
        <w:footnoteReference w:id="54"/>
      </w:r>
      <w:r>
        <w:t>.</w:t>
      </w:r>
      <w:r w:rsidRPr="00F455D9">
        <w:rPr>
          <w:color w:val="281E1E"/>
          <w:sz w:val="29"/>
          <w:szCs w:val="29"/>
        </w:rPr>
        <w:t xml:space="preserve"> </w:t>
      </w:r>
      <w:r w:rsidR="00DF2689" w:rsidRPr="00DF2689">
        <w:t>I</w:t>
      </w:r>
      <w:r w:rsidRPr="00DF2689">
        <w:t>n Germany</w:t>
      </w:r>
      <w:r w:rsidR="00DF2689" w:rsidRPr="00DF2689">
        <w:t>, the largest supplier of used cars to Kosovo,</w:t>
      </w:r>
      <w:r w:rsidRPr="00DF2689">
        <w:t xml:space="preserve"> it is expected that </w:t>
      </w:r>
      <w:r w:rsidR="00DF2689" w:rsidRPr="00DF2689">
        <w:t>9 out of 15 million registered diesel cars do not meet the Euro 6 standard and will thus be affected by driving bans</w:t>
      </w:r>
      <w:bookmarkEnd w:id="40"/>
      <w:r w:rsidR="00DF2689">
        <w:rPr>
          <w:rStyle w:val="FootnoteReference"/>
        </w:rPr>
        <w:footnoteReference w:id="55"/>
      </w:r>
      <w:r w:rsidR="00DF2689" w:rsidRPr="00DF2689">
        <w:t>.</w:t>
      </w:r>
    </w:p>
    <w:p w14:paraId="3E78A83C" w14:textId="58715CA4" w:rsidR="00DF2689" w:rsidRDefault="00DF2689" w:rsidP="00B81258">
      <w:pPr>
        <w:pStyle w:val="Heading2"/>
      </w:pPr>
      <w:bookmarkStart w:id="41" w:name="_Toc7256805"/>
      <w:r>
        <w:t xml:space="preserve">5.3. Proposed </w:t>
      </w:r>
      <w:r w:rsidR="00B81258">
        <w:t>Instruments</w:t>
      </w:r>
      <w:bookmarkEnd w:id="41"/>
    </w:p>
    <w:p w14:paraId="34B5F0D4" w14:textId="274A1A09" w:rsidR="009350D9" w:rsidRDefault="00087A5D" w:rsidP="00087A5D">
      <w:pPr>
        <w:pStyle w:val="Heading3"/>
      </w:pPr>
      <w:bookmarkStart w:id="42" w:name="_Toc7256806"/>
      <w:r>
        <w:t xml:space="preserve">5.3.1. </w:t>
      </w:r>
      <w:r w:rsidR="009350D9" w:rsidRPr="009350D9">
        <w:t>Ecological Tax</w:t>
      </w:r>
      <w:bookmarkEnd w:id="42"/>
      <w:r w:rsidR="009C514E">
        <w:rPr>
          <w:rStyle w:val="FootnoteReference"/>
        </w:rPr>
        <w:footnoteReference w:id="56"/>
      </w:r>
    </w:p>
    <w:p w14:paraId="254590C9" w14:textId="77777777" w:rsidR="00087A5D" w:rsidRPr="00087A5D" w:rsidRDefault="00087A5D" w:rsidP="00087A5D"/>
    <w:p w14:paraId="2D4782D8" w14:textId="033DC198" w:rsidR="001B11FD" w:rsidRDefault="00B472E9" w:rsidP="009350D9">
      <w:pPr>
        <w:jc w:val="both"/>
      </w:pPr>
      <w:bookmarkStart w:id="43" w:name="_Hlk7189073"/>
      <w:r>
        <w:t xml:space="preserve">The main objective of the ecological tax is to incentivize people to renew their vehicle by increasing the costs of maintaining an old car. </w:t>
      </w:r>
      <w:r w:rsidR="009350D9">
        <w:t xml:space="preserve">The influence of </w:t>
      </w:r>
      <w:r>
        <w:t xml:space="preserve">an </w:t>
      </w:r>
      <w:r w:rsidR="009350D9">
        <w:t xml:space="preserve">annual </w:t>
      </w:r>
      <w:r w:rsidR="00595CE7">
        <w:t xml:space="preserve">road </w:t>
      </w:r>
      <w:r w:rsidR="009350D9">
        <w:t>tax on car purchase</w:t>
      </w:r>
      <w:r w:rsidR="00087A5D">
        <w:t xml:space="preserve"> decisions</w:t>
      </w:r>
      <w:r w:rsidR="009350D9">
        <w:t xml:space="preserve"> is limited as it is not </w:t>
      </w:r>
      <w:r w:rsidR="003941E8">
        <w:t xml:space="preserve">a </w:t>
      </w:r>
      <w:r w:rsidR="009350D9">
        <w:t xml:space="preserve">visible </w:t>
      </w:r>
      <w:r w:rsidR="003941E8">
        <w:t xml:space="preserve">tax </w:t>
      </w:r>
      <w:r w:rsidR="009350D9">
        <w:t>at the time of purchasing the vehicle</w:t>
      </w:r>
      <w:r w:rsidR="00087A5D">
        <w:t xml:space="preserve"> and as its magnitude is relatively small, especially in relation to the vehicle investment</w:t>
      </w:r>
      <w:r w:rsidR="009350D9">
        <w:t xml:space="preserve">. The </w:t>
      </w:r>
      <w:r w:rsidR="009C514E">
        <w:t>ecological</w:t>
      </w:r>
      <w:r w:rsidR="009350D9">
        <w:t xml:space="preserve"> tax c</w:t>
      </w:r>
      <w:r w:rsidR="00595CE7">
        <w:t>ould</w:t>
      </w:r>
      <w:r w:rsidR="009350D9">
        <w:t xml:space="preserve"> </w:t>
      </w:r>
      <w:r w:rsidR="00443AB4">
        <w:t xml:space="preserve">potentially </w:t>
      </w:r>
      <w:r w:rsidR="009350D9">
        <w:t xml:space="preserve">influence </w:t>
      </w:r>
      <w:r w:rsidR="00087A5D">
        <w:t xml:space="preserve">the decision of </w:t>
      </w:r>
      <w:r w:rsidR="009350D9">
        <w:t>a person to scrap the old vehicle. To achieve this target the ecological tax needs to be high enough and needs to differentiate sufficiently between a new and an old vehicle. To allow for a sufficient differentiation whilst keeping the system simple it is suggested to use few</w:t>
      </w:r>
      <w:r w:rsidR="00595CE7">
        <w:t>er</w:t>
      </w:r>
      <w:r w:rsidR="009350D9">
        <w:t xml:space="preserve"> categories and </w:t>
      </w:r>
      <w:r w:rsidR="003941E8">
        <w:t>relate it to the fuel type used</w:t>
      </w:r>
      <w:r w:rsidR="009350D9">
        <w:t xml:space="preserve"> to create a</w:t>
      </w:r>
      <w:r w:rsidR="001B11FD">
        <w:t>wa</w:t>
      </w:r>
      <w:r w:rsidR="009350D9">
        <w:t xml:space="preserve">reness of the pollution </w:t>
      </w:r>
      <w:r w:rsidR="001B11FD">
        <w:t>i</w:t>
      </w:r>
      <w:r w:rsidR="009350D9">
        <w:t>mpact of different vehicle models and fuels.</w:t>
      </w:r>
      <w:r w:rsidR="00681701">
        <w:t xml:space="preserve"> The criteria vehicle age instead of Euro vehicle emission standard (which would be more adequate from an environmental perspective) is taken due to simplicity and communicative reasons as people are better aware of the age of their vehicle than an abstract Euro standard. Age brackets proposed are related to the Euro vehicle emission standards (see table 5).</w:t>
      </w:r>
      <w:r w:rsidR="003941E8" w:rsidRPr="003941E8">
        <w:t xml:space="preserve"> </w:t>
      </w:r>
      <w:r w:rsidR="003941E8">
        <w:t>The following table shows a suggested grading for the ecological tax</w:t>
      </w:r>
      <w:r w:rsidR="00681701">
        <w:t>.</w:t>
      </w:r>
    </w:p>
    <w:p w14:paraId="71A6BD20" w14:textId="0B30E103" w:rsidR="001B11FD" w:rsidRPr="001B11FD" w:rsidRDefault="001B11FD" w:rsidP="001B11FD">
      <w:pPr>
        <w:pStyle w:val="NoSpacing"/>
        <w:rPr>
          <w:b/>
        </w:rPr>
      </w:pPr>
      <w:bookmarkStart w:id="44" w:name="_Hlk7189136"/>
      <w:bookmarkEnd w:id="43"/>
      <w:r w:rsidRPr="001B11FD">
        <w:rPr>
          <w:b/>
        </w:rPr>
        <w:lastRenderedPageBreak/>
        <w:t xml:space="preserve">Table </w:t>
      </w:r>
      <w:r w:rsidRPr="001B11FD">
        <w:rPr>
          <w:b/>
        </w:rPr>
        <w:fldChar w:fldCharType="begin"/>
      </w:r>
      <w:r w:rsidRPr="001B11FD">
        <w:rPr>
          <w:b/>
        </w:rPr>
        <w:instrText xml:space="preserve"> SEQ Table \* ARABIC </w:instrText>
      </w:r>
      <w:r w:rsidRPr="001B11FD">
        <w:rPr>
          <w:b/>
        </w:rPr>
        <w:fldChar w:fldCharType="separate"/>
      </w:r>
      <w:r w:rsidR="00B20155">
        <w:rPr>
          <w:b/>
          <w:noProof/>
        </w:rPr>
        <w:t>6</w:t>
      </w:r>
      <w:r w:rsidRPr="001B11FD">
        <w:rPr>
          <w:b/>
        </w:rPr>
        <w:fldChar w:fldCharType="end"/>
      </w:r>
      <w:r w:rsidRPr="001B11FD">
        <w:rPr>
          <w:b/>
        </w:rPr>
        <w:t xml:space="preserve">: </w:t>
      </w:r>
      <w:r w:rsidR="00087A5D">
        <w:rPr>
          <w:b/>
        </w:rPr>
        <w:t xml:space="preserve">Alternative A: </w:t>
      </w:r>
      <w:r w:rsidRPr="001B11FD">
        <w:rPr>
          <w:b/>
        </w:rPr>
        <w:t>Proposed Ecological Tax (in Euro per annum)</w:t>
      </w:r>
      <w:r w:rsidR="009C514E">
        <w:rPr>
          <w:rStyle w:val="FootnoteReference"/>
          <w:b/>
        </w:rPr>
        <w:footnoteReference w:id="57"/>
      </w:r>
    </w:p>
    <w:tbl>
      <w:tblPr>
        <w:tblStyle w:val="TableGrid"/>
        <w:tblW w:w="0" w:type="auto"/>
        <w:tblLook w:val="04A0" w:firstRow="1" w:lastRow="0" w:firstColumn="1" w:lastColumn="0" w:noHBand="0" w:noVBand="1"/>
      </w:tblPr>
      <w:tblGrid>
        <w:gridCol w:w="3235"/>
        <w:gridCol w:w="1927"/>
        <w:gridCol w:w="1927"/>
        <w:gridCol w:w="1927"/>
      </w:tblGrid>
      <w:tr w:rsidR="001B11FD" w:rsidRPr="001B11FD" w14:paraId="2EC54E0E" w14:textId="32C5B142" w:rsidTr="001B11FD">
        <w:tc>
          <w:tcPr>
            <w:tcW w:w="3235" w:type="dxa"/>
            <w:shd w:val="clear" w:color="auto" w:fill="D9E2F3" w:themeFill="accent1" w:themeFillTint="33"/>
          </w:tcPr>
          <w:p w14:paraId="0BF0D62C" w14:textId="5B249CE6" w:rsidR="001B11FD" w:rsidRPr="001B11FD" w:rsidRDefault="001B11FD" w:rsidP="001B11FD">
            <w:pPr>
              <w:pStyle w:val="NoSpacing"/>
              <w:rPr>
                <w:b/>
              </w:rPr>
            </w:pPr>
            <w:r w:rsidRPr="001B11FD">
              <w:rPr>
                <w:b/>
              </w:rPr>
              <w:t>Vehicle age</w:t>
            </w:r>
          </w:p>
        </w:tc>
        <w:tc>
          <w:tcPr>
            <w:tcW w:w="1927" w:type="dxa"/>
            <w:shd w:val="clear" w:color="auto" w:fill="D9E2F3" w:themeFill="accent1" w:themeFillTint="33"/>
          </w:tcPr>
          <w:p w14:paraId="3155086A" w14:textId="61E7E147" w:rsidR="001B11FD" w:rsidRPr="001B11FD" w:rsidRDefault="001B11FD" w:rsidP="001B11FD">
            <w:pPr>
              <w:pStyle w:val="NoSpacing"/>
              <w:jc w:val="center"/>
              <w:rPr>
                <w:b/>
              </w:rPr>
            </w:pPr>
            <w:r w:rsidRPr="001B11FD">
              <w:rPr>
                <w:b/>
              </w:rPr>
              <w:t>Diesel cars</w:t>
            </w:r>
          </w:p>
        </w:tc>
        <w:tc>
          <w:tcPr>
            <w:tcW w:w="1927" w:type="dxa"/>
            <w:shd w:val="clear" w:color="auto" w:fill="D9E2F3" w:themeFill="accent1" w:themeFillTint="33"/>
          </w:tcPr>
          <w:p w14:paraId="2630875A" w14:textId="702A3C48" w:rsidR="001B11FD" w:rsidRPr="001B11FD" w:rsidRDefault="001B11FD" w:rsidP="001B11FD">
            <w:pPr>
              <w:pStyle w:val="NoSpacing"/>
              <w:jc w:val="center"/>
              <w:rPr>
                <w:b/>
              </w:rPr>
            </w:pPr>
            <w:r w:rsidRPr="001B11FD">
              <w:rPr>
                <w:b/>
              </w:rPr>
              <w:t>Gasoline cars</w:t>
            </w:r>
          </w:p>
        </w:tc>
        <w:tc>
          <w:tcPr>
            <w:tcW w:w="1927" w:type="dxa"/>
            <w:shd w:val="clear" w:color="auto" w:fill="D9E2F3" w:themeFill="accent1" w:themeFillTint="33"/>
          </w:tcPr>
          <w:p w14:paraId="652DF35C" w14:textId="259D4BC8" w:rsidR="001B11FD" w:rsidRPr="001B11FD" w:rsidRDefault="001B11FD" w:rsidP="001B11FD">
            <w:pPr>
              <w:pStyle w:val="NoSpacing"/>
              <w:jc w:val="center"/>
              <w:rPr>
                <w:b/>
              </w:rPr>
            </w:pPr>
            <w:r w:rsidRPr="001B11FD">
              <w:rPr>
                <w:b/>
              </w:rPr>
              <w:t>EVs and hybrids</w:t>
            </w:r>
          </w:p>
        </w:tc>
      </w:tr>
      <w:tr w:rsidR="001B11FD" w14:paraId="4BFC529B" w14:textId="2EDE0E14" w:rsidTr="001B11FD">
        <w:tc>
          <w:tcPr>
            <w:tcW w:w="3235" w:type="dxa"/>
          </w:tcPr>
          <w:p w14:paraId="62503810" w14:textId="37F56ADF" w:rsidR="001B11FD" w:rsidRDefault="00C944F9" w:rsidP="001B11FD">
            <w:pPr>
              <w:pStyle w:val="NoSpacing"/>
            </w:pPr>
            <w:r>
              <w:t>0 to 5 years</w:t>
            </w:r>
            <w:r w:rsidR="00681701">
              <w:rPr>
                <w:rStyle w:val="FootnoteReference"/>
              </w:rPr>
              <w:footnoteReference w:id="58"/>
            </w:r>
          </w:p>
        </w:tc>
        <w:tc>
          <w:tcPr>
            <w:tcW w:w="1927" w:type="dxa"/>
          </w:tcPr>
          <w:p w14:paraId="3A83BADE" w14:textId="0617C9F1" w:rsidR="001B11FD" w:rsidRDefault="00ED1678" w:rsidP="001B11FD">
            <w:pPr>
              <w:pStyle w:val="NoSpacing"/>
              <w:jc w:val="center"/>
            </w:pPr>
            <w:r>
              <w:t>10 Euro</w:t>
            </w:r>
          </w:p>
        </w:tc>
        <w:tc>
          <w:tcPr>
            <w:tcW w:w="1927" w:type="dxa"/>
          </w:tcPr>
          <w:p w14:paraId="6AA4B68E" w14:textId="22604860" w:rsidR="001B11FD" w:rsidRDefault="00ED1678" w:rsidP="001B11FD">
            <w:pPr>
              <w:pStyle w:val="NoSpacing"/>
              <w:jc w:val="center"/>
            </w:pPr>
            <w:r>
              <w:t>0 Euro</w:t>
            </w:r>
          </w:p>
        </w:tc>
        <w:tc>
          <w:tcPr>
            <w:tcW w:w="1927" w:type="dxa"/>
          </w:tcPr>
          <w:p w14:paraId="17CEE032" w14:textId="62C55055" w:rsidR="001B11FD" w:rsidRDefault="00ED1678" w:rsidP="001B11FD">
            <w:pPr>
              <w:pStyle w:val="NoSpacing"/>
              <w:jc w:val="center"/>
            </w:pPr>
            <w:r>
              <w:t>0 Euro</w:t>
            </w:r>
          </w:p>
        </w:tc>
      </w:tr>
      <w:tr w:rsidR="00ED1678" w14:paraId="23C05027" w14:textId="767BAA37" w:rsidTr="001B11FD">
        <w:tc>
          <w:tcPr>
            <w:tcW w:w="3235" w:type="dxa"/>
          </w:tcPr>
          <w:p w14:paraId="29F9E92A" w14:textId="45A3C37A" w:rsidR="00ED1678" w:rsidRDefault="00ED1678" w:rsidP="00ED1678">
            <w:pPr>
              <w:pStyle w:val="NoSpacing"/>
            </w:pPr>
            <w:r>
              <w:t>5 to 10 years</w:t>
            </w:r>
            <w:r w:rsidR="00681701">
              <w:rPr>
                <w:rStyle w:val="FootnoteReference"/>
              </w:rPr>
              <w:footnoteReference w:id="59"/>
            </w:r>
          </w:p>
        </w:tc>
        <w:tc>
          <w:tcPr>
            <w:tcW w:w="1927" w:type="dxa"/>
          </w:tcPr>
          <w:p w14:paraId="7372B676" w14:textId="660E3222" w:rsidR="00ED1678" w:rsidRDefault="00ED1678" w:rsidP="00ED1678">
            <w:pPr>
              <w:pStyle w:val="NoSpacing"/>
              <w:jc w:val="center"/>
            </w:pPr>
            <w:r>
              <w:t>30</w:t>
            </w:r>
            <w:r w:rsidRPr="006F585B">
              <w:t xml:space="preserve"> Euro</w:t>
            </w:r>
          </w:p>
        </w:tc>
        <w:tc>
          <w:tcPr>
            <w:tcW w:w="1927" w:type="dxa"/>
          </w:tcPr>
          <w:p w14:paraId="12CED4A4" w14:textId="75808452" w:rsidR="00ED1678" w:rsidRDefault="00ED1678" w:rsidP="00ED1678">
            <w:pPr>
              <w:pStyle w:val="NoSpacing"/>
              <w:jc w:val="center"/>
            </w:pPr>
            <w:r>
              <w:t>1</w:t>
            </w:r>
            <w:r w:rsidRPr="006F585B">
              <w:t>0 Euro</w:t>
            </w:r>
          </w:p>
        </w:tc>
        <w:tc>
          <w:tcPr>
            <w:tcW w:w="1927" w:type="dxa"/>
          </w:tcPr>
          <w:p w14:paraId="013DE7D6" w14:textId="46A7B554" w:rsidR="00ED1678" w:rsidRDefault="00ED1678" w:rsidP="00ED1678">
            <w:pPr>
              <w:pStyle w:val="NoSpacing"/>
              <w:jc w:val="center"/>
            </w:pPr>
            <w:r w:rsidRPr="006F585B">
              <w:t>0 Euro</w:t>
            </w:r>
          </w:p>
        </w:tc>
      </w:tr>
      <w:tr w:rsidR="00ED1678" w14:paraId="29FD6C39" w14:textId="3EF3A6ED" w:rsidTr="001B11FD">
        <w:tc>
          <w:tcPr>
            <w:tcW w:w="3235" w:type="dxa"/>
          </w:tcPr>
          <w:p w14:paraId="23CFA0F7" w14:textId="22FE361B" w:rsidR="00ED1678" w:rsidRDefault="00ED1678" w:rsidP="00ED1678">
            <w:pPr>
              <w:pStyle w:val="NoSpacing"/>
            </w:pPr>
            <w:r>
              <w:t>over 10 years</w:t>
            </w:r>
            <w:r w:rsidR="00681701">
              <w:rPr>
                <w:rStyle w:val="FootnoteReference"/>
              </w:rPr>
              <w:footnoteReference w:id="60"/>
            </w:r>
          </w:p>
        </w:tc>
        <w:tc>
          <w:tcPr>
            <w:tcW w:w="1927" w:type="dxa"/>
          </w:tcPr>
          <w:p w14:paraId="6F5EF16E" w14:textId="5C042080" w:rsidR="00ED1678" w:rsidRDefault="00ED1678" w:rsidP="00ED1678">
            <w:pPr>
              <w:pStyle w:val="NoSpacing"/>
              <w:jc w:val="center"/>
            </w:pPr>
            <w:r w:rsidRPr="006F585B">
              <w:t>10</w:t>
            </w:r>
            <w:r>
              <w:t>0</w:t>
            </w:r>
            <w:r w:rsidRPr="006F585B">
              <w:t xml:space="preserve"> Euro</w:t>
            </w:r>
          </w:p>
        </w:tc>
        <w:tc>
          <w:tcPr>
            <w:tcW w:w="1927" w:type="dxa"/>
          </w:tcPr>
          <w:p w14:paraId="2860F0AA" w14:textId="12906554" w:rsidR="00ED1678" w:rsidRDefault="00ED1678" w:rsidP="00ED1678">
            <w:pPr>
              <w:pStyle w:val="NoSpacing"/>
              <w:jc w:val="center"/>
            </w:pPr>
            <w:r>
              <w:t>3</w:t>
            </w:r>
            <w:r w:rsidR="00087A5D">
              <w:t>0</w:t>
            </w:r>
            <w:r w:rsidRPr="006F585B">
              <w:t xml:space="preserve"> Euro</w:t>
            </w:r>
          </w:p>
        </w:tc>
        <w:tc>
          <w:tcPr>
            <w:tcW w:w="1927" w:type="dxa"/>
          </w:tcPr>
          <w:p w14:paraId="2457B60E" w14:textId="5E612650" w:rsidR="00ED1678" w:rsidRDefault="00ED1678" w:rsidP="00ED1678">
            <w:pPr>
              <w:pStyle w:val="NoSpacing"/>
              <w:jc w:val="center"/>
            </w:pPr>
            <w:r>
              <w:t>1</w:t>
            </w:r>
            <w:r w:rsidRPr="006F585B">
              <w:t>0 Euro</w:t>
            </w:r>
          </w:p>
        </w:tc>
      </w:tr>
      <w:bookmarkEnd w:id="44"/>
    </w:tbl>
    <w:p w14:paraId="528CE9B9" w14:textId="77777777" w:rsidR="00ED1678" w:rsidRDefault="00ED1678" w:rsidP="00B472E9">
      <w:pPr>
        <w:pStyle w:val="NoSpacing"/>
      </w:pPr>
    </w:p>
    <w:p w14:paraId="6A0BE358" w14:textId="60627744" w:rsidR="00ED1678" w:rsidRDefault="00ED1678" w:rsidP="00ED1678">
      <w:pPr>
        <w:jc w:val="both"/>
      </w:pPr>
      <w:r>
        <w:t>The logic for the age groups is derived from o</w:t>
      </w:r>
      <w:r w:rsidRPr="00ED1678">
        <w:t xml:space="preserve">ver </w:t>
      </w:r>
      <w:proofErr w:type="gramStart"/>
      <w:r w:rsidRPr="00ED1678">
        <w:t>10 year</w:t>
      </w:r>
      <w:r>
        <w:t>-</w:t>
      </w:r>
      <w:r w:rsidRPr="00ED1678">
        <w:t>old</w:t>
      </w:r>
      <w:proofErr w:type="gramEnd"/>
      <w:r w:rsidRPr="00ED1678">
        <w:t xml:space="preserve"> vehicles </w:t>
      </w:r>
      <w:r>
        <w:t>being</w:t>
      </w:r>
      <w:r w:rsidRPr="00ED1678">
        <w:t xml:space="preserve"> basically Euro 4 units which are, especially in </w:t>
      </w:r>
      <w:r w:rsidR="00B472E9">
        <w:t xml:space="preserve">the </w:t>
      </w:r>
      <w:r w:rsidRPr="00ED1678">
        <w:t xml:space="preserve">case of diesel cars, highly polluting. </w:t>
      </w:r>
      <w:r>
        <w:t xml:space="preserve">If vehicles are less than 10 years </w:t>
      </w:r>
      <w:proofErr w:type="gramStart"/>
      <w:r w:rsidR="003941E8">
        <w:t>old</w:t>
      </w:r>
      <w:proofErr w:type="gramEnd"/>
      <w:r>
        <w:t xml:space="preserve"> they are primarily Euro 5 units and if they have less than 5 years they are basically Euro 6 vehicles.</w:t>
      </w:r>
      <w:r w:rsidR="003941E8">
        <w:t xml:space="preserve"> </w:t>
      </w:r>
      <w:r>
        <w:t>The logic for differentiating diesel from gasoline vehicles is based on the much lower PM</w:t>
      </w:r>
      <w:r w:rsidRPr="00ED1678">
        <w:rPr>
          <w:vertAlign w:val="subscript"/>
        </w:rPr>
        <w:t>2.5</w:t>
      </w:r>
      <w:r>
        <w:t xml:space="preserve"> and NO</w:t>
      </w:r>
      <w:r w:rsidRPr="00ED1678">
        <w:rPr>
          <w:vertAlign w:val="subscript"/>
        </w:rPr>
        <w:t>x</w:t>
      </w:r>
      <w:r>
        <w:t xml:space="preserve"> emission values </w:t>
      </w:r>
      <w:r w:rsidR="00443AB4">
        <w:t>of</w:t>
      </w:r>
      <w:r>
        <w:t xml:space="preserve"> gasoline cars. The same argument holds true for reducing the tax level for EVs and hybrids. These pollute less than gasoline cars and warrant thus </w:t>
      </w:r>
      <w:r w:rsidR="00B472E9">
        <w:t xml:space="preserve">a </w:t>
      </w:r>
      <w:r>
        <w:t>reduced tax level.</w:t>
      </w:r>
      <w:r w:rsidR="003941E8">
        <w:t xml:space="preserve"> </w:t>
      </w:r>
      <w:r>
        <w:t xml:space="preserve">The tax levels chosen are moderate for cars less than 10 years old </w:t>
      </w:r>
      <w:r w:rsidR="00087A5D">
        <w:t>with a significant increase after 10 years. This jump is justified with the emission levels and shall give an incentive to renovate the vehicle fleet and to import newer units. Gasoline vehicles pay around 1/3</w:t>
      </w:r>
      <w:r w:rsidR="00087A5D" w:rsidRPr="00087A5D">
        <w:rPr>
          <w:vertAlign w:val="superscript"/>
        </w:rPr>
        <w:t>rd</w:t>
      </w:r>
      <w:r w:rsidR="00087A5D">
        <w:t xml:space="preserve"> of diesel units and EVs and hybrids 1/3</w:t>
      </w:r>
      <w:r w:rsidR="00087A5D" w:rsidRPr="00087A5D">
        <w:rPr>
          <w:vertAlign w:val="superscript"/>
        </w:rPr>
        <w:t>rd</w:t>
      </w:r>
      <w:r w:rsidR="00087A5D">
        <w:t xml:space="preserve"> of gasoline units. Alternatively, also 4 brackets could be used</w:t>
      </w:r>
      <w:r w:rsidR="00443AB4">
        <w:t>:</w:t>
      </w:r>
    </w:p>
    <w:p w14:paraId="5C4B4DE6" w14:textId="2687B52D" w:rsidR="00087A5D" w:rsidRPr="001B11FD" w:rsidRDefault="00087A5D" w:rsidP="00087A5D">
      <w:pPr>
        <w:pStyle w:val="NoSpacing"/>
        <w:rPr>
          <w:b/>
        </w:rPr>
      </w:pPr>
      <w:r w:rsidRPr="001B11FD">
        <w:rPr>
          <w:b/>
        </w:rPr>
        <w:t xml:space="preserve">Table </w:t>
      </w:r>
      <w:r w:rsidRPr="001B11FD">
        <w:rPr>
          <w:b/>
        </w:rPr>
        <w:fldChar w:fldCharType="begin"/>
      </w:r>
      <w:r w:rsidRPr="001B11FD">
        <w:rPr>
          <w:b/>
        </w:rPr>
        <w:instrText xml:space="preserve"> SEQ Table \* ARABIC </w:instrText>
      </w:r>
      <w:r w:rsidRPr="001B11FD">
        <w:rPr>
          <w:b/>
        </w:rPr>
        <w:fldChar w:fldCharType="separate"/>
      </w:r>
      <w:r w:rsidR="00B20155">
        <w:rPr>
          <w:b/>
          <w:noProof/>
        </w:rPr>
        <w:t>7</w:t>
      </w:r>
      <w:r w:rsidRPr="001B11FD">
        <w:rPr>
          <w:b/>
        </w:rPr>
        <w:fldChar w:fldCharType="end"/>
      </w:r>
      <w:r w:rsidRPr="001B11FD">
        <w:rPr>
          <w:b/>
        </w:rPr>
        <w:t xml:space="preserve">: </w:t>
      </w:r>
      <w:r>
        <w:rPr>
          <w:b/>
        </w:rPr>
        <w:t xml:space="preserve">Alternative B: </w:t>
      </w:r>
      <w:r w:rsidRPr="001B11FD">
        <w:rPr>
          <w:b/>
        </w:rPr>
        <w:t>Proposed Ecological Tax (in Euro per annum)</w:t>
      </w:r>
    </w:p>
    <w:tbl>
      <w:tblPr>
        <w:tblStyle w:val="TableGrid"/>
        <w:tblW w:w="0" w:type="auto"/>
        <w:tblLook w:val="04A0" w:firstRow="1" w:lastRow="0" w:firstColumn="1" w:lastColumn="0" w:noHBand="0" w:noVBand="1"/>
      </w:tblPr>
      <w:tblGrid>
        <w:gridCol w:w="3235"/>
        <w:gridCol w:w="1927"/>
        <w:gridCol w:w="1927"/>
        <w:gridCol w:w="1927"/>
      </w:tblGrid>
      <w:tr w:rsidR="00087A5D" w:rsidRPr="001B11FD" w14:paraId="27B10F18" w14:textId="77777777" w:rsidTr="00A60ACE">
        <w:tc>
          <w:tcPr>
            <w:tcW w:w="3235" w:type="dxa"/>
            <w:shd w:val="clear" w:color="auto" w:fill="D9E2F3" w:themeFill="accent1" w:themeFillTint="33"/>
          </w:tcPr>
          <w:p w14:paraId="4FF84D04" w14:textId="77777777" w:rsidR="00087A5D" w:rsidRPr="001B11FD" w:rsidRDefault="00087A5D" w:rsidP="00A60ACE">
            <w:pPr>
              <w:pStyle w:val="NoSpacing"/>
              <w:rPr>
                <w:b/>
              </w:rPr>
            </w:pPr>
            <w:r w:rsidRPr="001B11FD">
              <w:rPr>
                <w:b/>
              </w:rPr>
              <w:t>Vehicle age</w:t>
            </w:r>
          </w:p>
        </w:tc>
        <w:tc>
          <w:tcPr>
            <w:tcW w:w="1927" w:type="dxa"/>
            <w:shd w:val="clear" w:color="auto" w:fill="D9E2F3" w:themeFill="accent1" w:themeFillTint="33"/>
          </w:tcPr>
          <w:p w14:paraId="03AF7D4E" w14:textId="77777777" w:rsidR="00087A5D" w:rsidRPr="001B11FD" w:rsidRDefault="00087A5D" w:rsidP="00A60ACE">
            <w:pPr>
              <w:pStyle w:val="NoSpacing"/>
              <w:jc w:val="center"/>
              <w:rPr>
                <w:b/>
              </w:rPr>
            </w:pPr>
            <w:r w:rsidRPr="001B11FD">
              <w:rPr>
                <w:b/>
              </w:rPr>
              <w:t>Diesel cars</w:t>
            </w:r>
          </w:p>
        </w:tc>
        <w:tc>
          <w:tcPr>
            <w:tcW w:w="1927" w:type="dxa"/>
            <w:shd w:val="clear" w:color="auto" w:fill="D9E2F3" w:themeFill="accent1" w:themeFillTint="33"/>
          </w:tcPr>
          <w:p w14:paraId="7E66CD8F" w14:textId="77777777" w:rsidR="00087A5D" w:rsidRPr="001B11FD" w:rsidRDefault="00087A5D" w:rsidP="00A60ACE">
            <w:pPr>
              <w:pStyle w:val="NoSpacing"/>
              <w:jc w:val="center"/>
              <w:rPr>
                <w:b/>
              </w:rPr>
            </w:pPr>
            <w:r w:rsidRPr="001B11FD">
              <w:rPr>
                <w:b/>
              </w:rPr>
              <w:t>Gasoline cars</w:t>
            </w:r>
          </w:p>
        </w:tc>
        <w:tc>
          <w:tcPr>
            <w:tcW w:w="1927" w:type="dxa"/>
            <w:shd w:val="clear" w:color="auto" w:fill="D9E2F3" w:themeFill="accent1" w:themeFillTint="33"/>
          </w:tcPr>
          <w:p w14:paraId="48E8D7F1" w14:textId="77777777" w:rsidR="00087A5D" w:rsidRPr="001B11FD" w:rsidRDefault="00087A5D" w:rsidP="00A60ACE">
            <w:pPr>
              <w:pStyle w:val="NoSpacing"/>
              <w:jc w:val="center"/>
              <w:rPr>
                <w:b/>
              </w:rPr>
            </w:pPr>
            <w:r w:rsidRPr="001B11FD">
              <w:rPr>
                <w:b/>
              </w:rPr>
              <w:t>EVs and hybrids</w:t>
            </w:r>
          </w:p>
        </w:tc>
      </w:tr>
      <w:tr w:rsidR="00087A5D" w14:paraId="182FEBB4" w14:textId="77777777" w:rsidTr="00A60ACE">
        <w:tc>
          <w:tcPr>
            <w:tcW w:w="3235" w:type="dxa"/>
          </w:tcPr>
          <w:p w14:paraId="4E9CDDB1" w14:textId="4BAAA3FF" w:rsidR="00087A5D" w:rsidRDefault="00087A5D" w:rsidP="00A60ACE">
            <w:pPr>
              <w:pStyle w:val="NoSpacing"/>
            </w:pPr>
            <w:r>
              <w:t>0 to 5 years</w:t>
            </w:r>
            <w:r w:rsidR="00681701">
              <w:rPr>
                <w:rStyle w:val="FootnoteReference"/>
              </w:rPr>
              <w:footnoteReference w:id="61"/>
            </w:r>
          </w:p>
        </w:tc>
        <w:tc>
          <w:tcPr>
            <w:tcW w:w="1927" w:type="dxa"/>
          </w:tcPr>
          <w:p w14:paraId="72F19E33" w14:textId="77777777" w:rsidR="00087A5D" w:rsidRDefault="00087A5D" w:rsidP="00A60ACE">
            <w:pPr>
              <w:pStyle w:val="NoSpacing"/>
              <w:jc w:val="center"/>
            </w:pPr>
            <w:r>
              <w:t>10 Euro</w:t>
            </w:r>
          </w:p>
        </w:tc>
        <w:tc>
          <w:tcPr>
            <w:tcW w:w="1927" w:type="dxa"/>
          </w:tcPr>
          <w:p w14:paraId="3A4EEEA2" w14:textId="77777777" w:rsidR="00087A5D" w:rsidRDefault="00087A5D" w:rsidP="00A60ACE">
            <w:pPr>
              <w:pStyle w:val="NoSpacing"/>
              <w:jc w:val="center"/>
            </w:pPr>
            <w:r>
              <w:t>0 Euro</w:t>
            </w:r>
          </w:p>
        </w:tc>
        <w:tc>
          <w:tcPr>
            <w:tcW w:w="1927" w:type="dxa"/>
          </w:tcPr>
          <w:p w14:paraId="01258A1B" w14:textId="77777777" w:rsidR="00087A5D" w:rsidRDefault="00087A5D" w:rsidP="00A60ACE">
            <w:pPr>
              <w:pStyle w:val="NoSpacing"/>
              <w:jc w:val="center"/>
            </w:pPr>
            <w:r>
              <w:t>0 Euro</w:t>
            </w:r>
          </w:p>
        </w:tc>
      </w:tr>
      <w:tr w:rsidR="00087A5D" w14:paraId="1F40C8DB" w14:textId="77777777" w:rsidTr="00A60ACE">
        <w:tc>
          <w:tcPr>
            <w:tcW w:w="3235" w:type="dxa"/>
          </w:tcPr>
          <w:p w14:paraId="01720D38" w14:textId="173FA53F" w:rsidR="00087A5D" w:rsidRDefault="00087A5D" w:rsidP="00A60ACE">
            <w:pPr>
              <w:pStyle w:val="NoSpacing"/>
            </w:pPr>
            <w:r>
              <w:t>5 to 10 years</w:t>
            </w:r>
            <w:r w:rsidR="00681701">
              <w:rPr>
                <w:rStyle w:val="FootnoteReference"/>
              </w:rPr>
              <w:footnoteReference w:id="62"/>
            </w:r>
          </w:p>
        </w:tc>
        <w:tc>
          <w:tcPr>
            <w:tcW w:w="1927" w:type="dxa"/>
          </w:tcPr>
          <w:p w14:paraId="0F71DE7F" w14:textId="77777777" w:rsidR="00087A5D" w:rsidRDefault="00087A5D" w:rsidP="00A60ACE">
            <w:pPr>
              <w:pStyle w:val="NoSpacing"/>
              <w:jc w:val="center"/>
            </w:pPr>
            <w:r>
              <w:t>30</w:t>
            </w:r>
            <w:r w:rsidRPr="006F585B">
              <w:t xml:space="preserve"> Euro</w:t>
            </w:r>
          </w:p>
        </w:tc>
        <w:tc>
          <w:tcPr>
            <w:tcW w:w="1927" w:type="dxa"/>
          </w:tcPr>
          <w:p w14:paraId="1E71725D" w14:textId="77777777" w:rsidR="00087A5D" w:rsidRDefault="00087A5D" w:rsidP="00A60ACE">
            <w:pPr>
              <w:pStyle w:val="NoSpacing"/>
              <w:jc w:val="center"/>
            </w:pPr>
            <w:r>
              <w:t>1</w:t>
            </w:r>
            <w:r w:rsidRPr="006F585B">
              <w:t>0 Euro</w:t>
            </w:r>
          </w:p>
        </w:tc>
        <w:tc>
          <w:tcPr>
            <w:tcW w:w="1927" w:type="dxa"/>
          </w:tcPr>
          <w:p w14:paraId="013D144F" w14:textId="77777777" w:rsidR="00087A5D" w:rsidRDefault="00087A5D" w:rsidP="00A60ACE">
            <w:pPr>
              <w:pStyle w:val="NoSpacing"/>
              <w:jc w:val="center"/>
            </w:pPr>
            <w:r w:rsidRPr="006F585B">
              <w:t>0 Euro</w:t>
            </w:r>
          </w:p>
        </w:tc>
      </w:tr>
      <w:tr w:rsidR="00087A5D" w14:paraId="1940D95F" w14:textId="77777777" w:rsidTr="00A60ACE">
        <w:tc>
          <w:tcPr>
            <w:tcW w:w="3235" w:type="dxa"/>
          </w:tcPr>
          <w:p w14:paraId="13664F35" w14:textId="5425F65A" w:rsidR="00087A5D" w:rsidRDefault="00087A5D" w:rsidP="00A60ACE">
            <w:pPr>
              <w:pStyle w:val="NoSpacing"/>
            </w:pPr>
            <w:r>
              <w:t>10 to 15 years</w:t>
            </w:r>
            <w:r w:rsidR="00681701">
              <w:rPr>
                <w:rStyle w:val="FootnoteReference"/>
              </w:rPr>
              <w:footnoteReference w:id="63"/>
            </w:r>
          </w:p>
        </w:tc>
        <w:tc>
          <w:tcPr>
            <w:tcW w:w="1927" w:type="dxa"/>
          </w:tcPr>
          <w:p w14:paraId="56F95478" w14:textId="70455211" w:rsidR="00087A5D" w:rsidRDefault="00087A5D" w:rsidP="00A60ACE">
            <w:pPr>
              <w:pStyle w:val="NoSpacing"/>
              <w:jc w:val="center"/>
            </w:pPr>
            <w:r>
              <w:t>60</w:t>
            </w:r>
            <w:r w:rsidRPr="006F585B">
              <w:t xml:space="preserve"> Euro</w:t>
            </w:r>
          </w:p>
        </w:tc>
        <w:tc>
          <w:tcPr>
            <w:tcW w:w="1927" w:type="dxa"/>
          </w:tcPr>
          <w:p w14:paraId="362A683B" w14:textId="6A6004DD" w:rsidR="00087A5D" w:rsidRDefault="00087A5D" w:rsidP="00A60ACE">
            <w:pPr>
              <w:pStyle w:val="NoSpacing"/>
              <w:jc w:val="center"/>
            </w:pPr>
            <w:r>
              <w:t>2</w:t>
            </w:r>
            <w:r w:rsidRPr="006F585B">
              <w:t>0 Euro</w:t>
            </w:r>
          </w:p>
        </w:tc>
        <w:tc>
          <w:tcPr>
            <w:tcW w:w="1927" w:type="dxa"/>
          </w:tcPr>
          <w:p w14:paraId="13ED7F7F" w14:textId="77777777" w:rsidR="00087A5D" w:rsidRDefault="00087A5D" w:rsidP="00A60ACE">
            <w:pPr>
              <w:pStyle w:val="NoSpacing"/>
              <w:jc w:val="center"/>
            </w:pPr>
            <w:r>
              <w:t>1</w:t>
            </w:r>
            <w:r w:rsidRPr="006F585B">
              <w:t>0 Euro</w:t>
            </w:r>
          </w:p>
        </w:tc>
      </w:tr>
      <w:tr w:rsidR="00087A5D" w14:paraId="434BABDF" w14:textId="77777777" w:rsidTr="00A60ACE">
        <w:tc>
          <w:tcPr>
            <w:tcW w:w="3235" w:type="dxa"/>
          </w:tcPr>
          <w:p w14:paraId="6FDCB5BA" w14:textId="7029AFAF" w:rsidR="00087A5D" w:rsidRDefault="00087A5D" w:rsidP="00A60ACE">
            <w:pPr>
              <w:pStyle w:val="NoSpacing"/>
            </w:pPr>
            <w:r>
              <w:t>over 15 years</w:t>
            </w:r>
            <w:r w:rsidR="00681701">
              <w:rPr>
                <w:rStyle w:val="FootnoteReference"/>
              </w:rPr>
              <w:footnoteReference w:id="64"/>
            </w:r>
          </w:p>
        </w:tc>
        <w:tc>
          <w:tcPr>
            <w:tcW w:w="1927" w:type="dxa"/>
          </w:tcPr>
          <w:p w14:paraId="01348979" w14:textId="6B87E4FA" w:rsidR="00087A5D" w:rsidRPr="006F585B" w:rsidRDefault="00087A5D" w:rsidP="00A60ACE">
            <w:pPr>
              <w:pStyle w:val="NoSpacing"/>
              <w:jc w:val="center"/>
            </w:pPr>
            <w:r>
              <w:t>100 Euro</w:t>
            </w:r>
          </w:p>
        </w:tc>
        <w:tc>
          <w:tcPr>
            <w:tcW w:w="1927" w:type="dxa"/>
          </w:tcPr>
          <w:p w14:paraId="578AA5D2" w14:textId="3763E976" w:rsidR="00087A5D" w:rsidRDefault="00087A5D" w:rsidP="00A60ACE">
            <w:pPr>
              <w:pStyle w:val="NoSpacing"/>
              <w:jc w:val="center"/>
            </w:pPr>
            <w:r>
              <w:t>35 Euro</w:t>
            </w:r>
          </w:p>
        </w:tc>
        <w:tc>
          <w:tcPr>
            <w:tcW w:w="1927" w:type="dxa"/>
          </w:tcPr>
          <w:p w14:paraId="7D085256" w14:textId="631741BF" w:rsidR="00087A5D" w:rsidRDefault="00087A5D" w:rsidP="00A60ACE">
            <w:pPr>
              <w:pStyle w:val="NoSpacing"/>
              <w:jc w:val="center"/>
            </w:pPr>
            <w:r>
              <w:t>15 Euro</w:t>
            </w:r>
          </w:p>
        </w:tc>
      </w:tr>
    </w:tbl>
    <w:p w14:paraId="695FB367" w14:textId="5FB1B0FF" w:rsidR="00087A5D" w:rsidRDefault="00087A5D" w:rsidP="00087A5D">
      <w:pPr>
        <w:pStyle w:val="Heading3"/>
      </w:pPr>
      <w:bookmarkStart w:id="45" w:name="_Toc7256807"/>
      <w:r>
        <w:t xml:space="preserve">5.3.2. </w:t>
      </w:r>
      <w:r w:rsidR="00B472E9">
        <w:t xml:space="preserve">Vehicle </w:t>
      </w:r>
      <w:r w:rsidR="00326F3C">
        <w:t>Excise</w:t>
      </w:r>
      <w:r>
        <w:t xml:space="preserve"> Tax</w:t>
      </w:r>
      <w:bookmarkEnd w:id="45"/>
    </w:p>
    <w:p w14:paraId="2D211572" w14:textId="77777777" w:rsidR="00087A5D" w:rsidRDefault="00087A5D" w:rsidP="00ED1678">
      <w:pPr>
        <w:jc w:val="both"/>
      </w:pPr>
      <w:bookmarkStart w:id="46" w:name="_Hlk7256034"/>
    </w:p>
    <w:p w14:paraId="3D09F257" w14:textId="78A9FA98" w:rsidR="00B20155" w:rsidRDefault="00574E5F" w:rsidP="00574E5F">
      <w:pPr>
        <w:jc w:val="both"/>
      </w:pPr>
      <w:bookmarkStart w:id="47" w:name="_Hlk7189161"/>
      <w:r>
        <w:t xml:space="preserve">The current structure of the vehicle excise tax is linked to the vehicle age, fuel used and the engine power. </w:t>
      </w:r>
      <w:r w:rsidR="00B20155">
        <w:t xml:space="preserve">Next to the excise tax </w:t>
      </w:r>
      <w:r w:rsidR="00512EC9">
        <w:t>a</w:t>
      </w:r>
      <w:r w:rsidR="00FD310A">
        <w:t xml:space="preserve">n </w:t>
      </w:r>
      <w:r w:rsidR="00B20155">
        <w:t xml:space="preserve">import tax and VAT is also paid. </w:t>
      </w:r>
      <w:r>
        <w:t xml:space="preserve">The following table shows average tax </w:t>
      </w:r>
      <w:r w:rsidR="00B20155">
        <w:t xml:space="preserve">levels </w:t>
      </w:r>
      <w:r>
        <w:t>paid per vehicle in the last 5 years.</w:t>
      </w:r>
    </w:p>
    <w:p w14:paraId="0A3721D4" w14:textId="69866190" w:rsidR="00B20155" w:rsidRPr="00B20155" w:rsidRDefault="00B20155" w:rsidP="00B20155">
      <w:pPr>
        <w:pStyle w:val="NoSpacing"/>
        <w:rPr>
          <w:rFonts w:cstheme="minorHAnsi"/>
          <w:b/>
          <w:bCs/>
          <w:sz w:val="20"/>
          <w:szCs w:val="20"/>
        </w:rPr>
      </w:pPr>
      <w:r w:rsidRPr="00B20155">
        <w:rPr>
          <w:rFonts w:cstheme="minorHAnsi"/>
          <w:b/>
          <w:bCs/>
          <w:sz w:val="20"/>
          <w:szCs w:val="20"/>
        </w:rPr>
        <w:t xml:space="preserve">Table </w:t>
      </w:r>
      <w:r w:rsidRPr="00B20155">
        <w:rPr>
          <w:rFonts w:cstheme="minorHAnsi"/>
          <w:b/>
          <w:bCs/>
          <w:sz w:val="20"/>
          <w:szCs w:val="20"/>
        </w:rPr>
        <w:fldChar w:fldCharType="begin"/>
      </w:r>
      <w:r w:rsidRPr="00B20155">
        <w:rPr>
          <w:rFonts w:cstheme="minorHAnsi"/>
          <w:b/>
          <w:bCs/>
          <w:sz w:val="20"/>
          <w:szCs w:val="20"/>
        </w:rPr>
        <w:instrText xml:space="preserve"> SEQ Table \* ARABIC </w:instrText>
      </w:r>
      <w:r w:rsidRPr="00B20155">
        <w:rPr>
          <w:rFonts w:cstheme="minorHAnsi"/>
          <w:b/>
          <w:bCs/>
          <w:sz w:val="20"/>
          <w:szCs w:val="20"/>
        </w:rPr>
        <w:fldChar w:fldCharType="separate"/>
      </w:r>
      <w:r w:rsidR="00443AB4">
        <w:rPr>
          <w:rFonts w:cstheme="minorHAnsi"/>
          <w:b/>
          <w:bCs/>
          <w:noProof/>
          <w:sz w:val="20"/>
          <w:szCs w:val="20"/>
        </w:rPr>
        <w:t>8</w:t>
      </w:r>
      <w:r w:rsidRPr="00B20155">
        <w:rPr>
          <w:rFonts w:cstheme="minorHAnsi"/>
          <w:b/>
          <w:bCs/>
          <w:sz w:val="20"/>
          <w:szCs w:val="20"/>
        </w:rPr>
        <w:fldChar w:fldCharType="end"/>
      </w:r>
      <w:r w:rsidRPr="00B20155">
        <w:rPr>
          <w:rFonts w:cstheme="minorHAnsi"/>
          <w:b/>
          <w:bCs/>
          <w:sz w:val="20"/>
          <w:szCs w:val="20"/>
        </w:rPr>
        <w:t>: Importation of Vehicles and Tax Levels, Kosovo, 2014-2018</w:t>
      </w:r>
    </w:p>
    <w:tbl>
      <w:tblPr>
        <w:tblStyle w:val="TableGrid"/>
        <w:tblW w:w="0" w:type="auto"/>
        <w:tblLook w:val="04A0" w:firstRow="1" w:lastRow="0" w:firstColumn="1" w:lastColumn="0" w:noHBand="0" w:noVBand="1"/>
      </w:tblPr>
      <w:tblGrid>
        <w:gridCol w:w="1791"/>
        <w:gridCol w:w="672"/>
        <w:gridCol w:w="672"/>
        <w:gridCol w:w="672"/>
        <w:gridCol w:w="672"/>
        <w:gridCol w:w="672"/>
        <w:gridCol w:w="773"/>
        <w:gridCol w:w="773"/>
        <w:gridCol w:w="773"/>
        <w:gridCol w:w="773"/>
        <w:gridCol w:w="773"/>
      </w:tblGrid>
      <w:tr w:rsidR="00B20155" w:rsidRPr="00B20155" w14:paraId="6133DC07" w14:textId="78601BAA" w:rsidTr="00B20155">
        <w:tc>
          <w:tcPr>
            <w:tcW w:w="0" w:type="auto"/>
            <w:vMerge w:val="restart"/>
            <w:shd w:val="clear" w:color="auto" w:fill="D9E2F3" w:themeFill="accent1" w:themeFillTint="33"/>
          </w:tcPr>
          <w:p w14:paraId="336E4192" w14:textId="398CE674" w:rsidR="00B20155" w:rsidRPr="00B20155" w:rsidRDefault="00B20155" w:rsidP="00B20155">
            <w:pPr>
              <w:pStyle w:val="NoSpacing"/>
              <w:rPr>
                <w:rFonts w:cstheme="minorHAnsi"/>
                <w:b/>
                <w:bCs/>
                <w:sz w:val="20"/>
                <w:szCs w:val="20"/>
              </w:rPr>
            </w:pPr>
            <w:r w:rsidRPr="00B20155">
              <w:rPr>
                <w:rFonts w:cstheme="minorHAnsi"/>
                <w:b/>
                <w:bCs/>
                <w:sz w:val="20"/>
                <w:szCs w:val="20"/>
              </w:rPr>
              <w:t>Parameter</w:t>
            </w:r>
          </w:p>
        </w:tc>
        <w:tc>
          <w:tcPr>
            <w:tcW w:w="0" w:type="auto"/>
            <w:gridSpan w:val="5"/>
            <w:shd w:val="clear" w:color="auto" w:fill="D9E2F3" w:themeFill="accent1" w:themeFillTint="33"/>
          </w:tcPr>
          <w:p w14:paraId="63BCC102" w14:textId="6A8D3BD6" w:rsidR="00B20155" w:rsidRPr="00B20155" w:rsidRDefault="00B20155" w:rsidP="00B20155">
            <w:pPr>
              <w:pStyle w:val="NoSpacing"/>
              <w:jc w:val="center"/>
              <w:rPr>
                <w:rFonts w:cstheme="minorHAnsi"/>
                <w:b/>
                <w:bCs/>
                <w:sz w:val="20"/>
                <w:szCs w:val="20"/>
              </w:rPr>
            </w:pPr>
            <w:r w:rsidRPr="00B20155">
              <w:rPr>
                <w:rFonts w:cstheme="minorHAnsi"/>
                <w:b/>
                <w:bCs/>
                <w:sz w:val="20"/>
                <w:szCs w:val="20"/>
              </w:rPr>
              <w:t>Gasoline cars</w:t>
            </w:r>
          </w:p>
        </w:tc>
        <w:tc>
          <w:tcPr>
            <w:tcW w:w="0" w:type="auto"/>
            <w:gridSpan w:val="5"/>
            <w:shd w:val="clear" w:color="auto" w:fill="D9E2F3" w:themeFill="accent1" w:themeFillTint="33"/>
          </w:tcPr>
          <w:p w14:paraId="1A123B2D" w14:textId="4BAAA745" w:rsidR="00B20155" w:rsidRPr="00B20155" w:rsidRDefault="00B20155" w:rsidP="00B20155">
            <w:pPr>
              <w:pStyle w:val="NoSpacing"/>
              <w:jc w:val="center"/>
              <w:rPr>
                <w:rFonts w:cstheme="minorHAnsi"/>
                <w:b/>
                <w:bCs/>
                <w:sz w:val="20"/>
                <w:szCs w:val="20"/>
              </w:rPr>
            </w:pPr>
            <w:r w:rsidRPr="00B20155">
              <w:rPr>
                <w:rFonts w:cstheme="minorHAnsi"/>
                <w:b/>
                <w:bCs/>
                <w:sz w:val="20"/>
                <w:szCs w:val="20"/>
              </w:rPr>
              <w:t>Diesel cars</w:t>
            </w:r>
          </w:p>
        </w:tc>
      </w:tr>
      <w:tr w:rsidR="00B20155" w:rsidRPr="00B20155" w14:paraId="3A800FA7" w14:textId="4874EEE9" w:rsidTr="00B20155">
        <w:tc>
          <w:tcPr>
            <w:tcW w:w="0" w:type="auto"/>
            <w:vMerge/>
            <w:shd w:val="clear" w:color="auto" w:fill="D9E2F3" w:themeFill="accent1" w:themeFillTint="33"/>
          </w:tcPr>
          <w:p w14:paraId="1D8CF500" w14:textId="77777777" w:rsidR="00B20155" w:rsidRPr="00B20155" w:rsidRDefault="00B20155" w:rsidP="00B20155">
            <w:pPr>
              <w:pStyle w:val="NoSpacing"/>
              <w:rPr>
                <w:rFonts w:cstheme="minorHAnsi"/>
                <w:b/>
                <w:bCs/>
                <w:sz w:val="20"/>
                <w:szCs w:val="20"/>
              </w:rPr>
            </w:pPr>
          </w:p>
        </w:tc>
        <w:tc>
          <w:tcPr>
            <w:tcW w:w="0" w:type="auto"/>
            <w:shd w:val="clear" w:color="auto" w:fill="D9E2F3" w:themeFill="accent1" w:themeFillTint="33"/>
            <w:vAlign w:val="center"/>
          </w:tcPr>
          <w:p w14:paraId="439FCF86" w14:textId="064C10E1" w:rsidR="00B20155" w:rsidRPr="00B20155" w:rsidRDefault="00B20155" w:rsidP="00B20155">
            <w:pPr>
              <w:pStyle w:val="NoSpacing"/>
              <w:jc w:val="center"/>
              <w:rPr>
                <w:rFonts w:cstheme="minorHAnsi"/>
                <w:b/>
                <w:bCs/>
                <w:sz w:val="20"/>
                <w:szCs w:val="20"/>
              </w:rPr>
            </w:pPr>
            <w:r w:rsidRPr="00B20155">
              <w:rPr>
                <w:rFonts w:cstheme="minorHAnsi"/>
                <w:b/>
                <w:bCs/>
                <w:color w:val="000000"/>
                <w:sz w:val="20"/>
                <w:szCs w:val="20"/>
              </w:rPr>
              <w:t>2014</w:t>
            </w:r>
          </w:p>
        </w:tc>
        <w:tc>
          <w:tcPr>
            <w:tcW w:w="0" w:type="auto"/>
            <w:shd w:val="clear" w:color="auto" w:fill="D9E2F3" w:themeFill="accent1" w:themeFillTint="33"/>
            <w:vAlign w:val="center"/>
          </w:tcPr>
          <w:p w14:paraId="64E92F4E" w14:textId="2F3046E7" w:rsidR="00B20155" w:rsidRPr="00B20155" w:rsidRDefault="00B20155" w:rsidP="00B20155">
            <w:pPr>
              <w:pStyle w:val="NoSpacing"/>
              <w:jc w:val="center"/>
              <w:rPr>
                <w:rFonts w:cstheme="minorHAnsi"/>
                <w:b/>
                <w:bCs/>
                <w:sz w:val="20"/>
                <w:szCs w:val="20"/>
              </w:rPr>
            </w:pPr>
            <w:r w:rsidRPr="00B20155">
              <w:rPr>
                <w:rFonts w:cstheme="minorHAnsi"/>
                <w:b/>
                <w:bCs/>
                <w:color w:val="000000"/>
                <w:sz w:val="20"/>
                <w:szCs w:val="20"/>
              </w:rPr>
              <w:t>2015</w:t>
            </w:r>
          </w:p>
        </w:tc>
        <w:tc>
          <w:tcPr>
            <w:tcW w:w="0" w:type="auto"/>
            <w:shd w:val="clear" w:color="auto" w:fill="D9E2F3" w:themeFill="accent1" w:themeFillTint="33"/>
            <w:vAlign w:val="center"/>
          </w:tcPr>
          <w:p w14:paraId="60C8A531" w14:textId="6A1CEA7A" w:rsidR="00B20155" w:rsidRPr="00B20155" w:rsidRDefault="00B20155" w:rsidP="00B20155">
            <w:pPr>
              <w:pStyle w:val="NoSpacing"/>
              <w:jc w:val="center"/>
              <w:rPr>
                <w:rFonts w:cstheme="minorHAnsi"/>
                <w:b/>
                <w:bCs/>
                <w:sz w:val="20"/>
                <w:szCs w:val="20"/>
              </w:rPr>
            </w:pPr>
            <w:r w:rsidRPr="00B20155">
              <w:rPr>
                <w:rFonts w:cstheme="minorHAnsi"/>
                <w:b/>
                <w:bCs/>
                <w:color w:val="000000"/>
                <w:sz w:val="20"/>
                <w:szCs w:val="20"/>
              </w:rPr>
              <w:t>2016</w:t>
            </w:r>
          </w:p>
        </w:tc>
        <w:tc>
          <w:tcPr>
            <w:tcW w:w="0" w:type="auto"/>
            <w:shd w:val="clear" w:color="auto" w:fill="D9E2F3" w:themeFill="accent1" w:themeFillTint="33"/>
            <w:vAlign w:val="center"/>
          </w:tcPr>
          <w:p w14:paraId="0C762B2F" w14:textId="725C2D00" w:rsidR="00B20155" w:rsidRPr="00B20155" w:rsidRDefault="00B20155" w:rsidP="00B20155">
            <w:pPr>
              <w:pStyle w:val="NoSpacing"/>
              <w:jc w:val="center"/>
              <w:rPr>
                <w:rFonts w:cstheme="minorHAnsi"/>
                <w:b/>
                <w:bCs/>
                <w:sz w:val="20"/>
                <w:szCs w:val="20"/>
              </w:rPr>
            </w:pPr>
            <w:r w:rsidRPr="00B20155">
              <w:rPr>
                <w:rFonts w:cstheme="minorHAnsi"/>
                <w:b/>
                <w:bCs/>
                <w:color w:val="000000"/>
                <w:sz w:val="20"/>
                <w:szCs w:val="20"/>
              </w:rPr>
              <w:t>2017</w:t>
            </w:r>
          </w:p>
        </w:tc>
        <w:tc>
          <w:tcPr>
            <w:tcW w:w="0" w:type="auto"/>
            <w:shd w:val="clear" w:color="auto" w:fill="D9E2F3" w:themeFill="accent1" w:themeFillTint="33"/>
            <w:vAlign w:val="center"/>
          </w:tcPr>
          <w:p w14:paraId="2C637082" w14:textId="55373B4E" w:rsidR="00B20155" w:rsidRPr="00B20155" w:rsidRDefault="00B20155" w:rsidP="00B20155">
            <w:pPr>
              <w:pStyle w:val="NoSpacing"/>
              <w:jc w:val="center"/>
              <w:rPr>
                <w:rFonts w:cstheme="minorHAnsi"/>
                <w:b/>
                <w:bCs/>
                <w:sz w:val="20"/>
                <w:szCs w:val="20"/>
              </w:rPr>
            </w:pPr>
            <w:r w:rsidRPr="00B20155">
              <w:rPr>
                <w:rFonts w:cstheme="minorHAnsi"/>
                <w:b/>
                <w:bCs/>
                <w:color w:val="000000"/>
                <w:sz w:val="20"/>
                <w:szCs w:val="20"/>
              </w:rPr>
              <w:t>2018</w:t>
            </w:r>
          </w:p>
        </w:tc>
        <w:tc>
          <w:tcPr>
            <w:tcW w:w="0" w:type="auto"/>
            <w:shd w:val="clear" w:color="auto" w:fill="D9E2F3" w:themeFill="accent1" w:themeFillTint="33"/>
            <w:vAlign w:val="center"/>
          </w:tcPr>
          <w:p w14:paraId="7DDFFB2C" w14:textId="42EB052A" w:rsidR="00B20155" w:rsidRPr="00B20155" w:rsidRDefault="00B20155" w:rsidP="00B20155">
            <w:pPr>
              <w:pStyle w:val="NoSpacing"/>
              <w:jc w:val="center"/>
              <w:rPr>
                <w:rFonts w:cstheme="minorHAnsi"/>
                <w:b/>
                <w:bCs/>
                <w:sz w:val="20"/>
                <w:szCs w:val="20"/>
              </w:rPr>
            </w:pPr>
            <w:r w:rsidRPr="00B20155">
              <w:rPr>
                <w:rFonts w:cstheme="minorHAnsi"/>
                <w:b/>
                <w:bCs/>
                <w:color w:val="000000"/>
                <w:sz w:val="20"/>
                <w:szCs w:val="20"/>
              </w:rPr>
              <w:t>2014</w:t>
            </w:r>
          </w:p>
        </w:tc>
        <w:tc>
          <w:tcPr>
            <w:tcW w:w="0" w:type="auto"/>
            <w:shd w:val="clear" w:color="auto" w:fill="D9E2F3" w:themeFill="accent1" w:themeFillTint="33"/>
            <w:vAlign w:val="center"/>
          </w:tcPr>
          <w:p w14:paraId="14B3BFEC" w14:textId="4D31F054" w:rsidR="00B20155" w:rsidRPr="00B20155" w:rsidRDefault="00B20155" w:rsidP="00B20155">
            <w:pPr>
              <w:pStyle w:val="NoSpacing"/>
              <w:jc w:val="center"/>
              <w:rPr>
                <w:rFonts w:cstheme="minorHAnsi"/>
                <w:sz w:val="20"/>
                <w:szCs w:val="20"/>
              </w:rPr>
            </w:pPr>
            <w:r w:rsidRPr="00B20155">
              <w:rPr>
                <w:rFonts w:cstheme="minorHAnsi"/>
                <w:b/>
                <w:bCs/>
                <w:color w:val="000000"/>
                <w:sz w:val="20"/>
                <w:szCs w:val="20"/>
              </w:rPr>
              <w:t>2015</w:t>
            </w:r>
          </w:p>
        </w:tc>
        <w:tc>
          <w:tcPr>
            <w:tcW w:w="0" w:type="auto"/>
            <w:shd w:val="clear" w:color="auto" w:fill="D9E2F3" w:themeFill="accent1" w:themeFillTint="33"/>
            <w:vAlign w:val="center"/>
          </w:tcPr>
          <w:p w14:paraId="4ED67ACE" w14:textId="0FDD98B7" w:rsidR="00B20155" w:rsidRPr="00B20155" w:rsidRDefault="00B20155" w:rsidP="00B20155">
            <w:pPr>
              <w:pStyle w:val="NoSpacing"/>
              <w:jc w:val="center"/>
              <w:rPr>
                <w:rFonts w:cstheme="minorHAnsi"/>
                <w:sz w:val="20"/>
                <w:szCs w:val="20"/>
              </w:rPr>
            </w:pPr>
            <w:r w:rsidRPr="00B20155">
              <w:rPr>
                <w:rFonts w:cstheme="minorHAnsi"/>
                <w:b/>
                <w:bCs/>
                <w:color w:val="000000"/>
                <w:sz w:val="20"/>
                <w:szCs w:val="20"/>
              </w:rPr>
              <w:t>2016</w:t>
            </w:r>
          </w:p>
        </w:tc>
        <w:tc>
          <w:tcPr>
            <w:tcW w:w="0" w:type="auto"/>
            <w:shd w:val="clear" w:color="auto" w:fill="D9E2F3" w:themeFill="accent1" w:themeFillTint="33"/>
            <w:vAlign w:val="center"/>
          </w:tcPr>
          <w:p w14:paraId="153201E9" w14:textId="433861EC" w:rsidR="00B20155" w:rsidRPr="00B20155" w:rsidRDefault="00B20155" w:rsidP="00B20155">
            <w:pPr>
              <w:pStyle w:val="NoSpacing"/>
              <w:jc w:val="center"/>
              <w:rPr>
                <w:rFonts w:cstheme="minorHAnsi"/>
                <w:sz w:val="20"/>
                <w:szCs w:val="20"/>
              </w:rPr>
            </w:pPr>
            <w:r w:rsidRPr="00B20155">
              <w:rPr>
                <w:rFonts w:cstheme="minorHAnsi"/>
                <w:b/>
                <w:bCs/>
                <w:color w:val="000000"/>
                <w:sz w:val="20"/>
                <w:szCs w:val="20"/>
              </w:rPr>
              <w:t>2017</w:t>
            </w:r>
          </w:p>
        </w:tc>
        <w:tc>
          <w:tcPr>
            <w:tcW w:w="0" w:type="auto"/>
            <w:shd w:val="clear" w:color="auto" w:fill="D9E2F3" w:themeFill="accent1" w:themeFillTint="33"/>
            <w:vAlign w:val="center"/>
          </w:tcPr>
          <w:p w14:paraId="48FE3803" w14:textId="65117279" w:rsidR="00B20155" w:rsidRPr="00B20155" w:rsidRDefault="00B20155" w:rsidP="00B20155">
            <w:pPr>
              <w:pStyle w:val="NoSpacing"/>
              <w:jc w:val="center"/>
              <w:rPr>
                <w:rFonts w:cstheme="minorHAnsi"/>
                <w:sz w:val="20"/>
                <w:szCs w:val="20"/>
              </w:rPr>
            </w:pPr>
            <w:r w:rsidRPr="00B20155">
              <w:rPr>
                <w:rFonts w:cstheme="minorHAnsi"/>
                <w:b/>
                <w:bCs/>
                <w:color w:val="000000"/>
                <w:sz w:val="20"/>
                <w:szCs w:val="20"/>
              </w:rPr>
              <w:t>2018</w:t>
            </w:r>
          </w:p>
        </w:tc>
      </w:tr>
      <w:tr w:rsidR="00B20155" w:rsidRPr="00B20155" w14:paraId="264098B3" w14:textId="5BB79CFC" w:rsidTr="00B20155">
        <w:tc>
          <w:tcPr>
            <w:tcW w:w="0" w:type="auto"/>
            <w:vAlign w:val="center"/>
          </w:tcPr>
          <w:p w14:paraId="5DE5427F" w14:textId="2BFF900E" w:rsidR="00B20155" w:rsidRPr="00B20155" w:rsidRDefault="00B20155" w:rsidP="00B20155">
            <w:pPr>
              <w:pStyle w:val="NoSpacing"/>
              <w:rPr>
                <w:rFonts w:cstheme="minorHAnsi"/>
                <w:sz w:val="20"/>
                <w:szCs w:val="20"/>
              </w:rPr>
            </w:pPr>
            <w:r w:rsidRPr="00B20155">
              <w:rPr>
                <w:rFonts w:cstheme="minorHAnsi"/>
                <w:color w:val="000000"/>
                <w:sz w:val="20"/>
                <w:szCs w:val="20"/>
              </w:rPr>
              <w:t>1. N</w:t>
            </w:r>
            <w:r w:rsidR="00512EC9">
              <w:rPr>
                <w:rFonts w:cstheme="minorHAnsi"/>
                <w:color w:val="000000"/>
                <w:sz w:val="20"/>
                <w:szCs w:val="20"/>
              </w:rPr>
              <w:t>o</w:t>
            </w:r>
            <w:r w:rsidRPr="00B20155">
              <w:rPr>
                <w:rFonts w:cstheme="minorHAnsi"/>
                <w:color w:val="000000"/>
                <w:sz w:val="20"/>
                <w:szCs w:val="20"/>
              </w:rPr>
              <w:t>. of vehicles imported</w:t>
            </w:r>
          </w:p>
        </w:tc>
        <w:tc>
          <w:tcPr>
            <w:tcW w:w="0" w:type="auto"/>
            <w:vAlign w:val="center"/>
          </w:tcPr>
          <w:p w14:paraId="3F34F141" w14:textId="696180B1" w:rsidR="00B20155" w:rsidRPr="00B20155" w:rsidRDefault="00B20155" w:rsidP="00B20155">
            <w:pPr>
              <w:pStyle w:val="NoSpacing"/>
              <w:jc w:val="center"/>
              <w:rPr>
                <w:rFonts w:cstheme="minorHAnsi"/>
                <w:sz w:val="20"/>
                <w:szCs w:val="20"/>
              </w:rPr>
            </w:pPr>
            <w:r w:rsidRPr="00B20155">
              <w:rPr>
                <w:rFonts w:cstheme="minorHAnsi"/>
                <w:color w:val="000000"/>
                <w:sz w:val="20"/>
                <w:szCs w:val="20"/>
              </w:rPr>
              <w:t>2,938</w:t>
            </w:r>
          </w:p>
        </w:tc>
        <w:tc>
          <w:tcPr>
            <w:tcW w:w="0" w:type="auto"/>
            <w:vAlign w:val="center"/>
          </w:tcPr>
          <w:p w14:paraId="6D1832C3" w14:textId="5C93065A" w:rsidR="00B20155" w:rsidRPr="00B20155" w:rsidRDefault="00B20155" w:rsidP="00B20155">
            <w:pPr>
              <w:pStyle w:val="NoSpacing"/>
              <w:jc w:val="center"/>
              <w:rPr>
                <w:rFonts w:cstheme="minorHAnsi"/>
                <w:sz w:val="20"/>
                <w:szCs w:val="20"/>
              </w:rPr>
            </w:pPr>
            <w:r w:rsidRPr="00B20155">
              <w:rPr>
                <w:rFonts w:cstheme="minorHAnsi"/>
                <w:color w:val="000000"/>
                <w:sz w:val="20"/>
                <w:szCs w:val="20"/>
              </w:rPr>
              <w:t>2,835</w:t>
            </w:r>
          </w:p>
        </w:tc>
        <w:tc>
          <w:tcPr>
            <w:tcW w:w="0" w:type="auto"/>
            <w:vAlign w:val="center"/>
          </w:tcPr>
          <w:p w14:paraId="54604F1C" w14:textId="0F6794CC" w:rsidR="00B20155" w:rsidRPr="00B20155" w:rsidRDefault="00B20155" w:rsidP="00B20155">
            <w:pPr>
              <w:pStyle w:val="NoSpacing"/>
              <w:jc w:val="center"/>
              <w:rPr>
                <w:rFonts w:cstheme="minorHAnsi"/>
                <w:sz w:val="20"/>
                <w:szCs w:val="20"/>
              </w:rPr>
            </w:pPr>
            <w:r w:rsidRPr="00B20155">
              <w:rPr>
                <w:rFonts w:cstheme="minorHAnsi"/>
                <w:color w:val="000000"/>
                <w:sz w:val="20"/>
                <w:szCs w:val="20"/>
              </w:rPr>
              <w:t>3,835</w:t>
            </w:r>
          </w:p>
        </w:tc>
        <w:tc>
          <w:tcPr>
            <w:tcW w:w="0" w:type="auto"/>
            <w:vAlign w:val="center"/>
          </w:tcPr>
          <w:p w14:paraId="0DC7D126" w14:textId="13C41161" w:rsidR="00B20155" w:rsidRPr="00B20155" w:rsidRDefault="00B20155" w:rsidP="00B20155">
            <w:pPr>
              <w:pStyle w:val="NoSpacing"/>
              <w:jc w:val="center"/>
              <w:rPr>
                <w:rFonts w:cstheme="minorHAnsi"/>
                <w:sz w:val="20"/>
                <w:szCs w:val="20"/>
              </w:rPr>
            </w:pPr>
            <w:r w:rsidRPr="00B20155">
              <w:rPr>
                <w:rFonts w:cstheme="minorHAnsi"/>
                <w:color w:val="000000"/>
                <w:sz w:val="20"/>
                <w:szCs w:val="20"/>
              </w:rPr>
              <w:t>6,164</w:t>
            </w:r>
          </w:p>
        </w:tc>
        <w:tc>
          <w:tcPr>
            <w:tcW w:w="0" w:type="auto"/>
            <w:vAlign w:val="center"/>
          </w:tcPr>
          <w:p w14:paraId="45AF4877" w14:textId="63DB83B6" w:rsidR="00B20155" w:rsidRPr="00B20155" w:rsidRDefault="00B20155" w:rsidP="00B20155">
            <w:pPr>
              <w:pStyle w:val="NoSpacing"/>
              <w:jc w:val="center"/>
              <w:rPr>
                <w:rFonts w:cstheme="minorHAnsi"/>
                <w:sz w:val="20"/>
                <w:szCs w:val="20"/>
              </w:rPr>
            </w:pPr>
            <w:r w:rsidRPr="00B20155">
              <w:rPr>
                <w:rFonts w:cstheme="minorHAnsi"/>
                <w:color w:val="000000"/>
                <w:sz w:val="20"/>
                <w:szCs w:val="20"/>
              </w:rPr>
              <w:t>2,460</w:t>
            </w:r>
          </w:p>
        </w:tc>
        <w:tc>
          <w:tcPr>
            <w:tcW w:w="0" w:type="auto"/>
            <w:vAlign w:val="center"/>
          </w:tcPr>
          <w:p w14:paraId="707BD6C4" w14:textId="7758D646" w:rsidR="00B20155" w:rsidRPr="00B20155" w:rsidRDefault="00B20155" w:rsidP="00B20155">
            <w:pPr>
              <w:pStyle w:val="NoSpacing"/>
              <w:jc w:val="center"/>
              <w:rPr>
                <w:rFonts w:cstheme="minorHAnsi"/>
                <w:sz w:val="20"/>
                <w:szCs w:val="20"/>
              </w:rPr>
            </w:pPr>
            <w:r w:rsidRPr="00B20155">
              <w:rPr>
                <w:rFonts w:cstheme="minorHAnsi"/>
                <w:color w:val="000000"/>
                <w:sz w:val="20"/>
                <w:szCs w:val="20"/>
              </w:rPr>
              <w:t>14,798</w:t>
            </w:r>
          </w:p>
        </w:tc>
        <w:tc>
          <w:tcPr>
            <w:tcW w:w="0" w:type="auto"/>
            <w:vAlign w:val="center"/>
          </w:tcPr>
          <w:p w14:paraId="59EB1FBA" w14:textId="2621309F" w:rsidR="00B20155" w:rsidRPr="00B20155" w:rsidRDefault="00B20155" w:rsidP="00B20155">
            <w:pPr>
              <w:pStyle w:val="NoSpacing"/>
              <w:jc w:val="center"/>
              <w:rPr>
                <w:rFonts w:cstheme="minorHAnsi"/>
                <w:sz w:val="20"/>
                <w:szCs w:val="20"/>
              </w:rPr>
            </w:pPr>
            <w:r w:rsidRPr="00B20155">
              <w:rPr>
                <w:rFonts w:cstheme="minorHAnsi"/>
                <w:color w:val="000000"/>
                <w:sz w:val="20"/>
                <w:szCs w:val="20"/>
              </w:rPr>
              <w:t>16,371</w:t>
            </w:r>
          </w:p>
        </w:tc>
        <w:tc>
          <w:tcPr>
            <w:tcW w:w="0" w:type="auto"/>
            <w:vAlign w:val="center"/>
          </w:tcPr>
          <w:p w14:paraId="2C2D0C98" w14:textId="6252FA88" w:rsidR="00B20155" w:rsidRPr="00B20155" w:rsidRDefault="00B20155" w:rsidP="00B20155">
            <w:pPr>
              <w:pStyle w:val="NoSpacing"/>
              <w:jc w:val="center"/>
              <w:rPr>
                <w:rFonts w:cstheme="minorHAnsi"/>
                <w:sz w:val="20"/>
                <w:szCs w:val="20"/>
              </w:rPr>
            </w:pPr>
            <w:r w:rsidRPr="00B20155">
              <w:rPr>
                <w:rFonts w:cstheme="minorHAnsi"/>
                <w:color w:val="000000"/>
                <w:sz w:val="20"/>
                <w:szCs w:val="20"/>
              </w:rPr>
              <w:t>22,717</w:t>
            </w:r>
          </w:p>
        </w:tc>
        <w:tc>
          <w:tcPr>
            <w:tcW w:w="0" w:type="auto"/>
            <w:vAlign w:val="center"/>
          </w:tcPr>
          <w:p w14:paraId="5748FDE2" w14:textId="24622B25" w:rsidR="00B20155" w:rsidRPr="00B20155" w:rsidRDefault="00B20155" w:rsidP="00B20155">
            <w:pPr>
              <w:pStyle w:val="NoSpacing"/>
              <w:jc w:val="center"/>
              <w:rPr>
                <w:rFonts w:cstheme="minorHAnsi"/>
                <w:sz w:val="20"/>
                <w:szCs w:val="20"/>
              </w:rPr>
            </w:pPr>
            <w:r w:rsidRPr="00B20155">
              <w:rPr>
                <w:rFonts w:cstheme="minorHAnsi"/>
                <w:color w:val="000000"/>
                <w:sz w:val="20"/>
                <w:szCs w:val="20"/>
              </w:rPr>
              <w:t>31,391</w:t>
            </w:r>
          </w:p>
        </w:tc>
        <w:tc>
          <w:tcPr>
            <w:tcW w:w="0" w:type="auto"/>
            <w:vAlign w:val="center"/>
          </w:tcPr>
          <w:p w14:paraId="2E0E5DD8" w14:textId="651DE7F5" w:rsidR="00B20155" w:rsidRPr="00B20155" w:rsidRDefault="00B20155" w:rsidP="00B20155">
            <w:pPr>
              <w:pStyle w:val="NoSpacing"/>
              <w:jc w:val="center"/>
              <w:rPr>
                <w:rFonts w:cstheme="minorHAnsi"/>
                <w:sz w:val="20"/>
                <w:szCs w:val="20"/>
              </w:rPr>
            </w:pPr>
            <w:r w:rsidRPr="00B20155">
              <w:rPr>
                <w:rFonts w:cstheme="minorHAnsi"/>
                <w:color w:val="000000"/>
                <w:sz w:val="20"/>
                <w:szCs w:val="20"/>
              </w:rPr>
              <w:t>18,165</w:t>
            </w:r>
          </w:p>
        </w:tc>
      </w:tr>
      <w:tr w:rsidR="00B20155" w:rsidRPr="00B20155" w14:paraId="6531D221" w14:textId="7832E954" w:rsidTr="00B20155">
        <w:tc>
          <w:tcPr>
            <w:tcW w:w="0" w:type="auto"/>
            <w:vAlign w:val="center"/>
          </w:tcPr>
          <w:p w14:paraId="172EDD74" w14:textId="7019E0C9" w:rsidR="00B20155" w:rsidRPr="00B20155" w:rsidRDefault="00B20155" w:rsidP="00B20155">
            <w:pPr>
              <w:pStyle w:val="NoSpacing"/>
              <w:rPr>
                <w:rFonts w:cstheme="minorHAnsi"/>
                <w:sz w:val="20"/>
                <w:szCs w:val="20"/>
              </w:rPr>
            </w:pPr>
            <w:r w:rsidRPr="00B20155">
              <w:rPr>
                <w:rFonts w:cstheme="minorHAnsi"/>
                <w:color w:val="000000"/>
                <w:sz w:val="20"/>
                <w:szCs w:val="20"/>
              </w:rPr>
              <w:t>2. Average age in years</w:t>
            </w:r>
          </w:p>
        </w:tc>
        <w:tc>
          <w:tcPr>
            <w:tcW w:w="0" w:type="auto"/>
            <w:vAlign w:val="center"/>
          </w:tcPr>
          <w:p w14:paraId="7BF2571F" w14:textId="475880B7" w:rsidR="00B20155" w:rsidRPr="00B20155" w:rsidRDefault="00B20155" w:rsidP="00B20155">
            <w:pPr>
              <w:pStyle w:val="NoSpacing"/>
              <w:jc w:val="center"/>
              <w:rPr>
                <w:rFonts w:cstheme="minorHAnsi"/>
                <w:sz w:val="20"/>
                <w:szCs w:val="20"/>
              </w:rPr>
            </w:pPr>
            <w:r w:rsidRPr="00B20155">
              <w:rPr>
                <w:rFonts w:cstheme="minorHAnsi"/>
                <w:color w:val="000000"/>
                <w:sz w:val="20"/>
                <w:szCs w:val="20"/>
              </w:rPr>
              <w:t>9.39</w:t>
            </w:r>
          </w:p>
        </w:tc>
        <w:tc>
          <w:tcPr>
            <w:tcW w:w="0" w:type="auto"/>
            <w:vAlign w:val="center"/>
          </w:tcPr>
          <w:p w14:paraId="1B053201" w14:textId="294EB6BC" w:rsidR="00B20155" w:rsidRPr="00B20155" w:rsidRDefault="00B20155" w:rsidP="00B20155">
            <w:pPr>
              <w:pStyle w:val="NoSpacing"/>
              <w:jc w:val="center"/>
              <w:rPr>
                <w:rFonts w:cstheme="minorHAnsi"/>
                <w:sz w:val="20"/>
                <w:szCs w:val="20"/>
              </w:rPr>
            </w:pPr>
            <w:r w:rsidRPr="00B20155">
              <w:rPr>
                <w:rFonts w:cstheme="minorHAnsi"/>
                <w:color w:val="000000"/>
                <w:sz w:val="20"/>
                <w:szCs w:val="20"/>
              </w:rPr>
              <w:t>10.06</w:t>
            </w:r>
          </w:p>
        </w:tc>
        <w:tc>
          <w:tcPr>
            <w:tcW w:w="0" w:type="auto"/>
            <w:vAlign w:val="center"/>
          </w:tcPr>
          <w:p w14:paraId="315C2003" w14:textId="4BC5245C" w:rsidR="00B20155" w:rsidRPr="00B20155" w:rsidRDefault="00B20155" w:rsidP="00B20155">
            <w:pPr>
              <w:pStyle w:val="NoSpacing"/>
              <w:jc w:val="center"/>
              <w:rPr>
                <w:rFonts w:cstheme="minorHAnsi"/>
                <w:sz w:val="20"/>
                <w:szCs w:val="20"/>
              </w:rPr>
            </w:pPr>
            <w:r w:rsidRPr="00B20155">
              <w:rPr>
                <w:rFonts w:cstheme="minorHAnsi"/>
                <w:color w:val="000000"/>
                <w:sz w:val="20"/>
                <w:szCs w:val="20"/>
              </w:rPr>
              <w:t>10.17</w:t>
            </w:r>
          </w:p>
        </w:tc>
        <w:tc>
          <w:tcPr>
            <w:tcW w:w="0" w:type="auto"/>
            <w:vAlign w:val="center"/>
          </w:tcPr>
          <w:p w14:paraId="3644F027" w14:textId="6510C3FF" w:rsidR="00B20155" w:rsidRPr="00B20155" w:rsidRDefault="00B20155" w:rsidP="00B20155">
            <w:pPr>
              <w:pStyle w:val="NoSpacing"/>
              <w:jc w:val="center"/>
              <w:rPr>
                <w:rFonts w:cstheme="minorHAnsi"/>
                <w:sz w:val="20"/>
                <w:szCs w:val="20"/>
              </w:rPr>
            </w:pPr>
            <w:r w:rsidRPr="00B20155">
              <w:rPr>
                <w:rFonts w:cstheme="minorHAnsi"/>
                <w:color w:val="000000"/>
                <w:sz w:val="20"/>
                <w:szCs w:val="20"/>
              </w:rPr>
              <w:t>11.95</w:t>
            </w:r>
          </w:p>
        </w:tc>
        <w:tc>
          <w:tcPr>
            <w:tcW w:w="0" w:type="auto"/>
            <w:vAlign w:val="center"/>
          </w:tcPr>
          <w:p w14:paraId="0DBDD293" w14:textId="4F3C0107" w:rsidR="00B20155" w:rsidRPr="00B20155" w:rsidRDefault="00B20155" w:rsidP="00B20155">
            <w:pPr>
              <w:pStyle w:val="NoSpacing"/>
              <w:jc w:val="center"/>
              <w:rPr>
                <w:rFonts w:cstheme="minorHAnsi"/>
                <w:sz w:val="20"/>
                <w:szCs w:val="20"/>
              </w:rPr>
            </w:pPr>
            <w:r w:rsidRPr="00B20155">
              <w:rPr>
                <w:rFonts w:cstheme="minorHAnsi"/>
                <w:color w:val="000000"/>
                <w:sz w:val="20"/>
                <w:szCs w:val="20"/>
              </w:rPr>
              <w:t>5.4</w:t>
            </w:r>
          </w:p>
        </w:tc>
        <w:tc>
          <w:tcPr>
            <w:tcW w:w="0" w:type="auto"/>
            <w:vAlign w:val="center"/>
          </w:tcPr>
          <w:p w14:paraId="4644130A" w14:textId="4C0038E4" w:rsidR="00B20155" w:rsidRPr="00B20155" w:rsidRDefault="00B20155" w:rsidP="00B20155">
            <w:pPr>
              <w:pStyle w:val="NoSpacing"/>
              <w:jc w:val="center"/>
              <w:rPr>
                <w:rFonts w:cstheme="minorHAnsi"/>
                <w:sz w:val="20"/>
                <w:szCs w:val="20"/>
              </w:rPr>
            </w:pPr>
            <w:r w:rsidRPr="00B20155">
              <w:rPr>
                <w:rFonts w:cstheme="minorHAnsi"/>
                <w:color w:val="000000"/>
                <w:sz w:val="20"/>
                <w:szCs w:val="20"/>
              </w:rPr>
              <w:t>8.95</w:t>
            </w:r>
          </w:p>
        </w:tc>
        <w:tc>
          <w:tcPr>
            <w:tcW w:w="0" w:type="auto"/>
            <w:vAlign w:val="center"/>
          </w:tcPr>
          <w:p w14:paraId="3C9B44F8" w14:textId="3F936A61" w:rsidR="00B20155" w:rsidRPr="00B20155" w:rsidRDefault="00B20155" w:rsidP="00B20155">
            <w:pPr>
              <w:pStyle w:val="NoSpacing"/>
              <w:jc w:val="center"/>
              <w:rPr>
                <w:rFonts w:cstheme="minorHAnsi"/>
                <w:sz w:val="20"/>
                <w:szCs w:val="20"/>
              </w:rPr>
            </w:pPr>
            <w:r w:rsidRPr="00B20155">
              <w:rPr>
                <w:rFonts w:cstheme="minorHAnsi"/>
                <w:color w:val="000000"/>
                <w:sz w:val="20"/>
                <w:szCs w:val="20"/>
              </w:rPr>
              <w:t>9.03</w:t>
            </w:r>
          </w:p>
        </w:tc>
        <w:tc>
          <w:tcPr>
            <w:tcW w:w="0" w:type="auto"/>
            <w:vAlign w:val="center"/>
          </w:tcPr>
          <w:p w14:paraId="2BB1ABDF" w14:textId="1564E621" w:rsidR="00B20155" w:rsidRPr="00B20155" w:rsidRDefault="00B20155" w:rsidP="00B20155">
            <w:pPr>
              <w:pStyle w:val="NoSpacing"/>
              <w:jc w:val="center"/>
              <w:rPr>
                <w:rFonts w:cstheme="minorHAnsi"/>
                <w:sz w:val="20"/>
                <w:szCs w:val="20"/>
              </w:rPr>
            </w:pPr>
            <w:r w:rsidRPr="00B20155">
              <w:rPr>
                <w:rFonts w:cstheme="minorHAnsi"/>
                <w:color w:val="000000"/>
                <w:sz w:val="20"/>
                <w:szCs w:val="20"/>
              </w:rPr>
              <w:t>9.62</w:t>
            </w:r>
          </w:p>
        </w:tc>
        <w:tc>
          <w:tcPr>
            <w:tcW w:w="0" w:type="auto"/>
            <w:vAlign w:val="center"/>
          </w:tcPr>
          <w:p w14:paraId="5A1B5251" w14:textId="5ADD4020" w:rsidR="00B20155" w:rsidRPr="00B20155" w:rsidRDefault="00B20155" w:rsidP="00B20155">
            <w:pPr>
              <w:pStyle w:val="NoSpacing"/>
              <w:jc w:val="center"/>
              <w:rPr>
                <w:rFonts w:cstheme="minorHAnsi"/>
                <w:sz w:val="20"/>
                <w:szCs w:val="20"/>
              </w:rPr>
            </w:pPr>
            <w:r w:rsidRPr="00B20155">
              <w:rPr>
                <w:rFonts w:cstheme="minorHAnsi"/>
                <w:color w:val="000000"/>
                <w:sz w:val="20"/>
                <w:szCs w:val="20"/>
              </w:rPr>
              <w:t>10.92</w:t>
            </w:r>
          </w:p>
        </w:tc>
        <w:tc>
          <w:tcPr>
            <w:tcW w:w="0" w:type="auto"/>
            <w:vAlign w:val="center"/>
          </w:tcPr>
          <w:p w14:paraId="542E2EC1" w14:textId="74F1F80B" w:rsidR="00B20155" w:rsidRPr="00B20155" w:rsidRDefault="00B20155" w:rsidP="00B20155">
            <w:pPr>
              <w:pStyle w:val="NoSpacing"/>
              <w:jc w:val="center"/>
              <w:rPr>
                <w:rFonts w:cstheme="minorHAnsi"/>
                <w:sz w:val="20"/>
                <w:szCs w:val="20"/>
              </w:rPr>
            </w:pPr>
            <w:r w:rsidRPr="00B20155">
              <w:rPr>
                <w:rFonts w:cstheme="minorHAnsi"/>
                <w:color w:val="000000"/>
                <w:sz w:val="20"/>
                <w:szCs w:val="20"/>
              </w:rPr>
              <w:t>6.98</w:t>
            </w:r>
          </w:p>
        </w:tc>
      </w:tr>
      <w:tr w:rsidR="00B20155" w:rsidRPr="00B20155" w14:paraId="709AD534" w14:textId="0AC48A0B" w:rsidTr="00B20155">
        <w:tc>
          <w:tcPr>
            <w:tcW w:w="0" w:type="auto"/>
            <w:vAlign w:val="center"/>
          </w:tcPr>
          <w:p w14:paraId="43571A9F" w14:textId="2BD166F3" w:rsidR="00B20155" w:rsidRPr="00B20155" w:rsidRDefault="00B20155" w:rsidP="00B20155">
            <w:pPr>
              <w:pStyle w:val="NoSpacing"/>
              <w:rPr>
                <w:rFonts w:cstheme="minorHAnsi"/>
                <w:sz w:val="20"/>
                <w:szCs w:val="20"/>
              </w:rPr>
            </w:pPr>
            <w:r w:rsidRPr="00B20155">
              <w:rPr>
                <w:rFonts w:cstheme="minorHAnsi"/>
                <w:color w:val="000000"/>
                <w:sz w:val="20"/>
                <w:szCs w:val="20"/>
              </w:rPr>
              <w:t>3. Average cc</w:t>
            </w:r>
          </w:p>
        </w:tc>
        <w:tc>
          <w:tcPr>
            <w:tcW w:w="0" w:type="auto"/>
            <w:vAlign w:val="center"/>
          </w:tcPr>
          <w:p w14:paraId="7FA52F68" w14:textId="01C5B7D5" w:rsidR="00B20155" w:rsidRPr="00B20155" w:rsidRDefault="00B20155" w:rsidP="00B20155">
            <w:pPr>
              <w:pStyle w:val="NoSpacing"/>
              <w:jc w:val="center"/>
              <w:rPr>
                <w:rFonts w:cstheme="minorHAnsi"/>
                <w:sz w:val="20"/>
                <w:szCs w:val="20"/>
              </w:rPr>
            </w:pPr>
            <w:r w:rsidRPr="00B20155">
              <w:rPr>
                <w:rFonts w:cstheme="minorHAnsi"/>
                <w:color w:val="000000"/>
                <w:sz w:val="20"/>
                <w:szCs w:val="20"/>
              </w:rPr>
              <w:t>1,605</w:t>
            </w:r>
          </w:p>
        </w:tc>
        <w:tc>
          <w:tcPr>
            <w:tcW w:w="0" w:type="auto"/>
            <w:vAlign w:val="center"/>
          </w:tcPr>
          <w:p w14:paraId="7F18AD53" w14:textId="192A2758" w:rsidR="00B20155" w:rsidRPr="00B20155" w:rsidRDefault="00B20155" w:rsidP="00B20155">
            <w:pPr>
              <w:pStyle w:val="NoSpacing"/>
              <w:jc w:val="center"/>
              <w:rPr>
                <w:rFonts w:cstheme="minorHAnsi"/>
                <w:sz w:val="20"/>
                <w:szCs w:val="20"/>
              </w:rPr>
            </w:pPr>
            <w:r w:rsidRPr="00B20155">
              <w:rPr>
                <w:rFonts w:cstheme="minorHAnsi"/>
                <w:color w:val="000000"/>
                <w:sz w:val="20"/>
                <w:szCs w:val="20"/>
              </w:rPr>
              <w:t>1,603</w:t>
            </w:r>
          </w:p>
        </w:tc>
        <w:tc>
          <w:tcPr>
            <w:tcW w:w="0" w:type="auto"/>
            <w:vAlign w:val="center"/>
          </w:tcPr>
          <w:p w14:paraId="70BE55CA" w14:textId="013420F5" w:rsidR="00B20155" w:rsidRPr="00B20155" w:rsidRDefault="00B20155" w:rsidP="00B20155">
            <w:pPr>
              <w:pStyle w:val="NoSpacing"/>
              <w:jc w:val="center"/>
              <w:rPr>
                <w:rFonts w:cstheme="minorHAnsi"/>
                <w:sz w:val="20"/>
                <w:szCs w:val="20"/>
              </w:rPr>
            </w:pPr>
            <w:r w:rsidRPr="00B20155">
              <w:rPr>
                <w:rFonts w:cstheme="minorHAnsi"/>
                <w:color w:val="000000"/>
                <w:sz w:val="20"/>
                <w:szCs w:val="20"/>
              </w:rPr>
              <w:t>1,497</w:t>
            </w:r>
          </w:p>
        </w:tc>
        <w:tc>
          <w:tcPr>
            <w:tcW w:w="0" w:type="auto"/>
            <w:vAlign w:val="center"/>
          </w:tcPr>
          <w:p w14:paraId="50EE2456" w14:textId="47E11425" w:rsidR="00B20155" w:rsidRPr="00B20155" w:rsidRDefault="00B20155" w:rsidP="00B20155">
            <w:pPr>
              <w:pStyle w:val="NoSpacing"/>
              <w:jc w:val="center"/>
              <w:rPr>
                <w:rFonts w:cstheme="minorHAnsi"/>
                <w:sz w:val="20"/>
                <w:szCs w:val="20"/>
              </w:rPr>
            </w:pPr>
            <w:r w:rsidRPr="00B20155">
              <w:rPr>
                <w:rFonts w:cstheme="minorHAnsi"/>
                <w:color w:val="000000"/>
                <w:sz w:val="20"/>
                <w:szCs w:val="20"/>
              </w:rPr>
              <w:t>1,614</w:t>
            </w:r>
          </w:p>
        </w:tc>
        <w:tc>
          <w:tcPr>
            <w:tcW w:w="0" w:type="auto"/>
            <w:vAlign w:val="center"/>
          </w:tcPr>
          <w:p w14:paraId="5AF4DE1E" w14:textId="20CEB1AD" w:rsidR="00B20155" w:rsidRPr="00B20155" w:rsidRDefault="00B20155" w:rsidP="00B20155">
            <w:pPr>
              <w:pStyle w:val="NoSpacing"/>
              <w:jc w:val="center"/>
              <w:rPr>
                <w:rFonts w:cstheme="minorHAnsi"/>
                <w:sz w:val="20"/>
                <w:szCs w:val="20"/>
              </w:rPr>
            </w:pPr>
            <w:r w:rsidRPr="00B20155">
              <w:rPr>
                <w:rFonts w:cstheme="minorHAnsi"/>
                <w:color w:val="000000"/>
                <w:sz w:val="20"/>
                <w:szCs w:val="20"/>
              </w:rPr>
              <w:t>1,396</w:t>
            </w:r>
          </w:p>
        </w:tc>
        <w:tc>
          <w:tcPr>
            <w:tcW w:w="0" w:type="auto"/>
            <w:vAlign w:val="center"/>
          </w:tcPr>
          <w:p w14:paraId="7EFA0DCB" w14:textId="3482FDCF" w:rsidR="00B20155" w:rsidRPr="00B20155" w:rsidRDefault="00B20155" w:rsidP="00B20155">
            <w:pPr>
              <w:pStyle w:val="NoSpacing"/>
              <w:jc w:val="center"/>
              <w:rPr>
                <w:rFonts w:cstheme="minorHAnsi"/>
                <w:sz w:val="20"/>
                <w:szCs w:val="20"/>
              </w:rPr>
            </w:pPr>
            <w:r w:rsidRPr="00B20155">
              <w:rPr>
                <w:rFonts w:cstheme="minorHAnsi"/>
                <w:color w:val="000000"/>
                <w:sz w:val="20"/>
                <w:szCs w:val="20"/>
              </w:rPr>
              <w:t>2,006</w:t>
            </w:r>
          </w:p>
        </w:tc>
        <w:tc>
          <w:tcPr>
            <w:tcW w:w="0" w:type="auto"/>
            <w:vAlign w:val="center"/>
          </w:tcPr>
          <w:p w14:paraId="59F03056" w14:textId="204FBE60" w:rsidR="00B20155" w:rsidRPr="00B20155" w:rsidRDefault="00B20155" w:rsidP="00B20155">
            <w:pPr>
              <w:pStyle w:val="NoSpacing"/>
              <w:jc w:val="center"/>
              <w:rPr>
                <w:rFonts w:cstheme="minorHAnsi"/>
                <w:sz w:val="20"/>
                <w:szCs w:val="20"/>
              </w:rPr>
            </w:pPr>
            <w:r w:rsidRPr="00B20155">
              <w:rPr>
                <w:rFonts w:cstheme="minorHAnsi"/>
                <w:color w:val="000000"/>
                <w:sz w:val="20"/>
                <w:szCs w:val="20"/>
              </w:rPr>
              <w:t>1,991</w:t>
            </w:r>
          </w:p>
        </w:tc>
        <w:tc>
          <w:tcPr>
            <w:tcW w:w="0" w:type="auto"/>
            <w:vAlign w:val="center"/>
          </w:tcPr>
          <w:p w14:paraId="6E7B3C5D" w14:textId="2E4729FD" w:rsidR="00B20155" w:rsidRPr="00B20155" w:rsidRDefault="00B20155" w:rsidP="00B20155">
            <w:pPr>
              <w:pStyle w:val="NoSpacing"/>
              <w:jc w:val="center"/>
              <w:rPr>
                <w:rFonts w:cstheme="minorHAnsi"/>
                <w:sz w:val="20"/>
                <w:szCs w:val="20"/>
              </w:rPr>
            </w:pPr>
            <w:r w:rsidRPr="00B20155">
              <w:rPr>
                <w:rFonts w:cstheme="minorHAnsi"/>
                <w:color w:val="000000"/>
                <w:sz w:val="20"/>
                <w:szCs w:val="20"/>
              </w:rPr>
              <w:t>1,964</w:t>
            </w:r>
          </w:p>
        </w:tc>
        <w:tc>
          <w:tcPr>
            <w:tcW w:w="0" w:type="auto"/>
            <w:vAlign w:val="center"/>
          </w:tcPr>
          <w:p w14:paraId="08C7B5EC" w14:textId="7B22A2D4" w:rsidR="00B20155" w:rsidRPr="00B20155" w:rsidRDefault="00B20155" w:rsidP="00B20155">
            <w:pPr>
              <w:pStyle w:val="NoSpacing"/>
              <w:jc w:val="center"/>
              <w:rPr>
                <w:rFonts w:cstheme="minorHAnsi"/>
                <w:sz w:val="20"/>
                <w:szCs w:val="20"/>
              </w:rPr>
            </w:pPr>
            <w:r w:rsidRPr="00B20155">
              <w:rPr>
                <w:rFonts w:cstheme="minorHAnsi"/>
                <w:color w:val="000000"/>
                <w:sz w:val="20"/>
                <w:szCs w:val="20"/>
              </w:rPr>
              <w:t>1,988</w:t>
            </w:r>
          </w:p>
        </w:tc>
        <w:tc>
          <w:tcPr>
            <w:tcW w:w="0" w:type="auto"/>
            <w:vAlign w:val="center"/>
          </w:tcPr>
          <w:p w14:paraId="30F07900" w14:textId="7ACD89A3" w:rsidR="00B20155" w:rsidRPr="00B20155" w:rsidRDefault="00B20155" w:rsidP="00B20155">
            <w:pPr>
              <w:pStyle w:val="NoSpacing"/>
              <w:jc w:val="center"/>
              <w:rPr>
                <w:rFonts w:cstheme="minorHAnsi"/>
                <w:sz w:val="20"/>
                <w:szCs w:val="20"/>
              </w:rPr>
            </w:pPr>
            <w:r w:rsidRPr="00B20155">
              <w:rPr>
                <w:rFonts w:cstheme="minorHAnsi"/>
                <w:color w:val="000000"/>
                <w:sz w:val="20"/>
                <w:szCs w:val="20"/>
              </w:rPr>
              <w:t>1,990</w:t>
            </w:r>
          </w:p>
        </w:tc>
      </w:tr>
      <w:tr w:rsidR="00B20155" w:rsidRPr="00B20155" w14:paraId="1823C4D7" w14:textId="145EC6E6" w:rsidTr="00B20155">
        <w:tc>
          <w:tcPr>
            <w:tcW w:w="0" w:type="auto"/>
            <w:vAlign w:val="center"/>
          </w:tcPr>
          <w:p w14:paraId="7EF22E1D" w14:textId="39B07E6A" w:rsidR="00B20155" w:rsidRPr="00B20155" w:rsidRDefault="00B20155" w:rsidP="00B20155">
            <w:pPr>
              <w:pStyle w:val="NoSpacing"/>
              <w:rPr>
                <w:rFonts w:cstheme="minorHAnsi"/>
                <w:sz w:val="20"/>
                <w:szCs w:val="20"/>
              </w:rPr>
            </w:pPr>
            <w:r w:rsidRPr="00B20155">
              <w:rPr>
                <w:rFonts w:cstheme="minorHAnsi"/>
                <w:color w:val="000000"/>
                <w:sz w:val="20"/>
                <w:szCs w:val="20"/>
              </w:rPr>
              <w:t>4. Average vehicle value</w:t>
            </w:r>
            <w:r>
              <w:rPr>
                <w:rFonts w:cstheme="minorHAnsi"/>
                <w:color w:val="000000"/>
                <w:sz w:val="20"/>
                <w:szCs w:val="20"/>
              </w:rPr>
              <w:t xml:space="preserve"> in Euros</w:t>
            </w:r>
          </w:p>
        </w:tc>
        <w:tc>
          <w:tcPr>
            <w:tcW w:w="0" w:type="auto"/>
            <w:vAlign w:val="center"/>
          </w:tcPr>
          <w:p w14:paraId="2BE0030D" w14:textId="3A261E56" w:rsidR="00B20155" w:rsidRPr="00B20155" w:rsidRDefault="00B20155" w:rsidP="00B20155">
            <w:pPr>
              <w:pStyle w:val="NoSpacing"/>
              <w:jc w:val="center"/>
              <w:rPr>
                <w:rFonts w:cstheme="minorHAnsi"/>
                <w:sz w:val="20"/>
                <w:szCs w:val="20"/>
              </w:rPr>
            </w:pPr>
            <w:r w:rsidRPr="00B20155">
              <w:rPr>
                <w:rFonts w:cstheme="minorHAnsi"/>
                <w:color w:val="000000"/>
                <w:sz w:val="20"/>
                <w:szCs w:val="20"/>
              </w:rPr>
              <w:t>3,590</w:t>
            </w:r>
          </w:p>
        </w:tc>
        <w:tc>
          <w:tcPr>
            <w:tcW w:w="0" w:type="auto"/>
            <w:vAlign w:val="center"/>
          </w:tcPr>
          <w:p w14:paraId="4BE1CE95" w14:textId="6366A746" w:rsidR="00B20155" w:rsidRPr="00B20155" w:rsidRDefault="00B20155" w:rsidP="00B20155">
            <w:pPr>
              <w:pStyle w:val="NoSpacing"/>
              <w:jc w:val="center"/>
              <w:rPr>
                <w:rFonts w:cstheme="minorHAnsi"/>
                <w:sz w:val="20"/>
                <w:szCs w:val="20"/>
              </w:rPr>
            </w:pPr>
            <w:r w:rsidRPr="00B20155">
              <w:rPr>
                <w:rFonts w:cstheme="minorHAnsi"/>
                <w:color w:val="000000"/>
                <w:sz w:val="20"/>
                <w:szCs w:val="20"/>
              </w:rPr>
              <w:t>3,736</w:t>
            </w:r>
          </w:p>
        </w:tc>
        <w:tc>
          <w:tcPr>
            <w:tcW w:w="0" w:type="auto"/>
            <w:vAlign w:val="center"/>
          </w:tcPr>
          <w:p w14:paraId="30BF0132" w14:textId="742C270E" w:rsidR="00B20155" w:rsidRPr="00B20155" w:rsidRDefault="00B20155" w:rsidP="00B20155">
            <w:pPr>
              <w:pStyle w:val="NoSpacing"/>
              <w:jc w:val="center"/>
              <w:rPr>
                <w:rFonts w:cstheme="minorHAnsi"/>
                <w:sz w:val="20"/>
                <w:szCs w:val="20"/>
              </w:rPr>
            </w:pPr>
            <w:r w:rsidRPr="00B20155">
              <w:rPr>
                <w:rFonts w:cstheme="minorHAnsi"/>
                <w:color w:val="000000"/>
                <w:sz w:val="20"/>
                <w:szCs w:val="20"/>
              </w:rPr>
              <w:t>3,655</w:t>
            </w:r>
          </w:p>
        </w:tc>
        <w:tc>
          <w:tcPr>
            <w:tcW w:w="0" w:type="auto"/>
            <w:vAlign w:val="center"/>
          </w:tcPr>
          <w:p w14:paraId="2A9DB78D" w14:textId="5CE3433D" w:rsidR="00B20155" w:rsidRPr="00B20155" w:rsidRDefault="00B20155" w:rsidP="00B20155">
            <w:pPr>
              <w:pStyle w:val="NoSpacing"/>
              <w:jc w:val="center"/>
              <w:rPr>
                <w:rFonts w:cstheme="minorHAnsi"/>
                <w:sz w:val="20"/>
                <w:szCs w:val="20"/>
              </w:rPr>
            </w:pPr>
            <w:r w:rsidRPr="00B20155">
              <w:rPr>
                <w:rFonts w:cstheme="minorHAnsi"/>
                <w:color w:val="000000"/>
                <w:sz w:val="20"/>
                <w:szCs w:val="20"/>
              </w:rPr>
              <w:t>3,515</w:t>
            </w:r>
          </w:p>
        </w:tc>
        <w:tc>
          <w:tcPr>
            <w:tcW w:w="0" w:type="auto"/>
            <w:vAlign w:val="center"/>
          </w:tcPr>
          <w:p w14:paraId="7F9774A2" w14:textId="15975E71" w:rsidR="00B20155" w:rsidRPr="00B20155" w:rsidRDefault="00B20155" w:rsidP="00B20155">
            <w:pPr>
              <w:pStyle w:val="NoSpacing"/>
              <w:jc w:val="center"/>
              <w:rPr>
                <w:rFonts w:cstheme="minorHAnsi"/>
                <w:sz w:val="20"/>
                <w:szCs w:val="20"/>
              </w:rPr>
            </w:pPr>
            <w:r w:rsidRPr="00B20155">
              <w:rPr>
                <w:rFonts w:cstheme="minorHAnsi"/>
                <w:color w:val="000000"/>
                <w:sz w:val="20"/>
                <w:szCs w:val="20"/>
              </w:rPr>
              <w:t>7,371</w:t>
            </w:r>
          </w:p>
        </w:tc>
        <w:tc>
          <w:tcPr>
            <w:tcW w:w="0" w:type="auto"/>
            <w:vAlign w:val="center"/>
          </w:tcPr>
          <w:p w14:paraId="706277F0" w14:textId="6B0EE260" w:rsidR="00B20155" w:rsidRPr="00B20155" w:rsidRDefault="00B20155" w:rsidP="00B20155">
            <w:pPr>
              <w:pStyle w:val="NoSpacing"/>
              <w:jc w:val="center"/>
              <w:rPr>
                <w:rFonts w:cstheme="minorHAnsi"/>
                <w:sz w:val="20"/>
                <w:szCs w:val="20"/>
              </w:rPr>
            </w:pPr>
            <w:r w:rsidRPr="00B20155">
              <w:rPr>
                <w:rFonts w:cstheme="minorHAnsi"/>
                <w:color w:val="000000"/>
                <w:sz w:val="20"/>
                <w:szCs w:val="20"/>
              </w:rPr>
              <w:t>5,577</w:t>
            </w:r>
          </w:p>
        </w:tc>
        <w:tc>
          <w:tcPr>
            <w:tcW w:w="0" w:type="auto"/>
            <w:vAlign w:val="center"/>
          </w:tcPr>
          <w:p w14:paraId="0CA03398" w14:textId="350F6819" w:rsidR="00B20155" w:rsidRPr="00B20155" w:rsidRDefault="00B20155" w:rsidP="00B20155">
            <w:pPr>
              <w:pStyle w:val="NoSpacing"/>
              <w:jc w:val="center"/>
              <w:rPr>
                <w:rFonts w:cstheme="minorHAnsi"/>
                <w:sz w:val="20"/>
                <w:szCs w:val="20"/>
              </w:rPr>
            </w:pPr>
            <w:r w:rsidRPr="00B20155">
              <w:rPr>
                <w:rFonts w:cstheme="minorHAnsi"/>
                <w:color w:val="000000"/>
                <w:sz w:val="20"/>
                <w:szCs w:val="20"/>
              </w:rPr>
              <w:t>6,046</w:t>
            </w:r>
          </w:p>
        </w:tc>
        <w:tc>
          <w:tcPr>
            <w:tcW w:w="0" w:type="auto"/>
            <w:vAlign w:val="center"/>
          </w:tcPr>
          <w:p w14:paraId="78E7F601" w14:textId="2B195E3A" w:rsidR="00B20155" w:rsidRPr="00B20155" w:rsidRDefault="00B20155" w:rsidP="00B20155">
            <w:pPr>
              <w:pStyle w:val="NoSpacing"/>
              <w:jc w:val="center"/>
              <w:rPr>
                <w:rFonts w:cstheme="minorHAnsi"/>
                <w:sz w:val="20"/>
                <w:szCs w:val="20"/>
              </w:rPr>
            </w:pPr>
            <w:r w:rsidRPr="00B20155">
              <w:rPr>
                <w:rFonts w:cstheme="minorHAnsi"/>
                <w:color w:val="000000"/>
                <w:sz w:val="20"/>
                <w:szCs w:val="20"/>
              </w:rPr>
              <w:t>5,977</w:t>
            </w:r>
          </w:p>
        </w:tc>
        <w:tc>
          <w:tcPr>
            <w:tcW w:w="0" w:type="auto"/>
            <w:vAlign w:val="center"/>
          </w:tcPr>
          <w:p w14:paraId="75D56F82" w14:textId="07409411" w:rsidR="00B20155" w:rsidRPr="00B20155" w:rsidRDefault="00B20155" w:rsidP="00B20155">
            <w:pPr>
              <w:pStyle w:val="NoSpacing"/>
              <w:jc w:val="center"/>
              <w:rPr>
                <w:rFonts w:cstheme="minorHAnsi"/>
                <w:sz w:val="20"/>
                <w:szCs w:val="20"/>
              </w:rPr>
            </w:pPr>
            <w:r w:rsidRPr="00B20155">
              <w:rPr>
                <w:rFonts w:cstheme="minorHAnsi"/>
                <w:color w:val="000000"/>
                <w:sz w:val="20"/>
                <w:szCs w:val="20"/>
              </w:rPr>
              <w:t>5,566</w:t>
            </w:r>
          </w:p>
        </w:tc>
        <w:tc>
          <w:tcPr>
            <w:tcW w:w="0" w:type="auto"/>
            <w:vAlign w:val="center"/>
          </w:tcPr>
          <w:p w14:paraId="13012D7D" w14:textId="537CFE1B" w:rsidR="00B20155" w:rsidRPr="00B20155" w:rsidRDefault="00B20155" w:rsidP="00B20155">
            <w:pPr>
              <w:pStyle w:val="NoSpacing"/>
              <w:jc w:val="center"/>
              <w:rPr>
                <w:rFonts w:cstheme="minorHAnsi"/>
                <w:sz w:val="20"/>
                <w:szCs w:val="20"/>
              </w:rPr>
            </w:pPr>
            <w:r w:rsidRPr="00B20155">
              <w:rPr>
                <w:rFonts w:cstheme="minorHAnsi"/>
                <w:color w:val="000000"/>
                <w:sz w:val="20"/>
                <w:szCs w:val="20"/>
              </w:rPr>
              <w:t>9,040</w:t>
            </w:r>
          </w:p>
        </w:tc>
      </w:tr>
      <w:tr w:rsidR="00B20155" w:rsidRPr="00B20155" w14:paraId="7CF9A3A4" w14:textId="2F3AD646" w:rsidTr="00B20155">
        <w:tc>
          <w:tcPr>
            <w:tcW w:w="0" w:type="auto"/>
            <w:vAlign w:val="center"/>
          </w:tcPr>
          <w:p w14:paraId="2F433443" w14:textId="7280A365" w:rsidR="00B20155" w:rsidRPr="00B20155" w:rsidRDefault="00B20155" w:rsidP="00B20155">
            <w:pPr>
              <w:pStyle w:val="NoSpacing"/>
              <w:rPr>
                <w:rFonts w:cstheme="minorHAnsi"/>
                <w:sz w:val="20"/>
                <w:szCs w:val="20"/>
              </w:rPr>
            </w:pPr>
            <w:r w:rsidRPr="00B20155">
              <w:rPr>
                <w:rFonts w:cstheme="minorHAnsi"/>
                <w:color w:val="000000"/>
                <w:sz w:val="20"/>
                <w:szCs w:val="20"/>
              </w:rPr>
              <w:t>5. Average tax paid (sum of the 3 taxes)</w:t>
            </w:r>
            <w:r>
              <w:rPr>
                <w:rFonts w:cstheme="minorHAnsi"/>
                <w:color w:val="000000"/>
                <w:sz w:val="20"/>
                <w:szCs w:val="20"/>
              </w:rPr>
              <w:t xml:space="preserve"> in Euros</w:t>
            </w:r>
          </w:p>
        </w:tc>
        <w:tc>
          <w:tcPr>
            <w:tcW w:w="0" w:type="auto"/>
            <w:vAlign w:val="center"/>
          </w:tcPr>
          <w:p w14:paraId="4038C51B" w14:textId="7D2D38E8" w:rsidR="00B20155" w:rsidRPr="00B20155" w:rsidRDefault="00B20155" w:rsidP="00B20155">
            <w:pPr>
              <w:pStyle w:val="NoSpacing"/>
              <w:jc w:val="center"/>
              <w:rPr>
                <w:rFonts w:cstheme="minorHAnsi"/>
                <w:sz w:val="20"/>
                <w:szCs w:val="20"/>
              </w:rPr>
            </w:pPr>
            <w:r w:rsidRPr="00B20155">
              <w:rPr>
                <w:rFonts w:cstheme="minorHAnsi"/>
                <w:color w:val="000000"/>
                <w:sz w:val="20"/>
                <w:szCs w:val="20"/>
              </w:rPr>
              <w:t>1,870</w:t>
            </w:r>
          </w:p>
        </w:tc>
        <w:tc>
          <w:tcPr>
            <w:tcW w:w="0" w:type="auto"/>
            <w:vAlign w:val="center"/>
          </w:tcPr>
          <w:p w14:paraId="5CEE83AF" w14:textId="4AED1A16" w:rsidR="00B20155" w:rsidRPr="00B20155" w:rsidRDefault="00B20155" w:rsidP="00B20155">
            <w:pPr>
              <w:pStyle w:val="NoSpacing"/>
              <w:jc w:val="center"/>
              <w:rPr>
                <w:rFonts w:cstheme="minorHAnsi"/>
                <w:sz w:val="20"/>
                <w:szCs w:val="20"/>
              </w:rPr>
            </w:pPr>
            <w:r w:rsidRPr="00B20155">
              <w:rPr>
                <w:rFonts w:cstheme="minorHAnsi"/>
                <w:color w:val="000000"/>
                <w:sz w:val="20"/>
                <w:szCs w:val="20"/>
              </w:rPr>
              <w:t>1,908</w:t>
            </w:r>
          </w:p>
        </w:tc>
        <w:tc>
          <w:tcPr>
            <w:tcW w:w="0" w:type="auto"/>
            <w:vAlign w:val="center"/>
          </w:tcPr>
          <w:p w14:paraId="453EB979" w14:textId="050E96F0" w:rsidR="00B20155" w:rsidRPr="00B20155" w:rsidRDefault="00B20155" w:rsidP="00B20155">
            <w:pPr>
              <w:pStyle w:val="NoSpacing"/>
              <w:jc w:val="center"/>
              <w:rPr>
                <w:rFonts w:cstheme="minorHAnsi"/>
                <w:sz w:val="20"/>
                <w:szCs w:val="20"/>
              </w:rPr>
            </w:pPr>
            <w:r w:rsidRPr="00B20155">
              <w:rPr>
                <w:rFonts w:cstheme="minorHAnsi"/>
                <w:color w:val="000000"/>
                <w:sz w:val="20"/>
                <w:szCs w:val="20"/>
              </w:rPr>
              <w:t>1,876</w:t>
            </w:r>
          </w:p>
        </w:tc>
        <w:tc>
          <w:tcPr>
            <w:tcW w:w="0" w:type="auto"/>
            <w:vAlign w:val="center"/>
          </w:tcPr>
          <w:p w14:paraId="125E3C30" w14:textId="1BC1199B" w:rsidR="00B20155" w:rsidRPr="00B20155" w:rsidRDefault="00B20155" w:rsidP="00B20155">
            <w:pPr>
              <w:pStyle w:val="NoSpacing"/>
              <w:jc w:val="center"/>
              <w:rPr>
                <w:rFonts w:cstheme="minorHAnsi"/>
                <w:sz w:val="20"/>
                <w:szCs w:val="20"/>
              </w:rPr>
            </w:pPr>
            <w:r w:rsidRPr="00B20155">
              <w:rPr>
                <w:rFonts w:cstheme="minorHAnsi"/>
                <w:color w:val="000000"/>
                <w:sz w:val="20"/>
                <w:szCs w:val="20"/>
              </w:rPr>
              <w:t>1,875</w:t>
            </w:r>
          </w:p>
        </w:tc>
        <w:tc>
          <w:tcPr>
            <w:tcW w:w="0" w:type="auto"/>
            <w:vAlign w:val="center"/>
          </w:tcPr>
          <w:p w14:paraId="4437C020" w14:textId="5A000D6C" w:rsidR="00B20155" w:rsidRPr="00B20155" w:rsidRDefault="00B20155" w:rsidP="00B20155">
            <w:pPr>
              <w:pStyle w:val="NoSpacing"/>
              <w:jc w:val="center"/>
              <w:rPr>
                <w:rFonts w:cstheme="minorHAnsi"/>
                <w:sz w:val="20"/>
                <w:szCs w:val="20"/>
              </w:rPr>
            </w:pPr>
            <w:r w:rsidRPr="00B20155">
              <w:rPr>
                <w:rFonts w:cstheme="minorHAnsi"/>
                <w:color w:val="000000"/>
                <w:sz w:val="20"/>
                <w:szCs w:val="20"/>
              </w:rPr>
              <w:t>2,103</w:t>
            </w:r>
          </w:p>
        </w:tc>
        <w:tc>
          <w:tcPr>
            <w:tcW w:w="0" w:type="auto"/>
            <w:vAlign w:val="center"/>
          </w:tcPr>
          <w:p w14:paraId="29D2586E" w14:textId="4F0FD854" w:rsidR="00B20155" w:rsidRPr="00B20155" w:rsidRDefault="00B20155" w:rsidP="00B20155">
            <w:pPr>
              <w:pStyle w:val="NoSpacing"/>
              <w:jc w:val="center"/>
              <w:rPr>
                <w:rFonts w:cstheme="minorHAnsi"/>
                <w:sz w:val="20"/>
                <w:szCs w:val="20"/>
              </w:rPr>
            </w:pPr>
            <w:r w:rsidRPr="00B20155">
              <w:rPr>
                <w:rFonts w:cstheme="minorHAnsi"/>
                <w:color w:val="000000"/>
                <w:sz w:val="20"/>
                <w:szCs w:val="20"/>
              </w:rPr>
              <w:t>2,365</w:t>
            </w:r>
          </w:p>
        </w:tc>
        <w:tc>
          <w:tcPr>
            <w:tcW w:w="0" w:type="auto"/>
            <w:vAlign w:val="center"/>
          </w:tcPr>
          <w:p w14:paraId="05972E69" w14:textId="2DEADE2A" w:rsidR="00B20155" w:rsidRPr="00B20155" w:rsidRDefault="00B20155" w:rsidP="00B20155">
            <w:pPr>
              <w:pStyle w:val="NoSpacing"/>
              <w:jc w:val="center"/>
              <w:rPr>
                <w:rFonts w:cstheme="minorHAnsi"/>
                <w:sz w:val="20"/>
                <w:szCs w:val="20"/>
              </w:rPr>
            </w:pPr>
            <w:r w:rsidRPr="00B20155">
              <w:rPr>
                <w:rFonts w:cstheme="minorHAnsi"/>
                <w:color w:val="000000"/>
                <w:sz w:val="20"/>
                <w:szCs w:val="20"/>
              </w:rPr>
              <w:t>2,437</w:t>
            </w:r>
          </w:p>
        </w:tc>
        <w:tc>
          <w:tcPr>
            <w:tcW w:w="0" w:type="auto"/>
            <w:vAlign w:val="center"/>
          </w:tcPr>
          <w:p w14:paraId="13DC1956" w14:textId="2659CE52" w:rsidR="00B20155" w:rsidRPr="00B20155" w:rsidRDefault="00B20155" w:rsidP="00B20155">
            <w:pPr>
              <w:pStyle w:val="NoSpacing"/>
              <w:jc w:val="center"/>
              <w:rPr>
                <w:rFonts w:cstheme="minorHAnsi"/>
                <w:sz w:val="20"/>
                <w:szCs w:val="20"/>
              </w:rPr>
            </w:pPr>
            <w:r w:rsidRPr="00B20155">
              <w:rPr>
                <w:rFonts w:cstheme="minorHAnsi"/>
                <w:color w:val="000000"/>
                <w:sz w:val="20"/>
                <w:szCs w:val="20"/>
              </w:rPr>
              <w:t>2,493</w:t>
            </w:r>
          </w:p>
        </w:tc>
        <w:tc>
          <w:tcPr>
            <w:tcW w:w="0" w:type="auto"/>
            <w:vAlign w:val="center"/>
          </w:tcPr>
          <w:p w14:paraId="7DC4ABA4" w14:textId="5E4CEA31" w:rsidR="00B20155" w:rsidRPr="00B20155" w:rsidRDefault="00B20155" w:rsidP="00B20155">
            <w:pPr>
              <w:pStyle w:val="NoSpacing"/>
              <w:jc w:val="center"/>
              <w:rPr>
                <w:rFonts w:cstheme="minorHAnsi"/>
                <w:sz w:val="20"/>
                <w:szCs w:val="20"/>
              </w:rPr>
            </w:pPr>
            <w:r w:rsidRPr="00B20155">
              <w:rPr>
                <w:rFonts w:cstheme="minorHAnsi"/>
                <w:color w:val="000000"/>
                <w:sz w:val="20"/>
                <w:szCs w:val="20"/>
              </w:rPr>
              <w:t>2,448</w:t>
            </w:r>
          </w:p>
        </w:tc>
        <w:tc>
          <w:tcPr>
            <w:tcW w:w="0" w:type="auto"/>
            <w:vAlign w:val="center"/>
          </w:tcPr>
          <w:p w14:paraId="7F3B084D" w14:textId="47C141CD" w:rsidR="00B20155" w:rsidRPr="00B20155" w:rsidRDefault="00B20155" w:rsidP="00B20155">
            <w:pPr>
              <w:pStyle w:val="NoSpacing"/>
              <w:jc w:val="center"/>
              <w:rPr>
                <w:rFonts w:cstheme="minorHAnsi"/>
                <w:sz w:val="20"/>
                <w:szCs w:val="20"/>
              </w:rPr>
            </w:pPr>
            <w:r w:rsidRPr="00B20155">
              <w:rPr>
                <w:rFonts w:cstheme="minorHAnsi"/>
                <w:color w:val="000000"/>
                <w:sz w:val="20"/>
                <w:szCs w:val="20"/>
              </w:rPr>
              <w:t>2,898</w:t>
            </w:r>
          </w:p>
        </w:tc>
      </w:tr>
    </w:tbl>
    <w:p w14:paraId="3370AC16" w14:textId="3347EA96" w:rsidR="00B20155" w:rsidRDefault="00574E5F" w:rsidP="00B20155">
      <w:pPr>
        <w:pStyle w:val="NoSpacing"/>
        <w:rPr>
          <w:sz w:val="20"/>
          <w:szCs w:val="20"/>
        </w:rPr>
      </w:pPr>
      <w:r w:rsidRPr="00B20155">
        <w:rPr>
          <w:sz w:val="20"/>
          <w:szCs w:val="20"/>
        </w:rPr>
        <w:t xml:space="preserve"> </w:t>
      </w:r>
      <w:r w:rsidR="00B20155" w:rsidRPr="00B20155">
        <w:rPr>
          <w:sz w:val="20"/>
          <w:szCs w:val="20"/>
        </w:rPr>
        <w:t>Source: MOF, customs authority</w:t>
      </w:r>
    </w:p>
    <w:p w14:paraId="68FF4086" w14:textId="77777777" w:rsidR="00B20155" w:rsidRPr="00B20155" w:rsidRDefault="00B20155" w:rsidP="00B20155">
      <w:pPr>
        <w:pStyle w:val="NoSpacing"/>
        <w:rPr>
          <w:sz w:val="20"/>
          <w:szCs w:val="20"/>
        </w:rPr>
      </w:pPr>
    </w:p>
    <w:p w14:paraId="689EA2C0" w14:textId="25406BB4" w:rsidR="00574E5F" w:rsidRDefault="00574E5F" w:rsidP="00574E5F">
      <w:pPr>
        <w:jc w:val="both"/>
      </w:pPr>
      <w:r>
        <w:t>Three aspects are thereby of special interest:</w:t>
      </w:r>
    </w:p>
    <w:p w14:paraId="729467F5" w14:textId="51292DD5" w:rsidR="00574E5F" w:rsidRPr="00443AB4" w:rsidRDefault="00574E5F" w:rsidP="00574E5F">
      <w:pPr>
        <w:pStyle w:val="ListParagraph"/>
        <w:numPr>
          <w:ilvl w:val="0"/>
          <w:numId w:val="46"/>
        </w:numPr>
        <w:jc w:val="both"/>
        <w:rPr>
          <w:lang w:val="en-GB"/>
        </w:rPr>
      </w:pPr>
      <w:r w:rsidRPr="00443AB4">
        <w:rPr>
          <w:lang w:val="en-GB"/>
        </w:rPr>
        <w:t>Imported diesel cars are on average older and have a lager engine than gasoline units;</w:t>
      </w:r>
    </w:p>
    <w:p w14:paraId="2A550BB1" w14:textId="0429F046" w:rsidR="00574E5F" w:rsidRPr="00443AB4" w:rsidRDefault="00574E5F" w:rsidP="00574E5F">
      <w:pPr>
        <w:pStyle w:val="ListParagraph"/>
        <w:numPr>
          <w:ilvl w:val="0"/>
          <w:numId w:val="46"/>
        </w:numPr>
        <w:jc w:val="both"/>
        <w:rPr>
          <w:lang w:val="en-GB"/>
        </w:rPr>
      </w:pPr>
      <w:r w:rsidRPr="00443AB4">
        <w:rPr>
          <w:lang w:val="en-GB"/>
        </w:rPr>
        <w:t xml:space="preserve">The tax paid per diesel car is higher than the average tax paid for a gasoline unit (due </w:t>
      </w:r>
      <w:r w:rsidR="00443AB4" w:rsidRPr="00443AB4">
        <w:rPr>
          <w:lang w:val="en-GB"/>
        </w:rPr>
        <w:t>to the</w:t>
      </w:r>
      <w:r w:rsidRPr="00443AB4">
        <w:rPr>
          <w:lang w:val="en-GB"/>
        </w:rPr>
        <w:t xml:space="preserve"> vehicle being older and having a larger engine);</w:t>
      </w:r>
    </w:p>
    <w:p w14:paraId="33D0300D" w14:textId="26554526" w:rsidR="00574E5F" w:rsidRPr="00443AB4" w:rsidRDefault="00574E5F" w:rsidP="00574E5F">
      <w:pPr>
        <w:pStyle w:val="ListParagraph"/>
        <w:numPr>
          <w:ilvl w:val="0"/>
          <w:numId w:val="46"/>
        </w:numPr>
        <w:jc w:val="both"/>
        <w:rPr>
          <w:lang w:val="en-GB"/>
        </w:rPr>
      </w:pPr>
      <w:r w:rsidRPr="00443AB4">
        <w:rPr>
          <w:lang w:val="en-GB"/>
        </w:rPr>
        <w:t xml:space="preserve">The average </w:t>
      </w:r>
      <w:r w:rsidR="00DE5CC6">
        <w:rPr>
          <w:lang w:val="en-GB"/>
        </w:rPr>
        <w:t xml:space="preserve">total </w:t>
      </w:r>
      <w:r w:rsidRPr="00443AB4">
        <w:rPr>
          <w:lang w:val="en-GB"/>
        </w:rPr>
        <w:t>tax paid has increased for diesel cars, by 22% in</w:t>
      </w:r>
      <w:r w:rsidR="00B20155" w:rsidRPr="00443AB4">
        <w:rPr>
          <w:lang w:val="en-GB"/>
        </w:rPr>
        <w:t xml:space="preserve"> </w:t>
      </w:r>
      <w:r w:rsidRPr="00443AB4">
        <w:rPr>
          <w:lang w:val="en-GB"/>
        </w:rPr>
        <w:t xml:space="preserve">the last 5 years. </w:t>
      </w:r>
    </w:p>
    <w:p w14:paraId="723248FA" w14:textId="402538B5" w:rsidR="00574E5F" w:rsidRDefault="00574E5F" w:rsidP="00087A5D">
      <w:pPr>
        <w:jc w:val="both"/>
      </w:pPr>
      <w:r>
        <w:t>As shown in the previous chapter the vehicle age is not a very good proxy for vehicle emissions. Whilst emission degradation due to age exists it is less than originally assumed, except for very old cars (&gt;15 years). More relevant is the Euro category of the vehicle (any imported vehicle has a clear declaration of the Euro standard).</w:t>
      </w:r>
      <w:r w:rsidRPr="0020239A">
        <w:t xml:space="preserve"> </w:t>
      </w:r>
      <w:r>
        <w:t xml:space="preserve">A Euro 4 vehicle from the year 2006 will not pollute significantly more than a Euro 4 vehicle from 2010. </w:t>
      </w:r>
      <w:r w:rsidR="00B20155">
        <w:t>The engine power is also not related directly to emissions of pollutants and is therefore not a very good criteria for the environmental performance of a vehicle. The fuel type used is far more relevant with significant differences between gasoline and diesel units.</w:t>
      </w:r>
    </w:p>
    <w:p w14:paraId="4B7C4170" w14:textId="6F56DB91" w:rsidR="00E645C2" w:rsidRDefault="00B472E9" w:rsidP="00087A5D">
      <w:pPr>
        <w:jc w:val="both"/>
      </w:pPr>
      <w:r>
        <w:t>The objective of a</w:t>
      </w:r>
      <w:r w:rsidR="00326F3C">
        <w:t xml:space="preserve"> </w:t>
      </w:r>
      <w:r>
        <w:t xml:space="preserve">vehicle </w:t>
      </w:r>
      <w:r w:rsidR="00326F3C">
        <w:t xml:space="preserve">excise </w:t>
      </w:r>
      <w:r>
        <w:t xml:space="preserve">tax </w:t>
      </w:r>
      <w:r w:rsidR="003941E8">
        <w:t xml:space="preserve">based on environmental criteria </w:t>
      </w:r>
      <w:r>
        <w:t>is to influen</w:t>
      </w:r>
      <w:r w:rsidR="00E645C2">
        <w:t>ce</w:t>
      </w:r>
      <w:r>
        <w:t xml:space="preserve"> purchase decisions towards lower emitting vehi</w:t>
      </w:r>
      <w:r w:rsidR="00E645C2">
        <w:t>c</w:t>
      </w:r>
      <w:r>
        <w:t xml:space="preserve">les being gasoline or EVs/hybrids and </w:t>
      </w:r>
      <w:r w:rsidR="00E645C2">
        <w:t xml:space="preserve">towards </w:t>
      </w:r>
      <w:r>
        <w:t>n</w:t>
      </w:r>
      <w:r w:rsidR="00E645C2">
        <w:t>e</w:t>
      </w:r>
      <w:r>
        <w:t>wer veh</w:t>
      </w:r>
      <w:r w:rsidR="00E645C2">
        <w:t>i</w:t>
      </w:r>
      <w:r>
        <w:t xml:space="preserve">cles. These shall be financially more </w:t>
      </w:r>
      <w:r w:rsidR="00E645C2">
        <w:t>attractive</w:t>
      </w:r>
      <w:r>
        <w:t xml:space="preserve"> </w:t>
      </w:r>
      <w:r w:rsidR="00E645C2">
        <w:t>than</w:t>
      </w:r>
      <w:r>
        <w:t xml:space="preserve"> </w:t>
      </w:r>
      <w:r w:rsidR="00E645C2">
        <w:t xml:space="preserve">old diesel cars. </w:t>
      </w:r>
      <w:r w:rsidR="00C9734C">
        <w:t xml:space="preserve">The tax influences the purchase decision as it directly results in a higher purchase cost of the vehicle. It therefore has the potential to divert car purchases towards newer </w:t>
      </w:r>
      <w:r w:rsidR="00E645C2">
        <w:t xml:space="preserve">and </w:t>
      </w:r>
      <w:r w:rsidR="00C9734C">
        <w:t xml:space="preserve">cleaner models. </w:t>
      </w:r>
    </w:p>
    <w:p w14:paraId="2B8D7423" w14:textId="3E6F876B" w:rsidR="00BD6E43" w:rsidRDefault="00326F3C" w:rsidP="00087A5D">
      <w:pPr>
        <w:jc w:val="both"/>
      </w:pPr>
      <w:r>
        <w:t xml:space="preserve">The </w:t>
      </w:r>
      <w:r w:rsidR="000B4022">
        <w:t xml:space="preserve">proposal is to re-structure the existing vehicle excise tax which </w:t>
      </w:r>
      <w:r w:rsidR="00BD6E43">
        <w:t xml:space="preserve">currently uses as criteria vehicle age and engine power and </w:t>
      </w:r>
      <w:r w:rsidR="000B4022">
        <w:t>escalates depending on the age of the vehicle</w:t>
      </w:r>
      <w:r w:rsidR="00666E7D">
        <w:t xml:space="preserve"> and the engine power </w:t>
      </w:r>
      <w:r w:rsidR="006F1D13">
        <w:t xml:space="preserve">and to </w:t>
      </w:r>
      <w:r w:rsidR="00BD6E43">
        <w:t>use criteria which have a direct correlation to vehicle emissions</w:t>
      </w:r>
      <w:r>
        <w:t>. The existing excise tax</w:t>
      </w:r>
      <w:r w:rsidR="00666E7D">
        <w:rPr>
          <w:rStyle w:val="FootnoteReference"/>
        </w:rPr>
        <w:footnoteReference w:id="65"/>
      </w:r>
      <w:r>
        <w:t xml:space="preserve"> </w:t>
      </w:r>
      <w:r w:rsidR="00BD6E43">
        <w:t xml:space="preserve">shall thus be </w:t>
      </w:r>
      <w:r>
        <w:t xml:space="preserve">adapted to account for the environmental impact of the vehicle. </w:t>
      </w:r>
    </w:p>
    <w:p w14:paraId="51970A1C" w14:textId="000B5A74" w:rsidR="00F132D8" w:rsidRDefault="00BD6E43" w:rsidP="00087A5D">
      <w:pPr>
        <w:jc w:val="both"/>
      </w:pPr>
      <w:r>
        <w:t>The criteria proposed for the excise tax are</w:t>
      </w:r>
      <w:r w:rsidR="008D0751">
        <w:t xml:space="preserve"> therefore the </w:t>
      </w:r>
      <w:r>
        <w:t xml:space="preserve">Euro </w:t>
      </w:r>
      <w:r w:rsidR="008D0751">
        <w:t xml:space="preserve">emission standard </w:t>
      </w:r>
      <w:r>
        <w:t>of the vehicle</w:t>
      </w:r>
      <w:r w:rsidR="008D0751">
        <w:t xml:space="preserve"> and f</w:t>
      </w:r>
      <w:r>
        <w:t>uel type / engine technology used</w:t>
      </w:r>
      <w:r w:rsidR="008D0751">
        <w:t xml:space="preserve">. </w:t>
      </w:r>
      <w:r>
        <w:t xml:space="preserve">Both criteria have a direct correlation </w:t>
      </w:r>
      <w:r w:rsidR="00F132D8">
        <w:t>to</w:t>
      </w:r>
      <w:r>
        <w:t xml:space="preserve"> vehicle emissions and are simple to control. At the same time new low-emission technologies including hybrid and electric vehicles can be promoted</w:t>
      </w:r>
      <w:r w:rsidR="008D0751">
        <w:t>. Hybrid cars reduce emissions and fuel consumption by 20-35% which justifies their promotion. Especially for taxis this would be a useful investment. Old hybrid cars shall not be promoted as their batteries have finished their useful life-span and would need to be replaced. Fostering EVs is justified due to 0-combustion emissions. Also used EVs shall be exempt</w:t>
      </w:r>
      <w:r w:rsidR="008D0751">
        <w:rPr>
          <w:rStyle w:val="FootnoteReference"/>
        </w:rPr>
        <w:footnoteReference w:id="66"/>
      </w:r>
      <w:r w:rsidR="008D0751">
        <w:t>.</w:t>
      </w:r>
    </w:p>
    <w:p w14:paraId="30C97417" w14:textId="59C17516" w:rsidR="00C9734C" w:rsidRDefault="00E645C2" w:rsidP="00087A5D">
      <w:pPr>
        <w:jc w:val="both"/>
      </w:pPr>
      <w:r>
        <w:t>Establishing ex</w:t>
      </w:r>
      <w:r w:rsidR="00666E7D">
        <w:t>-</w:t>
      </w:r>
      <w:proofErr w:type="gramStart"/>
      <w:r>
        <w:t>ante</w:t>
      </w:r>
      <w:proofErr w:type="gramEnd"/>
      <w:r>
        <w:t xml:space="preserve"> a “correct” tax level is virtually impossible as the impact depends on factors such as cost of 2</w:t>
      </w:r>
      <w:r w:rsidRPr="00E645C2">
        <w:rPr>
          <w:vertAlign w:val="superscript"/>
        </w:rPr>
        <w:t>nd</w:t>
      </w:r>
      <w:r>
        <w:t xml:space="preserve"> hand vehicles per fuel type and age category, preferences of clients, price elasticity for 2</w:t>
      </w:r>
      <w:r w:rsidRPr="00E645C2">
        <w:rPr>
          <w:vertAlign w:val="superscript"/>
        </w:rPr>
        <w:t>nd</w:t>
      </w:r>
      <w:r>
        <w:t xml:space="preserve"> hand cars or substitution elasticity between petrol and gasoline vehicles. The approach proposed is therefore to adjust the </w:t>
      </w:r>
      <w:r w:rsidR="00F132D8">
        <w:t xml:space="preserve">excise </w:t>
      </w:r>
      <w:r w:rsidR="00666E7D">
        <w:t xml:space="preserve">tax </w:t>
      </w:r>
      <w:r>
        <w:t xml:space="preserve">level </w:t>
      </w:r>
      <w:r w:rsidR="00666E7D">
        <w:t xml:space="preserve">in regular intervals e.g. </w:t>
      </w:r>
      <w:r>
        <w:t xml:space="preserve">every 2 years until the target is reached to basically import </w:t>
      </w:r>
      <w:r w:rsidR="00C117CE">
        <w:t xml:space="preserve">dominantly </w:t>
      </w:r>
      <w:r w:rsidR="00F132D8">
        <w:t xml:space="preserve">Euro 6 </w:t>
      </w:r>
      <w:r>
        <w:t>gasoline cars, EVs and hybrid vehicles</w:t>
      </w:r>
      <w:r w:rsidR="00BD6E43">
        <w:t>, whilst maintaining the desired tax income levels</w:t>
      </w:r>
      <w:r w:rsidR="006D102E">
        <w:rPr>
          <w:rStyle w:val="FootnoteReference"/>
        </w:rPr>
        <w:footnoteReference w:id="67"/>
      </w:r>
      <w:r w:rsidR="00BD6E43">
        <w:t>.</w:t>
      </w:r>
      <w:r>
        <w:t xml:space="preserve"> </w:t>
      </w:r>
      <w:r w:rsidR="00BD6E43">
        <w:t xml:space="preserve">The higher the share of gasoline or hybrid vehicles becomes, the more the tax level of also these vehicles must be increased (always maintaining the relative difference to the more polluting diesel units) to avoid erosion of tax income. </w:t>
      </w:r>
      <w:r w:rsidR="004B73F4">
        <w:t>The following table propose</w:t>
      </w:r>
      <w:r>
        <w:t>s</w:t>
      </w:r>
      <w:r w:rsidR="004B73F4">
        <w:t xml:space="preserve"> a structure for </w:t>
      </w:r>
      <w:r w:rsidR="00666E7D">
        <w:t xml:space="preserve">the excise tax on vehicles based on </w:t>
      </w:r>
      <w:r w:rsidR="004B73F4">
        <w:t xml:space="preserve">ecological </w:t>
      </w:r>
      <w:r w:rsidR="00666E7D">
        <w:t>criteria</w:t>
      </w:r>
      <w:r w:rsidR="004B73F4">
        <w:t>.</w:t>
      </w:r>
    </w:p>
    <w:p w14:paraId="795851B1" w14:textId="2F540343" w:rsidR="004B73F4" w:rsidRPr="001B11FD" w:rsidRDefault="004B73F4" w:rsidP="004B73F4">
      <w:pPr>
        <w:pStyle w:val="NoSpacing"/>
        <w:rPr>
          <w:b/>
        </w:rPr>
      </w:pPr>
      <w:r w:rsidRPr="001B11FD">
        <w:rPr>
          <w:b/>
        </w:rPr>
        <w:t xml:space="preserve">Table </w:t>
      </w:r>
      <w:r w:rsidRPr="001B11FD">
        <w:rPr>
          <w:b/>
        </w:rPr>
        <w:fldChar w:fldCharType="begin"/>
      </w:r>
      <w:r w:rsidRPr="001B11FD">
        <w:rPr>
          <w:b/>
        </w:rPr>
        <w:instrText xml:space="preserve"> SEQ Table \* ARABIC </w:instrText>
      </w:r>
      <w:r w:rsidRPr="001B11FD">
        <w:rPr>
          <w:b/>
        </w:rPr>
        <w:fldChar w:fldCharType="separate"/>
      </w:r>
      <w:r w:rsidR="00B20155">
        <w:rPr>
          <w:b/>
          <w:noProof/>
        </w:rPr>
        <w:t>9</w:t>
      </w:r>
      <w:r w:rsidRPr="001B11FD">
        <w:rPr>
          <w:b/>
        </w:rPr>
        <w:fldChar w:fldCharType="end"/>
      </w:r>
      <w:r w:rsidRPr="001B11FD">
        <w:rPr>
          <w:b/>
        </w:rPr>
        <w:t xml:space="preserve">: Proposed </w:t>
      </w:r>
      <w:r w:rsidR="00BD6E43">
        <w:rPr>
          <w:b/>
        </w:rPr>
        <w:t xml:space="preserve">Vehicle Excise </w:t>
      </w:r>
      <w:r w:rsidRPr="001B11FD">
        <w:rPr>
          <w:b/>
        </w:rPr>
        <w:t xml:space="preserve">Tax (in Euro per </w:t>
      </w:r>
      <w:r>
        <w:rPr>
          <w:b/>
        </w:rPr>
        <w:t>vehicle</w:t>
      </w:r>
      <w:r w:rsidRPr="001B11FD">
        <w:rPr>
          <w:b/>
        </w:rPr>
        <w:t>)</w:t>
      </w:r>
    </w:p>
    <w:tbl>
      <w:tblPr>
        <w:tblStyle w:val="TableGrid"/>
        <w:tblW w:w="0" w:type="auto"/>
        <w:tblLook w:val="04A0" w:firstRow="1" w:lastRow="0" w:firstColumn="1" w:lastColumn="0" w:noHBand="0" w:noVBand="1"/>
      </w:tblPr>
      <w:tblGrid>
        <w:gridCol w:w="2631"/>
        <w:gridCol w:w="1608"/>
        <w:gridCol w:w="1673"/>
        <w:gridCol w:w="1456"/>
        <w:gridCol w:w="1456"/>
      </w:tblGrid>
      <w:tr w:rsidR="006D102E" w:rsidRPr="001B11FD" w14:paraId="3311AEB6" w14:textId="77777777" w:rsidTr="00D6548E">
        <w:tc>
          <w:tcPr>
            <w:tcW w:w="2631" w:type="dxa"/>
            <w:shd w:val="clear" w:color="auto" w:fill="D9E2F3" w:themeFill="accent1" w:themeFillTint="33"/>
          </w:tcPr>
          <w:p w14:paraId="4C42E0EC" w14:textId="2317CDF0" w:rsidR="006D102E" w:rsidRPr="001B11FD" w:rsidRDefault="006D102E" w:rsidP="006D102E">
            <w:pPr>
              <w:pStyle w:val="NoSpacing"/>
              <w:rPr>
                <w:b/>
              </w:rPr>
            </w:pPr>
            <w:r>
              <w:rPr>
                <w:b/>
              </w:rPr>
              <w:lastRenderedPageBreak/>
              <w:t>Euro Standard</w:t>
            </w:r>
          </w:p>
        </w:tc>
        <w:tc>
          <w:tcPr>
            <w:tcW w:w="1608" w:type="dxa"/>
            <w:shd w:val="clear" w:color="auto" w:fill="D9E2F3" w:themeFill="accent1" w:themeFillTint="33"/>
          </w:tcPr>
          <w:p w14:paraId="3CBB8DAF" w14:textId="77777777" w:rsidR="006D102E" w:rsidRPr="001B11FD" w:rsidRDefault="006D102E" w:rsidP="006D102E">
            <w:pPr>
              <w:pStyle w:val="NoSpacing"/>
              <w:jc w:val="center"/>
              <w:rPr>
                <w:b/>
              </w:rPr>
            </w:pPr>
            <w:r w:rsidRPr="001B11FD">
              <w:rPr>
                <w:b/>
              </w:rPr>
              <w:t>Diesel cars</w:t>
            </w:r>
          </w:p>
        </w:tc>
        <w:tc>
          <w:tcPr>
            <w:tcW w:w="1673" w:type="dxa"/>
            <w:shd w:val="clear" w:color="auto" w:fill="D9E2F3" w:themeFill="accent1" w:themeFillTint="33"/>
          </w:tcPr>
          <w:p w14:paraId="02374526" w14:textId="77777777" w:rsidR="006D102E" w:rsidRPr="001B11FD" w:rsidRDefault="006D102E" w:rsidP="006D102E">
            <w:pPr>
              <w:pStyle w:val="NoSpacing"/>
              <w:jc w:val="center"/>
              <w:rPr>
                <w:b/>
              </w:rPr>
            </w:pPr>
            <w:r w:rsidRPr="001B11FD">
              <w:rPr>
                <w:b/>
              </w:rPr>
              <w:t>Gasoline cars</w:t>
            </w:r>
          </w:p>
        </w:tc>
        <w:tc>
          <w:tcPr>
            <w:tcW w:w="1456" w:type="dxa"/>
            <w:shd w:val="clear" w:color="auto" w:fill="D9E2F3" w:themeFill="accent1" w:themeFillTint="33"/>
          </w:tcPr>
          <w:p w14:paraId="28F84F06" w14:textId="73825B75" w:rsidR="006D102E" w:rsidRDefault="006D102E" w:rsidP="006D102E">
            <w:pPr>
              <w:pStyle w:val="NoSpacing"/>
              <w:jc w:val="center"/>
              <w:rPr>
                <w:b/>
              </w:rPr>
            </w:pPr>
            <w:r>
              <w:rPr>
                <w:b/>
              </w:rPr>
              <w:t>H</w:t>
            </w:r>
            <w:r w:rsidRPr="001B11FD">
              <w:rPr>
                <w:b/>
              </w:rPr>
              <w:t>ybrids</w:t>
            </w:r>
          </w:p>
        </w:tc>
        <w:tc>
          <w:tcPr>
            <w:tcW w:w="1456" w:type="dxa"/>
            <w:shd w:val="clear" w:color="auto" w:fill="D9E2F3" w:themeFill="accent1" w:themeFillTint="33"/>
          </w:tcPr>
          <w:p w14:paraId="0CA156A1" w14:textId="621C75AE" w:rsidR="006D102E" w:rsidRDefault="006D102E" w:rsidP="006D102E">
            <w:pPr>
              <w:pStyle w:val="NoSpacing"/>
              <w:jc w:val="center"/>
              <w:rPr>
                <w:b/>
              </w:rPr>
            </w:pPr>
            <w:r>
              <w:rPr>
                <w:b/>
              </w:rPr>
              <w:t>EVs</w:t>
            </w:r>
          </w:p>
        </w:tc>
      </w:tr>
      <w:tr w:rsidR="006D102E" w14:paraId="49FFE8D7" w14:textId="77777777" w:rsidTr="006D102E">
        <w:tc>
          <w:tcPr>
            <w:tcW w:w="2631" w:type="dxa"/>
          </w:tcPr>
          <w:p w14:paraId="48683D01" w14:textId="291C872E" w:rsidR="006D102E" w:rsidRDefault="006D102E" w:rsidP="006D102E">
            <w:pPr>
              <w:pStyle w:val="NoSpacing"/>
            </w:pPr>
            <w:r>
              <w:t>Euro 6</w:t>
            </w:r>
          </w:p>
        </w:tc>
        <w:tc>
          <w:tcPr>
            <w:tcW w:w="1608" w:type="dxa"/>
          </w:tcPr>
          <w:p w14:paraId="61F934BD" w14:textId="66684779" w:rsidR="006D102E" w:rsidRDefault="009E1666" w:rsidP="006D102E">
            <w:pPr>
              <w:pStyle w:val="NoSpacing"/>
              <w:jc w:val="center"/>
            </w:pPr>
            <w:r>
              <w:t>80</w:t>
            </w:r>
            <w:r w:rsidR="006D102E">
              <w:t>0 Euro</w:t>
            </w:r>
          </w:p>
        </w:tc>
        <w:tc>
          <w:tcPr>
            <w:tcW w:w="1673" w:type="dxa"/>
          </w:tcPr>
          <w:p w14:paraId="30692DA6" w14:textId="700CC2D5" w:rsidR="006D102E" w:rsidRDefault="009E1666" w:rsidP="006D102E">
            <w:pPr>
              <w:pStyle w:val="NoSpacing"/>
              <w:jc w:val="center"/>
            </w:pPr>
            <w:r>
              <w:t>3</w:t>
            </w:r>
            <w:r w:rsidR="006D102E">
              <w:t>00 Euro</w:t>
            </w:r>
          </w:p>
        </w:tc>
        <w:tc>
          <w:tcPr>
            <w:tcW w:w="1456" w:type="dxa"/>
          </w:tcPr>
          <w:p w14:paraId="639109A1" w14:textId="6AFB8DAA" w:rsidR="006D102E" w:rsidRDefault="006D102E" w:rsidP="006D102E">
            <w:pPr>
              <w:pStyle w:val="NoSpacing"/>
              <w:jc w:val="center"/>
            </w:pPr>
            <w:r>
              <w:t>0 Euro</w:t>
            </w:r>
          </w:p>
        </w:tc>
        <w:tc>
          <w:tcPr>
            <w:tcW w:w="1456" w:type="dxa"/>
            <w:vMerge w:val="restart"/>
            <w:vAlign w:val="center"/>
          </w:tcPr>
          <w:p w14:paraId="221A2ADE" w14:textId="58E786BF" w:rsidR="006D102E" w:rsidRDefault="006D102E" w:rsidP="006D102E">
            <w:pPr>
              <w:pStyle w:val="NoSpacing"/>
              <w:jc w:val="center"/>
            </w:pPr>
            <w:r>
              <w:t>0 Euro</w:t>
            </w:r>
          </w:p>
        </w:tc>
      </w:tr>
      <w:tr w:rsidR="006D102E" w14:paraId="68C9C3E7" w14:textId="77777777" w:rsidTr="00D6548E">
        <w:tc>
          <w:tcPr>
            <w:tcW w:w="2631" w:type="dxa"/>
          </w:tcPr>
          <w:p w14:paraId="3DB7A967" w14:textId="6FE9AE90" w:rsidR="006D102E" w:rsidRDefault="006D102E" w:rsidP="006D102E">
            <w:pPr>
              <w:pStyle w:val="NoSpacing"/>
            </w:pPr>
            <w:r>
              <w:t xml:space="preserve">Euro 5 </w:t>
            </w:r>
          </w:p>
        </w:tc>
        <w:tc>
          <w:tcPr>
            <w:tcW w:w="1608" w:type="dxa"/>
          </w:tcPr>
          <w:p w14:paraId="49EAAEA2" w14:textId="5376099F" w:rsidR="006D102E" w:rsidRDefault="006D102E" w:rsidP="006D102E">
            <w:pPr>
              <w:pStyle w:val="NoSpacing"/>
              <w:jc w:val="center"/>
            </w:pPr>
            <w:r>
              <w:t>1,500 Euro</w:t>
            </w:r>
          </w:p>
        </w:tc>
        <w:tc>
          <w:tcPr>
            <w:tcW w:w="1673" w:type="dxa"/>
          </w:tcPr>
          <w:p w14:paraId="4B3A4B00" w14:textId="6C5E37C7" w:rsidR="006D102E" w:rsidRDefault="009E1666" w:rsidP="006D102E">
            <w:pPr>
              <w:pStyle w:val="NoSpacing"/>
              <w:jc w:val="center"/>
            </w:pPr>
            <w:r>
              <w:t>5</w:t>
            </w:r>
            <w:r w:rsidR="006D102E">
              <w:t>00 Euro</w:t>
            </w:r>
          </w:p>
        </w:tc>
        <w:tc>
          <w:tcPr>
            <w:tcW w:w="1456" w:type="dxa"/>
          </w:tcPr>
          <w:p w14:paraId="70CF55A5" w14:textId="2DD5BCB2" w:rsidR="006D102E" w:rsidRDefault="006D102E" w:rsidP="006D102E">
            <w:pPr>
              <w:pStyle w:val="NoSpacing"/>
              <w:jc w:val="center"/>
            </w:pPr>
            <w:r>
              <w:t>200 Euro</w:t>
            </w:r>
          </w:p>
        </w:tc>
        <w:tc>
          <w:tcPr>
            <w:tcW w:w="1456" w:type="dxa"/>
            <w:vMerge/>
          </w:tcPr>
          <w:p w14:paraId="3DA59254" w14:textId="4E2B5E59" w:rsidR="006D102E" w:rsidRDefault="006D102E" w:rsidP="006D102E">
            <w:pPr>
              <w:pStyle w:val="NoSpacing"/>
              <w:jc w:val="center"/>
            </w:pPr>
          </w:p>
        </w:tc>
      </w:tr>
      <w:tr w:rsidR="006D102E" w14:paraId="0D77CAFF" w14:textId="77777777" w:rsidTr="00D6548E">
        <w:tc>
          <w:tcPr>
            <w:tcW w:w="2631" w:type="dxa"/>
          </w:tcPr>
          <w:p w14:paraId="79946CF9" w14:textId="2FC4759D" w:rsidR="006D102E" w:rsidRDefault="006D102E" w:rsidP="006D102E">
            <w:pPr>
              <w:pStyle w:val="NoSpacing"/>
            </w:pPr>
            <w:r>
              <w:t>Euro 4 or less</w:t>
            </w:r>
          </w:p>
        </w:tc>
        <w:tc>
          <w:tcPr>
            <w:tcW w:w="1608" w:type="dxa"/>
          </w:tcPr>
          <w:p w14:paraId="4E2589BD" w14:textId="21A6492A" w:rsidR="006D102E" w:rsidRDefault="006D102E" w:rsidP="006D102E">
            <w:pPr>
              <w:pStyle w:val="NoSpacing"/>
              <w:jc w:val="center"/>
            </w:pPr>
            <w:r>
              <w:t>3,000</w:t>
            </w:r>
            <w:r w:rsidRPr="006F585B">
              <w:t xml:space="preserve"> Euro</w:t>
            </w:r>
          </w:p>
        </w:tc>
        <w:tc>
          <w:tcPr>
            <w:tcW w:w="1673" w:type="dxa"/>
          </w:tcPr>
          <w:p w14:paraId="1121E61D" w14:textId="2EF0D0CD" w:rsidR="006D102E" w:rsidRDefault="009E1666" w:rsidP="006D102E">
            <w:pPr>
              <w:pStyle w:val="NoSpacing"/>
              <w:jc w:val="center"/>
            </w:pPr>
            <w:r>
              <w:t>1,0</w:t>
            </w:r>
            <w:r w:rsidR="006D102E">
              <w:t>0</w:t>
            </w:r>
            <w:r w:rsidR="006D102E" w:rsidRPr="006F585B">
              <w:t>0 Euro</w:t>
            </w:r>
          </w:p>
        </w:tc>
        <w:tc>
          <w:tcPr>
            <w:tcW w:w="1456" w:type="dxa"/>
          </w:tcPr>
          <w:p w14:paraId="1E24CC43" w14:textId="1B512476" w:rsidR="006D102E" w:rsidRDefault="009E1666" w:rsidP="006D102E">
            <w:pPr>
              <w:pStyle w:val="NoSpacing"/>
              <w:jc w:val="center"/>
            </w:pPr>
            <w:r>
              <w:t>1,0</w:t>
            </w:r>
            <w:r w:rsidR="006D102E">
              <w:t>00</w:t>
            </w:r>
            <w:r w:rsidR="006D102E" w:rsidRPr="006F585B">
              <w:t xml:space="preserve"> Euro</w:t>
            </w:r>
          </w:p>
        </w:tc>
        <w:tc>
          <w:tcPr>
            <w:tcW w:w="1456" w:type="dxa"/>
            <w:vMerge/>
          </w:tcPr>
          <w:p w14:paraId="4B548BA5" w14:textId="5D15888F" w:rsidR="006D102E" w:rsidRDefault="006D102E" w:rsidP="006D102E">
            <w:pPr>
              <w:pStyle w:val="NoSpacing"/>
              <w:jc w:val="center"/>
            </w:pPr>
          </w:p>
        </w:tc>
      </w:tr>
    </w:tbl>
    <w:p w14:paraId="5EAE61B7" w14:textId="17798518" w:rsidR="004B73F4" w:rsidRPr="00E645C2" w:rsidRDefault="00E645C2" w:rsidP="00087A5D">
      <w:pPr>
        <w:jc w:val="both"/>
        <w:rPr>
          <w:sz w:val="20"/>
        </w:rPr>
      </w:pPr>
      <w:r w:rsidRPr="00E645C2">
        <w:rPr>
          <w:sz w:val="20"/>
        </w:rPr>
        <w:t xml:space="preserve">Note: this tax is additional to the current charged </w:t>
      </w:r>
      <w:r>
        <w:rPr>
          <w:sz w:val="20"/>
        </w:rPr>
        <w:t xml:space="preserve">vehicle import </w:t>
      </w:r>
      <w:r w:rsidRPr="00E645C2">
        <w:rPr>
          <w:sz w:val="20"/>
        </w:rPr>
        <w:t>taxes</w:t>
      </w:r>
    </w:p>
    <w:bookmarkEnd w:id="47"/>
    <w:p w14:paraId="462E1231" w14:textId="02D119F7" w:rsidR="009E1666" w:rsidRDefault="006D102E" w:rsidP="00087A5D">
      <w:pPr>
        <w:jc w:val="both"/>
      </w:pPr>
      <w:r>
        <w:t xml:space="preserve">The </w:t>
      </w:r>
      <w:r w:rsidR="00F132D8">
        <w:t xml:space="preserve">projected </w:t>
      </w:r>
      <w:r>
        <w:t xml:space="preserve">average </w:t>
      </w:r>
      <w:r w:rsidR="00F132D8">
        <w:t xml:space="preserve">vehicle to be imported </w:t>
      </w:r>
      <w:r w:rsidR="0089411D">
        <w:t>is Euro 5</w:t>
      </w:r>
      <w:r w:rsidR="00F132D8">
        <w:t xml:space="preserve"> (based on the average age of imported vehicles in 2018)</w:t>
      </w:r>
      <w:r w:rsidR="0089411D">
        <w:t xml:space="preserve">. The average excise tax level for diesel cars was </w:t>
      </w:r>
      <w:r w:rsidR="00F132D8">
        <w:t xml:space="preserve">in 2018 </w:t>
      </w:r>
      <w:r w:rsidR="0089411D">
        <w:t xml:space="preserve">around 800 Euro and for gasoline units 400 Euro i.e. a difference of 400 Euro. </w:t>
      </w:r>
      <w:r w:rsidR="00F132D8">
        <w:t xml:space="preserve">It is proposed to increase the level for diesel vehicles </w:t>
      </w:r>
      <w:r w:rsidR="0089411D">
        <w:t xml:space="preserve">which </w:t>
      </w:r>
      <w:r w:rsidR="00F132D8">
        <w:t xml:space="preserve">would </w:t>
      </w:r>
      <w:r w:rsidR="0089411D">
        <w:t>result in less import</w:t>
      </w:r>
      <w:r w:rsidR="00F132D8">
        <w:t>s</w:t>
      </w:r>
      <w:r w:rsidR="0089411D">
        <w:t xml:space="preserve"> of diesel units but a higher level of import of gasoline units. Shifts will also result in the average vehicle value (higher for gasoline cars) which result in changes of VAT and import duty income. The Euro 5 excise tax levels have thus been calculated to achieve a comparable total excise tax income based on </w:t>
      </w:r>
      <w:r w:rsidR="009E1666">
        <w:t xml:space="preserve">70% gasoline and 30% diesel car imports instead of the 2018 </w:t>
      </w:r>
      <w:r w:rsidR="00F132D8">
        <w:t xml:space="preserve">share of </w:t>
      </w:r>
      <w:r w:rsidR="009E1666">
        <w:t xml:space="preserve">90% diesel </w:t>
      </w:r>
      <w:r w:rsidR="00F132D8">
        <w:t>cars</w:t>
      </w:r>
      <w:r w:rsidR="009E1666">
        <w:t>. Also, a minimum tax difference of 1,000 Euro shall be between the categories to incentivize a move away from diesel vehicles.</w:t>
      </w:r>
      <w:r w:rsidR="008D0751">
        <w:t xml:space="preserve"> The following table shows the modelled result of applying the new ecological criteria versus the current criteria. As can be seen the change of criteria is expected to be fiscally neutral.</w:t>
      </w:r>
    </w:p>
    <w:p w14:paraId="16F82CB2" w14:textId="2CABD2B1" w:rsidR="00F132D8" w:rsidRPr="008D0751" w:rsidRDefault="00F132D8" w:rsidP="008D0751">
      <w:pPr>
        <w:pStyle w:val="NoSpacing"/>
        <w:rPr>
          <w:b/>
          <w:sz w:val="20"/>
        </w:rPr>
      </w:pPr>
      <w:r w:rsidRPr="008D0751">
        <w:rPr>
          <w:b/>
          <w:sz w:val="20"/>
        </w:rPr>
        <w:t xml:space="preserve">Table </w:t>
      </w:r>
      <w:r w:rsidRPr="008D0751">
        <w:rPr>
          <w:b/>
          <w:sz w:val="20"/>
        </w:rPr>
        <w:fldChar w:fldCharType="begin"/>
      </w:r>
      <w:r w:rsidRPr="008D0751">
        <w:rPr>
          <w:b/>
          <w:sz w:val="20"/>
        </w:rPr>
        <w:instrText xml:space="preserve"> SEQ Table \* ARABIC </w:instrText>
      </w:r>
      <w:r w:rsidRPr="008D0751">
        <w:rPr>
          <w:b/>
          <w:sz w:val="20"/>
        </w:rPr>
        <w:fldChar w:fldCharType="separate"/>
      </w:r>
      <w:r w:rsidR="00B20155">
        <w:rPr>
          <w:b/>
          <w:noProof/>
          <w:sz w:val="20"/>
        </w:rPr>
        <w:t>10</w:t>
      </w:r>
      <w:r w:rsidRPr="008D0751">
        <w:rPr>
          <w:b/>
          <w:sz w:val="20"/>
        </w:rPr>
        <w:fldChar w:fldCharType="end"/>
      </w:r>
      <w:r w:rsidRPr="008D0751">
        <w:rPr>
          <w:b/>
          <w:sz w:val="20"/>
        </w:rPr>
        <w:t xml:space="preserve">: Modelled </w:t>
      </w:r>
      <w:r w:rsidR="001D4766">
        <w:rPr>
          <w:b/>
          <w:sz w:val="20"/>
        </w:rPr>
        <w:t xml:space="preserve">Financial </w:t>
      </w:r>
      <w:r w:rsidRPr="008D0751">
        <w:rPr>
          <w:b/>
          <w:sz w:val="20"/>
        </w:rPr>
        <w:t>Result Excise Tax Old/New Criteria</w:t>
      </w:r>
      <w:r w:rsidR="007B12EE">
        <w:rPr>
          <w:b/>
          <w:sz w:val="20"/>
        </w:rPr>
        <w:t xml:space="preserve"> for 2018</w:t>
      </w:r>
    </w:p>
    <w:tbl>
      <w:tblPr>
        <w:tblStyle w:val="TableGrid"/>
        <w:tblW w:w="0" w:type="auto"/>
        <w:tblLook w:val="04A0" w:firstRow="1" w:lastRow="0" w:firstColumn="1" w:lastColumn="0" w:noHBand="0" w:noVBand="1"/>
      </w:tblPr>
      <w:tblGrid>
        <w:gridCol w:w="2245"/>
        <w:gridCol w:w="2070"/>
        <w:gridCol w:w="2430"/>
      </w:tblGrid>
      <w:tr w:rsidR="008D0751" w:rsidRPr="008D0751" w14:paraId="7D4822E8" w14:textId="77777777" w:rsidTr="008D0751">
        <w:tc>
          <w:tcPr>
            <w:tcW w:w="2245" w:type="dxa"/>
            <w:shd w:val="clear" w:color="auto" w:fill="D9E2F3" w:themeFill="accent1" w:themeFillTint="33"/>
          </w:tcPr>
          <w:p w14:paraId="390F7C5D" w14:textId="065EBB1F" w:rsidR="008D0751" w:rsidRPr="008D0751" w:rsidRDefault="008D0751" w:rsidP="008D0751">
            <w:pPr>
              <w:pStyle w:val="NoSpacing"/>
              <w:rPr>
                <w:b/>
                <w:sz w:val="20"/>
              </w:rPr>
            </w:pPr>
            <w:r w:rsidRPr="008D0751">
              <w:rPr>
                <w:b/>
                <w:sz w:val="20"/>
              </w:rPr>
              <w:t>Parameter</w:t>
            </w:r>
          </w:p>
        </w:tc>
        <w:tc>
          <w:tcPr>
            <w:tcW w:w="2070" w:type="dxa"/>
            <w:shd w:val="clear" w:color="auto" w:fill="D9E2F3" w:themeFill="accent1" w:themeFillTint="33"/>
          </w:tcPr>
          <w:p w14:paraId="2222C178" w14:textId="0D12E09E" w:rsidR="008D0751" w:rsidRPr="008D0751" w:rsidRDefault="008D0751" w:rsidP="008D0751">
            <w:pPr>
              <w:pStyle w:val="NoSpacing"/>
              <w:jc w:val="center"/>
              <w:rPr>
                <w:b/>
                <w:sz w:val="20"/>
              </w:rPr>
            </w:pPr>
            <w:r w:rsidRPr="008D0751">
              <w:rPr>
                <w:b/>
                <w:sz w:val="20"/>
              </w:rPr>
              <w:t>Current Criteria</w:t>
            </w:r>
          </w:p>
        </w:tc>
        <w:tc>
          <w:tcPr>
            <w:tcW w:w="2430" w:type="dxa"/>
            <w:shd w:val="clear" w:color="auto" w:fill="D9E2F3" w:themeFill="accent1" w:themeFillTint="33"/>
          </w:tcPr>
          <w:p w14:paraId="2A64EF96" w14:textId="08ACF637" w:rsidR="008D0751" w:rsidRPr="008D0751" w:rsidRDefault="008D0751" w:rsidP="008D0751">
            <w:pPr>
              <w:pStyle w:val="NoSpacing"/>
              <w:jc w:val="center"/>
              <w:rPr>
                <w:b/>
                <w:sz w:val="20"/>
              </w:rPr>
            </w:pPr>
            <w:r w:rsidRPr="008D0751">
              <w:rPr>
                <w:b/>
                <w:sz w:val="20"/>
              </w:rPr>
              <w:t>Ecological Criteria</w:t>
            </w:r>
          </w:p>
        </w:tc>
      </w:tr>
      <w:tr w:rsidR="008D0751" w:rsidRPr="008D0751" w14:paraId="64646536" w14:textId="77777777" w:rsidTr="008D0751">
        <w:tc>
          <w:tcPr>
            <w:tcW w:w="2245" w:type="dxa"/>
          </w:tcPr>
          <w:p w14:paraId="5370212E" w14:textId="7033FED3" w:rsidR="008D0751" w:rsidRPr="008D0751" w:rsidRDefault="008D0751" w:rsidP="008D0751">
            <w:pPr>
              <w:pStyle w:val="NoSpacing"/>
              <w:rPr>
                <w:sz w:val="20"/>
              </w:rPr>
            </w:pPr>
            <w:r w:rsidRPr="008D0751">
              <w:rPr>
                <w:sz w:val="20"/>
              </w:rPr>
              <w:t>Share diesel cars</w:t>
            </w:r>
          </w:p>
        </w:tc>
        <w:tc>
          <w:tcPr>
            <w:tcW w:w="2070" w:type="dxa"/>
          </w:tcPr>
          <w:p w14:paraId="0FB5C824" w14:textId="1E228CBF" w:rsidR="008D0751" w:rsidRPr="008D0751" w:rsidRDefault="008D0751" w:rsidP="008D0751">
            <w:pPr>
              <w:pStyle w:val="NoSpacing"/>
              <w:jc w:val="center"/>
              <w:rPr>
                <w:sz w:val="20"/>
              </w:rPr>
            </w:pPr>
            <w:r>
              <w:rPr>
                <w:sz w:val="20"/>
              </w:rPr>
              <w:t>88%</w:t>
            </w:r>
          </w:p>
        </w:tc>
        <w:tc>
          <w:tcPr>
            <w:tcW w:w="2430" w:type="dxa"/>
          </w:tcPr>
          <w:p w14:paraId="4BCBCC2B" w14:textId="38B14D62" w:rsidR="008D0751" w:rsidRPr="008D0751" w:rsidRDefault="008D0751" w:rsidP="008D0751">
            <w:pPr>
              <w:pStyle w:val="NoSpacing"/>
              <w:jc w:val="center"/>
              <w:rPr>
                <w:sz w:val="20"/>
              </w:rPr>
            </w:pPr>
            <w:r>
              <w:rPr>
                <w:sz w:val="20"/>
              </w:rPr>
              <w:t>30%</w:t>
            </w:r>
          </w:p>
        </w:tc>
      </w:tr>
      <w:tr w:rsidR="008D0751" w:rsidRPr="008D0751" w14:paraId="6ED6E2D5" w14:textId="77777777" w:rsidTr="008D0751">
        <w:tc>
          <w:tcPr>
            <w:tcW w:w="2245" w:type="dxa"/>
          </w:tcPr>
          <w:p w14:paraId="7A8BAF6A" w14:textId="74CC82B7" w:rsidR="008D0751" w:rsidRPr="008D0751" w:rsidRDefault="008D0751" w:rsidP="008D0751">
            <w:pPr>
              <w:pStyle w:val="NoSpacing"/>
              <w:rPr>
                <w:sz w:val="20"/>
              </w:rPr>
            </w:pPr>
            <w:r w:rsidRPr="008D0751">
              <w:rPr>
                <w:sz w:val="20"/>
              </w:rPr>
              <w:t>Share gasoline cars</w:t>
            </w:r>
          </w:p>
        </w:tc>
        <w:tc>
          <w:tcPr>
            <w:tcW w:w="2070" w:type="dxa"/>
          </w:tcPr>
          <w:p w14:paraId="5BD57DCD" w14:textId="565C67B1" w:rsidR="008D0751" w:rsidRPr="008D0751" w:rsidRDefault="008D0751" w:rsidP="008D0751">
            <w:pPr>
              <w:pStyle w:val="NoSpacing"/>
              <w:jc w:val="center"/>
              <w:rPr>
                <w:sz w:val="20"/>
              </w:rPr>
            </w:pPr>
            <w:r>
              <w:rPr>
                <w:sz w:val="20"/>
              </w:rPr>
              <w:t>12%</w:t>
            </w:r>
          </w:p>
        </w:tc>
        <w:tc>
          <w:tcPr>
            <w:tcW w:w="2430" w:type="dxa"/>
          </w:tcPr>
          <w:p w14:paraId="28480AE6" w14:textId="79325D9F" w:rsidR="008D0751" w:rsidRPr="008D0751" w:rsidRDefault="008D0751" w:rsidP="008D0751">
            <w:pPr>
              <w:pStyle w:val="NoSpacing"/>
              <w:jc w:val="center"/>
              <w:rPr>
                <w:sz w:val="20"/>
              </w:rPr>
            </w:pPr>
            <w:r>
              <w:rPr>
                <w:sz w:val="20"/>
              </w:rPr>
              <w:t>65%</w:t>
            </w:r>
          </w:p>
        </w:tc>
      </w:tr>
      <w:tr w:rsidR="008D0751" w:rsidRPr="008D0751" w14:paraId="664B247F" w14:textId="77777777" w:rsidTr="008D0751">
        <w:tc>
          <w:tcPr>
            <w:tcW w:w="2245" w:type="dxa"/>
          </w:tcPr>
          <w:p w14:paraId="44C8F7F2" w14:textId="39E84889" w:rsidR="008D0751" w:rsidRPr="008D0751" w:rsidRDefault="008D0751" w:rsidP="008D0751">
            <w:pPr>
              <w:pStyle w:val="NoSpacing"/>
              <w:rPr>
                <w:sz w:val="20"/>
              </w:rPr>
            </w:pPr>
            <w:r w:rsidRPr="008D0751">
              <w:rPr>
                <w:sz w:val="20"/>
              </w:rPr>
              <w:t>Share Hybrids</w:t>
            </w:r>
          </w:p>
        </w:tc>
        <w:tc>
          <w:tcPr>
            <w:tcW w:w="2070" w:type="dxa"/>
          </w:tcPr>
          <w:p w14:paraId="6CDCCE69" w14:textId="2EF3245D" w:rsidR="008D0751" w:rsidRPr="008D0751" w:rsidRDefault="008D0751" w:rsidP="008D0751">
            <w:pPr>
              <w:pStyle w:val="NoSpacing"/>
              <w:jc w:val="center"/>
              <w:rPr>
                <w:sz w:val="20"/>
              </w:rPr>
            </w:pPr>
            <w:r>
              <w:rPr>
                <w:sz w:val="20"/>
              </w:rPr>
              <w:t>0%</w:t>
            </w:r>
          </w:p>
        </w:tc>
        <w:tc>
          <w:tcPr>
            <w:tcW w:w="2430" w:type="dxa"/>
          </w:tcPr>
          <w:p w14:paraId="6DE787A1" w14:textId="2A859121" w:rsidR="008D0751" w:rsidRPr="008D0751" w:rsidRDefault="008D0751" w:rsidP="008D0751">
            <w:pPr>
              <w:pStyle w:val="NoSpacing"/>
              <w:jc w:val="center"/>
              <w:rPr>
                <w:sz w:val="20"/>
              </w:rPr>
            </w:pPr>
            <w:r>
              <w:rPr>
                <w:sz w:val="20"/>
              </w:rPr>
              <w:t>5%</w:t>
            </w:r>
          </w:p>
        </w:tc>
      </w:tr>
      <w:tr w:rsidR="008D0751" w:rsidRPr="008D0751" w14:paraId="1628FAC6" w14:textId="77777777" w:rsidTr="008D0751">
        <w:tc>
          <w:tcPr>
            <w:tcW w:w="2245" w:type="dxa"/>
          </w:tcPr>
          <w:p w14:paraId="7808A4B6" w14:textId="466E6AC9" w:rsidR="008D0751" w:rsidRPr="008D0751" w:rsidRDefault="008D0751" w:rsidP="008D0751">
            <w:pPr>
              <w:pStyle w:val="NoSpacing"/>
              <w:rPr>
                <w:sz w:val="20"/>
              </w:rPr>
            </w:pPr>
            <w:r w:rsidRPr="008D0751">
              <w:rPr>
                <w:sz w:val="20"/>
              </w:rPr>
              <w:t>Share EVs</w:t>
            </w:r>
          </w:p>
        </w:tc>
        <w:tc>
          <w:tcPr>
            <w:tcW w:w="2070" w:type="dxa"/>
          </w:tcPr>
          <w:p w14:paraId="7EA3E435" w14:textId="28EBEC64" w:rsidR="008D0751" w:rsidRPr="008D0751" w:rsidRDefault="008D0751" w:rsidP="008D0751">
            <w:pPr>
              <w:pStyle w:val="NoSpacing"/>
              <w:jc w:val="center"/>
              <w:rPr>
                <w:sz w:val="20"/>
              </w:rPr>
            </w:pPr>
            <w:r>
              <w:rPr>
                <w:sz w:val="20"/>
              </w:rPr>
              <w:t>0%</w:t>
            </w:r>
          </w:p>
        </w:tc>
        <w:tc>
          <w:tcPr>
            <w:tcW w:w="2430" w:type="dxa"/>
          </w:tcPr>
          <w:p w14:paraId="7076BC76" w14:textId="4104E1F5" w:rsidR="008D0751" w:rsidRPr="008D0751" w:rsidRDefault="008D0751" w:rsidP="008D0751">
            <w:pPr>
              <w:pStyle w:val="NoSpacing"/>
              <w:jc w:val="center"/>
              <w:rPr>
                <w:sz w:val="20"/>
              </w:rPr>
            </w:pPr>
            <w:r>
              <w:rPr>
                <w:sz w:val="20"/>
              </w:rPr>
              <w:t>0%</w:t>
            </w:r>
          </w:p>
        </w:tc>
      </w:tr>
      <w:tr w:rsidR="008D0751" w:rsidRPr="008D0751" w14:paraId="36D91FAC" w14:textId="77777777" w:rsidTr="008D0751">
        <w:tc>
          <w:tcPr>
            <w:tcW w:w="2245" w:type="dxa"/>
          </w:tcPr>
          <w:p w14:paraId="09C31154" w14:textId="735B06FF" w:rsidR="008D0751" w:rsidRPr="008D0751" w:rsidRDefault="008D0751" w:rsidP="008D0751">
            <w:pPr>
              <w:pStyle w:val="NoSpacing"/>
              <w:rPr>
                <w:sz w:val="20"/>
              </w:rPr>
            </w:pPr>
            <w:r w:rsidRPr="008D0751">
              <w:rPr>
                <w:sz w:val="20"/>
              </w:rPr>
              <w:t>Income Excise Tax</w:t>
            </w:r>
          </w:p>
        </w:tc>
        <w:tc>
          <w:tcPr>
            <w:tcW w:w="2070" w:type="dxa"/>
          </w:tcPr>
          <w:p w14:paraId="1B7C8681" w14:textId="6B4589B4" w:rsidR="008D0751" w:rsidRPr="008D0751" w:rsidRDefault="008D0751" w:rsidP="008D0751">
            <w:pPr>
              <w:pStyle w:val="NoSpacing"/>
              <w:jc w:val="center"/>
              <w:rPr>
                <w:sz w:val="20"/>
              </w:rPr>
            </w:pPr>
            <w:r>
              <w:rPr>
                <w:sz w:val="20"/>
              </w:rPr>
              <w:t>15.9 million Euro</w:t>
            </w:r>
          </w:p>
        </w:tc>
        <w:tc>
          <w:tcPr>
            <w:tcW w:w="2430" w:type="dxa"/>
          </w:tcPr>
          <w:p w14:paraId="1340C52E" w14:textId="03AD0018" w:rsidR="008D0751" w:rsidRPr="008D0751" w:rsidRDefault="008D0751" w:rsidP="008D0751">
            <w:pPr>
              <w:pStyle w:val="NoSpacing"/>
              <w:jc w:val="center"/>
              <w:rPr>
                <w:sz w:val="20"/>
              </w:rPr>
            </w:pPr>
            <w:r>
              <w:rPr>
                <w:sz w:val="20"/>
              </w:rPr>
              <w:t>16.2 million Euro</w:t>
            </w:r>
          </w:p>
        </w:tc>
      </w:tr>
    </w:tbl>
    <w:p w14:paraId="6C1734A4" w14:textId="2AB01BE4" w:rsidR="00F132D8" w:rsidRPr="008D0751" w:rsidRDefault="008D0751" w:rsidP="008D0751">
      <w:pPr>
        <w:pStyle w:val="NoSpacing"/>
        <w:rPr>
          <w:sz w:val="20"/>
        </w:rPr>
      </w:pPr>
      <w:r w:rsidRPr="008D0751">
        <w:rPr>
          <w:sz w:val="20"/>
        </w:rPr>
        <w:t>Source: Grutter Consulting based on vehicle data 2018</w:t>
      </w:r>
      <w:r w:rsidR="00515506">
        <w:rPr>
          <w:sz w:val="20"/>
        </w:rPr>
        <w:t>; 0% EV is assumed as Kosovo to the moment has no EV promotion strategy with EV targets</w:t>
      </w:r>
      <w:r w:rsidR="00B2199C">
        <w:rPr>
          <w:sz w:val="20"/>
        </w:rPr>
        <w:t>.</w:t>
      </w:r>
    </w:p>
    <w:p w14:paraId="7CCDE718" w14:textId="3C793A06" w:rsidR="008D0751" w:rsidRDefault="008D0751" w:rsidP="001D4766">
      <w:pPr>
        <w:pStyle w:val="NoSpacing"/>
      </w:pPr>
    </w:p>
    <w:p w14:paraId="11B3BCD1" w14:textId="0BBD08AA" w:rsidR="008D0751" w:rsidRDefault="001D4766" w:rsidP="00087A5D">
      <w:pPr>
        <w:jc w:val="both"/>
      </w:pPr>
      <w:r>
        <w:t>T</w:t>
      </w:r>
      <w:r w:rsidR="008D0751">
        <w:t>he expected environmental impact of such a change is</w:t>
      </w:r>
      <w:r>
        <w:t xml:space="preserve"> modelled and shown in the following table.</w:t>
      </w:r>
    </w:p>
    <w:p w14:paraId="1D07CE61" w14:textId="3A00A053" w:rsidR="001D4766" w:rsidRPr="001D4766" w:rsidRDefault="001D4766" w:rsidP="001D4766">
      <w:pPr>
        <w:pStyle w:val="NoSpacing"/>
        <w:rPr>
          <w:b/>
          <w:sz w:val="20"/>
        </w:rPr>
      </w:pPr>
      <w:r w:rsidRPr="001D4766">
        <w:rPr>
          <w:b/>
          <w:sz w:val="20"/>
        </w:rPr>
        <w:t xml:space="preserve">Table </w:t>
      </w:r>
      <w:r w:rsidRPr="001D4766">
        <w:rPr>
          <w:b/>
          <w:sz w:val="20"/>
        </w:rPr>
        <w:fldChar w:fldCharType="begin"/>
      </w:r>
      <w:r w:rsidRPr="001D4766">
        <w:rPr>
          <w:b/>
          <w:sz w:val="20"/>
        </w:rPr>
        <w:instrText xml:space="preserve"> SEQ Table \* ARABIC </w:instrText>
      </w:r>
      <w:r w:rsidRPr="001D4766">
        <w:rPr>
          <w:b/>
          <w:sz w:val="20"/>
        </w:rPr>
        <w:fldChar w:fldCharType="separate"/>
      </w:r>
      <w:r w:rsidR="00B20155">
        <w:rPr>
          <w:b/>
          <w:noProof/>
          <w:sz w:val="20"/>
        </w:rPr>
        <w:t>11</w:t>
      </w:r>
      <w:r w:rsidRPr="001D4766">
        <w:rPr>
          <w:b/>
          <w:sz w:val="20"/>
        </w:rPr>
        <w:fldChar w:fldCharType="end"/>
      </w:r>
      <w:r w:rsidRPr="001D4766">
        <w:rPr>
          <w:b/>
          <w:sz w:val="20"/>
        </w:rPr>
        <w:t>: Modelled Environmental Impact by 2025 Excise Tax Old/New Criteria</w:t>
      </w:r>
    </w:p>
    <w:tbl>
      <w:tblPr>
        <w:tblStyle w:val="TableGrid"/>
        <w:tblW w:w="0" w:type="auto"/>
        <w:tblLook w:val="04A0" w:firstRow="1" w:lastRow="0" w:firstColumn="1" w:lastColumn="0" w:noHBand="0" w:noVBand="1"/>
      </w:tblPr>
      <w:tblGrid>
        <w:gridCol w:w="6025"/>
        <w:gridCol w:w="2991"/>
      </w:tblGrid>
      <w:tr w:rsidR="001D4766" w:rsidRPr="001D4766" w14:paraId="092870CB" w14:textId="77777777" w:rsidTr="001D4766">
        <w:tc>
          <w:tcPr>
            <w:tcW w:w="6025" w:type="dxa"/>
            <w:shd w:val="clear" w:color="auto" w:fill="D9E2F3" w:themeFill="accent1" w:themeFillTint="33"/>
          </w:tcPr>
          <w:p w14:paraId="58A1A281" w14:textId="06AA863F" w:rsidR="001D4766" w:rsidRPr="001D4766" w:rsidRDefault="001D4766" w:rsidP="001D4766">
            <w:pPr>
              <w:pStyle w:val="NoSpacing"/>
              <w:rPr>
                <w:b/>
                <w:sz w:val="20"/>
              </w:rPr>
            </w:pPr>
            <w:r>
              <w:rPr>
                <w:b/>
                <w:sz w:val="20"/>
              </w:rPr>
              <w:t>Parameter</w:t>
            </w:r>
          </w:p>
        </w:tc>
        <w:tc>
          <w:tcPr>
            <w:tcW w:w="2991" w:type="dxa"/>
            <w:shd w:val="clear" w:color="auto" w:fill="D9E2F3" w:themeFill="accent1" w:themeFillTint="33"/>
          </w:tcPr>
          <w:p w14:paraId="4BE41C8F" w14:textId="73999DB3" w:rsidR="001D4766" w:rsidRPr="001D4766" w:rsidRDefault="001D4766" w:rsidP="001D4766">
            <w:pPr>
              <w:pStyle w:val="NoSpacing"/>
              <w:jc w:val="center"/>
              <w:rPr>
                <w:b/>
                <w:sz w:val="20"/>
              </w:rPr>
            </w:pPr>
            <w:r>
              <w:rPr>
                <w:b/>
                <w:sz w:val="20"/>
              </w:rPr>
              <w:t>Result</w:t>
            </w:r>
          </w:p>
        </w:tc>
      </w:tr>
      <w:tr w:rsidR="001D4766" w:rsidRPr="001D4766" w14:paraId="01FEC684" w14:textId="77777777" w:rsidTr="001D4766">
        <w:tc>
          <w:tcPr>
            <w:tcW w:w="6025" w:type="dxa"/>
            <w:vAlign w:val="bottom"/>
          </w:tcPr>
          <w:p w14:paraId="6F7BE33A" w14:textId="45304863" w:rsidR="001D4766" w:rsidRPr="001D4766" w:rsidRDefault="001D4766" w:rsidP="001D4766">
            <w:pPr>
              <w:pStyle w:val="NoSpacing"/>
              <w:rPr>
                <w:sz w:val="20"/>
              </w:rPr>
            </w:pPr>
            <w:r>
              <w:rPr>
                <w:rFonts w:ascii="Calibri" w:hAnsi="Calibri" w:cs="Calibri"/>
                <w:color w:val="000000"/>
              </w:rPr>
              <w:t>Number of vehicles affected cumulative by 2025</w:t>
            </w:r>
          </w:p>
        </w:tc>
        <w:tc>
          <w:tcPr>
            <w:tcW w:w="2991" w:type="dxa"/>
            <w:vAlign w:val="bottom"/>
          </w:tcPr>
          <w:p w14:paraId="7EC90CD8" w14:textId="3B943649" w:rsidR="001D4766" w:rsidRPr="001D4766" w:rsidRDefault="001D4766" w:rsidP="001D4766">
            <w:pPr>
              <w:pStyle w:val="NoSpacing"/>
              <w:jc w:val="center"/>
              <w:rPr>
                <w:sz w:val="20"/>
              </w:rPr>
            </w:pPr>
            <w:r>
              <w:rPr>
                <w:rFonts w:ascii="Calibri" w:hAnsi="Calibri" w:cs="Calibri"/>
                <w:color w:val="000000"/>
              </w:rPr>
              <w:t>147,000 passenger cars</w:t>
            </w:r>
          </w:p>
        </w:tc>
      </w:tr>
      <w:tr w:rsidR="001D4766" w:rsidRPr="001D4766" w14:paraId="452141E4" w14:textId="77777777" w:rsidTr="001D4766">
        <w:tc>
          <w:tcPr>
            <w:tcW w:w="6025" w:type="dxa"/>
            <w:vAlign w:val="bottom"/>
          </w:tcPr>
          <w:p w14:paraId="261255CD" w14:textId="2C3CC89D" w:rsidR="001D4766" w:rsidRPr="001D4766" w:rsidRDefault="001D4766" w:rsidP="001D4766">
            <w:pPr>
              <w:pStyle w:val="NoSpacing"/>
              <w:rPr>
                <w:sz w:val="20"/>
              </w:rPr>
            </w:pPr>
            <w:r>
              <w:rPr>
                <w:rFonts w:ascii="Calibri" w:hAnsi="Calibri" w:cs="Calibri"/>
                <w:color w:val="000000"/>
              </w:rPr>
              <w:t>Reduced NO</w:t>
            </w:r>
            <w:r w:rsidRPr="001D4766">
              <w:rPr>
                <w:rFonts w:ascii="Calibri" w:hAnsi="Calibri" w:cs="Calibri"/>
                <w:color w:val="000000"/>
                <w:vertAlign w:val="subscript"/>
              </w:rPr>
              <w:t>x</w:t>
            </w:r>
            <w:r>
              <w:rPr>
                <w:rFonts w:ascii="Calibri" w:hAnsi="Calibri" w:cs="Calibri"/>
                <w:color w:val="000000"/>
              </w:rPr>
              <w:t xml:space="preserve"> emissions with New Excise Tax Model</w:t>
            </w:r>
          </w:p>
        </w:tc>
        <w:tc>
          <w:tcPr>
            <w:tcW w:w="2991" w:type="dxa"/>
            <w:vAlign w:val="bottom"/>
          </w:tcPr>
          <w:p w14:paraId="28725485" w14:textId="412ABBEA" w:rsidR="001D4766" w:rsidRPr="001D4766" w:rsidRDefault="00DE5CC6" w:rsidP="001D4766">
            <w:pPr>
              <w:pStyle w:val="NoSpacing"/>
              <w:jc w:val="center"/>
              <w:rPr>
                <w:sz w:val="20"/>
              </w:rPr>
            </w:pPr>
            <w:r>
              <w:rPr>
                <w:sz w:val="20"/>
              </w:rPr>
              <w:t xml:space="preserve">483 </w:t>
            </w:r>
            <w:r w:rsidR="001D4766">
              <w:rPr>
                <w:sz w:val="20"/>
              </w:rPr>
              <w:t>tons</w:t>
            </w:r>
          </w:p>
        </w:tc>
      </w:tr>
      <w:tr w:rsidR="001D4766" w:rsidRPr="001D4766" w14:paraId="14740C9B" w14:textId="77777777" w:rsidTr="001D4766">
        <w:tc>
          <w:tcPr>
            <w:tcW w:w="6025" w:type="dxa"/>
            <w:vAlign w:val="bottom"/>
          </w:tcPr>
          <w:p w14:paraId="27E99DEC" w14:textId="403E13D2" w:rsidR="001D4766" w:rsidRPr="001D4766" w:rsidRDefault="001D4766" w:rsidP="001D4766">
            <w:pPr>
              <w:pStyle w:val="NoSpacing"/>
              <w:rPr>
                <w:sz w:val="20"/>
              </w:rPr>
            </w:pPr>
            <w:r>
              <w:rPr>
                <w:rFonts w:ascii="Calibri" w:hAnsi="Calibri" w:cs="Calibri"/>
                <w:color w:val="000000"/>
              </w:rPr>
              <w:t>Reduction NO</w:t>
            </w:r>
            <w:r w:rsidRPr="001D4766">
              <w:rPr>
                <w:rFonts w:ascii="Calibri" w:hAnsi="Calibri" w:cs="Calibri"/>
                <w:color w:val="000000"/>
                <w:vertAlign w:val="subscript"/>
              </w:rPr>
              <w:t>x</w:t>
            </w:r>
            <w:r>
              <w:rPr>
                <w:rFonts w:ascii="Calibri" w:hAnsi="Calibri" w:cs="Calibri"/>
                <w:color w:val="000000"/>
              </w:rPr>
              <w:t xml:space="preserve"> levels against BAU transport emissions 2025</w:t>
            </w:r>
          </w:p>
        </w:tc>
        <w:tc>
          <w:tcPr>
            <w:tcW w:w="2991" w:type="dxa"/>
            <w:vAlign w:val="bottom"/>
          </w:tcPr>
          <w:p w14:paraId="485C3542" w14:textId="1F77E1CB" w:rsidR="001D4766" w:rsidRPr="001D4766" w:rsidRDefault="00DE5CC6" w:rsidP="001D4766">
            <w:pPr>
              <w:pStyle w:val="NoSpacing"/>
              <w:jc w:val="center"/>
              <w:rPr>
                <w:sz w:val="20"/>
              </w:rPr>
            </w:pPr>
            <w:r>
              <w:rPr>
                <w:rFonts w:ascii="Calibri" w:hAnsi="Calibri" w:cs="Calibri"/>
                <w:color w:val="000000"/>
              </w:rPr>
              <w:t>8</w:t>
            </w:r>
            <w:r w:rsidR="001D4766">
              <w:rPr>
                <w:rFonts w:ascii="Calibri" w:hAnsi="Calibri" w:cs="Calibri"/>
                <w:color w:val="000000"/>
              </w:rPr>
              <w:t>%</w:t>
            </w:r>
          </w:p>
        </w:tc>
      </w:tr>
      <w:tr w:rsidR="001D4766" w:rsidRPr="001D4766" w14:paraId="056F525C" w14:textId="77777777" w:rsidTr="001D4766">
        <w:tc>
          <w:tcPr>
            <w:tcW w:w="6025" w:type="dxa"/>
            <w:vAlign w:val="bottom"/>
          </w:tcPr>
          <w:p w14:paraId="4E95E1F3" w14:textId="2CA246DB" w:rsidR="001D4766" w:rsidRPr="001D4766" w:rsidRDefault="001D4766" w:rsidP="001D4766">
            <w:pPr>
              <w:pStyle w:val="NoSpacing"/>
              <w:rPr>
                <w:sz w:val="20"/>
              </w:rPr>
            </w:pPr>
            <w:r>
              <w:rPr>
                <w:rFonts w:ascii="Calibri" w:hAnsi="Calibri" w:cs="Calibri"/>
                <w:color w:val="000000"/>
              </w:rPr>
              <w:t>Reduction PM</w:t>
            </w:r>
            <w:r w:rsidRPr="001D4766">
              <w:rPr>
                <w:rFonts w:ascii="Calibri" w:hAnsi="Calibri" w:cs="Calibri"/>
                <w:color w:val="000000"/>
                <w:vertAlign w:val="subscript"/>
              </w:rPr>
              <w:t>2.5</w:t>
            </w:r>
            <w:r>
              <w:rPr>
                <w:rFonts w:ascii="Calibri" w:hAnsi="Calibri" w:cs="Calibri"/>
                <w:color w:val="000000"/>
              </w:rPr>
              <w:t xml:space="preserve"> emissions with New Excise Tax Model</w:t>
            </w:r>
          </w:p>
        </w:tc>
        <w:tc>
          <w:tcPr>
            <w:tcW w:w="2991" w:type="dxa"/>
            <w:vAlign w:val="bottom"/>
          </w:tcPr>
          <w:p w14:paraId="6709FE58" w14:textId="14958D76" w:rsidR="001D4766" w:rsidRPr="001D4766" w:rsidRDefault="001D4766" w:rsidP="001D4766">
            <w:pPr>
              <w:pStyle w:val="NoSpacing"/>
              <w:jc w:val="center"/>
              <w:rPr>
                <w:sz w:val="20"/>
              </w:rPr>
            </w:pPr>
            <w:r>
              <w:rPr>
                <w:rFonts w:ascii="Calibri" w:hAnsi="Calibri" w:cs="Calibri"/>
                <w:color w:val="000000"/>
              </w:rPr>
              <w:t>45 tons</w:t>
            </w:r>
          </w:p>
        </w:tc>
      </w:tr>
      <w:tr w:rsidR="001D4766" w:rsidRPr="001D4766" w14:paraId="0F4BBE77" w14:textId="77777777" w:rsidTr="001D4766">
        <w:tc>
          <w:tcPr>
            <w:tcW w:w="6025" w:type="dxa"/>
            <w:vAlign w:val="bottom"/>
          </w:tcPr>
          <w:p w14:paraId="53732989" w14:textId="3EAADE00" w:rsidR="001D4766" w:rsidRPr="001D4766" w:rsidRDefault="001D4766" w:rsidP="001D4766">
            <w:pPr>
              <w:pStyle w:val="NoSpacing"/>
              <w:rPr>
                <w:sz w:val="20"/>
              </w:rPr>
            </w:pPr>
            <w:r>
              <w:rPr>
                <w:rFonts w:ascii="Calibri" w:hAnsi="Calibri" w:cs="Calibri"/>
                <w:color w:val="000000"/>
              </w:rPr>
              <w:t>Reduction PM</w:t>
            </w:r>
            <w:r w:rsidRPr="001D4766">
              <w:rPr>
                <w:rFonts w:ascii="Calibri" w:hAnsi="Calibri" w:cs="Calibri"/>
                <w:color w:val="000000"/>
                <w:vertAlign w:val="subscript"/>
              </w:rPr>
              <w:t>2.5</w:t>
            </w:r>
            <w:r>
              <w:rPr>
                <w:rFonts w:ascii="Calibri" w:hAnsi="Calibri" w:cs="Calibri"/>
                <w:color w:val="000000"/>
              </w:rPr>
              <w:t xml:space="preserve"> levels against BAU transport emissions 2025</w:t>
            </w:r>
          </w:p>
        </w:tc>
        <w:tc>
          <w:tcPr>
            <w:tcW w:w="2991" w:type="dxa"/>
            <w:vAlign w:val="bottom"/>
          </w:tcPr>
          <w:p w14:paraId="040D5A3E" w14:textId="551DDDCB" w:rsidR="001D4766" w:rsidRPr="001D4766" w:rsidRDefault="001D4766" w:rsidP="001D4766">
            <w:pPr>
              <w:pStyle w:val="NoSpacing"/>
              <w:jc w:val="center"/>
              <w:rPr>
                <w:sz w:val="20"/>
              </w:rPr>
            </w:pPr>
            <w:r>
              <w:rPr>
                <w:sz w:val="20"/>
              </w:rPr>
              <w:t>2</w:t>
            </w:r>
            <w:r w:rsidR="00DE5CC6">
              <w:rPr>
                <w:sz w:val="20"/>
              </w:rPr>
              <w:t>1</w:t>
            </w:r>
            <w:r>
              <w:rPr>
                <w:sz w:val="20"/>
              </w:rPr>
              <w:t>%</w:t>
            </w:r>
          </w:p>
        </w:tc>
      </w:tr>
    </w:tbl>
    <w:p w14:paraId="69D3850C" w14:textId="1CD9ED3D" w:rsidR="001D4766" w:rsidRPr="001D4766" w:rsidRDefault="001D4766" w:rsidP="001D4766">
      <w:pPr>
        <w:pStyle w:val="NoSpacing"/>
        <w:rPr>
          <w:sz w:val="20"/>
        </w:rPr>
      </w:pPr>
      <w:r w:rsidRPr="001D4766">
        <w:rPr>
          <w:sz w:val="20"/>
        </w:rPr>
        <w:t>Source: calculation by Grutter Consulting; baseline case Euro 4 vehicle with 88% vehicles diesel (as valid 2018); new case Euro 5 vehicles with 30% diesel units; modelling based on COPERT model, 2018, Tier 3, average speed 50km/h</w:t>
      </w:r>
    </w:p>
    <w:p w14:paraId="3EF035A9" w14:textId="137CE0B4" w:rsidR="00E645C2" w:rsidRDefault="00E645C2" w:rsidP="001D4766">
      <w:pPr>
        <w:pStyle w:val="NoSpacing"/>
      </w:pPr>
    </w:p>
    <w:p w14:paraId="0F6E3F3E" w14:textId="480CA51F" w:rsidR="001D4766" w:rsidRDefault="002E5435" w:rsidP="00087A5D">
      <w:pPr>
        <w:jc w:val="both"/>
      </w:pPr>
      <w:r>
        <w:t xml:space="preserve">1/5 </w:t>
      </w:r>
      <w:r w:rsidR="001D4766">
        <w:t>of total PM</w:t>
      </w:r>
      <w:r w:rsidR="001D4766" w:rsidRPr="001D4766">
        <w:rPr>
          <w:vertAlign w:val="subscript"/>
        </w:rPr>
        <w:t>2.5</w:t>
      </w:r>
      <w:r w:rsidR="001D4766">
        <w:t xml:space="preserve"> transport emissions can be reduced and </w:t>
      </w:r>
      <w:r>
        <w:t>8</w:t>
      </w:r>
      <w:r w:rsidR="001D4766">
        <w:t>% of total NO</w:t>
      </w:r>
      <w:r w:rsidR="001D4766" w:rsidRPr="001D4766">
        <w:rPr>
          <w:vertAlign w:val="subscript"/>
        </w:rPr>
        <w:t>x</w:t>
      </w:r>
      <w:r w:rsidR="001D4766">
        <w:t xml:space="preserve"> emissions.</w:t>
      </w:r>
      <w:r w:rsidR="00C53E25">
        <w:t xml:space="preserve"> </w:t>
      </w:r>
    </w:p>
    <w:p w14:paraId="403DC956" w14:textId="77777777" w:rsidR="007B12EE" w:rsidRDefault="007B12EE" w:rsidP="007B12EE">
      <w:pPr>
        <w:jc w:val="both"/>
      </w:pPr>
      <w:r>
        <w:t>Fiscal instruments such as adjusting the excise tax could be complemented with non-fiscal instruments which induce residents to use less vehicles and to purchase lower polluting units. One of the most effective instruments in this area is driving restrictions of highly polluting cars. Multiple cities worldwide have started to ban e.g. diesel vehicles or vehicles which do not comply with a minimum emission standard from circulating in urban areas either completely, or during certain times or, as in London, charging a special pollution fee. This results effectively in people favouring cars which are less polluting when purchasing a new vehicle.</w:t>
      </w:r>
    </w:p>
    <w:p w14:paraId="1D61B293" w14:textId="77777777" w:rsidR="007B12EE" w:rsidRDefault="007B12EE" w:rsidP="007B12EE">
      <w:pPr>
        <w:pStyle w:val="Heading2"/>
      </w:pPr>
      <w:bookmarkStart w:id="48" w:name="_Toc8896145"/>
      <w:r>
        <w:t>5.4. Conclusions and Recommendations</w:t>
      </w:r>
      <w:bookmarkEnd w:id="48"/>
    </w:p>
    <w:p w14:paraId="480C6C12" w14:textId="77777777" w:rsidR="007B12EE" w:rsidRDefault="007B12EE" w:rsidP="007B12EE"/>
    <w:p w14:paraId="1F9AD0FF" w14:textId="31126DBE" w:rsidR="007B12EE" w:rsidRDefault="007B12EE" w:rsidP="007B12EE">
      <w:pPr>
        <w:jc w:val="both"/>
      </w:pPr>
      <w:r>
        <w:lastRenderedPageBreak/>
        <w:t>The ecological tax and especially the vehicle excise tax are important instruments which can be used to foster purchase of cleaner vehicles. Concerning the ecological tax, the recommendation is to create only 4 age-classes but differentiate between gasoline, diesel and hybrid/electric cars. Age classes are based on the introduction of Euro standards in the EU. Absolute levels for the ecological tax are in accordance with initial proposals of the government of Kosovo. For the vehicle excise tax, the recommendation is to have as criteria the Euro category of vehicles and the fuel type used differentiating between diesel, gasoline and hybrid/electric vehicles. Absolute levels of excise tax income per vehicle imported are kept constant i.e. the measure is fiscally neutral.</w:t>
      </w:r>
    </w:p>
    <w:p w14:paraId="1DF5A2DA" w14:textId="2B08ECFD" w:rsidR="007B12EE" w:rsidRDefault="007B12EE" w:rsidP="00087A5D">
      <w:pPr>
        <w:jc w:val="both"/>
      </w:pPr>
      <w:r>
        <w:t xml:space="preserve">For both taxes the proposed structure is fiscal neutral i.e. the same tax revenue shall be generated as currently per average vehicle. Lower polluting vehicles are taxed less than higher polluting ones but the overall vehicle taxation is the same i.e. there is no subsidy of private cars but people purchasing a low emitting car pay less and people favouring polluting vehicles pay more. The tax levels </w:t>
      </w:r>
      <w:r w:rsidR="00BF2403">
        <w:t>could</w:t>
      </w:r>
      <w:r>
        <w:t xml:space="preserve"> be adjusted annually</w:t>
      </w:r>
      <w:r w:rsidR="00BF2403">
        <w:t xml:space="preserve"> or every two years</w:t>
      </w:r>
      <w:r>
        <w:t xml:space="preserve"> to reflect changes in consumer preference. The recommended change of tax structure has no negative social repercussions as the average tax paid per vehicle is kept constant i.e. people shall be nudged towards purchasing a gasoline car instead of a diesel unit i.e. they might have a loss of perceived value as their preference could be for a more prestigious and slightly larger diesel car – but at cost of polluting more and thereby harming the health of other people.</w:t>
      </w:r>
    </w:p>
    <w:p w14:paraId="02DDB170" w14:textId="17DEE1CD" w:rsidR="00CC21E7" w:rsidRDefault="00CC21E7" w:rsidP="00C81347">
      <w:pPr>
        <w:pStyle w:val="Heading1"/>
      </w:pPr>
      <w:bookmarkStart w:id="49" w:name="_Toc7256808"/>
      <w:bookmarkEnd w:id="46"/>
      <w:r>
        <w:t xml:space="preserve">6. </w:t>
      </w:r>
      <w:r w:rsidR="001D4CCE">
        <w:t xml:space="preserve">In-Service </w:t>
      </w:r>
      <w:r w:rsidR="00B81258">
        <w:t>Emission Inspection</w:t>
      </w:r>
      <w:r w:rsidR="001D4CCE">
        <w:t xml:space="preserve"> of Vehicles</w:t>
      </w:r>
      <w:bookmarkEnd w:id="49"/>
    </w:p>
    <w:p w14:paraId="6AC1C06A" w14:textId="77777777" w:rsidR="001D4CCE" w:rsidRDefault="001D4CCE" w:rsidP="001D4CCE">
      <w:pPr>
        <w:pStyle w:val="Heading2"/>
      </w:pPr>
      <w:bookmarkStart w:id="50" w:name="_Toc7256809"/>
      <w:r>
        <w:t>6.1. Assessment of In-Service Emission Inspection Systems</w:t>
      </w:r>
      <w:bookmarkEnd w:id="50"/>
    </w:p>
    <w:p w14:paraId="52CF158B" w14:textId="3A550586" w:rsidR="00C81347" w:rsidRDefault="001D4CCE" w:rsidP="001D4CCE">
      <w:pPr>
        <w:pStyle w:val="Heading2"/>
      </w:pPr>
      <w:r>
        <w:t xml:space="preserve"> </w:t>
      </w:r>
    </w:p>
    <w:p w14:paraId="1369C4FB" w14:textId="6F8A73AE" w:rsidR="00B81258" w:rsidRDefault="00B81258" w:rsidP="00B81258">
      <w:pPr>
        <w:jc w:val="both"/>
      </w:pPr>
      <w:bookmarkStart w:id="51" w:name="_Hlk7189252"/>
      <w:r>
        <w:t xml:space="preserve">Kosovo is </w:t>
      </w:r>
      <w:r w:rsidR="002540E7">
        <w:t xml:space="preserve">rolling out </w:t>
      </w:r>
      <w:r w:rsidR="00C716AB">
        <w:t xml:space="preserve">a </w:t>
      </w:r>
      <w:r>
        <w:t xml:space="preserve">vehicle emission inspection </w:t>
      </w:r>
      <w:r w:rsidR="00C716AB">
        <w:t xml:space="preserve">program </w:t>
      </w:r>
      <w:r>
        <w:t>as part of the vehicle roadworthiness chec</w:t>
      </w:r>
      <w:r w:rsidR="00235ACC">
        <w:t>k</w:t>
      </w:r>
      <w:r w:rsidR="002540E7">
        <w:t xml:space="preserve"> in July 2019</w:t>
      </w:r>
      <w:r>
        <w:t xml:space="preserve">. The </w:t>
      </w:r>
      <w:r w:rsidR="00C86E20">
        <w:t xml:space="preserve">in-service </w:t>
      </w:r>
      <w:r>
        <w:t xml:space="preserve">emission control testing procedure is thereby based on the </w:t>
      </w:r>
      <w:r w:rsidR="00235ACC">
        <w:t xml:space="preserve">one </w:t>
      </w:r>
      <w:r>
        <w:t xml:space="preserve">applied in </w:t>
      </w:r>
      <w:r w:rsidR="00235ACC">
        <w:t xml:space="preserve">the </w:t>
      </w:r>
      <w:r>
        <w:t>EU i.e. gasoline vehicles are tested for CO/HC emissions during idling and with increase</w:t>
      </w:r>
      <w:r w:rsidR="00A30180">
        <w:t>d</w:t>
      </w:r>
      <w:r>
        <w:t xml:space="preserve"> revolution (b</w:t>
      </w:r>
      <w:r w:rsidR="00181173">
        <w:t>u</w:t>
      </w:r>
      <w:r>
        <w:t>t not on dynamometer</w:t>
      </w:r>
      <w:r w:rsidR="00235ACC">
        <w:t xml:space="preserve"> </w:t>
      </w:r>
      <w:r>
        <w:t xml:space="preserve">using e.g. the IM240 procedure) whilst for diesel vehicles </w:t>
      </w:r>
      <w:r w:rsidR="00235ACC">
        <w:t xml:space="preserve">a </w:t>
      </w:r>
      <w:r>
        <w:t xml:space="preserve">smoke test </w:t>
      </w:r>
      <w:r w:rsidR="00235ACC">
        <w:t xml:space="preserve">is </w:t>
      </w:r>
      <w:r>
        <w:t>performed using a free acceleration “snap” test</w:t>
      </w:r>
      <w:r w:rsidR="00A30180">
        <w:rPr>
          <w:rStyle w:val="FootnoteReference"/>
        </w:rPr>
        <w:footnoteReference w:id="68"/>
      </w:r>
      <w:r>
        <w:t>.</w:t>
      </w:r>
    </w:p>
    <w:bookmarkEnd w:id="51"/>
    <w:p w14:paraId="2B888BEE" w14:textId="6B98B984" w:rsidR="00B81258" w:rsidRDefault="00B81258" w:rsidP="00B81258">
      <w:pPr>
        <w:jc w:val="both"/>
        <w:rPr>
          <w:color w:val="2E2E2E"/>
        </w:rPr>
      </w:pPr>
      <w:r>
        <w:rPr>
          <w:color w:val="2E2E2E"/>
        </w:rPr>
        <w:t xml:space="preserve">Emission controls of in-use vehicles is a policy made to ensure that vehicles remain compliant (within normal degradation levels) with original emission standards for which they were certified. They shall ensure that maintenance is made appropriately and shall identify high emitters to oblige latter to realize the corresponding repairs. </w:t>
      </w:r>
      <w:bookmarkStart w:id="52" w:name="_Hlk7187032"/>
      <w:r>
        <w:rPr>
          <w:color w:val="2E2E2E"/>
        </w:rPr>
        <w:t xml:space="preserve">Inspection/Maintenance </w:t>
      </w:r>
      <w:bookmarkEnd w:id="52"/>
      <w:r>
        <w:rPr>
          <w:color w:val="2E2E2E"/>
        </w:rPr>
        <w:t>(IM) policies have been enforced in many countries in the past with mixed results. The core elements of more successful programs</w:t>
      </w:r>
      <w:r w:rsidR="00235ACC">
        <w:rPr>
          <w:color w:val="2E2E2E"/>
        </w:rPr>
        <w:t xml:space="preserve"> are</w:t>
      </w:r>
      <w:r>
        <w:rPr>
          <w:color w:val="2E2E2E"/>
        </w:rPr>
        <w:t>:</w:t>
      </w:r>
    </w:p>
    <w:p w14:paraId="306CF6CA" w14:textId="77777777" w:rsidR="00B81258" w:rsidRPr="00235ACC" w:rsidRDefault="00B81258" w:rsidP="00B81258">
      <w:pPr>
        <w:pStyle w:val="ListParagraph"/>
        <w:numPr>
          <w:ilvl w:val="0"/>
          <w:numId w:val="40"/>
        </w:numPr>
        <w:spacing w:after="160" w:line="259" w:lineRule="auto"/>
        <w:jc w:val="both"/>
        <w:rPr>
          <w:color w:val="2E2E2E"/>
          <w:lang w:val="en-GB"/>
        </w:rPr>
      </w:pPr>
      <w:r w:rsidRPr="00235ACC">
        <w:rPr>
          <w:color w:val="2E2E2E"/>
          <w:lang w:val="en-GB"/>
        </w:rPr>
        <w:t>A comprehensive public awareness program is required to make people aware of benefits of implementing such a program;</w:t>
      </w:r>
    </w:p>
    <w:p w14:paraId="5F44683E" w14:textId="77777777" w:rsidR="00B81258" w:rsidRPr="00235ACC" w:rsidRDefault="00B81258" w:rsidP="00B81258">
      <w:pPr>
        <w:pStyle w:val="ListParagraph"/>
        <w:numPr>
          <w:ilvl w:val="0"/>
          <w:numId w:val="40"/>
        </w:numPr>
        <w:spacing w:after="160" w:line="259" w:lineRule="auto"/>
        <w:jc w:val="both"/>
        <w:rPr>
          <w:color w:val="2E2E2E"/>
          <w:lang w:val="en-GB"/>
        </w:rPr>
      </w:pPr>
      <w:r w:rsidRPr="00235ACC">
        <w:rPr>
          <w:color w:val="2E2E2E"/>
          <w:lang w:val="en-GB"/>
        </w:rPr>
        <w:t>Roadside apprehension or remote sensing programs for vehicles which have slipped through the system are important;</w:t>
      </w:r>
    </w:p>
    <w:p w14:paraId="5E5FE997" w14:textId="77777777" w:rsidR="00B81258" w:rsidRPr="00235ACC" w:rsidRDefault="00B81258" w:rsidP="00B81258">
      <w:pPr>
        <w:pStyle w:val="ListParagraph"/>
        <w:numPr>
          <w:ilvl w:val="0"/>
          <w:numId w:val="40"/>
        </w:numPr>
        <w:spacing w:after="160" w:line="259" w:lineRule="auto"/>
        <w:jc w:val="both"/>
        <w:rPr>
          <w:color w:val="2E2E2E"/>
          <w:lang w:val="en-GB"/>
        </w:rPr>
      </w:pPr>
      <w:r w:rsidRPr="00235ACC">
        <w:rPr>
          <w:color w:val="2E2E2E"/>
          <w:lang w:val="en-GB"/>
        </w:rPr>
        <w:t>Effective enforcement with controls to prevent corruption are required;</w:t>
      </w:r>
    </w:p>
    <w:p w14:paraId="2091223F" w14:textId="77777777" w:rsidR="00B81258" w:rsidRPr="00235ACC" w:rsidRDefault="00B81258" w:rsidP="00B81258">
      <w:pPr>
        <w:pStyle w:val="ListParagraph"/>
        <w:numPr>
          <w:ilvl w:val="0"/>
          <w:numId w:val="40"/>
        </w:numPr>
        <w:spacing w:after="160" w:line="259" w:lineRule="auto"/>
        <w:jc w:val="both"/>
        <w:rPr>
          <w:color w:val="2E2E2E"/>
          <w:lang w:val="en-GB"/>
        </w:rPr>
      </w:pPr>
      <w:r w:rsidRPr="00235ACC">
        <w:rPr>
          <w:color w:val="2E2E2E"/>
          <w:lang w:val="en-GB"/>
        </w:rPr>
        <w:t>Quality assurance, covert auditing and quality control are important;</w:t>
      </w:r>
    </w:p>
    <w:p w14:paraId="7ADB7CF0" w14:textId="77777777" w:rsidR="00B81258" w:rsidRPr="00235ACC" w:rsidRDefault="00B81258" w:rsidP="00B81258">
      <w:pPr>
        <w:pStyle w:val="ListParagraph"/>
        <w:numPr>
          <w:ilvl w:val="0"/>
          <w:numId w:val="40"/>
        </w:numPr>
        <w:spacing w:after="160" w:line="259" w:lineRule="auto"/>
        <w:jc w:val="both"/>
        <w:rPr>
          <w:color w:val="2E2E2E"/>
          <w:lang w:val="en-GB"/>
        </w:rPr>
      </w:pPr>
      <w:r w:rsidRPr="00235ACC">
        <w:rPr>
          <w:color w:val="2E2E2E"/>
          <w:lang w:val="en-GB"/>
        </w:rPr>
        <w:t>The car service industry must have the know-how and equipment to make adequate repairs;</w:t>
      </w:r>
    </w:p>
    <w:p w14:paraId="5154E9EA" w14:textId="77777777" w:rsidR="00B81258" w:rsidRPr="00235ACC" w:rsidRDefault="00B81258" w:rsidP="00B81258">
      <w:pPr>
        <w:pStyle w:val="ListParagraph"/>
        <w:numPr>
          <w:ilvl w:val="0"/>
          <w:numId w:val="40"/>
        </w:numPr>
        <w:spacing w:after="160" w:line="259" w:lineRule="auto"/>
        <w:jc w:val="both"/>
        <w:rPr>
          <w:color w:val="2E2E2E"/>
          <w:lang w:val="en-GB"/>
        </w:rPr>
      </w:pPr>
      <w:r w:rsidRPr="00235ACC">
        <w:rPr>
          <w:color w:val="2E2E2E"/>
          <w:lang w:val="en-GB"/>
        </w:rPr>
        <w:t>Frequency of controls must be related to vehicle age and usage;</w:t>
      </w:r>
    </w:p>
    <w:p w14:paraId="419E910C" w14:textId="77777777" w:rsidR="00B81258" w:rsidRPr="00235ACC" w:rsidRDefault="00B81258" w:rsidP="00B81258">
      <w:pPr>
        <w:pStyle w:val="ListParagraph"/>
        <w:numPr>
          <w:ilvl w:val="0"/>
          <w:numId w:val="40"/>
        </w:numPr>
        <w:spacing w:after="160" w:line="259" w:lineRule="auto"/>
        <w:jc w:val="both"/>
        <w:rPr>
          <w:color w:val="2E2E2E"/>
          <w:lang w:val="en-GB"/>
        </w:rPr>
      </w:pPr>
      <w:r w:rsidRPr="00235ACC">
        <w:rPr>
          <w:color w:val="2E2E2E"/>
          <w:lang w:val="en-GB"/>
        </w:rPr>
        <w:t>It must be ensured that all vehicles participate.</w:t>
      </w:r>
    </w:p>
    <w:p w14:paraId="7B2F476E" w14:textId="0208E242" w:rsidR="00B81258" w:rsidRDefault="00B81258" w:rsidP="00B81258">
      <w:pPr>
        <w:jc w:val="both"/>
        <w:rPr>
          <w:color w:val="2E2E2E"/>
        </w:rPr>
      </w:pPr>
      <w:r>
        <w:rPr>
          <w:color w:val="2E2E2E"/>
        </w:rPr>
        <w:t xml:space="preserve">The following table lists the </w:t>
      </w:r>
      <w:r w:rsidR="00235ACC">
        <w:rPr>
          <w:color w:val="2E2E2E"/>
        </w:rPr>
        <w:t>main</w:t>
      </w:r>
      <w:r>
        <w:rPr>
          <w:color w:val="2E2E2E"/>
        </w:rPr>
        <w:t xml:space="preserve"> inspection system </w:t>
      </w:r>
      <w:r w:rsidR="00235ACC">
        <w:rPr>
          <w:color w:val="2E2E2E"/>
        </w:rPr>
        <w:t>procedures</w:t>
      </w:r>
      <w:r>
        <w:rPr>
          <w:color w:val="2E2E2E"/>
        </w:rPr>
        <w:t xml:space="preserve"> used.</w:t>
      </w:r>
    </w:p>
    <w:p w14:paraId="5FD45180" w14:textId="2C6C91E4" w:rsidR="00B81258" w:rsidRPr="00287564" w:rsidRDefault="00B81258" w:rsidP="00B81258">
      <w:pPr>
        <w:pStyle w:val="NoSpacing"/>
        <w:rPr>
          <w:b/>
          <w:sz w:val="20"/>
        </w:rPr>
      </w:pPr>
      <w:r w:rsidRPr="00287564">
        <w:rPr>
          <w:b/>
          <w:sz w:val="20"/>
        </w:rPr>
        <w:t xml:space="preserve">Table </w:t>
      </w:r>
      <w:r w:rsidRPr="00287564">
        <w:rPr>
          <w:b/>
          <w:sz w:val="20"/>
        </w:rPr>
        <w:fldChar w:fldCharType="begin"/>
      </w:r>
      <w:r w:rsidRPr="00287564">
        <w:rPr>
          <w:b/>
          <w:sz w:val="20"/>
        </w:rPr>
        <w:instrText xml:space="preserve"> SEQ Table \* ARABIC </w:instrText>
      </w:r>
      <w:r w:rsidRPr="00287564">
        <w:rPr>
          <w:b/>
          <w:sz w:val="20"/>
        </w:rPr>
        <w:fldChar w:fldCharType="separate"/>
      </w:r>
      <w:r w:rsidR="00B20155">
        <w:rPr>
          <w:b/>
          <w:noProof/>
          <w:sz w:val="20"/>
        </w:rPr>
        <w:t>12</w:t>
      </w:r>
      <w:r w:rsidRPr="00287564">
        <w:rPr>
          <w:b/>
          <w:sz w:val="20"/>
        </w:rPr>
        <w:fldChar w:fldCharType="end"/>
      </w:r>
      <w:r w:rsidRPr="00287564">
        <w:rPr>
          <w:b/>
          <w:sz w:val="20"/>
        </w:rPr>
        <w:t>: Vehicle Emission Inspection Approaches</w:t>
      </w:r>
    </w:p>
    <w:tbl>
      <w:tblPr>
        <w:tblStyle w:val="TableGrid"/>
        <w:tblW w:w="0" w:type="auto"/>
        <w:tblLook w:val="04A0" w:firstRow="1" w:lastRow="0" w:firstColumn="1" w:lastColumn="0" w:noHBand="0" w:noVBand="1"/>
      </w:tblPr>
      <w:tblGrid>
        <w:gridCol w:w="1129"/>
        <w:gridCol w:w="1566"/>
        <w:gridCol w:w="1710"/>
        <w:gridCol w:w="2250"/>
        <w:gridCol w:w="2361"/>
      </w:tblGrid>
      <w:tr w:rsidR="00B81258" w:rsidRPr="00287564" w14:paraId="13C7F392" w14:textId="77777777" w:rsidTr="00235ACC">
        <w:tc>
          <w:tcPr>
            <w:tcW w:w="1129" w:type="dxa"/>
            <w:shd w:val="clear" w:color="auto" w:fill="D9E2F3" w:themeFill="accent1" w:themeFillTint="33"/>
          </w:tcPr>
          <w:p w14:paraId="6F479628" w14:textId="77777777" w:rsidR="00B81258" w:rsidRPr="00287564" w:rsidRDefault="00B81258" w:rsidP="00790C89">
            <w:pPr>
              <w:pStyle w:val="NoSpacing"/>
              <w:rPr>
                <w:b/>
                <w:sz w:val="20"/>
              </w:rPr>
            </w:pPr>
            <w:r w:rsidRPr="00287564">
              <w:rPr>
                <w:b/>
                <w:sz w:val="20"/>
              </w:rPr>
              <w:lastRenderedPageBreak/>
              <w:t>Vehicle category</w:t>
            </w:r>
          </w:p>
        </w:tc>
        <w:tc>
          <w:tcPr>
            <w:tcW w:w="1566" w:type="dxa"/>
            <w:shd w:val="clear" w:color="auto" w:fill="D9E2F3" w:themeFill="accent1" w:themeFillTint="33"/>
          </w:tcPr>
          <w:p w14:paraId="285863A2" w14:textId="77777777" w:rsidR="00B81258" w:rsidRPr="00287564" w:rsidRDefault="00B81258" w:rsidP="00790C89">
            <w:pPr>
              <w:pStyle w:val="NoSpacing"/>
              <w:rPr>
                <w:b/>
                <w:sz w:val="20"/>
              </w:rPr>
            </w:pPr>
            <w:r w:rsidRPr="00287564">
              <w:rPr>
                <w:b/>
                <w:sz w:val="20"/>
              </w:rPr>
              <w:t>Approach</w:t>
            </w:r>
          </w:p>
        </w:tc>
        <w:tc>
          <w:tcPr>
            <w:tcW w:w="1710" w:type="dxa"/>
            <w:shd w:val="clear" w:color="auto" w:fill="D9E2F3" w:themeFill="accent1" w:themeFillTint="33"/>
          </w:tcPr>
          <w:p w14:paraId="61F3154B" w14:textId="77777777" w:rsidR="00B81258" w:rsidRPr="00287564" w:rsidRDefault="00B81258" w:rsidP="00790C89">
            <w:pPr>
              <w:pStyle w:val="NoSpacing"/>
              <w:rPr>
                <w:b/>
                <w:sz w:val="20"/>
              </w:rPr>
            </w:pPr>
            <w:r>
              <w:rPr>
                <w:b/>
                <w:sz w:val="20"/>
              </w:rPr>
              <w:t>Countries applied (examples)</w:t>
            </w:r>
          </w:p>
        </w:tc>
        <w:tc>
          <w:tcPr>
            <w:tcW w:w="2250" w:type="dxa"/>
            <w:shd w:val="clear" w:color="auto" w:fill="D9E2F3" w:themeFill="accent1" w:themeFillTint="33"/>
          </w:tcPr>
          <w:p w14:paraId="4584B71C" w14:textId="77777777" w:rsidR="00B81258" w:rsidRPr="00287564" w:rsidRDefault="00B81258" w:rsidP="00790C89">
            <w:pPr>
              <w:pStyle w:val="NoSpacing"/>
              <w:rPr>
                <w:b/>
                <w:sz w:val="20"/>
              </w:rPr>
            </w:pPr>
            <w:r w:rsidRPr="00287564">
              <w:rPr>
                <w:b/>
                <w:sz w:val="20"/>
              </w:rPr>
              <w:t>Advantages</w:t>
            </w:r>
          </w:p>
        </w:tc>
        <w:tc>
          <w:tcPr>
            <w:tcW w:w="2361" w:type="dxa"/>
            <w:shd w:val="clear" w:color="auto" w:fill="D9E2F3" w:themeFill="accent1" w:themeFillTint="33"/>
          </w:tcPr>
          <w:p w14:paraId="0F719759" w14:textId="77777777" w:rsidR="00B81258" w:rsidRPr="00287564" w:rsidRDefault="00B81258" w:rsidP="00790C89">
            <w:pPr>
              <w:pStyle w:val="NoSpacing"/>
              <w:rPr>
                <w:b/>
                <w:sz w:val="20"/>
              </w:rPr>
            </w:pPr>
            <w:r w:rsidRPr="00287564">
              <w:rPr>
                <w:b/>
                <w:sz w:val="20"/>
              </w:rPr>
              <w:t>Disadvantages</w:t>
            </w:r>
          </w:p>
        </w:tc>
      </w:tr>
      <w:tr w:rsidR="00B81258" w:rsidRPr="00287564" w14:paraId="155C0F4C" w14:textId="77777777" w:rsidTr="00235ACC">
        <w:tc>
          <w:tcPr>
            <w:tcW w:w="1129" w:type="dxa"/>
            <w:vMerge w:val="restart"/>
            <w:vAlign w:val="center"/>
          </w:tcPr>
          <w:p w14:paraId="78D7F164" w14:textId="77777777" w:rsidR="00B81258" w:rsidRPr="00287564" w:rsidRDefault="00B81258" w:rsidP="00790C89">
            <w:pPr>
              <w:pStyle w:val="NoSpacing"/>
              <w:rPr>
                <w:sz w:val="20"/>
              </w:rPr>
            </w:pPr>
            <w:r w:rsidRPr="00287564">
              <w:rPr>
                <w:sz w:val="20"/>
              </w:rPr>
              <w:t>Gasoline vehicles</w:t>
            </w:r>
          </w:p>
        </w:tc>
        <w:tc>
          <w:tcPr>
            <w:tcW w:w="1566" w:type="dxa"/>
            <w:vAlign w:val="center"/>
          </w:tcPr>
          <w:p w14:paraId="0F5482DD" w14:textId="260A51FE" w:rsidR="00B81258" w:rsidRPr="00287564" w:rsidRDefault="00C86E20" w:rsidP="00235ACC">
            <w:pPr>
              <w:pStyle w:val="NoSpacing"/>
              <w:rPr>
                <w:sz w:val="20"/>
              </w:rPr>
            </w:pPr>
            <w:r>
              <w:rPr>
                <w:sz w:val="20"/>
              </w:rPr>
              <w:t>idle</w:t>
            </w:r>
            <w:r w:rsidR="00B81258" w:rsidRPr="00287564">
              <w:rPr>
                <w:sz w:val="20"/>
              </w:rPr>
              <w:t xml:space="preserve"> </w:t>
            </w:r>
            <w:r w:rsidR="00235ACC">
              <w:rPr>
                <w:sz w:val="20"/>
              </w:rPr>
              <w:t xml:space="preserve">and increased revolution </w:t>
            </w:r>
            <w:r w:rsidR="00B81258" w:rsidRPr="00287564">
              <w:rPr>
                <w:sz w:val="20"/>
              </w:rPr>
              <w:t>test for CO and</w:t>
            </w:r>
            <w:r w:rsidR="00B81258">
              <w:rPr>
                <w:sz w:val="20"/>
              </w:rPr>
              <w:t xml:space="preserve"> </w:t>
            </w:r>
            <w:r w:rsidR="00B81258" w:rsidRPr="00287564">
              <w:rPr>
                <w:sz w:val="20"/>
              </w:rPr>
              <w:t>HC</w:t>
            </w:r>
            <w:r>
              <w:rPr>
                <w:rStyle w:val="FootnoteReference"/>
                <w:sz w:val="20"/>
              </w:rPr>
              <w:footnoteReference w:id="69"/>
            </w:r>
          </w:p>
        </w:tc>
        <w:tc>
          <w:tcPr>
            <w:tcW w:w="1710" w:type="dxa"/>
            <w:vAlign w:val="center"/>
          </w:tcPr>
          <w:p w14:paraId="382D23BD" w14:textId="04959ACD" w:rsidR="00B81258" w:rsidRPr="00287564" w:rsidRDefault="00C86E20" w:rsidP="00235ACC">
            <w:pPr>
              <w:pStyle w:val="NoSpacing"/>
              <w:rPr>
                <w:sz w:val="20"/>
              </w:rPr>
            </w:pPr>
            <w:r>
              <w:rPr>
                <w:sz w:val="20"/>
              </w:rPr>
              <w:t>EU</w:t>
            </w:r>
            <w:r w:rsidR="00B81258" w:rsidRPr="00287564">
              <w:rPr>
                <w:sz w:val="20"/>
              </w:rPr>
              <w:t>, China in &gt; 80% of Provinces</w:t>
            </w:r>
            <w:r w:rsidR="00B81258">
              <w:rPr>
                <w:sz w:val="20"/>
              </w:rPr>
              <w:t>, India, Korea (rural areas), Japan</w:t>
            </w:r>
            <w:r>
              <w:rPr>
                <w:sz w:val="20"/>
              </w:rPr>
              <w:t xml:space="preserve"> etc.</w:t>
            </w:r>
          </w:p>
        </w:tc>
        <w:tc>
          <w:tcPr>
            <w:tcW w:w="2250" w:type="dxa"/>
            <w:vAlign w:val="center"/>
          </w:tcPr>
          <w:p w14:paraId="36C0E021" w14:textId="5EF839D3" w:rsidR="00B81258" w:rsidRPr="00287564" w:rsidRDefault="00B81258" w:rsidP="00235ACC">
            <w:pPr>
              <w:pStyle w:val="NoSpacing"/>
              <w:rPr>
                <w:sz w:val="20"/>
              </w:rPr>
            </w:pPr>
            <w:r>
              <w:rPr>
                <w:sz w:val="20"/>
              </w:rPr>
              <w:t>Simple, low</w:t>
            </w:r>
            <w:r w:rsidR="00C86E20">
              <w:rPr>
                <w:sz w:val="20"/>
              </w:rPr>
              <w:t>-</w:t>
            </w:r>
            <w:r>
              <w:rPr>
                <w:sz w:val="20"/>
              </w:rPr>
              <w:t xml:space="preserve">cost, fast; can identify partially </w:t>
            </w:r>
            <w:proofErr w:type="spellStart"/>
            <w:r>
              <w:rPr>
                <w:sz w:val="20"/>
              </w:rPr>
              <w:t>outlayers</w:t>
            </w:r>
            <w:proofErr w:type="spellEnd"/>
            <w:r>
              <w:rPr>
                <w:sz w:val="20"/>
              </w:rPr>
              <w:t xml:space="preserve"> &amp; malfunction of catalyst; for CO, reasonable correlation with type-approval test (not for HC); typical cost per vehicle &lt;5 USD; error of commission low i.e. few vehicles fail test which are in fact performing well</w:t>
            </w:r>
            <w:r>
              <w:rPr>
                <w:rStyle w:val="FootnoteReference"/>
                <w:sz w:val="20"/>
              </w:rPr>
              <w:footnoteReference w:id="70"/>
            </w:r>
          </w:p>
        </w:tc>
        <w:tc>
          <w:tcPr>
            <w:tcW w:w="2361" w:type="dxa"/>
            <w:vAlign w:val="center"/>
          </w:tcPr>
          <w:p w14:paraId="20631CFE" w14:textId="1E1CDBF0" w:rsidR="00B81258" w:rsidRPr="00287564" w:rsidRDefault="00B81258" w:rsidP="00235ACC">
            <w:pPr>
              <w:pStyle w:val="NoSpacing"/>
              <w:rPr>
                <w:sz w:val="20"/>
              </w:rPr>
            </w:pPr>
            <w:r>
              <w:rPr>
                <w:sz w:val="20"/>
              </w:rPr>
              <w:t>Cannot measure NO</w:t>
            </w:r>
            <w:r w:rsidRPr="00FC5FA2">
              <w:rPr>
                <w:sz w:val="20"/>
                <w:vertAlign w:val="subscript"/>
              </w:rPr>
              <w:t>x</w:t>
            </w:r>
            <w:r>
              <w:rPr>
                <w:sz w:val="20"/>
              </w:rPr>
              <w:t xml:space="preserve"> emissions and potential fault of oxygen sensor; No good correlation of HC idle values with loaded type-approval values; </w:t>
            </w:r>
            <w:r w:rsidR="00235ACC">
              <w:rPr>
                <w:sz w:val="20"/>
              </w:rPr>
              <w:t xml:space="preserve">only </w:t>
            </w:r>
            <w:r>
              <w:rPr>
                <w:sz w:val="20"/>
              </w:rPr>
              <w:t xml:space="preserve">gross approximation of actual emission levels; errors of omissions </w:t>
            </w:r>
            <w:r w:rsidR="00235ACC">
              <w:rPr>
                <w:sz w:val="20"/>
              </w:rPr>
              <w:t>are</w:t>
            </w:r>
            <w:r>
              <w:rPr>
                <w:sz w:val="20"/>
              </w:rPr>
              <w:t xml:space="preserve"> significant i.e. vehicles pass test which should not pass it</w:t>
            </w:r>
          </w:p>
        </w:tc>
      </w:tr>
      <w:tr w:rsidR="00B81258" w:rsidRPr="00287564" w14:paraId="5ABFDCE9" w14:textId="77777777" w:rsidTr="00235ACC">
        <w:tc>
          <w:tcPr>
            <w:tcW w:w="1129" w:type="dxa"/>
            <w:vMerge/>
          </w:tcPr>
          <w:p w14:paraId="07C393FB" w14:textId="77777777" w:rsidR="00B81258" w:rsidRPr="00287564" w:rsidRDefault="00B81258" w:rsidP="00790C89">
            <w:pPr>
              <w:pStyle w:val="NoSpacing"/>
              <w:rPr>
                <w:sz w:val="20"/>
              </w:rPr>
            </w:pPr>
          </w:p>
        </w:tc>
        <w:tc>
          <w:tcPr>
            <w:tcW w:w="1566" w:type="dxa"/>
            <w:vAlign w:val="center"/>
          </w:tcPr>
          <w:p w14:paraId="7510AE97" w14:textId="77777777" w:rsidR="00B81258" w:rsidRPr="00287564" w:rsidRDefault="00B81258" w:rsidP="00235ACC">
            <w:pPr>
              <w:pStyle w:val="NoSpacing"/>
              <w:rPr>
                <w:sz w:val="20"/>
              </w:rPr>
            </w:pPr>
            <w:r>
              <w:rPr>
                <w:sz w:val="20"/>
              </w:rPr>
              <w:t>Loaded test (acceleration simulation mode e.g. IM240)</w:t>
            </w:r>
          </w:p>
        </w:tc>
        <w:tc>
          <w:tcPr>
            <w:tcW w:w="1710" w:type="dxa"/>
            <w:vAlign w:val="center"/>
          </w:tcPr>
          <w:p w14:paraId="1C06CFB8" w14:textId="061DAAF5" w:rsidR="00B81258" w:rsidRPr="003B65C6" w:rsidRDefault="00B81258" w:rsidP="00235ACC">
            <w:pPr>
              <w:pStyle w:val="NoSpacing"/>
              <w:rPr>
                <w:sz w:val="20"/>
                <w:lang w:val="en-US"/>
              </w:rPr>
            </w:pPr>
            <w:r w:rsidRPr="003B65C6">
              <w:rPr>
                <w:sz w:val="20"/>
                <w:lang w:val="en-US"/>
              </w:rPr>
              <w:t xml:space="preserve">Korea (urban areas), Mexico, 20% of Chinese Provinces, </w:t>
            </w:r>
            <w:r w:rsidR="00C86E20" w:rsidRPr="003B65C6">
              <w:rPr>
                <w:sz w:val="20"/>
                <w:lang w:val="en-US"/>
              </w:rPr>
              <w:t>parts of USA</w:t>
            </w:r>
          </w:p>
        </w:tc>
        <w:tc>
          <w:tcPr>
            <w:tcW w:w="2250" w:type="dxa"/>
            <w:vAlign w:val="center"/>
          </w:tcPr>
          <w:p w14:paraId="4C5B78DF" w14:textId="77777777" w:rsidR="00B81258" w:rsidRPr="00287564" w:rsidRDefault="00B81258" w:rsidP="00235ACC">
            <w:pPr>
              <w:pStyle w:val="NoSpacing"/>
              <w:rPr>
                <w:sz w:val="20"/>
              </w:rPr>
            </w:pPr>
            <w:r>
              <w:rPr>
                <w:sz w:val="20"/>
              </w:rPr>
              <w:t xml:space="preserve">Good correlation with type-approval test i.e. low error of omission &amp; commission; reflects emission status well </w:t>
            </w:r>
          </w:p>
        </w:tc>
        <w:tc>
          <w:tcPr>
            <w:tcW w:w="2361" w:type="dxa"/>
            <w:vAlign w:val="center"/>
          </w:tcPr>
          <w:p w14:paraId="6C38D13C" w14:textId="77777777" w:rsidR="00B81258" w:rsidRPr="00287564" w:rsidRDefault="00B81258" w:rsidP="00235ACC">
            <w:pPr>
              <w:pStyle w:val="NoSpacing"/>
              <w:rPr>
                <w:sz w:val="20"/>
              </w:rPr>
            </w:pPr>
            <w:r>
              <w:rPr>
                <w:sz w:val="20"/>
              </w:rPr>
              <w:t>Costly; takes more time; requires trained staff; typical cost per vehicle &gt; 15 USD</w:t>
            </w:r>
          </w:p>
        </w:tc>
      </w:tr>
      <w:tr w:rsidR="00B81258" w:rsidRPr="00287564" w14:paraId="73AA2130" w14:textId="77777777" w:rsidTr="00235ACC">
        <w:tc>
          <w:tcPr>
            <w:tcW w:w="1129" w:type="dxa"/>
            <w:vMerge w:val="restart"/>
            <w:vAlign w:val="center"/>
          </w:tcPr>
          <w:p w14:paraId="0D8AC910" w14:textId="77777777" w:rsidR="00B81258" w:rsidRPr="00287564" w:rsidRDefault="00B81258" w:rsidP="00790C89">
            <w:pPr>
              <w:pStyle w:val="NoSpacing"/>
              <w:rPr>
                <w:sz w:val="20"/>
              </w:rPr>
            </w:pPr>
            <w:r>
              <w:rPr>
                <w:sz w:val="20"/>
              </w:rPr>
              <w:t>D</w:t>
            </w:r>
            <w:r w:rsidRPr="00287564">
              <w:rPr>
                <w:sz w:val="20"/>
              </w:rPr>
              <w:t>iesel vehicles</w:t>
            </w:r>
          </w:p>
        </w:tc>
        <w:tc>
          <w:tcPr>
            <w:tcW w:w="1566" w:type="dxa"/>
            <w:vAlign w:val="center"/>
          </w:tcPr>
          <w:p w14:paraId="20502C4D" w14:textId="3194009B" w:rsidR="00B81258" w:rsidRPr="00287564" w:rsidRDefault="00B81258" w:rsidP="00235ACC">
            <w:pPr>
              <w:pStyle w:val="NoSpacing"/>
              <w:rPr>
                <w:sz w:val="20"/>
              </w:rPr>
            </w:pPr>
            <w:r>
              <w:rPr>
                <w:sz w:val="20"/>
              </w:rPr>
              <w:t xml:space="preserve">Snap </w:t>
            </w:r>
            <w:r w:rsidR="00C86E20">
              <w:rPr>
                <w:sz w:val="20"/>
              </w:rPr>
              <w:t xml:space="preserve">idle </w:t>
            </w:r>
            <w:r>
              <w:rPr>
                <w:sz w:val="20"/>
              </w:rPr>
              <w:t>acceleration</w:t>
            </w:r>
            <w:r w:rsidR="00A30180">
              <w:rPr>
                <w:sz w:val="20"/>
              </w:rPr>
              <w:t xml:space="preserve"> (metered smoke test)</w:t>
            </w:r>
          </w:p>
        </w:tc>
        <w:tc>
          <w:tcPr>
            <w:tcW w:w="1710" w:type="dxa"/>
            <w:vAlign w:val="center"/>
          </w:tcPr>
          <w:p w14:paraId="3EC0565F" w14:textId="24AF7813" w:rsidR="00B81258" w:rsidRPr="003B65C6" w:rsidRDefault="00C86E20" w:rsidP="00235ACC">
            <w:pPr>
              <w:pStyle w:val="NoSpacing"/>
              <w:rPr>
                <w:sz w:val="20"/>
                <w:lang w:val="es-ES"/>
              </w:rPr>
            </w:pPr>
            <w:r w:rsidRPr="003B65C6">
              <w:rPr>
                <w:sz w:val="20"/>
                <w:lang w:val="es-ES"/>
              </w:rPr>
              <w:t>EU</w:t>
            </w:r>
            <w:r w:rsidR="00B81258" w:rsidRPr="003B65C6">
              <w:rPr>
                <w:sz w:val="20"/>
                <w:lang w:val="es-ES"/>
              </w:rPr>
              <w:t xml:space="preserve">, </w:t>
            </w:r>
            <w:proofErr w:type="spellStart"/>
            <w:r w:rsidR="00B81258" w:rsidRPr="003B65C6">
              <w:rPr>
                <w:sz w:val="20"/>
                <w:lang w:val="es-ES"/>
              </w:rPr>
              <w:t>Korea</w:t>
            </w:r>
            <w:proofErr w:type="spellEnd"/>
            <w:r w:rsidR="00B81258" w:rsidRPr="003B65C6">
              <w:rPr>
                <w:sz w:val="20"/>
                <w:lang w:val="es-ES"/>
              </w:rPr>
              <w:t>, India, China</w:t>
            </w:r>
            <w:r w:rsidRPr="003B65C6">
              <w:rPr>
                <w:sz w:val="20"/>
                <w:lang w:val="es-ES"/>
              </w:rPr>
              <w:t>, USA</w:t>
            </w:r>
          </w:p>
        </w:tc>
        <w:tc>
          <w:tcPr>
            <w:tcW w:w="2250" w:type="dxa"/>
            <w:vAlign w:val="center"/>
          </w:tcPr>
          <w:p w14:paraId="73BE5087" w14:textId="77777777" w:rsidR="00B81258" w:rsidRPr="00287564" w:rsidRDefault="00B81258" w:rsidP="00235ACC">
            <w:pPr>
              <w:pStyle w:val="NoSpacing"/>
              <w:rPr>
                <w:sz w:val="20"/>
              </w:rPr>
            </w:pPr>
            <w:r>
              <w:rPr>
                <w:sz w:val="20"/>
              </w:rPr>
              <w:t xml:space="preserve">Low cost with typically &lt; 5-10 USD/vehicle; simple and fast test; </w:t>
            </w:r>
          </w:p>
        </w:tc>
        <w:tc>
          <w:tcPr>
            <w:tcW w:w="2361" w:type="dxa"/>
            <w:vAlign w:val="center"/>
          </w:tcPr>
          <w:p w14:paraId="672438F6" w14:textId="7BA11709" w:rsidR="00B81258" w:rsidRPr="00287564" w:rsidRDefault="00B81258" w:rsidP="00235ACC">
            <w:pPr>
              <w:pStyle w:val="NoSpacing"/>
              <w:rPr>
                <w:sz w:val="20"/>
              </w:rPr>
            </w:pPr>
            <w:r>
              <w:rPr>
                <w:sz w:val="20"/>
              </w:rPr>
              <w:t>Can result in engine damage; unreliable if not performed well i.e. test results are sensitive to test conduction; correlation with type-approval not good; can be circumvented easily</w:t>
            </w:r>
          </w:p>
        </w:tc>
      </w:tr>
      <w:tr w:rsidR="00B81258" w:rsidRPr="00287564" w14:paraId="13953C03" w14:textId="77777777" w:rsidTr="00235ACC">
        <w:tc>
          <w:tcPr>
            <w:tcW w:w="1129" w:type="dxa"/>
            <w:vMerge/>
          </w:tcPr>
          <w:p w14:paraId="60C816E3" w14:textId="77777777" w:rsidR="00B81258" w:rsidRPr="00287564" w:rsidRDefault="00B81258" w:rsidP="00790C89">
            <w:pPr>
              <w:pStyle w:val="NoSpacing"/>
              <w:rPr>
                <w:sz w:val="20"/>
              </w:rPr>
            </w:pPr>
          </w:p>
        </w:tc>
        <w:tc>
          <w:tcPr>
            <w:tcW w:w="1566" w:type="dxa"/>
            <w:vAlign w:val="center"/>
          </w:tcPr>
          <w:p w14:paraId="7722E465" w14:textId="77777777" w:rsidR="00B81258" w:rsidRPr="00287564" w:rsidRDefault="00B81258" w:rsidP="00235ACC">
            <w:pPr>
              <w:pStyle w:val="NoSpacing"/>
              <w:rPr>
                <w:sz w:val="20"/>
              </w:rPr>
            </w:pPr>
            <w:r>
              <w:rPr>
                <w:sz w:val="20"/>
              </w:rPr>
              <w:t>Loaded test with dynamometer or free-rollers using engine brake</w:t>
            </w:r>
          </w:p>
        </w:tc>
        <w:tc>
          <w:tcPr>
            <w:tcW w:w="1710" w:type="dxa"/>
            <w:vAlign w:val="center"/>
          </w:tcPr>
          <w:p w14:paraId="10A0E00B" w14:textId="77777777" w:rsidR="00B81258" w:rsidRPr="00287564" w:rsidRDefault="00B81258" w:rsidP="00235ACC">
            <w:pPr>
              <w:pStyle w:val="NoSpacing"/>
              <w:rPr>
                <w:sz w:val="20"/>
              </w:rPr>
            </w:pPr>
            <w:r>
              <w:rPr>
                <w:sz w:val="20"/>
              </w:rPr>
              <w:t>Singapore, Chile</w:t>
            </w:r>
            <w:r>
              <w:rPr>
                <w:rStyle w:val="FootnoteReference"/>
                <w:sz w:val="20"/>
              </w:rPr>
              <w:footnoteReference w:id="71"/>
            </w:r>
          </w:p>
        </w:tc>
        <w:tc>
          <w:tcPr>
            <w:tcW w:w="2250" w:type="dxa"/>
            <w:vAlign w:val="center"/>
          </w:tcPr>
          <w:p w14:paraId="06BFC876" w14:textId="77777777" w:rsidR="00B81258" w:rsidRPr="00287564" w:rsidRDefault="00B81258" w:rsidP="00235ACC">
            <w:pPr>
              <w:pStyle w:val="NoSpacing"/>
              <w:rPr>
                <w:sz w:val="20"/>
              </w:rPr>
            </w:pPr>
            <w:r>
              <w:rPr>
                <w:sz w:val="20"/>
              </w:rPr>
              <w:t>Results are more reliable than with snap acceleration</w:t>
            </w:r>
          </w:p>
        </w:tc>
        <w:tc>
          <w:tcPr>
            <w:tcW w:w="2361" w:type="dxa"/>
            <w:vAlign w:val="center"/>
          </w:tcPr>
          <w:p w14:paraId="067A0EC4" w14:textId="77777777" w:rsidR="00B81258" w:rsidRPr="00287564" w:rsidRDefault="00B81258" w:rsidP="00235ACC">
            <w:pPr>
              <w:pStyle w:val="NoSpacing"/>
              <w:rPr>
                <w:sz w:val="20"/>
              </w:rPr>
            </w:pPr>
            <w:r>
              <w:rPr>
                <w:sz w:val="20"/>
              </w:rPr>
              <w:t>expensive and difficult to perform; can result in accidents (free roller with engine brakes); typical cost &gt; 50 USD for HDVs and &gt; 25 USD for light vehicles</w:t>
            </w:r>
          </w:p>
        </w:tc>
      </w:tr>
    </w:tbl>
    <w:p w14:paraId="5F2C0B84" w14:textId="5DE6BAE8" w:rsidR="00B81258" w:rsidRPr="00110727" w:rsidRDefault="00B81258" w:rsidP="00B81258">
      <w:pPr>
        <w:rPr>
          <w:sz w:val="20"/>
        </w:rPr>
      </w:pPr>
      <w:r w:rsidRPr="00110727">
        <w:rPr>
          <w:sz w:val="20"/>
        </w:rPr>
        <w:t>Sources: authors compilation; see also ICCT, 2015 and ICCT 2013</w:t>
      </w:r>
      <w:r w:rsidR="00EE3369">
        <w:rPr>
          <w:sz w:val="20"/>
        </w:rPr>
        <w:t>;</w:t>
      </w:r>
      <w:r>
        <w:rPr>
          <w:sz w:val="20"/>
        </w:rPr>
        <w:t xml:space="preserve"> CAA, 2016</w:t>
      </w:r>
      <w:r w:rsidRPr="00110727">
        <w:rPr>
          <w:sz w:val="20"/>
        </w:rPr>
        <w:t xml:space="preserve">  </w:t>
      </w:r>
    </w:p>
    <w:p w14:paraId="37C2AB48" w14:textId="0386A370" w:rsidR="00B81258" w:rsidRPr="00CA06DA" w:rsidRDefault="00B81258" w:rsidP="00B81258">
      <w:pPr>
        <w:jc w:val="both"/>
        <w:rPr>
          <w:color w:val="2E2E2E"/>
        </w:rPr>
      </w:pPr>
      <w:r>
        <w:rPr>
          <w:color w:val="2E2E2E"/>
        </w:rPr>
        <w:t>The idle test as well as the snap acceleration tests are the most widely used and are useful as crude indicators for serious engine malfunctions. High smoke emissions are caused often by poor maintenance or by deliberate engine tampering to coax more power out of a</w:t>
      </w:r>
      <w:r w:rsidR="00A30180">
        <w:rPr>
          <w:color w:val="2E2E2E"/>
        </w:rPr>
        <w:t xml:space="preserve"> diesel</w:t>
      </w:r>
      <w:r>
        <w:rPr>
          <w:color w:val="2E2E2E"/>
        </w:rPr>
        <w:t xml:space="preserve"> engine beyond its rated capacity resulting in over-fuelling and excess smoke emissions.</w:t>
      </w:r>
    </w:p>
    <w:p w14:paraId="4231CB50" w14:textId="77777777" w:rsidR="00B81258" w:rsidRDefault="00B81258" w:rsidP="00B81258">
      <w:pPr>
        <w:jc w:val="both"/>
        <w:rPr>
          <w:color w:val="2E2E2E"/>
        </w:rPr>
      </w:pPr>
      <w:r>
        <w:rPr>
          <w:color w:val="2E2E2E"/>
        </w:rPr>
        <w:t>The reason why inspection systems have been established is the underlying hypothesis that:</w:t>
      </w:r>
    </w:p>
    <w:p w14:paraId="0B5193F5" w14:textId="77777777" w:rsidR="00B81258" w:rsidRPr="00235ACC" w:rsidRDefault="00B81258" w:rsidP="00B81258">
      <w:pPr>
        <w:pStyle w:val="ListParagraph"/>
        <w:numPr>
          <w:ilvl w:val="0"/>
          <w:numId w:val="41"/>
        </w:numPr>
        <w:spacing w:after="160" w:line="259" w:lineRule="auto"/>
        <w:jc w:val="both"/>
        <w:rPr>
          <w:color w:val="2E2E2E"/>
          <w:lang w:val="en-GB"/>
        </w:rPr>
      </w:pPr>
      <w:r w:rsidRPr="00235ACC">
        <w:rPr>
          <w:color w:val="2E2E2E"/>
          <w:lang w:val="en-GB"/>
        </w:rPr>
        <w:t>Appropriate maintenance is required to maintain the emission system which will otherwise degrade rapidly;</w:t>
      </w:r>
    </w:p>
    <w:p w14:paraId="53A5D3F4" w14:textId="77777777" w:rsidR="00B81258" w:rsidRPr="00235ACC" w:rsidRDefault="00B81258" w:rsidP="00B81258">
      <w:pPr>
        <w:pStyle w:val="ListParagraph"/>
        <w:numPr>
          <w:ilvl w:val="0"/>
          <w:numId w:val="41"/>
        </w:numPr>
        <w:spacing w:after="160" w:line="259" w:lineRule="auto"/>
        <w:jc w:val="both"/>
        <w:rPr>
          <w:color w:val="2E2E2E"/>
          <w:lang w:val="en-GB"/>
        </w:rPr>
      </w:pPr>
      <w:r w:rsidRPr="00235ACC">
        <w:rPr>
          <w:color w:val="2E2E2E"/>
          <w:lang w:val="en-GB"/>
        </w:rPr>
        <w:t>A significant share of vehicles has a malfunction of their system thereby resulting in very high emissions;</w:t>
      </w:r>
    </w:p>
    <w:p w14:paraId="1BC10917" w14:textId="77777777" w:rsidR="00B81258" w:rsidRPr="00235ACC" w:rsidRDefault="00B81258" w:rsidP="00B81258">
      <w:pPr>
        <w:pStyle w:val="ListParagraph"/>
        <w:numPr>
          <w:ilvl w:val="0"/>
          <w:numId w:val="41"/>
        </w:numPr>
        <w:spacing w:after="160" w:line="259" w:lineRule="auto"/>
        <w:jc w:val="both"/>
        <w:rPr>
          <w:color w:val="2E2E2E"/>
          <w:lang w:val="en-GB"/>
        </w:rPr>
      </w:pPr>
      <w:r w:rsidRPr="00235ACC">
        <w:rPr>
          <w:color w:val="2E2E2E"/>
          <w:lang w:val="en-GB"/>
        </w:rPr>
        <w:t xml:space="preserve">Inspection systems can identify vehicles which have problems and owners will repair their vehicles or scrap them. </w:t>
      </w:r>
    </w:p>
    <w:p w14:paraId="5D49C1B1" w14:textId="77777777" w:rsidR="00B81258" w:rsidRPr="00110727" w:rsidRDefault="00B81258" w:rsidP="00B81258">
      <w:pPr>
        <w:jc w:val="both"/>
        <w:rPr>
          <w:b/>
          <w:color w:val="2E2E2E"/>
        </w:rPr>
      </w:pPr>
      <w:r>
        <w:rPr>
          <w:b/>
          <w:color w:val="2E2E2E"/>
        </w:rPr>
        <w:lastRenderedPageBreak/>
        <w:t>Deterioration of Vehicles and Resultant E</w:t>
      </w:r>
      <w:r w:rsidRPr="00110727">
        <w:rPr>
          <w:b/>
          <w:color w:val="2E2E2E"/>
        </w:rPr>
        <w:t>mi</w:t>
      </w:r>
      <w:r>
        <w:rPr>
          <w:b/>
          <w:color w:val="2E2E2E"/>
        </w:rPr>
        <w:t>ssion Increase</w:t>
      </w:r>
      <w:r w:rsidRPr="00110727">
        <w:rPr>
          <w:b/>
          <w:color w:val="2E2E2E"/>
        </w:rPr>
        <w:t xml:space="preserve"> </w:t>
      </w:r>
    </w:p>
    <w:p w14:paraId="7198944A" w14:textId="5D87FD25" w:rsidR="00B81258" w:rsidRDefault="00B81258" w:rsidP="00B81258">
      <w:pPr>
        <w:jc w:val="both"/>
        <w:rPr>
          <w:color w:val="2E2E2E"/>
        </w:rPr>
      </w:pPr>
      <w:r>
        <w:rPr>
          <w:color w:val="2E2E2E"/>
        </w:rPr>
        <w:t>In the time of carburetted vehicles this was a common and well know problem. The fuel/air mixture would not be optimal, either caused intentionally or by degradation and a simple maintenance and adjustment could reduce emissions significantly. However, vehicles today are to an overwhelming majority of electronic injection and control. The air/fuel mixture is thereby electronically controlled. Degradation would thus occur if systems malfunction. Therefore, it is important to know what the average degradation factor is. The COPERT model used by the EU standard uses deterioration factors which are based on a very small sample of Euro 3 and 4 vehicles with limited high mileage ranges and on laboratory tests. Deterioration rates derived from more than 110,000 records collected over the past thirteen years from on-road emission remote sensing in Z</w:t>
      </w:r>
      <w:r>
        <w:rPr>
          <w:rFonts w:cstheme="minorHAnsi"/>
          <w:color w:val="2E2E2E"/>
        </w:rPr>
        <w:t>ü</w:t>
      </w:r>
      <w:r>
        <w:rPr>
          <w:color w:val="2E2E2E"/>
        </w:rPr>
        <w:t>rich/Switzerland however show that deterioration rates for gasoline vehicles are much lower than assumed so far with no evidence of high emitters</w:t>
      </w:r>
      <w:r>
        <w:rPr>
          <w:rStyle w:val="FootnoteReference"/>
          <w:color w:val="2E2E2E"/>
        </w:rPr>
        <w:footnoteReference w:id="72"/>
      </w:r>
      <w:r>
        <w:rPr>
          <w:color w:val="2E2E2E"/>
        </w:rPr>
        <w:t>. Degradation will probably be even less of a problem in the future as Euro 6 standards ask for longer periods of guaranteed emission performance and durability of emission control parts of vehicles thus reducing degradation and reducing the share of high emitters.</w:t>
      </w:r>
      <w:r w:rsidRPr="004F78AC">
        <w:rPr>
          <w:rFonts w:ascii="Times New Roman" w:eastAsia="Times New Roman" w:hAnsi="Times New Roman" w:cs="Times New Roman"/>
          <w:color w:val="2E2E2E"/>
          <w:sz w:val="24"/>
          <w:szCs w:val="24"/>
          <w:lang w:eastAsia="en-GB"/>
        </w:rPr>
        <w:t xml:space="preserve"> </w:t>
      </w:r>
      <w:r w:rsidRPr="004F78AC">
        <w:rPr>
          <w:color w:val="2E2E2E"/>
        </w:rPr>
        <w:t>The deterioration of the emission control systems take</w:t>
      </w:r>
      <w:r>
        <w:rPr>
          <w:color w:val="2E2E2E"/>
        </w:rPr>
        <w:t>s</w:t>
      </w:r>
      <w:r w:rsidRPr="004F78AC">
        <w:rPr>
          <w:color w:val="2E2E2E"/>
        </w:rPr>
        <w:t xml:space="preserve"> place gradually over the observed lifetime of up to twenty years. </w:t>
      </w:r>
      <w:r>
        <w:rPr>
          <w:color w:val="2E2E2E"/>
        </w:rPr>
        <w:t xml:space="preserve">No </w:t>
      </w:r>
      <w:r w:rsidRPr="004F78AC">
        <w:rPr>
          <w:color w:val="2E2E2E"/>
        </w:rPr>
        <w:t>significantly higher frequency or elevated levels of high emission events</w:t>
      </w:r>
      <w:r>
        <w:rPr>
          <w:color w:val="2E2E2E"/>
        </w:rPr>
        <w:t xml:space="preserve"> was found over time</w:t>
      </w:r>
      <w:r w:rsidRPr="004F78AC">
        <w:rPr>
          <w:color w:val="2E2E2E"/>
        </w:rPr>
        <w:t>, thus ruling out an increased share of vehicles with dysfunctional emission control equipment.</w:t>
      </w:r>
      <w:r>
        <w:rPr>
          <w:color w:val="2E2E2E"/>
        </w:rPr>
        <w:t xml:space="preserve"> This means that the potential impact of inspection programs is limited and continuously decreasing with new vehicle technologies.</w:t>
      </w:r>
      <w:r w:rsidRPr="004F78AC">
        <w:rPr>
          <w:rFonts w:ascii="Times New Roman" w:eastAsia="Times New Roman" w:hAnsi="Times New Roman" w:cs="Times New Roman"/>
          <w:color w:val="2E2E2E"/>
          <w:sz w:val="24"/>
          <w:szCs w:val="24"/>
          <w:lang w:eastAsia="en-GB"/>
        </w:rPr>
        <w:t xml:space="preserve"> </w:t>
      </w:r>
      <w:r w:rsidRPr="004F78AC">
        <w:rPr>
          <w:color w:val="2E2E2E"/>
        </w:rPr>
        <w:t xml:space="preserve">The durability of emission controls has much improved since Euro 1 technologies. </w:t>
      </w:r>
      <w:r>
        <w:rPr>
          <w:color w:val="2E2E2E"/>
        </w:rPr>
        <w:t>Deterioration is still an issue; h</w:t>
      </w:r>
      <w:r w:rsidRPr="004F78AC">
        <w:rPr>
          <w:color w:val="2E2E2E"/>
        </w:rPr>
        <w:t xml:space="preserve">owever, simple idle tests do not prove to be effective for a better tuning of the emission control system. Given that vehicles with broken emission controls seem to be very rare, idle tests might also not be necessary </w:t>
      </w:r>
      <w:r>
        <w:rPr>
          <w:color w:val="2E2E2E"/>
        </w:rPr>
        <w:t xml:space="preserve">in </w:t>
      </w:r>
      <w:r w:rsidRPr="004F78AC">
        <w:rPr>
          <w:color w:val="2E2E2E"/>
        </w:rPr>
        <w:t>finding those cars. Well-managed on-board diagnostics (OB</w:t>
      </w:r>
      <w:r>
        <w:rPr>
          <w:color w:val="2E2E2E"/>
        </w:rPr>
        <w:t>D) perform equally well.</w:t>
      </w:r>
    </w:p>
    <w:p w14:paraId="2877B456" w14:textId="77777777" w:rsidR="00443AB4" w:rsidRDefault="00443AB4" w:rsidP="00B81258">
      <w:pPr>
        <w:jc w:val="both"/>
        <w:rPr>
          <w:b/>
          <w:color w:val="2E2E2E"/>
        </w:rPr>
      </w:pPr>
    </w:p>
    <w:p w14:paraId="057DD7CB" w14:textId="5C2592A5" w:rsidR="00B81258" w:rsidRPr="004B5D64" w:rsidRDefault="00B81258" w:rsidP="00B81258">
      <w:pPr>
        <w:jc w:val="both"/>
        <w:rPr>
          <w:b/>
          <w:color w:val="2E2E2E"/>
        </w:rPr>
      </w:pPr>
      <w:r>
        <w:rPr>
          <w:b/>
          <w:color w:val="2E2E2E"/>
        </w:rPr>
        <w:t>Inspection S</w:t>
      </w:r>
      <w:r w:rsidRPr="004B5D64">
        <w:rPr>
          <w:b/>
          <w:color w:val="2E2E2E"/>
        </w:rPr>
        <w:t xml:space="preserve">ystems </w:t>
      </w:r>
      <w:r>
        <w:rPr>
          <w:b/>
          <w:color w:val="2E2E2E"/>
        </w:rPr>
        <w:t>and Identification of High E</w:t>
      </w:r>
      <w:r w:rsidRPr="004B5D64">
        <w:rPr>
          <w:b/>
          <w:color w:val="2E2E2E"/>
        </w:rPr>
        <w:t>mitters</w:t>
      </w:r>
    </w:p>
    <w:p w14:paraId="47CC326E" w14:textId="216958BF" w:rsidR="00B81258" w:rsidRDefault="00B81258" w:rsidP="00B81258">
      <w:pPr>
        <w:jc w:val="both"/>
        <w:rPr>
          <w:color w:val="2E2E2E"/>
        </w:rPr>
      </w:pPr>
      <w:r>
        <w:rPr>
          <w:color w:val="2E2E2E"/>
        </w:rPr>
        <w:t xml:space="preserve">The error of omissions should be as low as possible to avoid high emitting vehicles to pass the test. The error of omissions however not only depends on the test procedure but also on the test execution and the potential of </w:t>
      </w:r>
      <w:r w:rsidR="002A0DEF">
        <w:rPr>
          <w:color w:val="2E2E2E"/>
        </w:rPr>
        <w:t>manipulation</w:t>
      </w:r>
      <w:r>
        <w:rPr>
          <w:color w:val="2E2E2E"/>
        </w:rPr>
        <w:t>. Following points need to be observed:</w:t>
      </w:r>
    </w:p>
    <w:p w14:paraId="7FB77BD3" w14:textId="77777777" w:rsidR="00B81258" w:rsidRPr="00235ACC" w:rsidRDefault="00B81258" w:rsidP="00B81258">
      <w:pPr>
        <w:pStyle w:val="ListParagraph"/>
        <w:numPr>
          <w:ilvl w:val="0"/>
          <w:numId w:val="42"/>
        </w:numPr>
        <w:spacing w:after="160" w:line="259" w:lineRule="auto"/>
        <w:jc w:val="both"/>
        <w:rPr>
          <w:color w:val="2E2E2E"/>
          <w:lang w:val="en-GB"/>
        </w:rPr>
      </w:pPr>
      <w:r w:rsidRPr="00235ACC">
        <w:rPr>
          <w:color w:val="2E2E2E"/>
          <w:lang w:val="en-GB"/>
        </w:rPr>
        <w:t>Idle gasoline tests have a relatively high error level of omission due to the test itself;</w:t>
      </w:r>
    </w:p>
    <w:p w14:paraId="3D165400" w14:textId="77777777" w:rsidR="00B81258" w:rsidRPr="00235ACC" w:rsidRDefault="00B81258" w:rsidP="00B81258">
      <w:pPr>
        <w:pStyle w:val="ListParagraph"/>
        <w:numPr>
          <w:ilvl w:val="0"/>
          <w:numId w:val="42"/>
        </w:numPr>
        <w:spacing w:after="160" w:line="259" w:lineRule="auto"/>
        <w:jc w:val="both"/>
        <w:rPr>
          <w:color w:val="2E2E2E"/>
          <w:lang w:val="en-GB"/>
        </w:rPr>
      </w:pPr>
      <w:r w:rsidRPr="00235ACC">
        <w:rPr>
          <w:color w:val="2E2E2E"/>
          <w:lang w:val="en-GB"/>
        </w:rPr>
        <w:t>Snap-on diesel tests have a regular level of error of omission due to the test itself but a high level of error of omissions due to incorrect test application. This is a very common problem and can be due to lack of training and know-how or be intentional;</w:t>
      </w:r>
    </w:p>
    <w:p w14:paraId="1CA151B4" w14:textId="45540BD2" w:rsidR="00B81258" w:rsidRPr="00235ACC" w:rsidRDefault="00B81258" w:rsidP="00B81258">
      <w:pPr>
        <w:pStyle w:val="ListParagraph"/>
        <w:numPr>
          <w:ilvl w:val="0"/>
          <w:numId w:val="42"/>
        </w:numPr>
        <w:spacing w:after="160" w:line="259" w:lineRule="auto"/>
        <w:jc w:val="both"/>
        <w:rPr>
          <w:color w:val="2E2E2E"/>
          <w:lang w:val="en-GB"/>
        </w:rPr>
      </w:pPr>
      <w:r w:rsidRPr="00235ACC">
        <w:rPr>
          <w:color w:val="2E2E2E"/>
          <w:lang w:val="en-GB"/>
        </w:rPr>
        <w:t xml:space="preserve">Inspection systems are prone to </w:t>
      </w:r>
      <w:r w:rsidR="002E5435">
        <w:rPr>
          <w:color w:val="2E2E2E"/>
          <w:lang w:val="en-GB"/>
        </w:rPr>
        <w:t>be circumvented</w:t>
      </w:r>
      <w:r w:rsidRPr="00235ACC">
        <w:rPr>
          <w:color w:val="2E2E2E"/>
          <w:lang w:val="en-GB"/>
        </w:rPr>
        <w:t xml:space="preserve">. Persons which have a </w:t>
      </w:r>
      <w:r w:rsidR="002E5435">
        <w:rPr>
          <w:color w:val="2E2E2E"/>
          <w:lang w:val="en-GB"/>
        </w:rPr>
        <w:t xml:space="preserve">vehicle in bad shape and do not want to invest large amounts of money to repair their vehicle have a </w:t>
      </w:r>
      <w:r w:rsidRPr="00235ACC">
        <w:rPr>
          <w:color w:val="2E2E2E"/>
          <w:lang w:val="en-GB"/>
        </w:rPr>
        <w:t>motivation to</w:t>
      </w:r>
      <w:r w:rsidR="002E5435">
        <w:rPr>
          <w:color w:val="2E2E2E"/>
          <w:lang w:val="en-GB"/>
        </w:rPr>
        <w:t xml:space="preserve"> try to get a certificate with any means.</w:t>
      </w:r>
      <w:r w:rsidRPr="00235ACC">
        <w:rPr>
          <w:color w:val="2E2E2E"/>
          <w:lang w:val="en-GB"/>
        </w:rPr>
        <w:t xml:space="preserve"> </w:t>
      </w:r>
      <w:r w:rsidR="002E5435">
        <w:rPr>
          <w:color w:val="2E2E2E"/>
          <w:lang w:val="en-GB"/>
        </w:rPr>
        <w:t>P</w:t>
      </w:r>
      <w:r w:rsidRPr="00235ACC">
        <w:rPr>
          <w:color w:val="2E2E2E"/>
          <w:lang w:val="en-GB"/>
        </w:rPr>
        <w:t xml:space="preserve">ractices observed in many countries include intentional wrong measurement procedures (especially in diesel vehicles), adjustment of vehicles only for control purposes (especially diesel vehicles), registering of wrong data (from emission equipment or usage of vehicles in good conditions whilst registering for the control a different vehicle), fake pass certificates, usage of fuel additives (especially for diesel vehicles), etc. Some of the fraud possibilities can be reduced through more intense controls of inspection centres e.g. through direct data transmission, digital recording, web-based real-time transmission of inspections, usage of covert auditing etc. However, all these controls are </w:t>
      </w:r>
      <w:r w:rsidRPr="00235ACC">
        <w:rPr>
          <w:color w:val="2E2E2E"/>
          <w:lang w:val="en-GB"/>
        </w:rPr>
        <w:lastRenderedPageBreak/>
        <w:t>expensive, and can be circumvented again as the experience has shown e.g. in Mexico City</w:t>
      </w:r>
      <w:r w:rsidRPr="00235ACC">
        <w:rPr>
          <w:rStyle w:val="FootnoteReference"/>
          <w:color w:val="2E2E2E"/>
          <w:lang w:val="en-GB"/>
        </w:rPr>
        <w:footnoteReference w:id="73"/>
      </w:r>
      <w:r w:rsidRPr="00235ACC">
        <w:rPr>
          <w:color w:val="2E2E2E"/>
          <w:lang w:val="en-GB"/>
        </w:rPr>
        <w:t xml:space="preserve">. Other aspects cannot be controlled easily e.g. preparing the vehicle only for inspection purposes e.g. adjusting diesel engines with a lower fuel intake-ratio to reduce smoke and “re-adjusting” the same engine again after inspection to allow for more power. Appropriate controls require on-road measurements or remote sensing. Former are very costly, require trained staff and equipment and a certain frequency. Virtually no country has implemented this on a wide scale. Costa Rica realized this quite intensively during some years in the nineties with support from a Swiss clean air project but results were mixed and the program was downscaled. Remote sensing is used in more countries but basically in a monitoring context and not to identify and track high emitters.  </w:t>
      </w:r>
    </w:p>
    <w:p w14:paraId="73C827BA" w14:textId="77777777" w:rsidR="00B81258" w:rsidRPr="004F78AC" w:rsidRDefault="00B81258" w:rsidP="00B81258">
      <w:pPr>
        <w:shd w:val="clear" w:color="auto" w:fill="FFFFFF"/>
        <w:spacing w:beforeAutospacing="1"/>
        <w:jc w:val="both"/>
        <w:rPr>
          <w:b/>
          <w:color w:val="2E2E2E"/>
        </w:rPr>
      </w:pPr>
      <w:r>
        <w:rPr>
          <w:b/>
          <w:color w:val="2E2E2E"/>
        </w:rPr>
        <w:t>Usefulness of Emission I</w:t>
      </w:r>
      <w:r w:rsidRPr="004F78AC">
        <w:rPr>
          <w:b/>
          <w:color w:val="2E2E2E"/>
        </w:rPr>
        <w:t>nspections</w:t>
      </w:r>
    </w:p>
    <w:p w14:paraId="72CBE323" w14:textId="48CC4CE4" w:rsidR="00B81258" w:rsidRPr="007B12EE" w:rsidRDefault="007B12EE" w:rsidP="007B12EE">
      <w:pPr>
        <w:shd w:val="clear" w:color="auto" w:fill="FFFFFF"/>
        <w:spacing w:beforeAutospacing="1"/>
        <w:jc w:val="both"/>
        <w:rPr>
          <w:color w:val="2E2E2E"/>
          <w:sz w:val="20"/>
        </w:rPr>
      </w:pPr>
      <w:r>
        <w:rPr>
          <w:color w:val="2E2E2E"/>
        </w:rPr>
        <w:t>Vehicle</w:t>
      </w:r>
      <w:r w:rsidR="00B81258">
        <w:rPr>
          <w:color w:val="2E2E2E"/>
        </w:rPr>
        <w:t xml:space="preserve"> inspection systems </w:t>
      </w:r>
      <w:r>
        <w:rPr>
          <w:color w:val="2E2E2E"/>
        </w:rPr>
        <w:t xml:space="preserve">especially for old vehicles and for diesel units which degrade quicker and which have more maintenance issues </w:t>
      </w:r>
      <w:r w:rsidR="00B81258">
        <w:rPr>
          <w:color w:val="2E2E2E"/>
        </w:rPr>
        <w:t xml:space="preserve">are </w:t>
      </w:r>
      <w:r>
        <w:rPr>
          <w:color w:val="2E2E2E"/>
        </w:rPr>
        <w:t xml:space="preserve">still </w:t>
      </w:r>
      <w:r w:rsidR="00B81258">
        <w:rPr>
          <w:color w:val="2E2E2E"/>
        </w:rPr>
        <w:t xml:space="preserve">useful. </w:t>
      </w:r>
      <w:r>
        <w:rPr>
          <w:color w:val="2E2E2E"/>
        </w:rPr>
        <w:t xml:space="preserve">For gasoline cars </w:t>
      </w:r>
      <w:r w:rsidR="00B81258">
        <w:rPr>
          <w:color w:val="2E2E2E"/>
        </w:rPr>
        <w:t xml:space="preserve">their impact </w:t>
      </w:r>
      <w:r>
        <w:rPr>
          <w:color w:val="2E2E2E"/>
        </w:rPr>
        <w:t xml:space="preserve">is </w:t>
      </w:r>
      <w:r w:rsidR="00B81258">
        <w:rPr>
          <w:color w:val="2E2E2E"/>
        </w:rPr>
        <w:t xml:space="preserve">limited </w:t>
      </w:r>
      <w:r>
        <w:rPr>
          <w:color w:val="2E2E2E"/>
        </w:rPr>
        <w:t xml:space="preserve">and measurements could be replaced with reading the data from the EOBD (the same holds true for Euro V and VI diesel cars). </w:t>
      </w:r>
      <w:r>
        <w:rPr>
          <w:color w:val="2E2E2E"/>
          <w:sz w:val="20"/>
        </w:rPr>
        <w:t xml:space="preserve"> </w:t>
      </w:r>
      <w:r w:rsidR="00B81258">
        <w:rPr>
          <w:color w:val="2E2E2E"/>
        </w:rPr>
        <w:t xml:space="preserve">The international trend concerning IM is to reduce emission inspection based on testing and to rely </w:t>
      </w:r>
      <w:r>
        <w:rPr>
          <w:color w:val="2E2E2E"/>
        </w:rPr>
        <w:t xml:space="preserve">more on </w:t>
      </w:r>
      <w:r w:rsidR="00B81258">
        <w:rPr>
          <w:color w:val="2E2E2E"/>
        </w:rPr>
        <w:t>OBD</w:t>
      </w:r>
      <w:r w:rsidR="001D4CCE">
        <w:rPr>
          <w:rStyle w:val="FootnoteReference"/>
          <w:color w:val="2E2E2E"/>
        </w:rPr>
        <w:footnoteReference w:id="74"/>
      </w:r>
      <w:r w:rsidR="00B81258">
        <w:rPr>
          <w:color w:val="2E2E2E"/>
        </w:rPr>
        <w:t xml:space="preserve"> </w:t>
      </w:r>
      <w:r w:rsidR="001D4CCE">
        <w:rPr>
          <w:color w:val="2E2E2E"/>
        </w:rPr>
        <w:t>or EOBD (</w:t>
      </w:r>
      <w:bookmarkStart w:id="53" w:name="_Hlk7187199"/>
      <w:r w:rsidR="001D4CCE">
        <w:rPr>
          <w:color w:val="2E2E2E"/>
        </w:rPr>
        <w:t xml:space="preserve">European On-Board Diagnostic System </w:t>
      </w:r>
      <w:bookmarkEnd w:id="53"/>
      <w:r w:rsidR="001D4CCE">
        <w:rPr>
          <w:color w:val="2E2E2E"/>
        </w:rPr>
        <w:t>equivalent to OBD</w:t>
      </w:r>
      <w:r w:rsidR="009060A5">
        <w:rPr>
          <w:color w:val="2E2E2E"/>
        </w:rPr>
        <w:t xml:space="preserve"> </w:t>
      </w:r>
      <w:r w:rsidR="001D4CCE">
        <w:rPr>
          <w:color w:val="2E2E2E"/>
        </w:rPr>
        <w:t>II of the US)</w:t>
      </w:r>
      <w:r w:rsidR="00B81258">
        <w:rPr>
          <w:color w:val="2E2E2E"/>
        </w:rPr>
        <w:t xml:space="preserve">. </w:t>
      </w:r>
      <w:r w:rsidR="001D4CCE">
        <w:rPr>
          <w:color w:val="2E2E2E"/>
        </w:rPr>
        <w:t>The large majority of vehicles circulating in Kosovo have OBD</w:t>
      </w:r>
      <w:r w:rsidR="009060A5">
        <w:rPr>
          <w:color w:val="2E2E2E"/>
        </w:rPr>
        <w:t xml:space="preserve"> </w:t>
      </w:r>
      <w:r w:rsidR="001D4CCE">
        <w:rPr>
          <w:color w:val="2E2E2E"/>
        </w:rPr>
        <w:t xml:space="preserve">II or EOBD as only vehicles older than 15 years (diesel units) and older than 18 years (gasoline) do not have such a system installed. OBD systems record malfunctions of the emission control system, report it on the dashboard and register the </w:t>
      </w:r>
      <w:r w:rsidR="00B81258">
        <w:rPr>
          <w:color w:val="2E2E2E"/>
        </w:rPr>
        <w:t xml:space="preserve">date of the malfunction. </w:t>
      </w:r>
      <w:r>
        <w:rPr>
          <w:color w:val="2E2E2E"/>
        </w:rPr>
        <w:t>EOBD readings</w:t>
      </w:r>
      <w:r w:rsidR="00B81258">
        <w:rPr>
          <w:color w:val="2E2E2E"/>
        </w:rPr>
        <w:t xml:space="preserve"> can be combined with a roadworthiness test. Switzerland since 2013 as well as California also since 2013 have e.g. eliminated regular </w:t>
      </w:r>
      <w:r w:rsidR="001D4CCE">
        <w:rPr>
          <w:color w:val="2E2E2E"/>
        </w:rPr>
        <w:t xml:space="preserve">in-service </w:t>
      </w:r>
      <w:r w:rsidR="00B81258">
        <w:rPr>
          <w:color w:val="2E2E2E"/>
        </w:rPr>
        <w:t xml:space="preserve">emission inspection of vehicles </w:t>
      </w:r>
      <w:r w:rsidR="00A30180">
        <w:rPr>
          <w:color w:val="2E2E2E"/>
        </w:rPr>
        <w:t xml:space="preserve">which are equipped with </w:t>
      </w:r>
      <w:r w:rsidR="00B81258">
        <w:rPr>
          <w:color w:val="2E2E2E"/>
        </w:rPr>
        <w:t>OBD</w:t>
      </w:r>
      <w:r>
        <w:rPr>
          <w:color w:val="2E2E2E"/>
        </w:rPr>
        <w:t>/EOBD</w:t>
      </w:r>
      <w:r w:rsidR="001D4CCE">
        <w:rPr>
          <w:rStyle w:val="FootnoteReference"/>
          <w:color w:val="2E2E2E"/>
        </w:rPr>
        <w:footnoteReference w:id="75"/>
      </w:r>
      <w:r w:rsidR="00B81258">
        <w:rPr>
          <w:color w:val="2E2E2E"/>
        </w:rPr>
        <w:t>.</w:t>
      </w:r>
    </w:p>
    <w:p w14:paraId="373A45B5" w14:textId="66E21530" w:rsidR="001D4CCE" w:rsidRDefault="001D4CCE" w:rsidP="001D4CCE">
      <w:pPr>
        <w:pStyle w:val="Heading2"/>
      </w:pPr>
      <w:bookmarkStart w:id="54" w:name="_Toc7256810"/>
      <w:r>
        <w:t>6.2. Conclusions</w:t>
      </w:r>
      <w:bookmarkEnd w:id="54"/>
    </w:p>
    <w:p w14:paraId="683428FD" w14:textId="79ECD1AC" w:rsidR="001D4CCE" w:rsidRDefault="001D4CCE" w:rsidP="001D4CCE"/>
    <w:p w14:paraId="61425A0C" w14:textId="60021D9A" w:rsidR="00713AF2" w:rsidRPr="00506B25" w:rsidRDefault="00713AF2" w:rsidP="001D4CCE">
      <w:bookmarkStart w:id="55" w:name="_Hlk7189313"/>
      <w:r w:rsidRPr="00506B25">
        <w:t>Following conclusions are reached:</w:t>
      </w:r>
    </w:p>
    <w:p w14:paraId="5F670D23" w14:textId="546B037A" w:rsidR="00713AF2" w:rsidRPr="00506B25" w:rsidRDefault="00EE2ABB" w:rsidP="00713AF2">
      <w:pPr>
        <w:pStyle w:val="ListParagraph"/>
        <w:numPr>
          <w:ilvl w:val="0"/>
          <w:numId w:val="43"/>
        </w:numPr>
        <w:jc w:val="both"/>
        <w:rPr>
          <w:lang w:val="en-GB"/>
        </w:rPr>
      </w:pPr>
      <w:r w:rsidRPr="00506B25">
        <w:rPr>
          <w:lang w:val="en-GB"/>
        </w:rPr>
        <w:t>Idle</w:t>
      </w:r>
      <w:r w:rsidR="00713AF2" w:rsidRPr="00506B25">
        <w:rPr>
          <w:lang w:val="en-GB"/>
        </w:rPr>
        <w:t xml:space="preserve"> gasoline tests and </w:t>
      </w:r>
      <w:r w:rsidRPr="00506B25">
        <w:rPr>
          <w:lang w:val="en-GB"/>
        </w:rPr>
        <w:t>Snap-On</w:t>
      </w:r>
      <w:r w:rsidR="00713AF2" w:rsidRPr="00506B25">
        <w:rPr>
          <w:lang w:val="en-GB"/>
        </w:rPr>
        <w:t xml:space="preserve"> diesel tests as </w:t>
      </w:r>
      <w:r w:rsidRPr="00506B25">
        <w:rPr>
          <w:lang w:val="en-GB"/>
        </w:rPr>
        <w:t>proposed</w:t>
      </w:r>
      <w:r w:rsidR="00713AF2" w:rsidRPr="00506B25">
        <w:rPr>
          <w:lang w:val="en-GB"/>
        </w:rPr>
        <w:t xml:space="preserve"> </w:t>
      </w:r>
      <w:r w:rsidR="007B12EE">
        <w:rPr>
          <w:lang w:val="en-GB"/>
        </w:rPr>
        <w:t xml:space="preserve">for </w:t>
      </w:r>
      <w:r w:rsidR="00713AF2" w:rsidRPr="00506B25">
        <w:rPr>
          <w:lang w:val="en-GB"/>
        </w:rPr>
        <w:t xml:space="preserve">Kosovo </w:t>
      </w:r>
      <w:r w:rsidR="007B12EE">
        <w:rPr>
          <w:lang w:val="en-GB"/>
        </w:rPr>
        <w:t>are in line with EU regulations</w:t>
      </w:r>
      <w:r w:rsidR="00713AF2" w:rsidRPr="00506B25">
        <w:rPr>
          <w:lang w:val="en-GB"/>
        </w:rPr>
        <w:t xml:space="preserve">. </w:t>
      </w:r>
    </w:p>
    <w:p w14:paraId="308CB240" w14:textId="5B84F478" w:rsidR="0053173D" w:rsidRDefault="007B12EE" w:rsidP="00713AF2">
      <w:pPr>
        <w:pStyle w:val="ListParagraph"/>
        <w:numPr>
          <w:ilvl w:val="0"/>
          <w:numId w:val="43"/>
        </w:numPr>
        <w:jc w:val="both"/>
        <w:rPr>
          <w:lang w:val="en-GB"/>
        </w:rPr>
      </w:pPr>
      <w:r>
        <w:rPr>
          <w:lang w:val="en-GB"/>
        </w:rPr>
        <w:t xml:space="preserve">Measurement of gasoline cars could be replaced, except for very old units </w:t>
      </w:r>
      <w:r w:rsidR="0053173D">
        <w:rPr>
          <w:lang w:val="en-GB"/>
        </w:rPr>
        <w:t xml:space="preserve">(e.g. &gt;15 years) with EOBD readings which are more reliable and faster to check. For </w:t>
      </w:r>
      <w:r w:rsidR="001D358F">
        <w:rPr>
          <w:lang w:val="en-GB"/>
        </w:rPr>
        <w:t xml:space="preserve">very </w:t>
      </w:r>
      <w:r w:rsidR="0053173D">
        <w:rPr>
          <w:lang w:val="en-GB"/>
        </w:rPr>
        <w:t>old cars the idle test is OK to check quickly if the emission control system is still in place.</w:t>
      </w:r>
    </w:p>
    <w:p w14:paraId="34EBA4A3" w14:textId="4062BAAF" w:rsidR="00713AF2" w:rsidRPr="0053173D" w:rsidRDefault="0053173D" w:rsidP="0053173D">
      <w:pPr>
        <w:pStyle w:val="ListParagraph"/>
        <w:numPr>
          <w:ilvl w:val="0"/>
          <w:numId w:val="43"/>
        </w:numPr>
        <w:jc w:val="both"/>
        <w:rPr>
          <w:lang w:val="en-GB"/>
        </w:rPr>
      </w:pPr>
      <w:r>
        <w:rPr>
          <w:lang w:val="en-GB"/>
        </w:rPr>
        <w:t xml:space="preserve">For diesel vehicles new units (&lt;5 years) could be checked with EOBD only whilst for older units a cross-check with the </w:t>
      </w:r>
      <w:proofErr w:type="spellStart"/>
      <w:r>
        <w:rPr>
          <w:lang w:val="en-GB"/>
        </w:rPr>
        <w:t>snap-on</w:t>
      </w:r>
      <w:proofErr w:type="spellEnd"/>
      <w:r>
        <w:rPr>
          <w:lang w:val="en-GB"/>
        </w:rPr>
        <w:t xml:space="preserve"> test is useful as diesel vehicles degrade quicker. However, it is important to have control procedures in place to ensure that testing is done adequately and to reduce wrong measurements. </w:t>
      </w:r>
    </w:p>
    <w:p w14:paraId="497A7524" w14:textId="6059DD8A" w:rsidR="001D4CCE" w:rsidRDefault="00713AF2" w:rsidP="00443AB4">
      <w:pPr>
        <w:jc w:val="both"/>
      </w:pPr>
      <w:r w:rsidRPr="00506B25">
        <w:t xml:space="preserve">The </w:t>
      </w:r>
      <w:r w:rsidR="0053173D">
        <w:t xml:space="preserve">overall impact of an in-use vehicle emission inspection is limited as degradation of vehicles is not that significant and as controls can be circumvented relatively easily. In-use controls cannot improve the original vehicle emission standard i.e. a Euro 3 vehicle will at best remain at that level. The </w:t>
      </w:r>
      <w:r w:rsidRPr="00506B25">
        <w:t xml:space="preserve">focus </w:t>
      </w:r>
      <w:r w:rsidRPr="00506B25">
        <w:lastRenderedPageBreak/>
        <w:t xml:space="preserve">for reducing vehicle </w:t>
      </w:r>
      <w:r w:rsidR="00EE2ABB" w:rsidRPr="00506B25">
        <w:t>emissions</w:t>
      </w:r>
      <w:r w:rsidRPr="00506B25">
        <w:t xml:space="preserve"> </w:t>
      </w:r>
      <w:r w:rsidR="0053173D">
        <w:t xml:space="preserve">therefore </w:t>
      </w:r>
      <w:r w:rsidRPr="00506B25">
        <w:t xml:space="preserve">needs to be on the emission standard (type approval </w:t>
      </w:r>
      <w:r w:rsidR="00EE2ABB" w:rsidRPr="00506B25">
        <w:t>standard</w:t>
      </w:r>
      <w:r w:rsidRPr="00506B25">
        <w:t xml:space="preserve">) of new/imported vehicles. This is the point where the emission level of </w:t>
      </w:r>
      <w:r w:rsidR="00EE2ABB" w:rsidRPr="00506B25">
        <w:t>vehicles</w:t>
      </w:r>
      <w:r w:rsidRPr="00506B25">
        <w:t xml:space="preserve"> is defined. </w:t>
      </w:r>
      <w:bookmarkEnd w:id="55"/>
    </w:p>
    <w:p w14:paraId="2A4BEA56" w14:textId="343E97FF" w:rsidR="00C81347" w:rsidRDefault="00C81347" w:rsidP="00C81347">
      <w:pPr>
        <w:pStyle w:val="Heading1"/>
      </w:pPr>
      <w:bookmarkStart w:id="56" w:name="_Toc7256811"/>
      <w:r>
        <w:t>References</w:t>
      </w:r>
      <w:bookmarkEnd w:id="56"/>
    </w:p>
    <w:p w14:paraId="0672DD64" w14:textId="77777777" w:rsidR="00C81347" w:rsidRPr="00C81347" w:rsidRDefault="00C81347" w:rsidP="00C81347"/>
    <w:p w14:paraId="4CB32F20" w14:textId="77777777" w:rsidR="00445D54" w:rsidRPr="00C81347" w:rsidRDefault="00445D54" w:rsidP="00445D54">
      <w:r w:rsidRPr="00C81347">
        <w:t>ADB (2018), Low-Carbon Buses in the People’s Republic of China</w:t>
      </w:r>
    </w:p>
    <w:p w14:paraId="1123BD1D" w14:textId="77777777" w:rsidR="00445D54" w:rsidRDefault="00445D54" w:rsidP="00445D54">
      <w:proofErr w:type="spellStart"/>
      <w:r w:rsidRPr="00B7561D">
        <w:t>Borken-Kleefeld</w:t>
      </w:r>
      <w:proofErr w:type="spellEnd"/>
      <w:r w:rsidRPr="00B7561D">
        <w:t xml:space="preserve"> J. et. al. </w:t>
      </w:r>
      <w:r w:rsidRPr="00B6769D">
        <w:t xml:space="preserve">(2015), New emission deterioration rates for gasoline cars – results from long-term measurements, </w:t>
      </w:r>
      <w:r>
        <w:rPr>
          <w:i/>
        </w:rPr>
        <w:t>Atmo</w:t>
      </w:r>
      <w:r w:rsidRPr="00B6769D">
        <w:rPr>
          <w:i/>
        </w:rPr>
        <w:t>s</w:t>
      </w:r>
      <w:r>
        <w:rPr>
          <w:i/>
        </w:rPr>
        <w:t>p</w:t>
      </w:r>
      <w:r w:rsidRPr="00B6769D">
        <w:rPr>
          <w:i/>
        </w:rPr>
        <w:t>heric Environment, Vol. 101, 01/2015, 58-64</w:t>
      </w:r>
    </w:p>
    <w:p w14:paraId="231AB6E3" w14:textId="77777777" w:rsidR="00445D54" w:rsidRPr="00A47DC9" w:rsidRDefault="00445D54" w:rsidP="00445D54">
      <w:r w:rsidRPr="00A47DC9">
        <w:t>CAA (2016), Vehicle Inspection and Maintenance in Asia: Status and Challenges</w:t>
      </w:r>
    </w:p>
    <w:p w14:paraId="52E6E287" w14:textId="77777777" w:rsidR="00445D54" w:rsidRDefault="00445D54" w:rsidP="00445D54">
      <w:pPr>
        <w:rPr>
          <w:lang w:val="fr-FR"/>
        </w:rPr>
      </w:pPr>
      <w:r w:rsidRPr="003C26AD">
        <w:rPr>
          <w:lang w:val="fr-FR"/>
        </w:rPr>
        <w:t xml:space="preserve">CARB (2015), EMFAC2014 Volume III – </w:t>
      </w:r>
      <w:proofErr w:type="spellStart"/>
      <w:r w:rsidRPr="003C26AD">
        <w:rPr>
          <w:lang w:val="fr-FR"/>
        </w:rPr>
        <w:t>Techn</w:t>
      </w:r>
      <w:r>
        <w:rPr>
          <w:lang w:val="fr-FR"/>
        </w:rPr>
        <w:t>ic</w:t>
      </w:r>
      <w:r w:rsidRPr="003C26AD">
        <w:rPr>
          <w:lang w:val="fr-FR"/>
        </w:rPr>
        <w:t>al</w:t>
      </w:r>
      <w:proofErr w:type="spellEnd"/>
      <w:r w:rsidRPr="003C26AD">
        <w:rPr>
          <w:lang w:val="fr-FR"/>
        </w:rPr>
        <w:t xml:space="preserve"> Documentation</w:t>
      </w:r>
    </w:p>
    <w:p w14:paraId="7E8D3A7E" w14:textId="77777777" w:rsidR="00445D54" w:rsidRDefault="00445D54" w:rsidP="00445D54">
      <w:r>
        <w:t xml:space="preserve">CHIC (2016), </w:t>
      </w:r>
      <w:r w:rsidRPr="003E2669">
        <w:t>London hydrogen buses and the CHIC project</w:t>
      </w:r>
    </w:p>
    <w:p w14:paraId="0B09F1BB" w14:textId="77777777" w:rsidR="00445D54" w:rsidRDefault="00445D54" w:rsidP="00445D54">
      <w:r>
        <w:t>DVSA (2017), In Service Exhaust Emission Standards for Road Vehicles, 19</w:t>
      </w:r>
      <w:r w:rsidRPr="00A30180">
        <w:rPr>
          <w:vertAlign w:val="superscript"/>
        </w:rPr>
        <w:t>th</w:t>
      </w:r>
      <w:r>
        <w:t xml:space="preserve"> ed.</w:t>
      </w:r>
    </w:p>
    <w:p w14:paraId="178B5373" w14:textId="3851ADEE" w:rsidR="00445D54" w:rsidRDefault="00CE7AAE" w:rsidP="00445D54">
      <w:r>
        <w:t>EEA (2018), Air pollutant emission inventory guidebook Version 2016 update December 2018</w:t>
      </w:r>
    </w:p>
    <w:p w14:paraId="570D2550" w14:textId="77777777" w:rsidR="00445D54" w:rsidRDefault="00445D54" w:rsidP="00445D54">
      <w:r>
        <w:t>EEA (2016), Road vehicle tyre and brake wear</w:t>
      </w:r>
    </w:p>
    <w:p w14:paraId="2E5D534B" w14:textId="77777777" w:rsidR="00445D54" w:rsidRPr="003E2669" w:rsidRDefault="00445D54" w:rsidP="00445D54">
      <w:pPr>
        <w:rPr>
          <w:lang w:val="de-DE"/>
        </w:rPr>
      </w:pPr>
      <w:r w:rsidRPr="003E2669">
        <w:rPr>
          <w:lang w:val="de-DE"/>
        </w:rPr>
        <w:t>Faltenbacher M. et. al. (2011), Abschlussbericht Plattform Innovative Antriebe Bus (Auftraggeber Bundesministerium fur Verkehr, Bau und Stadtentwicklung)</w:t>
      </w:r>
    </w:p>
    <w:p w14:paraId="4D5126EF" w14:textId="77777777" w:rsidR="00445D54" w:rsidRDefault="00445D54" w:rsidP="00445D54">
      <w:proofErr w:type="spellStart"/>
      <w:r>
        <w:t>Gr</w:t>
      </w:r>
      <w:r>
        <w:rPr>
          <w:rFonts w:cstheme="minorHAnsi"/>
        </w:rPr>
        <w:t>ü</w:t>
      </w:r>
      <w:r>
        <w:t>tter</w:t>
      </w:r>
      <w:proofErr w:type="spellEnd"/>
      <w:r>
        <w:t xml:space="preserve"> J. (2015), CALAC evaluation report</w:t>
      </w:r>
    </w:p>
    <w:p w14:paraId="3D4F6BA0" w14:textId="77777777" w:rsidR="00445D54" w:rsidRDefault="00445D54" w:rsidP="00445D54">
      <w:r>
        <w:t>ICCT (2016a), A technical summary of Euro 6/VI vehicle emission standards</w:t>
      </w:r>
    </w:p>
    <w:p w14:paraId="2AE0B9EF" w14:textId="77777777" w:rsidR="00445D54" w:rsidRDefault="00445D54" w:rsidP="00445D54">
      <w:r>
        <w:t>ICCT (2016b), Environmental Risks of Diesel Passenger Vehicles in Brazil</w:t>
      </w:r>
    </w:p>
    <w:p w14:paraId="0A49D361" w14:textId="77777777" w:rsidR="00445D54" w:rsidRDefault="00445D54" w:rsidP="00445D54">
      <w:r>
        <w:t>ICCT (2015), Cost and Benefits of Motor Vehicle Emission Control Programs in China</w:t>
      </w:r>
    </w:p>
    <w:p w14:paraId="4D3EE3A3" w14:textId="77777777" w:rsidR="00445D54" w:rsidRDefault="00445D54" w:rsidP="00445D54">
      <w:r>
        <w:t>ICCT (2013), Overview of India’s Vehicle Emissions and Control Program</w:t>
      </w:r>
    </w:p>
    <w:p w14:paraId="00AFD549" w14:textId="77777777" w:rsidR="00445D54" w:rsidRPr="003E2669" w:rsidRDefault="00445D54" w:rsidP="00445D54">
      <w:r w:rsidRPr="003E2669">
        <w:t>IEA (2005), Energy Statistics Manual</w:t>
      </w:r>
    </w:p>
    <w:p w14:paraId="749608AA" w14:textId="77777777" w:rsidR="00445D54" w:rsidRDefault="00445D54" w:rsidP="00445D54">
      <w:bookmarkStart w:id="57" w:name="_Hlk11741700"/>
      <w:r w:rsidRPr="003E2669">
        <w:t>IMF (2014), Getting Prices Right</w:t>
      </w:r>
    </w:p>
    <w:bookmarkEnd w:id="57"/>
    <w:p w14:paraId="360E7211" w14:textId="77777777" w:rsidR="00CE7AAE" w:rsidRDefault="00CE7AAE" w:rsidP="00CE7AAE">
      <w:r w:rsidRPr="003E2669">
        <w:t xml:space="preserve">IPCC (2013), Fifth Assessment Report (AR5); </w:t>
      </w:r>
      <w:hyperlink r:id="rId23" w:history="1">
        <w:r w:rsidRPr="003E2669">
          <w:rPr>
            <w:rStyle w:val="Hyperlink"/>
          </w:rPr>
          <w:t>https://www.ipcc.ch/report/ar5/</w:t>
        </w:r>
      </w:hyperlink>
      <w:r w:rsidRPr="003E2669">
        <w:t xml:space="preserve"> </w:t>
      </w:r>
    </w:p>
    <w:p w14:paraId="4275A381" w14:textId="432B9289" w:rsidR="00CE7AAE" w:rsidRDefault="00CE7AAE" w:rsidP="00445D54">
      <w:r w:rsidRPr="003E2669">
        <w:t>IPCC (2006), IPCC Guidelines for National Greenhouse Gas Inventories</w:t>
      </w:r>
    </w:p>
    <w:p w14:paraId="3AD755F9" w14:textId="2CAEA17B" w:rsidR="00445D54" w:rsidRDefault="00445D54" w:rsidP="00445D54">
      <w:r>
        <w:t>Kosovo Agency of Statistics (2018), Series 3: Economic Statistics</w:t>
      </w:r>
    </w:p>
    <w:p w14:paraId="33A3B799" w14:textId="17F0D417" w:rsidR="007979CF" w:rsidRDefault="007979CF" w:rsidP="00445D54">
      <w:r>
        <w:t>Ministry of Environment and Spatial Planning (2018), Climate Change Strategy 2019-2038; Action Plan on Climate Change 2019-2021</w:t>
      </w:r>
    </w:p>
    <w:p w14:paraId="720A0C58" w14:textId="21862E1C" w:rsidR="00445D54" w:rsidRPr="003E2669" w:rsidRDefault="00445D54" w:rsidP="00445D54">
      <w:r>
        <w:t>MM (2018), Pristina Sustainable Urban Mobility Plan</w:t>
      </w:r>
    </w:p>
    <w:p w14:paraId="06887279" w14:textId="77777777" w:rsidR="00445D54" w:rsidRDefault="00445D54" w:rsidP="00445D54">
      <w:r>
        <w:t>Pinner et.al. (2016), lethal and illegal: London’s air pollution crisis</w:t>
      </w:r>
    </w:p>
    <w:p w14:paraId="3B9C5204" w14:textId="77777777" w:rsidR="00445D54" w:rsidRDefault="00445D54" w:rsidP="00445D54">
      <w:r>
        <w:t>TRL (2014), Briefing paper on non-exhaust particulate emissions from road transport</w:t>
      </w:r>
    </w:p>
    <w:p w14:paraId="770336EC" w14:textId="77777777" w:rsidR="00445D54" w:rsidRPr="00924275" w:rsidRDefault="00445D54" w:rsidP="00445D54">
      <w:pPr>
        <w:rPr>
          <w:lang w:val="de-DE"/>
        </w:rPr>
      </w:pPr>
      <w:r>
        <w:t xml:space="preserve">VTPI </w:t>
      </w:r>
      <w:r w:rsidRPr="000E0413">
        <w:rPr>
          <w:lang w:val="de-DE"/>
        </w:rPr>
        <w:t>(2017), Transportation Cost and Benefit Analysis II – Noise Costs</w:t>
      </w:r>
    </w:p>
    <w:p w14:paraId="43846747" w14:textId="77777777" w:rsidR="007979CF" w:rsidRDefault="007979CF" w:rsidP="007979CF">
      <w:bookmarkStart w:id="58" w:name="_Hlk11741401"/>
      <w:r w:rsidRPr="003E2669">
        <w:t>UNFCCC (2014), CDM Methodological Tool: Upstream leakage emissions associated with fossil fuel usage, Version 02.0</w:t>
      </w:r>
    </w:p>
    <w:bookmarkEnd w:id="58"/>
    <w:p w14:paraId="4097FB08" w14:textId="77777777" w:rsidR="007979CF" w:rsidRDefault="007979CF" w:rsidP="007979CF">
      <w:r w:rsidRPr="002469A6">
        <w:lastRenderedPageBreak/>
        <w:t xml:space="preserve">WHO (2006), WHO Air quality guidelines for particulate matter, ozone, nitrogen dioxide and </w:t>
      </w:r>
      <w:proofErr w:type="spellStart"/>
      <w:r w:rsidRPr="002469A6">
        <w:t>sulfur</w:t>
      </w:r>
      <w:proofErr w:type="spellEnd"/>
      <w:r w:rsidRPr="002469A6">
        <w:t xml:space="preserve"> dioxide</w:t>
      </w:r>
    </w:p>
    <w:p w14:paraId="7757F71E" w14:textId="6EBF6BD0" w:rsidR="005209F9" w:rsidRDefault="00445D54" w:rsidP="007979CF">
      <w:r>
        <w:t>Walsh M. (2017), Car Lines</w:t>
      </w:r>
    </w:p>
    <w:p w14:paraId="090C3343" w14:textId="77777777" w:rsidR="004A66BA" w:rsidRPr="003C26AD" w:rsidRDefault="004A66BA" w:rsidP="004A66BA">
      <w:pPr>
        <w:rPr>
          <w:lang w:val="fr-FR"/>
        </w:rPr>
      </w:pPr>
    </w:p>
    <w:p w14:paraId="6CE5C5C4" w14:textId="77777777" w:rsidR="00CC21E7" w:rsidRDefault="00CC21E7" w:rsidP="00CC21E7"/>
    <w:p w14:paraId="0BF55E40" w14:textId="77777777" w:rsidR="00CC21E7" w:rsidRPr="00CC21E7" w:rsidRDefault="00CC21E7" w:rsidP="00CC21E7"/>
    <w:p w14:paraId="0585AEC0" w14:textId="77777777" w:rsidR="00CC21E7" w:rsidRDefault="00CC21E7" w:rsidP="00CC21E7"/>
    <w:p w14:paraId="66C472CA" w14:textId="77777777" w:rsidR="00CC21E7" w:rsidRDefault="00CC21E7" w:rsidP="00CC21E7"/>
    <w:p w14:paraId="18801AD3" w14:textId="4FF78326" w:rsidR="00C53E25" w:rsidRDefault="0053173D" w:rsidP="00CC21E7">
      <w:pPr>
        <w:pStyle w:val="Heading1"/>
      </w:pPr>
      <w:bookmarkStart w:id="59" w:name="_Toc7256812"/>
      <w:r>
        <w:br w:type="column"/>
      </w:r>
      <w:r w:rsidR="00C53E25">
        <w:lastRenderedPageBreak/>
        <w:t>Annex</w:t>
      </w:r>
      <w:bookmarkEnd w:id="59"/>
    </w:p>
    <w:p w14:paraId="09BCDABD" w14:textId="77777777" w:rsidR="0053173D" w:rsidRPr="005967C1" w:rsidRDefault="0053173D" w:rsidP="0053173D"/>
    <w:p w14:paraId="2D20313E" w14:textId="77777777" w:rsidR="0053173D" w:rsidRDefault="0053173D" w:rsidP="0053173D">
      <w:r w:rsidRPr="005967C1">
        <w:rPr>
          <w:noProof/>
        </w:rPr>
        <w:drawing>
          <wp:inline distT="0" distB="0" distL="0" distR="0" wp14:anchorId="6BA86F39" wp14:editId="37BFC183">
            <wp:extent cx="5731510" cy="3477895"/>
            <wp:effectExtent l="0" t="0" r="254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3477895"/>
                    </a:xfrm>
                    <a:prstGeom prst="rect">
                      <a:avLst/>
                    </a:prstGeom>
                    <a:noFill/>
                    <a:ln>
                      <a:noFill/>
                    </a:ln>
                  </pic:spPr>
                </pic:pic>
              </a:graphicData>
            </a:graphic>
          </wp:inline>
        </w:drawing>
      </w:r>
    </w:p>
    <w:p w14:paraId="470DF449" w14:textId="77777777" w:rsidR="0053173D" w:rsidRDefault="0053173D" w:rsidP="0053173D">
      <w:r w:rsidRPr="005967C1">
        <w:rPr>
          <w:noProof/>
        </w:rPr>
        <w:drawing>
          <wp:inline distT="0" distB="0" distL="0" distR="0" wp14:anchorId="526F9654" wp14:editId="1DE70942">
            <wp:extent cx="5731510" cy="3496945"/>
            <wp:effectExtent l="0" t="0" r="254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3496945"/>
                    </a:xfrm>
                    <a:prstGeom prst="rect">
                      <a:avLst/>
                    </a:prstGeom>
                    <a:noFill/>
                    <a:ln>
                      <a:noFill/>
                    </a:ln>
                  </pic:spPr>
                </pic:pic>
              </a:graphicData>
            </a:graphic>
          </wp:inline>
        </w:drawing>
      </w:r>
    </w:p>
    <w:p w14:paraId="7D616969" w14:textId="77777777" w:rsidR="0053173D" w:rsidRDefault="0053173D" w:rsidP="0053173D">
      <w:r w:rsidRPr="005967C1">
        <w:rPr>
          <w:noProof/>
        </w:rPr>
        <w:lastRenderedPageBreak/>
        <w:drawing>
          <wp:inline distT="0" distB="0" distL="0" distR="0" wp14:anchorId="435ADC4D" wp14:editId="0FC26013">
            <wp:extent cx="3474720" cy="521208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4720" cy="5212080"/>
                    </a:xfrm>
                    <a:prstGeom prst="rect">
                      <a:avLst/>
                    </a:prstGeom>
                    <a:noFill/>
                    <a:ln>
                      <a:noFill/>
                    </a:ln>
                  </pic:spPr>
                </pic:pic>
              </a:graphicData>
            </a:graphic>
          </wp:inline>
        </w:drawing>
      </w:r>
    </w:p>
    <w:p w14:paraId="1D15D9A2" w14:textId="77777777" w:rsidR="0053173D" w:rsidRDefault="0053173D" w:rsidP="0053173D">
      <w:r w:rsidRPr="005967C1">
        <w:rPr>
          <w:noProof/>
        </w:rPr>
        <w:lastRenderedPageBreak/>
        <w:drawing>
          <wp:inline distT="0" distB="0" distL="0" distR="0" wp14:anchorId="2EEC742C" wp14:editId="40318976">
            <wp:extent cx="3855720" cy="7955280"/>
            <wp:effectExtent l="0" t="0" r="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55720" cy="7955280"/>
                    </a:xfrm>
                    <a:prstGeom prst="rect">
                      <a:avLst/>
                    </a:prstGeom>
                    <a:noFill/>
                    <a:ln>
                      <a:noFill/>
                    </a:ln>
                  </pic:spPr>
                </pic:pic>
              </a:graphicData>
            </a:graphic>
          </wp:inline>
        </w:drawing>
      </w:r>
    </w:p>
    <w:p w14:paraId="6A4AD252" w14:textId="77777777" w:rsidR="0053173D" w:rsidRDefault="0053173D" w:rsidP="0053173D">
      <w:r w:rsidRPr="005967C1">
        <w:rPr>
          <w:noProof/>
        </w:rPr>
        <w:lastRenderedPageBreak/>
        <w:drawing>
          <wp:inline distT="0" distB="0" distL="0" distR="0" wp14:anchorId="477346AA" wp14:editId="2C6AB695">
            <wp:extent cx="4549140" cy="8907780"/>
            <wp:effectExtent l="0" t="0" r="381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49140" cy="8907780"/>
                    </a:xfrm>
                    <a:prstGeom prst="rect">
                      <a:avLst/>
                    </a:prstGeom>
                    <a:noFill/>
                    <a:ln>
                      <a:noFill/>
                    </a:ln>
                  </pic:spPr>
                </pic:pic>
              </a:graphicData>
            </a:graphic>
          </wp:inline>
        </w:drawing>
      </w:r>
    </w:p>
    <w:p w14:paraId="53739603" w14:textId="77777777" w:rsidR="0053173D" w:rsidRDefault="0053173D" w:rsidP="0053173D"/>
    <w:p w14:paraId="144EE575" w14:textId="77777777" w:rsidR="0053173D" w:rsidRDefault="0053173D" w:rsidP="0053173D"/>
    <w:p w14:paraId="31C5705A" w14:textId="77777777" w:rsidR="0053173D" w:rsidRDefault="0053173D" w:rsidP="0053173D">
      <w:r w:rsidRPr="008D5323">
        <w:rPr>
          <w:noProof/>
        </w:rPr>
        <w:drawing>
          <wp:inline distT="0" distB="0" distL="0" distR="0" wp14:anchorId="14EB4F45" wp14:editId="224CB514">
            <wp:extent cx="5731510" cy="892175"/>
            <wp:effectExtent l="0" t="0" r="254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892175"/>
                    </a:xfrm>
                    <a:prstGeom prst="rect">
                      <a:avLst/>
                    </a:prstGeom>
                    <a:noFill/>
                    <a:ln>
                      <a:noFill/>
                    </a:ln>
                  </pic:spPr>
                </pic:pic>
              </a:graphicData>
            </a:graphic>
          </wp:inline>
        </w:drawing>
      </w:r>
    </w:p>
    <w:p w14:paraId="7E740508" w14:textId="77777777" w:rsidR="0053173D" w:rsidRDefault="0053173D" w:rsidP="0053173D"/>
    <w:p w14:paraId="43F20A07" w14:textId="77777777" w:rsidR="0053173D" w:rsidRDefault="0053173D" w:rsidP="0053173D">
      <w:r w:rsidRPr="008D5323">
        <w:rPr>
          <w:noProof/>
        </w:rPr>
        <w:drawing>
          <wp:inline distT="0" distB="0" distL="0" distR="0" wp14:anchorId="73CB7DC7" wp14:editId="60A5405D">
            <wp:extent cx="5731510" cy="3323590"/>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3323590"/>
                    </a:xfrm>
                    <a:prstGeom prst="rect">
                      <a:avLst/>
                    </a:prstGeom>
                    <a:noFill/>
                    <a:ln>
                      <a:noFill/>
                    </a:ln>
                  </pic:spPr>
                </pic:pic>
              </a:graphicData>
            </a:graphic>
          </wp:inline>
        </w:drawing>
      </w:r>
    </w:p>
    <w:p w14:paraId="37778DC7" w14:textId="77777777" w:rsidR="0053173D" w:rsidRDefault="0053173D" w:rsidP="0053173D">
      <w:r w:rsidRPr="008D5323">
        <w:rPr>
          <w:noProof/>
        </w:rPr>
        <w:drawing>
          <wp:inline distT="0" distB="0" distL="0" distR="0" wp14:anchorId="3EA32067" wp14:editId="131EE97C">
            <wp:extent cx="5731510" cy="1720850"/>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1510" cy="1720850"/>
                    </a:xfrm>
                    <a:prstGeom prst="rect">
                      <a:avLst/>
                    </a:prstGeom>
                    <a:noFill/>
                    <a:ln>
                      <a:noFill/>
                    </a:ln>
                  </pic:spPr>
                </pic:pic>
              </a:graphicData>
            </a:graphic>
          </wp:inline>
        </w:drawing>
      </w:r>
    </w:p>
    <w:p w14:paraId="0086DFF7" w14:textId="77777777" w:rsidR="0053173D" w:rsidRDefault="0053173D" w:rsidP="0053173D">
      <w:r w:rsidRPr="008D5323">
        <w:rPr>
          <w:noProof/>
        </w:rPr>
        <w:lastRenderedPageBreak/>
        <w:drawing>
          <wp:inline distT="0" distB="0" distL="0" distR="0" wp14:anchorId="23EFFA43" wp14:editId="4860A95E">
            <wp:extent cx="5731510" cy="2764790"/>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510" cy="2764790"/>
                    </a:xfrm>
                    <a:prstGeom prst="rect">
                      <a:avLst/>
                    </a:prstGeom>
                    <a:noFill/>
                    <a:ln>
                      <a:noFill/>
                    </a:ln>
                  </pic:spPr>
                </pic:pic>
              </a:graphicData>
            </a:graphic>
          </wp:inline>
        </w:drawing>
      </w:r>
    </w:p>
    <w:p w14:paraId="656F238A" w14:textId="524ABA04" w:rsidR="0053173D" w:rsidRPr="0053173D" w:rsidRDefault="0053173D" w:rsidP="0053173D">
      <w:r w:rsidRPr="008D5323">
        <w:rPr>
          <w:noProof/>
        </w:rPr>
        <w:drawing>
          <wp:inline distT="0" distB="0" distL="0" distR="0" wp14:anchorId="3F4E4A7F" wp14:editId="398CD1B0">
            <wp:extent cx="5731510" cy="2524125"/>
            <wp:effectExtent l="0" t="0" r="254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510" cy="2524125"/>
                    </a:xfrm>
                    <a:prstGeom prst="rect">
                      <a:avLst/>
                    </a:prstGeom>
                    <a:noFill/>
                    <a:ln>
                      <a:noFill/>
                    </a:ln>
                  </pic:spPr>
                </pic:pic>
              </a:graphicData>
            </a:graphic>
          </wp:inline>
        </w:drawing>
      </w:r>
      <w:bookmarkEnd w:id="4"/>
    </w:p>
    <w:sectPr w:rsidR="0053173D" w:rsidRPr="0053173D" w:rsidSect="005C39A9">
      <w:headerReference w:type="default" r:id="rId34"/>
      <w:footerReference w:type="default" r:id="rId35"/>
      <w:pgSz w:w="11906" w:h="16838"/>
      <w:pgMar w:top="1440" w:right="1440" w:bottom="135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E0F21" w14:textId="77777777" w:rsidR="00EB7F3C" w:rsidRDefault="00EB7F3C" w:rsidP="00D26995">
      <w:pPr>
        <w:spacing w:after="0" w:line="240" w:lineRule="auto"/>
      </w:pPr>
      <w:r>
        <w:separator/>
      </w:r>
    </w:p>
  </w:endnote>
  <w:endnote w:type="continuationSeparator" w:id="0">
    <w:p w14:paraId="60EB9A19" w14:textId="77777777" w:rsidR="00EB7F3C" w:rsidRDefault="00EB7F3C" w:rsidP="00D26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4500"/>
      <w:gridCol w:w="195"/>
      <w:gridCol w:w="4331"/>
    </w:tblGrid>
    <w:tr w:rsidR="002C0EE7" w14:paraId="3D0CA268" w14:textId="77777777" w:rsidTr="0055462B">
      <w:tc>
        <w:tcPr>
          <w:tcW w:w="2493" w:type="pct"/>
        </w:tcPr>
        <w:p w14:paraId="74167A10" w14:textId="2361444F" w:rsidR="002C0EE7" w:rsidRDefault="00EB7F3C">
          <w:pPr>
            <w:pStyle w:val="Footer"/>
            <w:rPr>
              <w:caps/>
              <w:color w:val="4472C4" w:themeColor="accent1"/>
              <w:sz w:val="18"/>
              <w:szCs w:val="18"/>
            </w:rPr>
          </w:pPr>
          <w:sdt>
            <w:sdtPr>
              <w:rPr>
                <w:caps/>
                <w:color w:val="4472C4" w:themeColor="accent1"/>
                <w:sz w:val="18"/>
                <w:szCs w:val="18"/>
              </w:rPr>
              <w:alias w:val="Title"/>
              <w:tag w:val=""/>
              <w:id w:val="886384654"/>
              <w:placeholder>
                <w:docPart w:val="242D2D5999DA4B59808915CF02EB546C"/>
              </w:placeholder>
              <w:dataBinding w:prefixMappings="xmlns:ns0='http://purl.org/dc/elements/1.1/' xmlns:ns1='http://schemas.openxmlformats.org/package/2006/metadata/core-properties' " w:xpath="/ns1:coreProperties[1]/ns0:title[1]" w:storeItemID="{6C3C8BC8-F283-45AE-878A-BAB7291924A1}"/>
              <w:text/>
            </w:sdtPr>
            <w:sdtEndPr/>
            <w:sdtContent>
              <w:r w:rsidR="002C0EE7">
                <w:rPr>
                  <w:caps/>
                  <w:color w:val="4472C4" w:themeColor="accent1"/>
                  <w:sz w:val="18"/>
                  <w:szCs w:val="18"/>
                </w:rPr>
                <w:t>Kosovo: A future of green transport and clean air</w:t>
              </w:r>
            </w:sdtContent>
          </w:sdt>
        </w:p>
      </w:tc>
      <w:tc>
        <w:tcPr>
          <w:tcW w:w="108" w:type="pct"/>
        </w:tcPr>
        <w:p w14:paraId="1D55BA7D" w14:textId="77777777" w:rsidR="002C0EE7" w:rsidRDefault="002C0EE7">
          <w:pPr>
            <w:pStyle w:val="Footer"/>
            <w:rPr>
              <w:caps/>
              <w:color w:val="4472C4" w:themeColor="accent1"/>
              <w:sz w:val="18"/>
              <w:szCs w:val="18"/>
            </w:rPr>
          </w:pPr>
        </w:p>
      </w:tc>
      <w:tc>
        <w:tcPr>
          <w:tcW w:w="2399" w:type="pct"/>
        </w:tcPr>
        <w:p w14:paraId="7CE01EDB" w14:textId="0B6AFA8A" w:rsidR="002C0EE7" w:rsidRDefault="002C0EE7">
          <w:pPr>
            <w:pStyle w:val="Footer"/>
            <w:jc w:val="right"/>
            <w:rPr>
              <w:caps/>
              <w:color w:val="4472C4" w:themeColor="accent1"/>
              <w:sz w:val="18"/>
              <w:szCs w:val="18"/>
            </w:rPr>
          </w:pPr>
        </w:p>
      </w:tc>
    </w:tr>
  </w:tbl>
  <w:p w14:paraId="3975CBC8" w14:textId="77777777" w:rsidR="002C0EE7" w:rsidRDefault="002C0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2770F" w14:textId="77777777" w:rsidR="00EB7F3C" w:rsidRDefault="00EB7F3C" w:rsidP="00D26995">
      <w:pPr>
        <w:spacing w:after="0" w:line="240" w:lineRule="auto"/>
      </w:pPr>
      <w:r>
        <w:separator/>
      </w:r>
    </w:p>
  </w:footnote>
  <w:footnote w:type="continuationSeparator" w:id="0">
    <w:p w14:paraId="2CBA308D" w14:textId="77777777" w:rsidR="00EB7F3C" w:rsidRDefault="00EB7F3C" w:rsidP="00D26995">
      <w:pPr>
        <w:spacing w:after="0" w:line="240" w:lineRule="auto"/>
      </w:pPr>
      <w:r>
        <w:continuationSeparator/>
      </w:r>
    </w:p>
  </w:footnote>
  <w:footnote w:id="1">
    <w:p w14:paraId="559A0043" w14:textId="77777777" w:rsidR="002C0EE7" w:rsidRPr="004A25F9" w:rsidRDefault="002C0EE7" w:rsidP="007B6959">
      <w:pPr>
        <w:pStyle w:val="FootnoteText"/>
        <w:rPr>
          <w:lang w:val="en-US"/>
        </w:rPr>
      </w:pPr>
      <w:r>
        <w:rPr>
          <w:rStyle w:val="FootnoteReference"/>
        </w:rPr>
        <w:footnoteRef/>
      </w:r>
      <w:r>
        <w:t xml:space="preserve"> </w:t>
      </w:r>
      <w:r>
        <w:rPr>
          <w:lang w:val="en-US"/>
        </w:rPr>
        <w:t>2,400 cars are gasoline/LPG (&lt;1% of fleet)</w:t>
      </w:r>
    </w:p>
  </w:footnote>
  <w:footnote w:id="2">
    <w:p w14:paraId="7F33DF2D" w14:textId="77777777" w:rsidR="002C0EE7" w:rsidRPr="0044498B" w:rsidRDefault="002C0EE7" w:rsidP="00FD4BF7">
      <w:pPr>
        <w:pStyle w:val="FootnoteText"/>
        <w:rPr>
          <w:lang w:val="en-US"/>
        </w:rPr>
      </w:pPr>
      <w:r>
        <w:rPr>
          <w:rStyle w:val="FootnoteReference"/>
        </w:rPr>
        <w:footnoteRef/>
      </w:r>
      <w:r>
        <w:t xml:space="preserve"> </w:t>
      </w:r>
      <w:r>
        <w:rPr>
          <w:lang w:val="en-US"/>
        </w:rPr>
        <w:t>Ministry of Internal Affairs; data published in Kosovo Agency of Statistics, Series 3: Economic Statistics</w:t>
      </w:r>
    </w:p>
  </w:footnote>
  <w:footnote w:id="3">
    <w:p w14:paraId="0405B258" w14:textId="77777777" w:rsidR="002C0EE7" w:rsidRPr="0041263C" w:rsidRDefault="002C0EE7" w:rsidP="00FD4BF7">
      <w:pPr>
        <w:pStyle w:val="FootnoteText"/>
        <w:rPr>
          <w:lang w:val="en-US"/>
        </w:rPr>
      </w:pPr>
      <w:r>
        <w:rPr>
          <w:rStyle w:val="FootnoteReference"/>
        </w:rPr>
        <w:footnoteRef/>
      </w:r>
      <w:r>
        <w:t xml:space="preserve"> </w:t>
      </w:r>
      <w:r>
        <w:rPr>
          <w:lang w:val="en-US"/>
        </w:rPr>
        <w:t>Euro 6 vehicles are not included as a significant amount had not yet been on the road for an entire year</w:t>
      </w:r>
    </w:p>
  </w:footnote>
  <w:footnote w:id="4">
    <w:p w14:paraId="69978A25" w14:textId="77777777" w:rsidR="002C0EE7" w:rsidRPr="0041263C" w:rsidRDefault="002C0EE7" w:rsidP="00FD4BF7">
      <w:pPr>
        <w:pStyle w:val="FootnoteText"/>
        <w:rPr>
          <w:lang w:val="en-US"/>
        </w:rPr>
      </w:pPr>
      <w:r>
        <w:rPr>
          <w:rStyle w:val="FootnoteReference"/>
        </w:rPr>
        <w:footnoteRef/>
      </w:r>
      <w:r>
        <w:t xml:space="preserve"> </w:t>
      </w:r>
      <w:r>
        <w:rPr>
          <w:lang w:val="en-US"/>
        </w:rPr>
        <w:t>Euro 6 vehicles are not included as a significant amount had not yet been on the road for an entire year</w:t>
      </w:r>
    </w:p>
  </w:footnote>
  <w:footnote w:id="5">
    <w:p w14:paraId="759BA5C6" w14:textId="77777777" w:rsidR="002C0EE7" w:rsidRPr="00527469" w:rsidRDefault="002C0EE7" w:rsidP="00FD4BF7">
      <w:pPr>
        <w:pStyle w:val="FootnoteText"/>
        <w:rPr>
          <w:lang w:val="en-US"/>
        </w:rPr>
      </w:pPr>
      <w:r>
        <w:rPr>
          <w:rStyle w:val="FootnoteReference"/>
        </w:rPr>
        <w:footnoteRef/>
      </w:r>
      <w:r>
        <w:t xml:space="preserve"> </w:t>
      </w:r>
      <w:r>
        <w:rPr>
          <w:lang w:val="en-US"/>
        </w:rPr>
        <w:t>Even if taking into account black carbon emissions</w:t>
      </w:r>
    </w:p>
  </w:footnote>
  <w:footnote w:id="6">
    <w:p w14:paraId="6F339231" w14:textId="77777777" w:rsidR="002C0EE7" w:rsidRDefault="002C0EE7" w:rsidP="00FD4BF7">
      <w:pPr>
        <w:pStyle w:val="FootnoteText"/>
      </w:pPr>
      <w:r>
        <w:rPr>
          <w:rStyle w:val="FootnoteReference"/>
        </w:rPr>
        <w:footnoteRef/>
      </w:r>
      <w:r>
        <w:t xml:space="preserve"> </w:t>
      </w:r>
      <w:r w:rsidRPr="00F2354E">
        <w:t>https://www.epa.gov/criteria-air-pollutants</w:t>
      </w:r>
    </w:p>
  </w:footnote>
  <w:footnote w:id="7">
    <w:p w14:paraId="287C45FB" w14:textId="77777777" w:rsidR="002C0EE7" w:rsidRDefault="002C0EE7" w:rsidP="00FD4BF7">
      <w:pPr>
        <w:pStyle w:val="FootnoteText"/>
      </w:pPr>
      <w:r>
        <w:rPr>
          <w:rStyle w:val="FootnoteReference"/>
        </w:rPr>
        <w:footnoteRef/>
      </w:r>
      <w:r>
        <w:t xml:space="preserve"> In the case of ground-level ozone VOCs and NO</w:t>
      </w:r>
      <w:r w:rsidRPr="00381822">
        <w:rPr>
          <w:vertAlign w:val="subscript"/>
        </w:rPr>
        <w:t>x</w:t>
      </w:r>
      <w:r>
        <w:t xml:space="preserve"> are regulated.</w:t>
      </w:r>
    </w:p>
  </w:footnote>
  <w:footnote w:id="8">
    <w:p w14:paraId="11FFB658" w14:textId="6808FA6B" w:rsidR="002C0EE7" w:rsidRPr="001E2088" w:rsidRDefault="002C0EE7">
      <w:pPr>
        <w:pStyle w:val="FootnoteText"/>
        <w:rPr>
          <w:lang w:val="en-US"/>
        </w:rPr>
      </w:pPr>
      <w:r>
        <w:rPr>
          <w:rStyle w:val="FootnoteReference"/>
        </w:rPr>
        <w:footnoteRef/>
      </w:r>
      <w:r>
        <w:t xml:space="preserve"> </w:t>
      </w:r>
      <w:r>
        <w:rPr>
          <w:lang w:val="en-US"/>
        </w:rPr>
        <w:t xml:space="preserve">In some publications TTW are called “direct” and well-to-tank “indirect” emissions  </w:t>
      </w:r>
    </w:p>
  </w:footnote>
  <w:footnote w:id="9">
    <w:p w14:paraId="06F76528" w14:textId="08EFBDDE" w:rsidR="002C0EE7" w:rsidRPr="007B6959" w:rsidRDefault="002C0EE7">
      <w:pPr>
        <w:pStyle w:val="FootnoteText"/>
        <w:rPr>
          <w:lang w:val="en-US"/>
        </w:rPr>
      </w:pPr>
      <w:r>
        <w:rPr>
          <w:rStyle w:val="FootnoteReference"/>
        </w:rPr>
        <w:footnoteRef/>
      </w:r>
      <w:r>
        <w:t xml:space="preserve"> EEA (2018) Air pollutant emission inventory guidebook</w:t>
      </w:r>
    </w:p>
  </w:footnote>
  <w:footnote w:id="10">
    <w:p w14:paraId="58CD339A" w14:textId="77777777" w:rsidR="002C0EE7" w:rsidRPr="007979CF" w:rsidRDefault="002C0EE7" w:rsidP="00E91208">
      <w:pPr>
        <w:pStyle w:val="FootnoteText"/>
        <w:rPr>
          <w:lang w:val="en-US"/>
        </w:rPr>
      </w:pPr>
      <w:r>
        <w:rPr>
          <w:rStyle w:val="FootnoteReference"/>
        </w:rPr>
        <w:footnoteRef/>
      </w:r>
      <w:r>
        <w:t xml:space="preserve"> Ministry of Environment and Spatial Planning (2018), Climate Change Strategy 2019-2038; Action Plan on Climate Change 2019-2021</w:t>
      </w:r>
    </w:p>
  </w:footnote>
  <w:footnote w:id="11">
    <w:p w14:paraId="2A3E5201" w14:textId="77777777" w:rsidR="002C0EE7" w:rsidRPr="0009304D" w:rsidRDefault="002C0EE7" w:rsidP="00CE7AAE">
      <w:pPr>
        <w:pStyle w:val="FootnoteText"/>
        <w:rPr>
          <w:lang w:val="en-US"/>
        </w:rPr>
      </w:pPr>
      <w:r>
        <w:rPr>
          <w:rStyle w:val="FootnoteReference"/>
        </w:rPr>
        <w:footnoteRef/>
      </w:r>
      <w:r>
        <w:t xml:space="preserve"> </w:t>
      </w:r>
      <w:r>
        <w:rPr>
          <w:lang w:val="en-US"/>
        </w:rPr>
        <w:t>Average regional cost per ton of NO</w:t>
      </w:r>
      <w:r w:rsidRPr="0009304D">
        <w:rPr>
          <w:vertAlign w:val="subscript"/>
          <w:lang w:val="en-US"/>
        </w:rPr>
        <w:t>x</w:t>
      </w:r>
      <w:r>
        <w:rPr>
          <w:lang w:val="en-US"/>
        </w:rPr>
        <w:t xml:space="preserve"> is 1,300 Euro and per ton of PM</w:t>
      </w:r>
      <w:r w:rsidRPr="0009304D">
        <w:rPr>
          <w:vertAlign w:val="subscript"/>
          <w:lang w:val="en-US"/>
        </w:rPr>
        <w:t>2.5</w:t>
      </w:r>
      <w:r>
        <w:rPr>
          <w:lang w:val="en-US"/>
        </w:rPr>
        <w:t xml:space="preserve"> is 180,000 Euro; </w:t>
      </w:r>
      <w:bookmarkStart w:id="12" w:name="_Hlk11741767"/>
      <w:r>
        <w:rPr>
          <w:lang w:val="en"/>
        </w:rPr>
        <w:t>The values ​​of pollutants calculated by the IMF are based on local levels of pollution at the ground level and the impact on health and costs caused by this type of pollution based on exposure to population contamination and how increased pollution increases mortality risks using the World Health Organization's response functions to concentration. The economic cost of premature death is valued economically on the basis of stated preference studies performed by the OECD.</w:t>
      </w:r>
      <w:bookmarkEnd w:id="12"/>
    </w:p>
  </w:footnote>
  <w:footnote w:id="12">
    <w:p w14:paraId="48875B80" w14:textId="2A33FFBA" w:rsidR="002C0EE7" w:rsidRPr="00CE7AAE" w:rsidRDefault="002C0EE7" w:rsidP="00CE7AAE">
      <w:pPr>
        <w:pStyle w:val="NoSpacing"/>
      </w:pPr>
      <w:r w:rsidRPr="00CE7AAE">
        <w:rPr>
          <w:rStyle w:val="FootnoteReference"/>
          <w:sz w:val="20"/>
          <w:szCs w:val="20"/>
        </w:rPr>
        <w:footnoteRef/>
      </w:r>
      <w:r w:rsidRPr="00CE7AAE">
        <w:rPr>
          <w:sz w:val="20"/>
          <w:szCs w:val="20"/>
        </w:rPr>
        <w:t xml:space="preserve"> UNFCCC (2014), CDM Methodological Tool: Upstream leakage emissions associated with fossil fuel usage, Version 02.0</w:t>
      </w:r>
    </w:p>
  </w:footnote>
  <w:footnote w:id="13">
    <w:p w14:paraId="4BC68495" w14:textId="3AE6953C" w:rsidR="002C0EE7" w:rsidRPr="00CE7AAE" w:rsidRDefault="002C0EE7">
      <w:pPr>
        <w:pStyle w:val="FootnoteText"/>
        <w:rPr>
          <w:lang w:val="en-US"/>
        </w:rPr>
      </w:pPr>
      <w:r>
        <w:rPr>
          <w:rStyle w:val="FootnoteReference"/>
        </w:rPr>
        <w:footnoteRef/>
      </w:r>
      <w:r>
        <w:t xml:space="preserve"> </w:t>
      </w:r>
      <w:r w:rsidRPr="003E2669">
        <w:t xml:space="preserve">IPCC (2013), Fifth Assessment Report (AR5); </w:t>
      </w:r>
      <w:hyperlink r:id="rId1" w:history="1">
        <w:r w:rsidRPr="003E2669">
          <w:rPr>
            <w:rStyle w:val="Hyperlink"/>
          </w:rPr>
          <w:t>https://www.ipcc.ch/report/ar5/</w:t>
        </w:r>
      </w:hyperlink>
    </w:p>
  </w:footnote>
  <w:footnote w:id="14">
    <w:p w14:paraId="3ACF430F" w14:textId="38725F11" w:rsidR="002C0EE7" w:rsidRPr="001F7124" w:rsidRDefault="002C0EE7">
      <w:pPr>
        <w:pStyle w:val="FootnoteText"/>
        <w:rPr>
          <w:lang w:val="en-US"/>
        </w:rPr>
      </w:pPr>
      <w:r>
        <w:rPr>
          <w:rStyle w:val="FootnoteReference"/>
        </w:rPr>
        <w:footnoteRef/>
      </w:r>
      <w:r>
        <w:t xml:space="preserve"> See e.g. </w:t>
      </w:r>
      <w:r w:rsidRPr="001F7124">
        <w:t>https://www.sutp.org/files/contents/documents/resources/E_Fact-Sheets-and-Policy-Briefs/SUTP_GIZ_FS_Avoid-Shift-Improve_EN.pdf</w:t>
      </w:r>
    </w:p>
  </w:footnote>
  <w:footnote w:id="15">
    <w:p w14:paraId="32C1251C" w14:textId="57D965D3" w:rsidR="002C0EE7" w:rsidRPr="00521269" w:rsidRDefault="002C0EE7" w:rsidP="00C245AE">
      <w:pPr>
        <w:pStyle w:val="FootnoteText"/>
        <w:rPr>
          <w:lang w:val="en-US"/>
        </w:rPr>
      </w:pPr>
      <w:r>
        <w:rPr>
          <w:rStyle w:val="FootnoteReference"/>
        </w:rPr>
        <w:footnoteRef/>
      </w:r>
      <w:r>
        <w:t xml:space="preserve"> Mott MacDonald (2018), Pristina Sustainable Urban Mobility Plan</w:t>
      </w:r>
    </w:p>
  </w:footnote>
  <w:footnote w:id="16">
    <w:p w14:paraId="7F0317FF" w14:textId="4DB5EA17" w:rsidR="002C0EE7" w:rsidRPr="005449DE" w:rsidRDefault="002C0EE7">
      <w:pPr>
        <w:pStyle w:val="FootnoteText"/>
        <w:rPr>
          <w:lang w:val="en-US"/>
        </w:rPr>
      </w:pPr>
      <w:r>
        <w:rPr>
          <w:rStyle w:val="FootnoteReference"/>
        </w:rPr>
        <w:footnoteRef/>
      </w:r>
      <w:r>
        <w:t xml:space="preserve"> </w:t>
      </w:r>
      <w:r>
        <w:rPr>
          <w:lang w:val="en-US"/>
        </w:rPr>
        <w:t>See e.g. ADB, 2018</w:t>
      </w:r>
    </w:p>
  </w:footnote>
  <w:footnote w:id="17">
    <w:p w14:paraId="6ACEA2AF" w14:textId="37FBB449" w:rsidR="002C0EE7" w:rsidRPr="00157313" w:rsidRDefault="002C0EE7">
      <w:pPr>
        <w:pStyle w:val="FootnoteText"/>
        <w:rPr>
          <w:lang w:val="en-US"/>
        </w:rPr>
      </w:pPr>
      <w:r>
        <w:rPr>
          <w:rStyle w:val="FootnoteReference"/>
        </w:rPr>
        <w:footnoteRef/>
      </w:r>
      <w:r>
        <w:t xml:space="preserve"> Upstream emissions to which this report refers are </w:t>
      </w:r>
      <w:r>
        <w:rPr>
          <w:lang w:val="en"/>
        </w:rPr>
        <w:t>extraction, refinery and transport of fuels</w:t>
      </w:r>
    </w:p>
  </w:footnote>
  <w:footnote w:id="18">
    <w:p w14:paraId="414D26FE" w14:textId="59321700" w:rsidR="002C0EE7" w:rsidRPr="005D5691" w:rsidRDefault="002C0EE7" w:rsidP="00AD7263">
      <w:pPr>
        <w:spacing w:after="0" w:line="240" w:lineRule="auto"/>
        <w:rPr>
          <w:rFonts w:cstheme="minorHAnsi"/>
          <w:sz w:val="20"/>
          <w:szCs w:val="20"/>
          <w:lang w:val="de-DE"/>
        </w:rPr>
      </w:pPr>
      <w:r w:rsidRPr="003B56FE">
        <w:rPr>
          <w:rStyle w:val="FootnoteReference"/>
          <w:rFonts w:ascii="Arial" w:hAnsi="Arial" w:cs="Arial"/>
          <w:sz w:val="20"/>
          <w:szCs w:val="20"/>
        </w:rPr>
        <w:footnoteRef/>
      </w:r>
      <w:r w:rsidRPr="003B56FE">
        <w:rPr>
          <w:rFonts w:ascii="Arial" w:hAnsi="Arial" w:cs="Arial"/>
          <w:sz w:val="20"/>
          <w:szCs w:val="20"/>
        </w:rPr>
        <w:t xml:space="preserve"> </w:t>
      </w:r>
      <w:proofErr w:type="spellStart"/>
      <w:r w:rsidRPr="005D5691">
        <w:rPr>
          <w:rFonts w:cstheme="minorHAnsi"/>
          <w:sz w:val="20"/>
          <w:szCs w:val="20"/>
        </w:rPr>
        <w:t>Faltenbacher</w:t>
      </w:r>
      <w:proofErr w:type="spellEnd"/>
      <w:r w:rsidRPr="005D5691">
        <w:rPr>
          <w:rFonts w:cstheme="minorHAnsi"/>
          <w:sz w:val="20"/>
          <w:szCs w:val="20"/>
        </w:rPr>
        <w:t xml:space="preserve">, </w:t>
      </w:r>
      <w:r w:rsidRPr="005D5691">
        <w:rPr>
          <w:rFonts w:cstheme="minorHAnsi"/>
          <w:sz w:val="20"/>
          <w:szCs w:val="20"/>
          <w:lang w:val="de-CH"/>
        </w:rPr>
        <w:t>2011</w:t>
      </w:r>
    </w:p>
  </w:footnote>
  <w:footnote w:id="19">
    <w:p w14:paraId="65CA79AF" w14:textId="01F46C43" w:rsidR="002C0EE7" w:rsidRPr="007573AA" w:rsidRDefault="002C0EE7">
      <w:pPr>
        <w:pStyle w:val="FootnoteText"/>
        <w:rPr>
          <w:lang w:val="en-US"/>
        </w:rPr>
      </w:pPr>
      <w:r>
        <w:rPr>
          <w:rStyle w:val="FootnoteReference"/>
        </w:rPr>
        <w:footnoteRef/>
      </w:r>
      <w:r>
        <w:t xml:space="preserve"> </w:t>
      </w:r>
      <w:r>
        <w:rPr>
          <w:lang w:val="en-US"/>
        </w:rPr>
        <w:t>ADB, 2018</w:t>
      </w:r>
    </w:p>
  </w:footnote>
  <w:footnote w:id="20">
    <w:p w14:paraId="0DCCBFDA" w14:textId="0758047C" w:rsidR="002C0EE7" w:rsidRPr="006827AA" w:rsidRDefault="002C0EE7" w:rsidP="005D5691">
      <w:pPr>
        <w:pStyle w:val="FootnoteText"/>
        <w:rPr>
          <w:lang w:val="en-US"/>
        </w:rPr>
      </w:pPr>
      <w:r>
        <w:rPr>
          <w:rStyle w:val="FootnoteReference"/>
        </w:rPr>
        <w:footnoteRef/>
      </w:r>
      <w:r>
        <w:t xml:space="preserve"> Electric b</w:t>
      </w:r>
      <w:r>
        <w:rPr>
          <w:lang w:val="en-US"/>
        </w:rPr>
        <w:t>us manufacturers from the PR China guarantee 80% SOC for 8 years.</w:t>
      </w:r>
    </w:p>
  </w:footnote>
  <w:footnote w:id="21">
    <w:p w14:paraId="759EF1F8" w14:textId="22F03FD0" w:rsidR="002C0EE7" w:rsidRPr="00415059" w:rsidRDefault="002C0EE7" w:rsidP="005D5691">
      <w:pPr>
        <w:pStyle w:val="FootnoteText"/>
        <w:rPr>
          <w:rFonts w:cstheme="minorHAnsi"/>
        </w:rPr>
      </w:pPr>
      <w:r w:rsidRPr="00415059">
        <w:rPr>
          <w:rStyle w:val="FootnoteReference"/>
          <w:rFonts w:cstheme="minorHAnsi"/>
        </w:rPr>
        <w:footnoteRef/>
      </w:r>
      <w:r w:rsidRPr="00415059">
        <w:rPr>
          <w:rFonts w:cstheme="minorHAnsi"/>
        </w:rPr>
        <w:t xml:space="preserve"> Around 8 kg/100 km for a 12 m standard urban bus; see e.g. CHIC, 2016</w:t>
      </w:r>
      <w:r>
        <w:rPr>
          <w:rFonts w:cstheme="minorHAnsi"/>
        </w:rPr>
        <w:t xml:space="preserve"> or ADB, 2018</w:t>
      </w:r>
    </w:p>
  </w:footnote>
  <w:footnote w:id="22">
    <w:p w14:paraId="522BFE97" w14:textId="7F8B97C5" w:rsidR="002C0EE7" w:rsidRPr="004A66BA" w:rsidRDefault="002C0EE7">
      <w:pPr>
        <w:pStyle w:val="FootnoteText"/>
        <w:rPr>
          <w:lang w:val="en-US"/>
        </w:rPr>
      </w:pPr>
      <w:r>
        <w:rPr>
          <w:rStyle w:val="FootnoteReference"/>
        </w:rPr>
        <w:footnoteRef/>
      </w:r>
      <w:r>
        <w:t xml:space="preserve"> </w:t>
      </w:r>
      <w:r>
        <w:rPr>
          <w:lang w:val="en-US"/>
        </w:rPr>
        <w:t>The carbon grid factor is b</w:t>
      </w:r>
      <w:r w:rsidRPr="004A66BA">
        <w:rPr>
          <w:lang w:val="en-US"/>
        </w:rPr>
        <w:t xml:space="preserve">ased on </w:t>
      </w:r>
      <w:r>
        <w:rPr>
          <w:lang w:val="en-US"/>
        </w:rPr>
        <w:t xml:space="preserve">the </w:t>
      </w:r>
      <w:r w:rsidRPr="004A66BA">
        <w:rPr>
          <w:lang w:val="en-US"/>
        </w:rPr>
        <w:t xml:space="preserve">actual average factor </w:t>
      </w:r>
      <w:r>
        <w:rPr>
          <w:lang w:val="en-US"/>
        </w:rPr>
        <w:t xml:space="preserve">for </w:t>
      </w:r>
      <w:r w:rsidRPr="004A66BA">
        <w:rPr>
          <w:lang w:val="en-US"/>
        </w:rPr>
        <w:t>201</w:t>
      </w:r>
      <w:r>
        <w:rPr>
          <w:lang w:val="en-US"/>
        </w:rPr>
        <w:t>6</w:t>
      </w:r>
      <w:r w:rsidRPr="004A66BA">
        <w:rPr>
          <w:lang w:val="en-US"/>
        </w:rPr>
        <w:t xml:space="preserve"> based on net energy production and GHG emissions </w:t>
      </w:r>
      <w:r>
        <w:rPr>
          <w:lang w:val="en-US"/>
        </w:rPr>
        <w:t xml:space="preserve">of the </w:t>
      </w:r>
      <w:r w:rsidRPr="004A66BA">
        <w:rPr>
          <w:lang w:val="en-US"/>
        </w:rPr>
        <w:t xml:space="preserve">electricity sector subtracting </w:t>
      </w:r>
      <w:r>
        <w:rPr>
          <w:lang w:val="en-US"/>
        </w:rPr>
        <w:t xml:space="preserve">electricity used for </w:t>
      </w:r>
      <w:r w:rsidRPr="004A66BA">
        <w:rPr>
          <w:lang w:val="en-US"/>
        </w:rPr>
        <w:t>heating</w:t>
      </w:r>
      <w:r>
        <w:rPr>
          <w:lang w:val="en-US"/>
        </w:rPr>
        <w:t xml:space="preserve"> (IEA data with calculations by Grutter Consulting)</w:t>
      </w:r>
    </w:p>
  </w:footnote>
  <w:footnote w:id="23">
    <w:p w14:paraId="246C22B3" w14:textId="50613D56" w:rsidR="002C0EE7" w:rsidRPr="004A66BA" w:rsidRDefault="002C0EE7">
      <w:pPr>
        <w:pStyle w:val="FootnoteText"/>
        <w:rPr>
          <w:lang w:val="en-US"/>
        </w:rPr>
      </w:pPr>
      <w:r>
        <w:rPr>
          <w:rStyle w:val="FootnoteReference"/>
        </w:rPr>
        <w:footnoteRef/>
      </w:r>
      <w:r>
        <w:t xml:space="preserve"> </w:t>
      </w:r>
      <w:r>
        <w:rPr>
          <w:lang w:val="en-US"/>
        </w:rPr>
        <w:t xml:space="preserve">See e.g. CARB, 2015; EEA, 2016; TRL, 2014 </w:t>
      </w:r>
    </w:p>
  </w:footnote>
  <w:footnote w:id="24">
    <w:p w14:paraId="143978D0" w14:textId="7AB09BD8" w:rsidR="002C0EE7" w:rsidRPr="00976E7A" w:rsidRDefault="002C0EE7">
      <w:pPr>
        <w:pStyle w:val="FootnoteText"/>
        <w:rPr>
          <w:lang w:val="en-US"/>
        </w:rPr>
      </w:pPr>
      <w:r>
        <w:rPr>
          <w:rStyle w:val="FootnoteReference"/>
        </w:rPr>
        <w:footnoteRef/>
      </w:r>
      <w:r>
        <w:t xml:space="preserve"> </w:t>
      </w:r>
      <w:r>
        <w:rPr>
          <w:lang w:val="en-US"/>
        </w:rPr>
        <w:t xml:space="preserve">Based on basic 12m urban bus with AC and low-entry using as comparison primarily Chinese brands such as Yutong, </w:t>
      </w:r>
      <w:proofErr w:type="spellStart"/>
      <w:r>
        <w:rPr>
          <w:lang w:val="en-US"/>
        </w:rPr>
        <w:t>Foton</w:t>
      </w:r>
      <w:proofErr w:type="spellEnd"/>
      <w:r>
        <w:rPr>
          <w:lang w:val="en-US"/>
        </w:rPr>
        <w:t xml:space="preserve">, </w:t>
      </w:r>
      <w:r>
        <w:t xml:space="preserve">BYD, </w:t>
      </w:r>
      <w:proofErr w:type="spellStart"/>
      <w:r>
        <w:t>Zhongtong</w:t>
      </w:r>
      <w:proofErr w:type="spellEnd"/>
      <w:r>
        <w:t xml:space="preserve"> and </w:t>
      </w:r>
      <w:proofErr w:type="spellStart"/>
      <w:r>
        <w:t>Jinlong</w:t>
      </w:r>
      <w:proofErr w:type="spellEnd"/>
      <w:r>
        <w:t xml:space="preserve"> which dominate the electric bus market; European manufacturers will have in all bus technologies higher prices with relative price differences between technologies remaining </w:t>
      </w:r>
      <w:proofErr w:type="gramStart"/>
      <w:r>
        <w:t>similar to</w:t>
      </w:r>
      <w:proofErr w:type="gramEnd"/>
      <w:r>
        <w:t xml:space="preserve"> the data presented</w:t>
      </w:r>
    </w:p>
  </w:footnote>
  <w:footnote w:id="25">
    <w:p w14:paraId="66BC7155" w14:textId="6135709B" w:rsidR="002C0EE7" w:rsidRPr="00CD11AA" w:rsidRDefault="002C0EE7">
      <w:pPr>
        <w:pStyle w:val="FootnoteText"/>
        <w:rPr>
          <w:lang w:val="en-US"/>
        </w:rPr>
      </w:pPr>
      <w:r>
        <w:rPr>
          <w:rStyle w:val="FootnoteReference"/>
        </w:rPr>
        <w:footnoteRef/>
      </w:r>
      <w:r>
        <w:t xml:space="preserve"> </w:t>
      </w:r>
      <w:r>
        <w:rPr>
          <w:lang w:val="en-US"/>
        </w:rPr>
        <w:t>Infrastructure investment per bus for tanking or charging the bus; diesel or hybrid buses use normal fuel stations i.e. the diesel price already incorporates the investment in a petrol station</w:t>
      </w:r>
    </w:p>
  </w:footnote>
  <w:footnote w:id="26">
    <w:p w14:paraId="23A5B5B3" w14:textId="3CCC1805" w:rsidR="002C0EE7" w:rsidRPr="00CD11AA" w:rsidRDefault="002C0EE7">
      <w:pPr>
        <w:pStyle w:val="FootnoteText"/>
        <w:rPr>
          <w:lang w:val="en-US"/>
        </w:rPr>
      </w:pPr>
      <w:r>
        <w:rPr>
          <w:rStyle w:val="FootnoteReference"/>
        </w:rPr>
        <w:footnoteRef/>
      </w:r>
      <w:r>
        <w:t xml:space="preserve"> </w:t>
      </w:r>
      <w:r>
        <w:rPr>
          <w:lang w:val="en-US"/>
        </w:rPr>
        <w:t>Different energy costs for slow and fast-charged BEB due to different electricity prices as charging time and power demand is different for the two bus types</w:t>
      </w:r>
    </w:p>
  </w:footnote>
  <w:footnote w:id="27">
    <w:p w14:paraId="338998E4" w14:textId="16D9F8E7" w:rsidR="002C0EE7" w:rsidRPr="00CD11AA" w:rsidRDefault="002C0EE7">
      <w:pPr>
        <w:pStyle w:val="FootnoteText"/>
        <w:rPr>
          <w:lang w:val="en-US"/>
        </w:rPr>
      </w:pPr>
      <w:r>
        <w:rPr>
          <w:rStyle w:val="FootnoteReference"/>
        </w:rPr>
        <w:footnoteRef/>
      </w:r>
      <w:r>
        <w:t xml:space="preserve"> </w:t>
      </w:r>
      <w:r>
        <w:rPr>
          <w:lang w:val="en-US"/>
        </w:rPr>
        <w:t>Only engine maintenance; does not include tires, bodywork repairs etc. which are comparable over different bus technologies</w:t>
      </w:r>
    </w:p>
  </w:footnote>
  <w:footnote w:id="28">
    <w:p w14:paraId="1686FA5B" w14:textId="60EA2327" w:rsidR="002C0EE7" w:rsidRPr="00CD11AA" w:rsidRDefault="002C0EE7">
      <w:pPr>
        <w:pStyle w:val="FootnoteText"/>
        <w:rPr>
          <w:lang w:val="en-US"/>
        </w:rPr>
      </w:pPr>
      <w:r>
        <w:rPr>
          <w:rStyle w:val="FootnoteReference"/>
        </w:rPr>
        <w:footnoteRef/>
      </w:r>
      <w:r>
        <w:t xml:space="preserve"> </w:t>
      </w:r>
      <w:r>
        <w:rPr>
          <w:lang w:val="en-US"/>
        </w:rPr>
        <w:t>Includes also maintenance cost of chargers for electric buses</w:t>
      </w:r>
    </w:p>
  </w:footnote>
  <w:footnote w:id="29">
    <w:p w14:paraId="31D20F9D" w14:textId="11538449" w:rsidR="002C0EE7" w:rsidRPr="00CD11AA" w:rsidRDefault="002C0EE7">
      <w:pPr>
        <w:pStyle w:val="FootnoteText"/>
        <w:rPr>
          <w:lang w:val="en-US"/>
        </w:rPr>
      </w:pPr>
      <w:r>
        <w:rPr>
          <w:rStyle w:val="FootnoteReference"/>
        </w:rPr>
        <w:footnoteRef/>
      </w:r>
      <w:r>
        <w:t xml:space="preserve"> </w:t>
      </w:r>
      <w:r>
        <w:rPr>
          <w:lang w:val="en-US"/>
        </w:rPr>
        <w:t xml:space="preserve">Includes replacement cost of batteries year 8 and 16 for electric buses </w:t>
      </w:r>
    </w:p>
  </w:footnote>
  <w:footnote w:id="30">
    <w:p w14:paraId="266B7457" w14:textId="02E2DC54" w:rsidR="002C0EE7" w:rsidRPr="00CD11AA" w:rsidRDefault="002C0EE7">
      <w:pPr>
        <w:pStyle w:val="FootnoteText"/>
        <w:rPr>
          <w:lang w:val="en-US"/>
        </w:rPr>
      </w:pPr>
      <w:r>
        <w:rPr>
          <w:rStyle w:val="FootnoteReference"/>
        </w:rPr>
        <w:footnoteRef/>
      </w:r>
      <w:r>
        <w:t xml:space="preserve"> </w:t>
      </w:r>
      <w:r>
        <w:rPr>
          <w:lang w:val="en-US"/>
        </w:rPr>
        <w:t>6 buses share one fast-charger</w:t>
      </w:r>
    </w:p>
  </w:footnote>
  <w:footnote w:id="31">
    <w:p w14:paraId="68852699" w14:textId="77777777" w:rsidR="002C0EE7" w:rsidRPr="00FE6F04" w:rsidRDefault="002C0EE7" w:rsidP="00FE6F04">
      <w:pPr>
        <w:pStyle w:val="FootnoteText"/>
      </w:pPr>
      <w:r>
        <w:rPr>
          <w:rStyle w:val="FootnoteReference"/>
        </w:rPr>
        <w:footnoteRef/>
      </w:r>
      <w:r>
        <w:t xml:space="preserve"> If bus service would decline then a mode shift towards private means of transport would occur which would result in higher emissions.</w:t>
      </w:r>
    </w:p>
  </w:footnote>
  <w:footnote w:id="32">
    <w:p w14:paraId="4123BA09" w14:textId="77777777" w:rsidR="002C0EE7" w:rsidRPr="00624B66" w:rsidRDefault="002C0EE7" w:rsidP="009C514E">
      <w:pPr>
        <w:pStyle w:val="FootnoteText"/>
        <w:rPr>
          <w:lang w:val="en-US"/>
        </w:rPr>
      </w:pPr>
      <w:r>
        <w:rPr>
          <w:rStyle w:val="FootnoteReference"/>
        </w:rPr>
        <w:footnoteRef/>
      </w:r>
      <w:r>
        <w:t xml:space="preserve"> </w:t>
      </w:r>
      <w:r>
        <w:rPr>
          <w:lang w:val="en-US"/>
        </w:rPr>
        <w:t>Law No 04/L-117 on Road and Ecological Tax for Vehicles, Annex B and C</w:t>
      </w:r>
    </w:p>
  </w:footnote>
  <w:footnote w:id="33">
    <w:p w14:paraId="477A4C7F" w14:textId="39AB1D5D" w:rsidR="002C0EE7" w:rsidRPr="00624B66" w:rsidRDefault="002C0EE7">
      <w:pPr>
        <w:pStyle w:val="FootnoteText"/>
        <w:rPr>
          <w:lang w:val="en-US"/>
        </w:rPr>
      </w:pPr>
      <w:r>
        <w:rPr>
          <w:rStyle w:val="FootnoteReference"/>
        </w:rPr>
        <w:footnoteRef/>
      </w:r>
      <w:r>
        <w:t xml:space="preserve"> </w:t>
      </w:r>
      <w:r>
        <w:rPr>
          <w:lang w:val="en-US"/>
        </w:rPr>
        <w:t>The proposal starts with a tax rate of 10 Euro for vehicle 1-5 years old, 25 Euro for vehicles aged 6-10 years and then an additional 10 Euro for every additional 5 years i.e. the maximum tax of 75 Euro is paid for vehicles older than 30 years</w:t>
      </w:r>
    </w:p>
  </w:footnote>
  <w:footnote w:id="34">
    <w:p w14:paraId="4C95058E" w14:textId="6A7A7085" w:rsidR="002C0EE7" w:rsidRPr="0044498B" w:rsidRDefault="002C0EE7">
      <w:pPr>
        <w:pStyle w:val="FootnoteText"/>
        <w:rPr>
          <w:lang w:val="en-US"/>
        </w:rPr>
      </w:pPr>
      <w:r>
        <w:rPr>
          <w:rStyle w:val="FootnoteReference"/>
        </w:rPr>
        <w:footnoteRef/>
      </w:r>
      <w:r>
        <w:t xml:space="preserve"> </w:t>
      </w:r>
      <w:r>
        <w:rPr>
          <w:lang w:val="en-US"/>
        </w:rPr>
        <w:t>Imports dropped in 2018 relative to 2017 as a new maximum age limit was introduced in 2018 and therefore many persons imported still old used cars end 2017</w:t>
      </w:r>
    </w:p>
  </w:footnote>
  <w:footnote w:id="35">
    <w:p w14:paraId="730FBE31" w14:textId="35280DF8" w:rsidR="002C0EE7" w:rsidRPr="004F59F6" w:rsidRDefault="002C0EE7">
      <w:pPr>
        <w:pStyle w:val="FootnoteText"/>
        <w:rPr>
          <w:lang w:val="en-US"/>
        </w:rPr>
      </w:pPr>
      <w:r>
        <w:rPr>
          <w:rStyle w:val="FootnoteReference"/>
        </w:rPr>
        <w:footnoteRef/>
      </w:r>
      <w:r>
        <w:t xml:space="preserve"> </w:t>
      </w:r>
      <w:r>
        <w:rPr>
          <w:lang w:val="en-US"/>
        </w:rPr>
        <w:t>First registration date is the date of entry into service; this date is one year after the emission standard is applied to new type approvals</w:t>
      </w:r>
    </w:p>
  </w:footnote>
  <w:footnote w:id="36">
    <w:p w14:paraId="4D1B6397" w14:textId="0D93C4D1" w:rsidR="002C0EE7" w:rsidRPr="00DC3A36" w:rsidRDefault="002C0EE7">
      <w:pPr>
        <w:pStyle w:val="FootnoteText"/>
        <w:rPr>
          <w:lang w:val="en-US"/>
        </w:rPr>
      </w:pPr>
      <w:r>
        <w:rPr>
          <w:rStyle w:val="FootnoteReference"/>
        </w:rPr>
        <w:footnoteRef/>
      </w:r>
      <w:r>
        <w:t xml:space="preserve"> </w:t>
      </w:r>
      <w:r>
        <w:rPr>
          <w:lang w:val="en-US"/>
        </w:rPr>
        <w:t>Euro 6 is differentiated for up to 2016, 2017-2019 and from 2020 onwards due to changes of emission regulations and vehicle testing procedures.</w:t>
      </w:r>
    </w:p>
  </w:footnote>
  <w:footnote w:id="37">
    <w:p w14:paraId="524F5E08" w14:textId="4937E2AE" w:rsidR="002C0EE7" w:rsidRPr="00A52F4D" w:rsidRDefault="002C0EE7">
      <w:pPr>
        <w:pStyle w:val="FootnoteText"/>
        <w:rPr>
          <w:lang w:val="en-US"/>
        </w:rPr>
      </w:pPr>
      <w:r>
        <w:rPr>
          <w:rStyle w:val="FootnoteReference"/>
        </w:rPr>
        <w:footnoteRef/>
      </w:r>
      <w:r>
        <w:t xml:space="preserve"> </w:t>
      </w:r>
      <w:r>
        <w:rPr>
          <w:lang w:val="en-US"/>
        </w:rPr>
        <w:t>Estimated share of 30% of all imported diesel cars based on average age of imported diesel cars in Kosovo.</w:t>
      </w:r>
    </w:p>
  </w:footnote>
  <w:footnote w:id="38">
    <w:p w14:paraId="74D080CF" w14:textId="60286236" w:rsidR="002C0EE7" w:rsidRPr="00C86E20" w:rsidRDefault="002C0EE7">
      <w:pPr>
        <w:pStyle w:val="FootnoteText"/>
        <w:rPr>
          <w:lang w:val="en-US"/>
        </w:rPr>
      </w:pPr>
      <w:r>
        <w:rPr>
          <w:rStyle w:val="FootnoteReference"/>
        </w:rPr>
        <w:footnoteRef/>
      </w:r>
      <w:r>
        <w:t xml:space="preserve"> </w:t>
      </w:r>
      <w:r>
        <w:rPr>
          <w:lang w:val="en-US"/>
        </w:rPr>
        <w:t xml:space="preserve">See e.g. </w:t>
      </w:r>
      <w:r w:rsidRPr="00C86E20">
        <w:rPr>
          <w:lang w:val="en-US"/>
        </w:rPr>
        <w:t>https://www.trueinitiative.org/</w:t>
      </w:r>
    </w:p>
  </w:footnote>
  <w:footnote w:id="39">
    <w:p w14:paraId="33BD1237" w14:textId="0A81D505" w:rsidR="002C0EE7" w:rsidRDefault="002C0EE7" w:rsidP="00885016">
      <w:pPr>
        <w:pStyle w:val="FootnoteText"/>
      </w:pPr>
      <w:r>
        <w:rPr>
          <w:rStyle w:val="FootnoteReference"/>
        </w:rPr>
        <w:footnoteRef/>
      </w:r>
      <w:r>
        <w:t xml:space="preserve"> ICCT, 2016a, Figure 1; see also </w:t>
      </w:r>
      <w:r w:rsidRPr="00C86E20">
        <w:t>https://www.theguardian.com/environment/2018/jun/06/impossible-to-cheat-emissions-tests-show-almost-all-new-diesels-still-dirty</w:t>
      </w:r>
    </w:p>
  </w:footnote>
  <w:footnote w:id="40">
    <w:p w14:paraId="777092C1" w14:textId="77777777" w:rsidR="002C0EE7" w:rsidRDefault="002C0EE7" w:rsidP="00885016">
      <w:pPr>
        <w:pStyle w:val="FootnoteText"/>
      </w:pPr>
      <w:r>
        <w:rPr>
          <w:rStyle w:val="FootnoteReference"/>
        </w:rPr>
        <w:footnoteRef/>
      </w:r>
      <w:r>
        <w:t xml:space="preserve"> </w:t>
      </w:r>
      <w:r w:rsidRPr="007228F5">
        <w:t>http://www.srf.ch/sendungen/kassensturz-espresso/auto-schweiz-nimmt-im-kassensturz-stellung-zur-diesel-luege</w:t>
      </w:r>
    </w:p>
  </w:footnote>
  <w:footnote w:id="41">
    <w:p w14:paraId="34BB00F5" w14:textId="77777777" w:rsidR="002C0EE7" w:rsidRDefault="002C0EE7" w:rsidP="00885016">
      <w:pPr>
        <w:pStyle w:val="FootnoteText"/>
      </w:pPr>
      <w:r>
        <w:rPr>
          <w:rStyle w:val="FootnoteReference"/>
        </w:rPr>
        <w:footnoteRef/>
      </w:r>
      <w:r>
        <w:t xml:space="preserve"> Walsh, 2017</w:t>
      </w:r>
    </w:p>
  </w:footnote>
  <w:footnote w:id="42">
    <w:p w14:paraId="052080D0" w14:textId="05D87695" w:rsidR="002C0EE7" w:rsidRDefault="002C0EE7" w:rsidP="00885016">
      <w:pPr>
        <w:pStyle w:val="FootnoteText"/>
      </w:pPr>
      <w:r>
        <w:rPr>
          <w:rStyle w:val="FootnoteReference"/>
        </w:rPr>
        <w:footnoteRef/>
      </w:r>
      <w:r>
        <w:t xml:space="preserve"> EEA, 2018</w:t>
      </w:r>
    </w:p>
  </w:footnote>
  <w:footnote w:id="43">
    <w:p w14:paraId="3DFEF30A" w14:textId="48262236" w:rsidR="002C0EE7" w:rsidRPr="00B2199C" w:rsidRDefault="002C0EE7">
      <w:pPr>
        <w:pStyle w:val="FootnoteText"/>
        <w:rPr>
          <w:lang w:val="en-US"/>
        </w:rPr>
      </w:pPr>
      <w:r>
        <w:rPr>
          <w:rStyle w:val="FootnoteReference"/>
        </w:rPr>
        <w:footnoteRef/>
      </w:r>
      <w:r>
        <w:t xml:space="preserve"> </w:t>
      </w:r>
      <w:proofErr w:type="spellStart"/>
      <w:r>
        <w:t>Borken-Kleefeld</w:t>
      </w:r>
      <w:proofErr w:type="spellEnd"/>
      <w:r>
        <w:t>, 2015</w:t>
      </w:r>
    </w:p>
  </w:footnote>
  <w:footnote w:id="44">
    <w:p w14:paraId="4AFA5BD1" w14:textId="77777777" w:rsidR="002C0EE7" w:rsidRDefault="002C0EE7" w:rsidP="00885016">
      <w:pPr>
        <w:pStyle w:val="FootnoteText"/>
      </w:pPr>
      <w:r>
        <w:rPr>
          <w:rStyle w:val="FootnoteReference"/>
        </w:rPr>
        <w:footnoteRef/>
      </w:r>
      <w:r>
        <w:t xml:space="preserve"> </w:t>
      </w:r>
      <w:proofErr w:type="spellStart"/>
      <w:r>
        <w:t>Gr</w:t>
      </w:r>
      <w:r>
        <w:rPr>
          <w:rFonts w:cstheme="minorHAnsi"/>
        </w:rPr>
        <w:t>ü</w:t>
      </w:r>
      <w:r>
        <w:t>tter</w:t>
      </w:r>
      <w:proofErr w:type="spellEnd"/>
      <w:r>
        <w:t>, 2015</w:t>
      </w:r>
    </w:p>
  </w:footnote>
  <w:footnote w:id="45">
    <w:p w14:paraId="34EC80F3" w14:textId="77777777" w:rsidR="002C0EE7" w:rsidRPr="004F78AC" w:rsidRDefault="002C0EE7" w:rsidP="00DC3A36">
      <w:pPr>
        <w:pStyle w:val="FootnoteText"/>
      </w:pPr>
      <w:r>
        <w:rPr>
          <w:rStyle w:val="FootnoteReference"/>
        </w:rPr>
        <w:footnoteRef/>
      </w:r>
      <w:r w:rsidRPr="004F78AC">
        <w:t xml:space="preserve"> </w:t>
      </w:r>
      <w:proofErr w:type="spellStart"/>
      <w:r w:rsidRPr="004F78AC">
        <w:t>Borken-Kleefeld</w:t>
      </w:r>
      <w:proofErr w:type="spellEnd"/>
      <w:r w:rsidRPr="004F78AC">
        <w:t>, 2015</w:t>
      </w:r>
    </w:p>
  </w:footnote>
  <w:footnote w:id="46">
    <w:p w14:paraId="33065004" w14:textId="77777777" w:rsidR="002C0EE7" w:rsidRDefault="002C0EE7" w:rsidP="00D166B1">
      <w:pPr>
        <w:pStyle w:val="FootnoteText"/>
      </w:pPr>
      <w:r>
        <w:rPr>
          <w:rStyle w:val="FootnoteReference"/>
        </w:rPr>
        <w:footnoteRef/>
      </w:r>
      <w:r>
        <w:t xml:space="preserve"> Walsh, 2017</w:t>
      </w:r>
    </w:p>
  </w:footnote>
  <w:footnote w:id="47">
    <w:p w14:paraId="14387FEC" w14:textId="77777777" w:rsidR="002C0EE7" w:rsidRDefault="002C0EE7" w:rsidP="00D166B1">
      <w:pPr>
        <w:pStyle w:val="FootnoteText"/>
      </w:pPr>
      <w:r>
        <w:rPr>
          <w:rStyle w:val="FootnoteReference"/>
        </w:rPr>
        <w:footnoteRef/>
      </w:r>
      <w:r>
        <w:t xml:space="preserve"> </w:t>
      </w:r>
      <w:r w:rsidRPr="00884F5C">
        <w:t>http://www.telegraph.co.uk/news/2016/12/30/diesel-cars-should-phased-stop-pollution-deaths-says-chief-medical/</w:t>
      </w:r>
    </w:p>
  </w:footnote>
  <w:footnote w:id="48">
    <w:p w14:paraId="250C7D83" w14:textId="68CEB14E" w:rsidR="002C0EE7" w:rsidRPr="00F455D9" w:rsidRDefault="002C0EE7">
      <w:pPr>
        <w:pStyle w:val="FootnoteText"/>
        <w:rPr>
          <w:lang w:val="en-US"/>
        </w:rPr>
      </w:pPr>
      <w:r>
        <w:rPr>
          <w:rStyle w:val="FootnoteReference"/>
        </w:rPr>
        <w:footnoteRef/>
      </w:r>
      <w:r>
        <w:t xml:space="preserve"> </w:t>
      </w:r>
      <w:r w:rsidRPr="00F455D9">
        <w:t>https://www.bbc.co.uk/news/uk-england-london-47815117</w:t>
      </w:r>
    </w:p>
  </w:footnote>
  <w:footnote w:id="49">
    <w:p w14:paraId="4BE4D066" w14:textId="77777777" w:rsidR="002C0EE7" w:rsidRPr="001A14DD" w:rsidRDefault="002C0EE7" w:rsidP="00D166B1">
      <w:pPr>
        <w:pStyle w:val="FootnoteText"/>
        <w:rPr>
          <w:lang w:val="de-DE"/>
        </w:rPr>
      </w:pPr>
      <w:r>
        <w:rPr>
          <w:rStyle w:val="FootnoteReference"/>
        </w:rPr>
        <w:footnoteRef/>
      </w:r>
      <w:r w:rsidRPr="001A14DD">
        <w:rPr>
          <w:lang w:val="de-DE"/>
        </w:rPr>
        <w:t xml:space="preserve"> http://indianexpress.com/article/india/india-news-india/ngt-directs-delhi-govt-to-ban-10-yr-old-diesel-vehicles/</w:t>
      </w:r>
    </w:p>
  </w:footnote>
  <w:footnote w:id="50">
    <w:p w14:paraId="241BB285" w14:textId="77777777" w:rsidR="002C0EE7" w:rsidRPr="001A14DD" w:rsidRDefault="002C0EE7" w:rsidP="00D166B1">
      <w:pPr>
        <w:pStyle w:val="FootnoteText"/>
        <w:rPr>
          <w:lang w:val="de-DE"/>
        </w:rPr>
      </w:pPr>
      <w:r>
        <w:rPr>
          <w:rStyle w:val="FootnoteReference"/>
        </w:rPr>
        <w:footnoteRef/>
      </w:r>
      <w:r w:rsidRPr="001A14DD">
        <w:rPr>
          <w:lang w:val="de-DE"/>
        </w:rPr>
        <w:t xml:space="preserve"> http://www.ibtimes.co.uk/electric-cars-vw-scandal-will-cause-diesel-sales-almost-disappear-1596077</w:t>
      </w:r>
    </w:p>
  </w:footnote>
  <w:footnote w:id="51">
    <w:p w14:paraId="5BA131CF" w14:textId="77777777" w:rsidR="002C0EE7" w:rsidRPr="00AC1AD1" w:rsidRDefault="002C0EE7" w:rsidP="00F455D9">
      <w:pPr>
        <w:pStyle w:val="FootnoteText"/>
        <w:rPr>
          <w:lang w:val="de-DE"/>
        </w:rPr>
      </w:pPr>
      <w:r>
        <w:rPr>
          <w:rStyle w:val="FootnoteReference"/>
        </w:rPr>
        <w:footnoteRef/>
      </w:r>
      <w:r w:rsidRPr="00AC1AD1">
        <w:rPr>
          <w:lang w:val="de-DE"/>
        </w:rPr>
        <w:t xml:space="preserve"> http://www.bbc.co.uk/news/world-us-canada-34329596</w:t>
      </w:r>
    </w:p>
  </w:footnote>
  <w:footnote w:id="52">
    <w:p w14:paraId="5200A991" w14:textId="77777777" w:rsidR="002C0EE7" w:rsidRDefault="002C0EE7" w:rsidP="00F455D9">
      <w:pPr>
        <w:pStyle w:val="FootnoteText"/>
      </w:pPr>
      <w:r>
        <w:rPr>
          <w:rStyle w:val="FootnoteReference"/>
        </w:rPr>
        <w:footnoteRef/>
      </w:r>
      <w:r>
        <w:t xml:space="preserve"> Bolivia produces petrol and gas but must import diesel; this has resulted in diesel prices being equivalent or higher than petrol prices and sometimes limited availability of diesel; customers therefore prefer buying gasoline or CNG vehicles.</w:t>
      </w:r>
    </w:p>
  </w:footnote>
  <w:footnote w:id="53">
    <w:p w14:paraId="7E75F192" w14:textId="77777777" w:rsidR="002C0EE7" w:rsidRDefault="002C0EE7" w:rsidP="00F455D9">
      <w:pPr>
        <w:pStyle w:val="FootnoteText"/>
      </w:pPr>
      <w:r>
        <w:rPr>
          <w:rStyle w:val="FootnoteReference"/>
        </w:rPr>
        <w:footnoteRef/>
      </w:r>
      <w:r>
        <w:t xml:space="preserve"> </w:t>
      </w:r>
      <w:hyperlink r:id="rId2" w:history="1">
        <w:r w:rsidRPr="007E74D6">
          <w:rPr>
            <w:rStyle w:val="Hyperlink"/>
          </w:rPr>
          <w:t>http://www.theicct.org/blogs/staff/brazil-not-ready-for-diesel-cars</w:t>
        </w:r>
      </w:hyperlink>
      <w:r>
        <w:t>; the policy is currently under revision due to pressure of the car industry and associated companies operating in Brazil including Bosch “famous” for its active and critical participation in “</w:t>
      </w:r>
      <w:proofErr w:type="spellStart"/>
      <w:r>
        <w:t>Dieselgate</w:t>
      </w:r>
      <w:proofErr w:type="spellEnd"/>
      <w:r>
        <w:t>” see ICCT, 2016b</w:t>
      </w:r>
    </w:p>
  </w:footnote>
  <w:footnote w:id="54">
    <w:p w14:paraId="0838ABAB" w14:textId="4F0D0E2D" w:rsidR="002C0EE7" w:rsidRPr="00F455D9" w:rsidRDefault="002C0EE7">
      <w:pPr>
        <w:pStyle w:val="FootnoteText"/>
        <w:rPr>
          <w:lang w:val="en-US"/>
        </w:rPr>
      </w:pPr>
      <w:r>
        <w:rPr>
          <w:rStyle w:val="FootnoteReference"/>
        </w:rPr>
        <w:footnoteRef/>
      </w:r>
      <w:r>
        <w:t xml:space="preserve"> </w:t>
      </w:r>
      <w:r>
        <w:rPr>
          <w:lang w:val="en-US"/>
        </w:rPr>
        <w:t xml:space="preserve">See e.g. </w:t>
      </w:r>
      <w:r w:rsidRPr="00F455D9">
        <w:rPr>
          <w:lang w:val="en-US"/>
        </w:rPr>
        <w:t>https://www.independent.co.uk/news/world/politics/diesel-cars-europe-germany-poland-air-pollution-dieselgate-motoring-a8591641.html</w:t>
      </w:r>
    </w:p>
  </w:footnote>
  <w:footnote w:id="55">
    <w:p w14:paraId="60B09E5D" w14:textId="3211A5E8" w:rsidR="002C0EE7" w:rsidRPr="00DF2689" w:rsidRDefault="002C0EE7">
      <w:pPr>
        <w:pStyle w:val="FootnoteText"/>
        <w:rPr>
          <w:lang w:val="en-US"/>
        </w:rPr>
      </w:pPr>
      <w:r>
        <w:rPr>
          <w:rStyle w:val="FootnoteReference"/>
        </w:rPr>
        <w:footnoteRef/>
      </w:r>
      <w:r>
        <w:t xml:space="preserve"> </w:t>
      </w:r>
      <w:r w:rsidRPr="00DF2689">
        <w:t>https://www.independent.co.uk/news/business/news/germany-diesel-ban-what-cities-petrol-cars-air-pollution-emissions-a8230861.html</w:t>
      </w:r>
    </w:p>
  </w:footnote>
  <w:footnote w:id="56">
    <w:p w14:paraId="60D58048" w14:textId="5F4DF996" w:rsidR="002C0EE7" w:rsidRPr="009C514E" w:rsidRDefault="002C0EE7">
      <w:pPr>
        <w:pStyle w:val="FootnoteText"/>
        <w:rPr>
          <w:lang w:val="en-US"/>
        </w:rPr>
      </w:pPr>
      <w:r>
        <w:rPr>
          <w:rStyle w:val="FootnoteReference"/>
        </w:rPr>
        <w:footnoteRef/>
      </w:r>
      <w:r>
        <w:t xml:space="preserve"> </w:t>
      </w:r>
      <w:r>
        <w:rPr>
          <w:lang w:val="en-US"/>
        </w:rPr>
        <w:t>The terms “ecological tax” and “road tax” are used in accordance with the legislation of Kosovo</w:t>
      </w:r>
    </w:p>
  </w:footnote>
  <w:footnote w:id="57">
    <w:p w14:paraId="59F1531B" w14:textId="23BE791A" w:rsidR="002C0EE7" w:rsidRPr="009C514E" w:rsidRDefault="002C0EE7">
      <w:pPr>
        <w:pStyle w:val="FootnoteText"/>
        <w:rPr>
          <w:lang w:val="en-US"/>
        </w:rPr>
      </w:pPr>
      <w:r>
        <w:rPr>
          <w:rStyle w:val="FootnoteReference"/>
        </w:rPr>
        <w:footnoteRef/>
      </w:r>
      <w:r>
        <w:t xml:space="preserve"> </w:t>
      </w:r>
      <w:r>
        <w:rPr>
          <w:lang w:val="en-US"/>
        </w:rPr>
        <w:t>The absolute levels of the ecological tax are based on the levels proposed by MOIT</w:t>
      </w:r>
    </w:p>
  </w:footnote>
  <w:footnote w:id="58">
    <w:p w14:paraId="5D11B3E4" w14:textId="356A2F42" w:rsidR="002C0EE7" w:rsidRPr="00681701" w:rsidRDefault="002C0EE7">
      <w:pPr>
        <w:pStyle w:val="FootnoteText"/>
        <w:rPr>
          <w:lang w:val="en-US"/>
        </w:rPr>
      </w:pPr>
      <w:r>
        <w:rPr>
          <w:rStyle w:val="FootnoteReference"/>
        </w:rPr>
        <w:footnoteRef/>
      </w:r>
      <w:r>
        <w:t xml:space="preserve"> </w:t>
      </w:r>
      <w:r>
        <w:rPr>
          <w:lang w:val="en-US"/>
        </w:rPr>
        <w:t>Corresponds basically to Euro 6 vehicle</w:t>
      </w:r>
    </w:p>
  </w:footnote>
  <w:footnote w:id="59">
    <w:p w14:paraId="368F0A9E" w14:textId="6952A7DA" w:rsidR="002C0EE7" w:rsidRPr="00681701" w:rsidRDefault="002C0EE7">
      <w:pPr>
        <w:pStyle w:val="FootnoteText"/>
        <w:rPr>
          <w:lang w:val="en-US"/>
        </w:rPr>
      </w:pPr>
      <w:r>
        <w:rPr>
          <w:rStyle w:val="FootnoteReference"/>
        </w:rPr>
        <w:footnoteRef/>
      </w:r>
      <w:r>
        <w:t xml:space="preserve"> </w:t>
      </w:r>
      <w:r>
        <w:rPr>
          <w:lang w:val="en-US"/>
        </w:rPr>
        <w:t>Corresponds basically to Euro 5 vehicle</w:t>
      </w:r>
    </w:p>
  </w:footnote>
  <w:footnote w:id="60">
    <w:p w14:paraId="0D6E7078" w14:textId="22188C32" w:rsidR="002C0EE7" w:rsidRPr="00681701" w:rsidRDefault="002C0EE7">
      <w:pPr>
        <w:pStyle w:val="FootnoteText"/>
        <w:rPr>
          <w:lang w:val="en-US"/>
        </w:rPr>
      </w:pPr>
      <w:r>
        <w:rPr>
          <w:rStyle w:val="FootnoteReference"/>
        </w:rPr>
        <w:footnoteRef/>
      </w:r>
      <w:r>
        <w:t xml:space="preserve"> </w:t>
      </w:r>
      <w:r>
        <w:rPr>
          <w:lang w:val="en-US"/>
        </w:rPr>
        <w:t>Corresponds to Euro 4 or earlier emission standard</w:t>
      </w:r>
    </w:p>
  </w:footnote>
  <w:footnote w:id="61">
    <w:p w14:paraId="6C624E71" w14:textId="1039F3B7" w:rsidR="002C0EE7" w:rsidRPr="00681701" w:rsidRDefault="002C0EE7">
      <w:pPr>
        <w:pStyle w:val="FootnoteText"/>
        <w:rPr>
          <w:lang w:val="en-US"/>
        </w:rPr>
      </w:pPr>
      <w:r>
        <w:rPr>
          <w:rStyle w:val="FootnoteReference"/>
        </w:rPr>
        <w:footnoteRef/>
      </w:r>
      <w:r>
        <w:t xml:space="preserve"> </w:t>
      </w:r>
      <w:r>
        <w:rPr>
          <w:lang w:val="en-US"/>
        </w:rPr>
        <w:t>Corresponds basically to Euro 6 vehicle</w:t>
      </w:r>
    </w:p>
  </w:footnote>
  <w:footnote w:id="62">
    <w:p w14:paraId="7FB32CF6" w14:textId="552DABD5" w:rsidR="002C0EE7" w:rsidRPr="00681701" w:rsidRDefault="002C0EE7">
      <w:pPr>
        <w:pStyle w:val="FootnoteText"/>
        <w:rPr>
          <w:lang w:val="en-US"/>
        </w:rPr>
      </w:pPr>
      <w:r>
        <w:rPr>
          <w:rStyle w:val="FootnoteReference"/>
        </w:rPr>
        <w:footnoteRef/>
      </w:r>
      <w:r>
        <w:t xml:space="preserve"> </w:t>
      </w:r>
      <w:r>
        <w:rPr>
          <w:lang w:val="en-US"/>
        </w:rPr>
        <w:t>Corresponds basically to Euro 5 vehicle</w:t>
      </w:r>
    </w:p>
  </w:footnote>
  <w:footnote w:id="63">
    <w:p w14:paraId="4F68AAB8" w14:textId="14392ABF" w:rsidR="002C0EE7" w:rsidRPr="00681701" w:rsidRDefault="002C0EE7">
      <w:pPr>
        <w:pStyle w:val="FootnoteText"/>
        <w:rPr>
          <w:lang w:val="en-US"/>
        </w:rPr>
      </w:pPr>
      <w:r>
        <w:rPr>
          <w:rStyle w:val="FootnoteReference"/>
        </w:rPr>
        <w:footnoteRef/>
      </w:r>
      <w:r>
        <w:t xml:space="preserve"> </w:t>
      </w:r>
      <w:r>
        <w:rPr>
          <w:lang w:val="en-US"/>
        </w:rPr>
        <w:t>Corresponds basically to Euro 4 vehicle</w:t>
      </w:r>
    </w:p>
  </w:footnote>
  <w:footnote w:id="64">
    <w:p w14:paraId="0A45C5A9" w14:textId="000EA958" w:rsidR="002C0EE7" w:rsidRPr="00681701" w:rsidRDefault="002C0EE7">
      <w:pPr>
        <w:pStyle w:val="FootnoteText"/>
        <w:rPr>
          <w:lang w:val="en-US"/>
        </w:rPr>
      </w:pPr>
      <w:r>
        <w:rPr>
          <w:rStyle w:val="FootnoteReference"/>
        </w:rPr>
        <w:footnoteRef/>
      </w:r>
      <w:r>
        <w:t xml:space="preserve"> </w:t>
      </w:r>
      <w:r>
        <w:rPr>
          <w:lang w:val="en-US"/>
        </w:rPr>
        <w:t xml:space="preserve">Corresponds to Euro 3 or earlier vehicle emission standard </w:t>
      </w:r>
    </w:p>
  </w:footnote>
  <w:footnote w:id="65">
    <w:p w14:paraId="5AD372CB" w14:textId="0E47C78F" w:rsidR="002C0EE7" w:rsidRPr="000B4022" w:rsidRDefault="002C0EE7" w:rsidP="00666E7D">
      <w:pPr>
        <w:pStyle w:val="FootnoteText"/>
        <w:rPr>
          <w:lang w:val="en-US"/>
        </w:rPr>
      </w:pPr>
      <w:r>
        <w:rPr>
          <w:rStyle w:val="FootnoteReference"/>
        </w:rPr>
        <w:footnoteRef/>
      </w:r>
      <w:r>
        <w:t xml:space="preserve"> </w:t>
      </w:r>
      <w:r>
        <w:rPr>
          <w:lang w:val="en-US"/>
        </w:rPr>
        <w:t>The current base excise tax for vehicles is 500 Euro and increase relative to vehicle age and relative to engine power</w:t>
      </w:r>
    </w:p>
  </w:footnote>
  <w:footnote w:id="66">
    <w:p w14:paraId="480868A3" w14:textId="77777777" w:rsidR="002C0EE7" w:rsidRPr="009E1666" w:rsidRDefault="002C0EE7" w:rsidP="008D0751">
      <w:pPr>
        <w:pStyle w:val="FootnoteText"/>
        <w:rPr>
          <w:lang w:val="en-US"/>
        </w:rPr>
      </w:pPr>
      <w:r>
        <w:rPr>
          <w:rStyle w:val="FootnoteReference"/>
        </w:rPr>
        <w:footnoteRef/>
      </w:r>
      <w:r>
        <w:t xml:space="preserve"> Norway is having an increasing number of used EVs</w:t>
      </w:r>
    </w:p>
  </w:footnote>
  <w:footnote w:id="67">
    <w:p w14:paraId="753CD6A4" w14:textId="0D49F2BF" w:rsidR="002C0EE7" w:rsidRPr="006D102E" w:rsidRDefault="002C0EE7">
      <w:pPr>
        <w:pStyle w:val="FootnoteText"/>
        <w:rPr>
          <w:lang w:val="en-US"/>
        </w:rPr>
      </w:pPr>
      <w:r>
        <w:rPr>
          <w:rStyle w:val="FootnoteReference"/>
        </w:rPr>
        <w:footnoteRef/>
      </w:r>
      <w:r>
        <w:t xml:space="preserve"> </w:t>
      </w:r>
      <w:r>
        <w:rPr>
          <w:lang w:val="en-US"/>
        </w:rPr>
        <w:t>The average excise tax for gasoline cars paid in 2018 is around 400 Euro (VAT plus custom duty around 1,700 Euro) and 800 Euro for diesel cars (VAT plus customs duty around 2,100 Euro)</w:t>
      </w:r>
    </w:p>
  </w:footnote>
  <w:footnote w:id="68">
    <w:p w14:paraId="6146F856" w14:textId="577636ED" w:rsidR="002C0EE7" w:rsidRPr="00A30180" w:rsidRDefault="002C0EE7">
      <w:pPr>
        <w:pStyle w:val="FootnoteText"/>
        <w:rPr>
          <w:lang w:val="en-US"/>
        </w:rPr>
      </w:pPr>
      <w:r>
        <w:rPr>
          <w:rStyle w:val="FootnoteReference"/>
        </w:rPr>
        <w:footnoteRef/>
      </w:r>
      <w:r>
        <w:t xml:space="preserve"> </w:t>
      </w:r>
      <w:r>
        <w:rPr>
          <w:lang w:val="en-US"/>
        </w:rPr>
        <w:t>See for procedures as used in the EU e.g. DVSA, 2017</w:t>
      </w:r>
    </w:p>
  </w:footnote>
  <w:footnote w:id="69">
    <w:p w14:paraId="2EA39A72" w14:textId="28F6ECF2" w:rsidR="002C0EE7" w:rsidRPr="00C86E20" w:rsidRDefault="002C0EE7">
      <w:pPr>
        <w:pStyle w:val="FootnoteText"/>
        <w:rPr>
          <w:lang w:val="en-US"/>
        </w:rPr>
      </w:pPr>
      <w:r>
        <w:rPr>
          <w:rStyle w:val="FootnoteReference"/>
        </w:rPr>
        <w:footnoteRef/>
      </w:r>
      <w:r>
        <w:t xml:space="preserve"> </w:t>
      </w:r>
      <w:r>
        <w:rPr>
          <w:lang w:val="en-US"/>
        </w:rPr>
        <w:t>Control check with the Lambda value</w:t>
      </w:r>
    </w:p>
  </w:footnote>
  <w:footnote w:id="70">
    <w:p w14:paraId="448BD8D3" w14:textId="77777777" w:rsidR="002C0EE7" w:rsidRDefault="002C0EE7" w:rsidP="00B81258">
      <w:pPr>
        <w:pStyle w:val="FootnoteText"/>
      </w:pPr>
      <w:r>
        <w:rPr>
          <w:rStyle w:val="FootnoteReference"/>
        </w:rPr>
        <w:footnoteRef/>
      </w:r>
      <w:r>
        <w:t xml:space="preserve"> This was basically an issue in the late 80</w:t>
      </w:r>
      <w:r w:rsidRPr="00387D20">
        <w:rPr>
          <w:vertAlign w:val="superscript"/>
        </w:rPr>
        <w:t>ies</w:t>
      </w:r>
      <w:r>
        <w:t xml:space="preserve"> but has been resolved in the meanwhile through vehicle adaptations</w:t>
      </w:r>
    </w:p>
  </w:footnote>
  <w:footnote w:id="71">
    <w:p w14:paraId="4409FA9B" w14:textId="77777777" w:rsidR="002C0EE7" w:rsidRDefault="002C0EE7" w:rsidP="00B81258">
      <w:pPr>
        <w:pStyle w:val="FootnoteText"/>
      </w:pPr>
      <w:r>
        <w:rPr>
          <w:rStyle w:val="FootnoteReference"/>
        </w:rPr>
        <w:footnoteRef/>
      </w:r>
      <w:r>
        <w:t xml:space="preserve"> Commercial vehicles; only Santiago; partial load with dynamometer</w:t>
      </w:r>
    </w:p>
  </w:footnote>
  <w:footnote w:id="72">
    <w:p w14:paraId="4DDFF1FC" w14:textId="77777777" w:rsidR="002C0EE7" w:rsidRPr="004F78AC" w:rsidRDefault="002C0EE7" w:rsidP="00B81258">
      <w:pPr>
        <w:pStyle w:val="FootnoteText"/>
      </w:pPr>
      <w:r>
        <w:rPr>
          <w:rStyle w:val="FootnoteReference"/>
        </w:rPr>
        <w:footnoteRef/>
      </w:r>
      <w:r w:rsidRPr="004F78AC">
        <w:t xml:space="preserve"> </w:t>
      </w:r>
      <w:proofErr w:type="spellStart"/>
      <w:r w:rsidRPr="004F78AC">
        <w:t>Borken-Kleefeld</w:t>
      </w:r>
      <w:proofErr w:type="spellEnd"/>
      <w:r w:rsidRPr="004F78AC">
        <w:t>, 2015</w:t>
      </w:r>
    </w:p>
  </w:footnote>
  <w:footnote w:id="73">
    <w:p w14:paraId="23533D0C" w14:textId="77777777" w:rsidR="002C0EE7" w:rsidRDefault="002C0EE7" w:rsidP="00B81258">
      <w:pPr>
        <w:pStyle w:val="FootnoteText"/>
      </w:pPr>
      <w:r>
        <w:rPr>
          <w:rStyle w:val="FootnoteReference"/>
        </w:rPr>
        <w:footnoteRef/>
      </w:r>
      <w:r>
        <w:t xml:space="preserve"> In Mexico City software of digital-cameras was e.g. hacked to transmit images of different cars than those inspected. </w:t>
      </w:r>
    </w:p>
  </w:footnote>
  <w:footnote w:id="74">
    <w:p w14:paraId="1BA4C80C" w14:textId="58AA080E" w:rsidR="002C0EE7" w:rsidRPr="001D4CCE" w:rsidRDefault="002C0EE7">
      <w:pPr>
        <w:pStyle w:val="FootnoteText"/>
        <w:rPr>
          <w:lang w:val="en-US"/>
        </w:rPr>
      </w:pPr>
      <w:r>
        <w:rPr>
          <w:rStyle w:val="FootnoteReference"/>
        </w:rPr>
        <w:footnoteRef/>
      </w:r>
      <w:r>
        <w:t xml:space="preserve"> </w:t>
      </w:r>
      <w:r>
        <w:rPr>
          <w:lang w:val="en-US"/>
        </w:rPr>
        <w:t>On-Board Diagnostics System</w:t>
      </w:r>
    </w:p>
  </w:footnote>
  <w:footnote w:id="75">
    <w:p w14:paraId="663F99FB" w14:textId="46E99123" w:rsidR="002C0EE7" w:rsidRPr="001D4CCE" w:rsidRDefault="002C0EE7">
      <w:pPr>
        <w:pStyle w:val="FootnoteText"/>
        <w:rPr>
          <w:lang w:val="en-US"/>
        </w:rPr>
      </w:pPr>
      <w:r>
        <w:rPr>
          <w:rStyle w:val="FootnoteReference"/>
        </w:rPr>
        <w:footnoteRef/>
      </w:r>
      <w:r>
        <w:t xml:space="preserve"> </w:t>
      </w:r>
      <w:r>
        <w:rPr>
          <w:lang w:val="en-US"/>
        </w:rPr>
        <w:t>All vehicles produced in the US are compliant with OBD II since 1996; all gasoline vehicles category M (passenger cars) in the EU require to have EOBD installed since 2011 and all diesel units since 2004 (Directive 98/69/EC of 13/10/1998)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80F9D" w14:textId="755128A9" w:rsidR="002C0EE7" w:rsidRDefault="002C0EE7">
    <w:pPr>
      <w:pStyle w:val="Header"/>
    </w:pPr>
    <w:r>
      <w:rPr>
        <w:caps/>
        <w:noProof/>
        <w:color w:val="808080" w:themeColor="background1" w:themeShade="80"/>
        <w:sz w:val="20"/>
        <w:szCs w:val="20"/>
        <w:lang w:val="en-US"/>
      </w:rPr>
      <mc:AlternateContent>
        <mc:Choice Requires="wpg">
          <w:drawing>
            <wp:anchor distT="0" distB="0" distL="114300" distR="114300" simplePos="0" relativeHeight="251659264" behindDoc="0" locked="0" layoutInCell="1" allowOverlap="1" wp14:anchorId="4591D2E8" wp14:editId="0654DD56">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CEDA07" w14:textId="77777777" w:rsidR="002C0EE7" w:rsidRDefault="002C0EE7">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30</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91D2E8"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38CEDA07" w14:textId="77777777" w:rsidR="002C0EE7" w:rsidRDefault="002C0EE7">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30</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5A2"/>
    <w:multiLevelType w:val="hybridMultilevel"/>
    <w:tmpl w:val="4DCA9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0675C"/>
    <w:multiLevelType w:val="hybridMultilevel"/>
    <w:tmpl w:val="ED72BFA6"/>
    <w:lvl w:ilvl="0" w:tplc="BABC739A">
      <w:start w:val="1"/>
      <w:numFmt w:val="bullet"/>
      <w:lvlText w:val="•"/>
      <w:lvlJc w:val="left"/>
      <w:pPr>
        <w:tabs>
          <w:tab w:val="num" w:pos="720"/>
        </w:tabs>
        <w:ind w:left="720" w:hanging="360"/>
      </w:pPr>
      <w:rPr>
        <w:rFonts w:ascii="Times New Roman" w:hAnsi="Times New Roman" w:hint="default"/>
      </w:rPr>
    </w:lvl>
    <w:lvl w:ilvl="1" w:tplc="48EE5B06" w:tentative="1">
      <w:start w:val="1"/>
      <w:numFmt w:val="bullet"/>
      <w:lvlText w:val="•"/>
      <w:lvlJc w:val="left"/>
      <w:pPr>
        <w:tabs>
          <w:tab w:val="num" w:pos="1440"/>
        </w:tabs>
        <w:ind w:left="1440" w:hanging="360"/>
      </w:pPr>
      <w:rPr>
        <w:rFonts w:ascii="Times New Roman" w:hAnsi="Times New Roman" w:hint="default"/>
      </w:rPr>
    </w:lvl>
    <w:lvl w:ilvl="2" w:tplc="885CA216" w:tentative="1">
      <w:start w:val="1"/>
      <w:numFmt w:val="bullet"/>
      <w:lvlText w:val="•"/>
      <w:lvlJc w:val="left"/>
      <w:pPr>
        <w:tabs>
          <w:tab w:val="num" w:pos="2160"/>
        </w:tabs>
        <w:ind w:left="2160" w:hanging="360"/>
      </w:pPr>
      <w:rPr>
        <w:rFonts w:ascii="Times New Roman" w:hAnsi="Times New Roman" w:hint="default"/>
      </w:rPr>
    </w:lvl>
    <w:lvl w:ilvl="3" w:tplc="ABA8FFB8" w:tentative="1">
      <w:start w:val="1"/>
      <w:numFmt w:val="bullet"/>
      <w:lvlText w:val="•"/>
      <w:lvlJc w:val="left"/>
      <w:pPr>
        <w:tabs>
          <w:tab w:val="num" w:pos="2880"/>
        </w:tabs>
        <w:ind w:left="2880" w:hanging="360"/>
      </w:pPr>
      <w:rPr>
        <w:rFonts w:ascii="Times New Roman" w:hAnsi="Times New Roman" w:hint="default"/>
      </w:rPr>
    </w:lvl>
    <w:lvl w:ilvl="4" w:tplc="CBF06EFC" w:tentative="1">
      <w:start w:val="1"/>
      <w:numFmt w:val="bullet"/>
      <w:lvlText w:val="•"/>
      <w:lvlJc w:val="left"/>
      <w:pPr>
        <w:tabs>
          <w:tab w:val="num" w:pos="3600"/>
        </w:tabs>
        <w:ind w:left="3600" w:hanging="360"/>
      </w:pPr>
      <w:rPr>
        <w:rFonts w:ascii="Times New Roman" w:hAnsi="Times New Roman" w:hint="default"/>
      </w:rPr>
    </w:lvl>
    <w:lvl w:ilvl="5" w:tplc="45763006" w:tentative="1">
      <w:start w:val="1"/>
      <w:numFmt w:val="bullet"/>
      <w:lvlText w:val="•"/>
      <w:lvlJc w:val="left"/>
      <w:pPr>
        <w:tabs>
          <w:tab w:val="num" w:pos="4320"/>
        </w:tabs>
        <w:ind w:left="4320" w:hanging="360"/>
      </w:pPr>
      <w:rPr>
        <w:rFonts w:ascii="Times New Roman" w:hAnsi="Times New Roman" w:hint="default"/>
      </w:rPr>
    </w:lvl>
    <w:lvl w:ilvl="6" w:tplc="CD6E8CF4" w:tentative="1">
      <w:start w:val="1"/>
      <w:numFmt w:val="bullet"/>
      <w:lvlText w:val="•"/>
      <w:lvlJc w:val="left"/>
      <w:pPr>
        <w:tabs>
          <w:tab w:val="num" w:pos="5040"/>
        </w:tabs>
        <w:ind w:left="5040" w:hanging="360"/>
      </w:pPr>
      <w:rPr>
        <w:rFonts w:ascii="Times New Roman" w:hAnsi="Times New Roman" w:hint="default"/>
      </w:rPr>
    </w:lvl>
    <w:lvl w:ilvl="7" w:tplc="EC7252F6" w:tentative="1">
      <w:start w:val="1"/>
      <w:numFmt w:val="bullet"/>
      <w:lvlText w:val="•"/>
      <w:lvlJc w:val="left"/>
      <w:pPr>
        <w:tabs>
          <w:tab w:val="num" w:pos="5760"/>
        </w:tabs>
        <w:ind w:left="5760" w:hanging="360"/>
      </w:pPr>
      <w:rPr>
        <w:rFonts w:ascii="Times New Roman" w:hAnsi="Times New Roman" w:hint="default"/>
      </w:rPr>
    </w:lvl>
    <w:lvl w:ilvl="8" w:tplc="3D6CDC6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9F7EB3"/>
    <w:multiLevelType w:val="hybridMultilevel"/>
    <w:tmpl w:val="A9EE8570"/>
    <w:lvl w:ilvl="0" w:tplc="265E4DF8">
      <w:start w:val="5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04B5B"/>
    <w:multiLevelType w:val="hybridMultilevel"/>
    <w:tmpl w:val="61568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0229D"/>
    <w:multiLevelType w:val="hybridMultilevel"/>
    <w:tmpl w:val="79985766"/>
    <w:lvl w:ilvl="0" w:tplc="15829BA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55CF7"/>
    <w:multiLevelType w:val="hybridMultilevel"/>
    <w:tmpl w:val="63C6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16623"/>
    <w:multiLevelType w:val="hybridMultilevel"/>
    <w:tmpl w:val="47005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22155"/>
    <w:multiLevelType w:val="hybridMultilevel"/>
    <w:tmpl w:val="EA44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36246"/>
    <w:multiLevelType w:val="hybridMultilevel"/>
    <w:tmpl w:val="D4D44E08"/>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9" w15:restartNumberingAfterBreak="0">
    <w:nsid w:val="2229428A"/>
    <w:multiLevelType w:val="hybridMultilevel"/>
    <w:tmpl w:val="C34E063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22D73A82"/>
    <w:multiLevelType w:val="hybridMultilevel"/>
    <w:tmpl w:val="B44A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5631D4"/>
    <w:multiLevelType w:val="hybridMultilevel"/>
    <w:tmpl w:val="7D88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F04CA"/>
    <w:multiLevelType w:val="hybridMultilevel"/>
    <w:tmpl w:val="AC86114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34985637"/>
    <w:multiLevelType w:val="hybridMultilevel"/>
    <w:tmpl w:val="A5EE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13E1E"/>
    <w:multiLevelType w:val="hybridMultilevel"/>
    <w:tmpl w:val="741A9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6B2FE9"/>
    <w:multiLevelType w:val="hybridMultilevel"/>
    <w:tmpl w:val="7E22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C36A3"/>
    <w:multiLevelType w:val="hybridMultilevel"/>
    <w:tmpl w:val="7512B81C"/>
    <w:lvl w:ilvl="0" w:tplc="7C565480">
      <w:start w:val="1"/>
      <w:numFmt w:val="bullet"/>
      <w:lvlText w:val="•"/>
      <w:lvlJc w:val="left"/>
      <w:pPr>
        <w:tabs>
          <w:tab w:val="num" w:pos="720"/>
        </w:tabs>
        <w:ind w:left="720" w:hanging="360"/>
      </w:pPr>
      <w:rPr>
        <w:rFonts w:ascii="Times New Roman" w:hAnsi="Times New Roman" w:hint="default"/>
      </w:rPr>
    </w:lvl>
    <w:lvl w:ilvl="1" w:tplc="33664540" w:tentative="1">
      <w:start w:val="1"/>
      <w:numFmt w:val="bullet"/>
      <w:lvlText w:val="•"/>
      <w:lvlJc w:val="left"/>
      <w:pPr>
        <w:tabs>
          <w:tab w:val="num" w:pos="1440"/>
        </w:tabs>
        <w:ind w:left="1440" w:hanging="360"/>
      </w:pPr>
      <w:rPr>
        <w:rFonts w:ascii="Times New Roman" w:hAnsi="Times New Roman" w:hint="default"/>
      </w:rPr>
    </w:lvl>
    <w:lvl w:ilvl="2" w:tplc="35C29D66" w:tentative="1">
      <w:start w:val="1"/>
      <w:numFmt w:val="bullet"/>
      <w:lvlText w:val="•"/>
      <w:lvlJc w:val="left"/>
      <w:pPr>
        <w:tabs>
          <w:tab w:val="num" w:pos="2160"/>
        </w:tabs>
        <w:ind w:left="2160" w:hanging="360"/>
      </w:pPr>
      <w:rPr>
        <w:rFonts w:ascii="Times New Roman" w:hAnsi="Times New Roman" w:hint="default"/>
      </w:rPr>
    </w:lvl>
    <w:lvl w:ilvl="3" w:tplc="DD06CD1E" w:tentative="1">
      <w:start w:val="1"/>
      <w:numFmt w:val="bullet"/>
      <w:lvlText w:val="•"/>
      <w:lvlJc w:val="left"/>
      <w:pPr>
        <w:tabs>
          <w:tab w:val="num" w:pos="2880"/>
        </w:tabs>
        <w:ind w:left="2880" w:hanging="360"/>
      </w:pPr>
      <w:rPr>
        <w:rFonts w:ascii="Times New Roman" w:hAnsi="Times New Roman" w:hint="default"/>
      </w:rPr>
    </w:lvl>
    <w:lvl w:ilvl="4" w:tplc="742E91B6" w:tentative="1">
      <w:start w:val="1"/>
      <w:numFmt w:val="bullet"/>
      <w:lvlText w:val="•"/>
      <w:lvlJc w:val="left"/>
      <w:pPr>
        <w:tabs>
          <w:tab w:val="num" w:pos="3600"/>
        </w:tabs>
        <w:ind w:left="3600" w:hanging="360"/>
      </w:pPr>
      <w:rPr>
        <w:rFonts w:ascii="Times New Roman" w:hAnsi="Times New Roman" w:hint="default"/>
      </w:rPr>
    </w:lvl>
    <w:lvl w:ilvl="5" w:tplc="6CE29780" w:tentative="1">
      <w:start w:val="1"/>
      <w:numFmt w:val="bullet"/>
      <w:lvlText w:val="•"/>
      <w:lvlJc w:val="left"/>
      <w:pPr>
        <w:tabs>
          <w:tab w:val="num" w:pos="4320"/>
        </w:tabs>
        <w:ind w:left="4320" w:hanging="360"/>
      </w:pPr>
      <w:rPr>
        <w:rFonts w:ascii="Times New Roman" w:hAnsi="Times New Roman" w:hint="default"/>
      </w:rPr>
    </w:lvl>
    <w:lvl w:ilvl="6" w:tplc="7280278E" w:tentative="1">
      <w:start w:val="1"/>
      <w:numFmt w:val="bullet"/>
      <w:lvlText w:val="•"/>
      <w:lvlJc w:val="left"/>
      <w:pPr>
        <w:tabs>
          <w:tab w:val="num" w:pos="5040"/>
        </w:tabs>
        <w:ind w:left="5040" w:hanging="360"/>
      </w:pPr>
      <w:rPr>
        <w:rFonts w:ascii="Times New Roman" w:hAnsi="Times New Roman" w:hint="default"/>
      </w:rPr>
    </w:lvl>
    <w:lvl w:ilvl="7" w:tplc="F5929102" w:tentative="1">
      <w:start w:val="1"/>
      <w:numFmt w:val="bullet"/>
      <w:lvlText w:val="•"/>
      <w:lvlJc w:val="left"/>
      <w:pPr>
        <w:tabs>
          <w:tab w:val="num" w:pos="5760"/>
        </w:tabs>
        <w:ind w:left="5760" w:hanging="360"/>
      </w:pPr>
      <w:rPr>
        <w:rFonts w:ascii="Times New Roman" w:hAnsi="Times New Roman" w:hint="default"/>
      </w:rPr>
    </w:lvl>
    <w:lvl w:ilvl="8" w:tplc="993AC86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C5D6A2B"/>
    <w:multiLevelType w:val="hybridMultilevel"/>
    <w:tmpl w:val="904E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C171E6"/>
    <w:multiLevelType w:val="hybridMultilevel"/>
    <w:tmpl w:val="D024927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9" w15:restartNumberingAfterBreak="0">
    <w:nsid w:val="41FA65F9"/>
    <w:multiLevelType w:val="hybridMultilevel"/>
    <w:tmpl w:val="9B94E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643CA9"/>
    <w:multiLevelType w:val="hybridMultilevel"/>
    <w:tmpl w:val="DE2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500043"/>
    <w:multiLevelType w:val="hybridMultilevel"/>
    <w:tmpl w:val="5834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3F148B"/>
    <w:multiLevelType w:val="hybridMultilevel"/>
    <w:tmpl w:val="A5369178"/>
    <w:lvl w:ilvl="0" w:tplc="4738BD36">
      <w:start w:val="1"/>
      <w:numFmt w:val="bullet"/>
      <w:lvlText w:val="•"/>
      <w:lvlJc w:val="left"/>
      <w:pPr>
        <w:tabs>
          <w:tab w:val="num" w:pos="720"/>
        </w:tabs>
        <w:ind w:left="720" w:hanging="360"/>
      </w:pPr>
      <w:rPr>
        <w:rFonts w:ascii="Times New Roman" w:hAnsi="Times New Roman" w:hint="default"/>
      </w:rPr>
    </w:lvl>
    <w:lvl w:ilvl="1" w:tplc="5A3ADF96" w:tentative="1">
      <w:start w:val="1"/>
      <w:numFmt w:val="bullet"/>
      <w:lvlText w:val="•"/>
      <w:lvlJc w:val="left"/>
      <w:pPr>
        <w:tabs>
          <w:tab w:val="num" w:pos="1440"/>
        </w:tabs>
        <w:ind w:left="1440" w:hanging="360"/>
      </w:pPr>
      <w:rPr>
        <w:rFonts w:ascii="Times New Roman" w:hAnsi="Times New Roman" w:hint="default"/>
      </w:rPr>
    </w:lvl>
    <w:lvl w:ilvl="2" w:tplc="28B2A110" w:tentative="1">
      <w:start w:val="1"/>
      <w:numFmt w:val="bullet"/>
      <w:lvlText w:val="•"/>
      <w:lvlJc w:val="left"/>
      <w:pPr>
        <w:tabs>
          <w:tab w:val="num" w:pos="2160"/>
        </w:tabs>
        <w:ind w:left="2160" w:hanging="360"/>
      </w:pPr>
      <w:rPr>
        <w:rFonts w:ascii="Times New Roman" w:hAnsi="Times New Roman" w:hint="default"/>
      </w:rPr>
    </w:lvl>
    <w:lvl w:ilvl="3" w:tplc="4E7413E8" w:tentative="1">
      <w:start w:val="1"/>
      <w:numFmt w:val="bullet"/>
      <w:lvlText w:val="•"/>
      <w:lvlJc w:val="left"/>
      <w:pPr>
        <w:tabs>
          <w:tab w:val="num" w:pos="2880"/>
        </w:tabs>
        <w:ind w:left="2880" w:hanging="360"/>
      </w:pPr>
      <w:rPr>
        <w:rFonts w:ascii="Times New Roman" w:hAnsi="Times New Roman" w:hint="default"/>
      </w:rPr>
    </w:lvl>
    <w:lvl w:ilvl="4" w:tplc="2604C766" w:tentative="1">
      <w:start w:val="1"/>
      <w:numFmt w:val="bullet"/>
      <w:lvlText w:val="•"/>
      <w:lvlJc w:val="left"/>
      <w:pPr>
        <w:tabs>
          <w:tab w:val="num" w:pos="3600"/>
        </w:tabs>
        <w:ind w:left="3600" w:hanging="360"/>
      </w:pPr>
      <w:rPr>
        <w:rFonts w:ascii="Times New Roman" w:hAnsi="Times New Roman" w:hint="default"/>
      </w:rPr>
    </w:lvl>
    <w:lvl w:ilvl="5" w:tplc="1152ECA4" w:tentative="1">
      <w:start w:val="1"/>
      <w:numFmt w:val="bullet"/>
      <w:lvlText w:val="•"/>
      <w:lvlJc w:val="left"/>
      <w:pPr>
        <w:tabs>
          <w:tab w:val="num" w:pos="4320"/>
        </w:tabs>
        <w:ind w:left="4320" w:hanging="360"/>
      </w:pPr>
      <w:rPr>
        <w:rFonts w:ascii="Times New Roman" w:hAnsi="Times New Roman" w:hint="default"/>
      </w:rPr>
    </w:lvl>
    <w:lvl w:ilvl="6" w:tplc="CF822406" w:tentative="1">
      <w:start w:val="1"/>
      <w:numFmt w:val="bullet"/>
      <w:lvlText w:val="•"/>
      <w:lvlJc w:val="left"/>
      <w:pPr>
        <w:tabs>
          <w:tab w:val="num" w:pos="5040"/>
        </w:tabs>
        <w:ind w:left="5040" w:hanging="360"/>
      </w:pPr>
      <w:rPr>
        <w:rFonts w:ascii="Times New Roman" w:hAnsi="Times New Roman" w:hint="default"/>
      </w:rPr>
    </w:lvl>
    <w:lvl w:ilvl="7" w:tplc="3BC68F82" w:tentative="1">
      <w:start w:val="1"/>
      <w:numFmt w:val="bullet"/>
      <w:lvlText w:val="•"/>
      <w:lvlJc w:val="left"/>
      <w:pPr>
        <w:tabs>
          <w:tab w:val="num" w:pos="5760"/>
        </w:tabs>
        <w:ind w:left="5760" w:hanging="360"/>
      </w:pPr>
      <w:rPr>
        <w:rFonts w:ascii="Times New Roman" w:hAnsi="Times New Roman" w:hint="default"/>
      </w:rPr>
    </w:lvl>
    <w:lvl w:ilvl="8" w:tplc="0F36F46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C35636D"/>
    <w:multiLevelType w:val="hybridMultilevel"/>
    <w:tmpl w:val="4FBC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761A64"/>
    <w:multiLevelType w:val="hybridMultilevel"/>
    <w:tmpl w:val="D4380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5C7F92"/>
    <w:multiLevelType w:val="hybridMultilevel"/>
    <w:tmpl w:val="AE6E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D43677"/>
    <w:multiLevelType w:val="hybridMultilevel"/>
    <w:tmpl w:val="61FE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306C6E"/>
    <w:multiLevelType w:val="hybridMultilevel"/>
    <w:tmpl w:val="1212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609D6"/>
    <w:multiLevelType w:val="hybridMultilevel"/>
    <w:tmpl w:val="0106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6F1D7D"/>
    <w:multiLevelType w:val="hybridMultilevel"/>
    <w:tmpl w:val="EAEC095C"/>
    <w:lvl w:ilvl="0" w:tplc="84760976">
      <w:start w:val="1"/>
      <w:numFmt w:val="bullet"/>
      <w:lvlText w:val="•"/>
      <w:lvlJc w:val="left"/>
      <w:pPr>
        <w:tabs>
          <w:tab w:val="num" w:pos="720"/>
        </w:tabs>
        <w:ind w:left="720" w:hanging="360"/>
      </w:pPr>
      <w:rPr>
        <w:rFonts w:ascii="Times New Roman" w:hAnsi="Times New Roman" w:hint="default"/>
      </w:rPr>
    </w:lvl>
    <w:lvl w:ilvl="1" w:tplc="3B547C64" w:tentative="1">
      <w:start w:val="1"/>
      <w:numFmt w:val="bullet"/>
      <w:lvlText w:val="•"/>
      <w:lvlJc w:val="left"/>
      <w:pPr>
        <w:tabs>
          <w:tab w:val="num" w:pos="1440"/>
        </w:tabs>
        <w:ind w:left="1440" w:hanging="360"/>
      </w:pPr>
      <w:rPr>
        <w:rFonts w:ascii="Times New Roman" w:hAnsi="Times New Roman" w:hint="default"/>
      </w:rPr>
    </w:lvl>
    <w:lvl w:ilvl="2" w:tplc="8AB01B66" w:tentative="1">
      <w:start w:val="1"/>
      <w:numFmt w:val="bullet"/>
      <w:lvlText w:val="•"/>
      <w:lvlJc w:val="left"/>
      <w:pPr>
        <w:tabs>
          <w:tab w:val="num" w:pos="2160"/>
        </w:tabs>
        <w:ind w:left="2160" w:hanging="360"/>
      </w:pPr>
      <w:rPr>
        <w:rFonts w:ascii="Times New Roman" w:hAnsi="Times New Roman" w:hint="default"/>
      </w:rPr>
    </w:lvl>
    <w:lvl w:ilvl="3" w:tplc="82E4C86C" w:tentative="1">
      <w:start w:val="1"/>
      <w:numFmt w:val="bullet"/>
      <w:lvlText w:val="•"/>
      <w:lvlJc w:val="left"/>
      <w:pPr>
        <w:tabs>
          <w:tab w:val="num" w:pos="2880"/>
        </w:tabs>
        <w:ind w:left="2880" w:hanging="360"/>
      </w:pPr>
      <w:rPr>
        <w:rFonts w:ascii="Times New Roman" w:hAnsi="Times New Roman" w:hint="default"/>
      </w:rPr>
    </w:lvl>
    <w:lvl w:ilvl="4" w:tplc="89B0CBC8" w:tentative="1">
      <w:start w:val="1"/>
      <w:numFmt w:val="bullet"/>
      <w:lvlText w:val="•"/>
      <w:lvlJc w:val="left"/>
      <w:pPr>
        <w:tabs>
          <w:tab w:val="num" w:pos="3600"/>
        </w:tabs>
        <w:ind w:left="3600" w:hanging="360"/>
      </w:pPr>
      <w:rPr>
        <w:rFonts w:ascii="Times New Roman" w:hAnsi="Times New Roman" w:hint="default"/>
      </w:rPr>
    </w:lvl>
    <w:lvl w:ilvl="5" w:tplc="6D0A8B0A" w:tentative="1">
      <w:start w:val="1"/>
      <w:numFmt w:val="bullet"/>
      <w:lvlText w:val="•"/>
      <w:lvlJc w:val="left"/>
      <w:pPr>
        <w:tabs>
          <w:tab w:val="num" w:pos="4320"/>
        </w:tabs>
        <w:ind w:left="4320" w:hanging="360"/>
      </w:pPr>
      <w:rPr>
        <w:rFonts w:ascii="Times New Roman" w:hAnsi="Times New Roman" w:hint="default"/>
      </w:rPr>
    </w:lvl>
    <w:lvl w:ilvl="6" w:tplc="9B92B04A" w:tentative="1">
      <w:start w:val="1"/>
      <w:numFmt w:val="bullet"/>
      <w:lvlText w:val="•"/>
      <w:lvlJc w:val="left"/>
      <w:pPr>
        <w:tabs>
          <w:tab w:val="num" w:pos="5040"/>
        </w:tabs>
        <w:ind w:left="5040" w:hanging="360"/>
      </w:pPr>
      <w:rPr>
        <w:rFonts w:ascii="Times New Roman" w:hAnsi="Times New Roman" w:hint="default"/>
      </w:rPr>
    </w:lvl>
    <w:lvl w:ilvl="7" w:tplc="A9CC8304" w:tentative="1">
      <w:start w:val="1"/>
      <w:numFmt w:val="bullet"/>
      <w:lvlText w:val="•"/>
      <w:lvlJc w:val="left"/>
      <w:pPr>
        <w:tabs>
          <w:tab w:val="num" w:pos="5760"/>
        </w:tabs>
        <w:ind w:left="5760" w:hanging="360"/>
      </w:pPr>
      <w:rPr>
        <w:rFonts w:ascii="Times New Roman" w:hAnsi="Times New Roman" w:hint="default"/>
      </w:rPr>
    </w:lvl>
    <w:lvl w:ilvl="8" w:tplc="8E6EA6B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6BF2446"/>
    <w:multiLevelType w:val="hybridMultilevel"/>
    <w:tmpl w:val="BA3A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AF0340"/>
    <w:multiLevelType w:val="hybridMultilevel"/>
    <w:tmpl w:val="DAB0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D716A5"/>
    <w:multiLevelType w:val="hybridMultilevel"/>
    <w:tmpl w:val="C476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2E7F57"/>
    <w:multiLevelType w:val="multilevel"/>
    <w:tmpl w:val="3176D2DA"/>
    <w:styleLink w:val="Style1"/>
    <w:lvl w:ilvl="0">
      <w:start w:val="1"/>
      <w:numFmt w:val="upperLetter"/>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34" w15:restartNumberingAfterBreak="0">
    <w:nsid w:val="60F72C88"/>
    <w:multiLevelType w:val="multilevel"/>
    <w:tmpl w:val="3176D2DA"/>
    <w:numStyleLink w:val="Style1"/>
  </w:abstractNum>
  <w:abstractNum w:abstractNumId="35" w15:restartNumberingAfterBreak="0">
    <w:nsid w:val="632419A1"/>
    <w:multiLevelType w:val="hybridMultilevel"/>
    <w:tmpl w:val="F2D2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2215C"/>
    <w:multiLevelType w:val="hybridMultilevel"/>
    <w:tmpl w:val="1220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09100B"/>
    <w:multiLevelType w:val="hybridMultilevel"/>
    <w:tmpl w:val="4358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275BEE"/>
    <w:multiLevelType w:val="hybridMultilevel"/>
    <w:tmpl w:val="1A18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402C67"/>
    <w:multiLevelType w:val="hybridMultilevel"/>
    <w:tmpl w:val="4F9EEC9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0" w15:restartNumberingAfterBreak="0">
    <w:nsid w:val="6EF27CA6"/>
    <w:multiLevelType w:val="hybridMultilevel"/>
    <w:tmpl w:val="98347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61386A"/>
    <w:multiLevelType w:val="hybridMultilevel"/>
    <w:tmpl w:val="199E1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3A7B15"/>
    <w:multiLevelType w:val="hybridMultilevel"/>
    <w:tmpl w:val="6840F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6B5943"/>
    <w:multiLevelType w:val="hybridMultilevel"/>
    <w:tmpl w:val="4436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7D3A4E"/>
    <w:multiLevelType w:val="hybridMultilevel"/>
    <w:tmpl w:val="193A2A1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5" w15:restartNumberingAfterBreak="0">
    <w:nsid w:val="7CEE7EE3"/>
    <w:multiLevelType w:val="hybridMultilevel"/>
    <w:tmpl w:val="5C1E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5D26C6"/>
    <w:multiLevelType w:val="hybridMultilevel"/>
    <w:tmpl w:val="59CA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ED0EDF"/>
    <w:multiLevelType w:val="hybridMultilevel"/>
    <w:tmpl w:val="5AD2B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27"/>
  </w:num>
  <w:num w:numId="4">
    <w:abstractNumId w:val="0"/>
  </w:num>
  <w:num w:numId="5">
    <w:abstractNumId w:val="15"/>
  </w:num>
  <w:num w:numId="6">
    <w:abstractNumId w:val="6"/>
  </w:num>
  <w:num w:numId="7">
    <w:abstractNumId w:val="17"/>
  </w:num>
  <w:num w:numId="8">
    <w:abstractNumId w:val="5"/>
  </w:num>
  <w:num w:numId="9">
    <w:abstractNumId w:val="28"/>
  </w:num>
  <w:num w:numId="10">
    <w:abstractNumId w:val="38"/>
  </w:num>
  <w:num w:numId="11">
    <w:abstractNumId w:val="41"/>
  </w:num>
  <w:num w:numId="12">
    <w:abstractNumId w:val="25"/>
  </w:num>
  <w:num w:numId="13">
    <w:abstractNumId w:val="34"/>
  </w:num>
  <w:num w:numId="14">
    <w:abstractNumId w:val="33"/>
  </w:num>
  <w:num w:numId="15">
    <w:abstractNumId w:val="45"/>
  </w:num>
  <w:num w:numId="16">
    <w:abstractNumId w:val="42"/>
  </w:num>
  <w:num w:numId="17">
    <w:abstractNumId w:val="7"/>
  </w:num>
  <w:num w:numId="18">
    <w:abstractNumId w:val="26"/>
  </w:num>
  <w:num w:numId="19">
    <w:abstractNumId w:val="36"/>
  </w:num>
  <w:num w:numId="20">
    <w:abstractNumId w:val="37"/>
  </w:num>
  <w:num w:numId="21">
    <w:abstractNumId w:val="13"/>
  </w:num>
  <w:num w:numId="22">
    <w:abstractNumId w:val="10"/>
  </w:num>
  <w:num w:numId="23">
    <w:abstractNumId w:val="21"/>
  </w:num>
  <w:num w:numId="24">
    <w:abstractNumId w:val="4"/>
  </w:num>
  <w:num w:numId="25">
    <w:abstractNumId w:val="24"/>
  </w:num>
  <w:num w:numId="26">
    <w:abstractNumId w:val="22"/>
  </w:num>
  <w:num w:numId="27">
    <w:abstractNumId w:val="29"/>
  </w:num>
  <w:num w:numId="28">
    <w:abstractNumId w:val="1"/>
  </w:num>
  <w:num w:numId="29">
    <w:abstractNumId w:val="16"/>
  </w:num>
  <w:num w:numId="30">
    <w:abstractNumId w:val="39"/>
  </w:num>
  <w:num w:numId="31">
    <w:abstractNumId w:val="40"/>
  </w:num>
  <w:num w:numId="32">
    <w:abstractNumId w:val="14"/>
  </w:num>
  <w:num w:numId="33">
    <w:abstractNumId w:val="3"/>
  </w:num>
  <w:num w:numId="34">
    <w:abstractNumId w:val="19"/>
  </w:num>
  <w:num w:numId="35">
    <w:abstractNumId w:val="46"/>
  </w:num>
  <w:num w:numId="36">
    <w:abstractNumId w:val="11"/>
  </w:num>
  <w:num w:numId="37">
    <w:abstractNumId w:val="35"/>
  </w:num>
  <w:num w:numId="38">
    <w:abstractNumId w:val="2"/>
  </w:num>
  <w:num w:numId="39">
    <w:abstractNumId w:val="32"/>
  </w:num>
  <w:num w:numId="40">
    <w:abstractNumId w:val="44"/>
  </w:num>
  <w:num w:numId="41">
    <w:abstractNumId w:val="9"/>
  </w:num>
  <w:num w:numId="42">
    <w:abstractNumId w:val="47"/>
  </w:num>
  <w:num w:numId="43">
    <w:abstractNumId w:val="23"/>
  </w:num>
  <w:num w:numId="44">
    <w:abstractNumId w:val="43"/>
  </w:num>
  <w:num w:numId="45">
    <w:abstractNumId w:val="18"/>
  </w:num>
  <w:num w:numId="46">
    <w:abstractNumId w:val="20"/>
  </w:num>
  <w:num w:numId="47">
    <w:abstractNumId w:val="31"/>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995"/>
    <w:rsid w:val="000005F0"/>
    <w:rsid w:val="00007E55"/>
    <w:rsid w:val="000101D6"/>
    <w:rsid w:val="00012C34"/>
    <w:rsid w:val="000216D6"/>
    <w:rsid w:val="00023E8C"/>
    <w:rsid w:val="000267B3"/>
    <w:rsid w:val="00030A06"/>
    <w:rsid w:val="0003362F"/>
    <w:rsid w:val="00033C3B"/>
    <w:rsid w:val="0003459A"/>
    <w:rsid w:val="000363E2"/>
    <w:rsid w:val="0003749F"/>
    <w:rsid w:val="00041750"/>
    <w:rsid w:val="00044565"/>
    <w:rsid w:val="00045AE4"/>
    <w:rsid w:val="00053DD0"/>
    <w:rsid w:val="0006057E"/>
    <w:rsid w:val="0006093B"/>
    <w:rsid w:val="000628C2"/>
    <w:rsid w:val="000763D6"/>
    <w:rsid w:val="0008409A"/>
    <w:rsid w:val="00087650"/>
    <w:rsid w:val="00087A5D"/>
    <w:rsid w:val="00090278"/>
    <w:rsid w:val="00090A19"/>
    <w:rsid w:val="0009304D"/>
    <w:rsid w:val="000976DB"/>
    <w:rsid w:val="000A11A2"/>
    <w:rsid w:val="000A3284"/>
    <w:rsid w:val="000A7D66"/>
    <w:rsid w:val="000B2111"/>
    <w:rsid w:val="000B4022"/>
    <w:rsid w:val="000B451A"/>
    <w:rsid w:val="000B49C6"/>
    <w:rsid w:val="000B50D3"/>
    <w:rsid w:val="000B5B31"/>
    <w:rsid w:val="000B5ECC"/>
    <w:rsid w:val="000D0F5A"/>
    <w:rsid w:val="000D37DD"/>
    <w:rsid w:val="000D38DF"/>
    <w:rsid w:val="000D5E5B"/>
    <w:rsid w:val="000D6B91"/>
    <w:rsid w:val="000E0348"/>
    <w:rsid w:val="000E5C60"/>
    <w:rsid w:val="000F1390"/>
    <w:rsid w:val="000F4E40"/>
    <w:rsid w:val="00102E4C"/>
    <w:rsid w:val="001032C1"/>
    <w:rsid w:val="00111058"/>
    <w:rsid w:val="001137C9"/>
    <w:rsid w:val="00115C76"/>
    <w:rsid w:val="00117453"/>
    <w:rsid w:val="001226D6"/>
    <w:rsid w:val="00123D68"/>
    <w:rsid w:val="00131026"/>
    <w:rsid w:val="00132219"/>
    <w:rsid w:val="00134ED0"/>
    <w:rsid w:val="00135ED5"/>
    <w:rsid w:val="00136075"/>
    <w:rsid w:val="00141761"/>
    <w:rsid w:val="00142976"/>
    <w:rsid w:val="00143730"/>
    <w:rsid w:val="00145760"/>
    <w:rsid w:val="0015264E"/>
    <w:rsid w:val="00155191"/>
    <w:rsid w:val="00155D52"/>
    <w:rsid w:val="00157313"/>
    <w:rsid w:val="001616F0"/>
    <w:rsid w:val="001638BB"/>
    <w:rsid w:val="00172457"/>
    <w:rsid w:val="001758A6"/>
    <w:rsid w:val="00176E9C"/>
    <w:rsid w:val="00181173"/>
    <w:rsid w:val="00183A67"/>
    <w:rsid w:val="001942B7"/>
    <w:rsid w:val="00194755"/>
    <w:rsid w:val="001A0212"/>
    <w:rsid w:val="001A1BD0"/>
    <w:rsid w:val="001A458E"/>
    <w:rsid w:val="001A4A08"/>
    <w:rsid w:val="001A77CB"/>
    <w:rsid w:val="001B11FD"/>
    <w:rsid w:val="001B26EC"/>
    <w:rsid w:val="001C09DB"/>
    <w:rsid w:val="001C1A13"/>
    <w:rsid w:val="001C409C"/>
    <w:rsid w:val="001C414C"/>
    <w:rsid w:val="001C5730"/>
    <w:rsid w:val="001C72BC"/>
    <w:rsid w:val="001D358F"/>
    <w:rsid w:val="001D4766"/>
    <w:rsid w:val="001D4BEB"/>
    <w:rsid w:val="001D4CCE"/>
    <w:rsid w:val="001D6887"/>
    <w:rsid w:val="001E033B"/>
    <w:rsid w:val="001E2088"/>
    <w:rsid w:val="001E75AA"/>
    <w:rsid w:val="001F44D2"/>
    <w:rsid w:val="001F64A2"/>
    <w:rsid w:val="001F7124"/>
    <w:rsid w:val="0020239A"/>
    <w:rsid w:val="00212120"/>
    <w:rsid w:val="00212A9D"/>
    <w:rsid w:val="002132A7"/>
    <w:rsid w:val="00220BDE"/>
    <w:rsid w:val="00220D8D"/>
    <w:rsid w:val="002210FF"/>
    <w:rsid w:val="00222307"/>
    <w:rsid w:val="00223DE4"/>
    <w:rsid w:val="00227A3B"/>
    <w:rsid w:val="00227F60"/>
    <w:rsid w:val="00230A1D"/>
    <w:rsid w:val="00231F0B"/>
    <w:rsid w:val="00232579"/>
    <w:rsid w:val="00235ACC"/>
    <w:rsid w:val="0023656F"/>
    <w:rsid w:val="002365F9"/>
    <w:rsid w:val="002449C4"/>
    <w:rsid w:val="002468E7"/>
    <w:rsid w:val="002516C9"/>
    <w:rsid w:val="00251DEA"/>
    <w:rsid w:val="00252A23"/>
    <w:rsid w:val="002540E7"/>
    <w:rsid w:val="0026211F"/>
    <w:rsid w:val="00273D78"/>
    <w:rsid w:val="00274356"/>
    <w:rsid w:val="00275B8B"/>
    <w:rsid w:val="002765D2"/>
    <w:rsid w:val="00281007"/>
    <w:rsid w:val="0028252C"/>
    <w:rsid w:val="00282537"/>
    <w:rsid w:val="00286432"/>
    <w:rsid w:val="0029639D"/>
    <w:rsid w:val="00296C35"/>
    <w:rsid w:val="002A0DEF"/>
    <w:rsid w:val="002A1453"/>
    <w:rsid w:val="002A2C2D"/>
    <w:rsid w:val="002A7C1F"/>
    <w:rsid w:val="002B4166"/>
    <w:rsid w:val="002C0EE7"/>
    <w:rsid w:val="002C6413"/>
    <w:rsid w:val="002C672E"/>
    <w:rsid w:val="002D1915"/>
    <w:rsid w:val="002D2DD2"/>
    <w:rsid w:val="002D32E2"/>
    <w:rsid w:val="002E001E"/>
    <w:rsid w:val="002E12A1"/>
    <w:rsid w:val="002E3251"/>
    <w:rsid w:val="002E5435"/>
    <w:rsid w:val="002E6C9B"/>
    <w:rsid w:val="002F0E43"/>
    <w:rsid w:val="002F13A1"/>
    <w:rsid w:val="002F4EA2"/>
    <w:rsid w:val="00305D08"/>
    <w:rsid w:val="003077DD"/>
    <w:rsid w:val="00314243"/>
    <w:rsid w:val="00316305"/>
    <w:rsid w:val="0032346B"/>
    <w:rsid w:val="00326452"/>
    <w:rsid w:val="00326F3C"/>
    <w:rsid w:val="00332098"/>
    <w:rsid w:val="00332B1C"/>
    <w:rsid w:val="00340148"/>
    <w:rsid w:val="00343D9D"/>
    <w:rsid w:val="00345F8A"/>
    <w:rsid w:val="00347F5A"/>
    <w:rsid w:val="00356D6D"/>
    <w:rsid w:val="0036277C"/>
    <w:rsid w:val="00367D20"/>
    <w:rsid w:val="00367F20"/>
    <w:rsid w:val="0037123A"/>
    <w:rsid w:val="003757AD"/>
    <w:rsid w:val="00376829"/>
    <w:rsid w:val="00377D8D"/>
    <w:rsid w:val="003833AD"/>
    <w:rsid w:val="0038721B"/>
    <w:rsid w:val="00391072"/>
    <w:rsid w:val="003939FD"/>
    <w:rsid w:val="003941E8"/>
    <w:rsid w:val="003A696C"/>
    <w:rsid w:val="003A75C0"/>
    <w:rsid w:val="003B1BE2"/>
    <w:rsid w:val="003B43B0"/>
    <w:rsid w:val="003B65C6"/>
    <w:rsid w:val="003C067F"/>
    <w:rsid w:val="003D0505"/>
    <w:rsid w:val="003D5C7E"/>
    <w:rsid w:val="003D6EE2"/>
    <w:rsid w:val="003D7E78"/>
    <w:rsid w:val="003E26C2"/>
    <w:rsid w:val="003E36CC"/>
    <w:rsid w:val="003E5319"/>
    <w:rsid w:val="003E5C90"/>
    <w:rsid w:val="003E7014"/>
    <w:rsid w:val="003F173E"/>
    <w:rsid w:val="003F2E5D"/>
    <w:rsid w:val="003F6F8C"/>
    <w:rsid w:val="004075CF"/>
    <w:rsid w:val="00411B45"/>
    <w:rsid w:val="00412B7B"/>
    <w:rsid w:val="00415059"/>
    <w:rsid w:val="004333AE"/>
    <w:rsid w:val="00433B0E"/>
    <w:rsid w:val="004364C5"/>
    <w:rsid w:val="00436B8B"/>
    <w:rsid w:val="0043748B"/>
    <w:rsid w:val="00437EA0"/>
    <w:rsid w:val="00443AB4"/>
    <w:rsid w:val="0044498B"/>
    <w:rsid w:val="00445D54"/>
    <w:rsid w:val="0045181E"/>
    <w:rsid w:val="004524C2"/>
    <w:rsid w:val="00455651"/>
    <w:rsid w:val="00463487"/>
    <w:rsid w:val="004802BC"/>
    <w:rsid w:val="004859B4"/>
    <w:rsid w:val="00490F2F"/>
    <w:rsid w:val="00492226"/>
    <w:rsid w:val="00493164"/>
    <w:rsid w:val="00497171"/>
    <w:rsid w:val="00497180"/>
    <w:rsid w:val="004A066D"/>
    <w:rsid w:val="004A28D9"/>
    <w:rsid w:val="004A2B91"/>
    <w:rsid w:val="004A3D95"/>
    <w:rsid w:val="004A5E4E"/>
    <w:rsid w:val="004A66BA"/>
    <w:rsid w:val="004A738F"/>
    <w:rsid w:val="004B0812"/>
    <w:rsid w:val="004B1C20"/>
    <w:rsid w:val="004B73F4"/>
    <w:rsid w:val="004C1EF5"/>
    <w:rsid w:val="004C27F4"/>
    <w:rsid w:val="004C2C3B"/>
    <w:rsid w:val="004C388A"/>
    <w:rsid w:val="004C4E13"/>
    <w:rsid w:val="004D0111"/>
    <w:rsid w:val="004D0369"/>
    <w:rsid w:val="004D0C6F"/>
    <w:rsid w:val="004D2C91"/>
    <w:rsid w:val="004D343C"/>
    <w:rsid w:val="004D4DB6"/>
    <w:rsid w:val="004D7D26"/>
    <w:rsid w:val="004E16D1"/>
    <w:rsid w:val="004E2C67"/>
    <w:rsid w:val="004E313A"/>
    <w:rsid w:val="004E5E0C"/>
    <w:rsid w:val="004E664D"/>
    <w:rsid w:val="004F29CC"/>
    <w:rsid w:val="004F59F6"/>
    <w:rsid w:val="00502A9F"/>
    <w:rsid w:val="00503696"/>
    <w:rsid w:val="005037E5"/>
    <w:rsid w:val="00503D2B"/>
    <w:rsid w:val="00504263"/>
    <w:rsid w:val="00506B25"/>
    <w:rsid w:val="0050733F"/>
    <w:rsid w:val="00511FE6"/>
    <w:rsid w:val="00512EC9"/>
    <w:rsid w:val="00513A55"/>
    <w:rsid w:val="00513C46"/>
    <w:rsid w:val="00515506"/>
    <w:rsid w:val="005209F9"/>
    <w:rsid w:val="00520EEB"/>
    <w:rsid w:val="00521269"/>
    <w:rsid w:val="00522F09"/>
    <w:rsid w:val="00530696"/>
    <w:rsid w:val="0053109D"/>
    <w:rsid w:val="0053173D"/>
    <w:rsid w:val="00533ACB"/>
    <w:rsid w:val="00534CD0"/>
    <w:rsid w:val="00534CD7"/>
    <w:rsid w:val="00537D62"/>
    <w:rsid w:val="005449DE"/>
    <w:rsid w:val="00550B81"/>
    <w:rsid w:val="00554459"/>
    <w:rsid w:val="0055462B"/>
    <w:rsid w:val="0055498A"/>
    <w:rsid w:val="005605A4"/>
    <w:rsid w:val="005608EB"/>
    <w:rsid w:val="00560AA3"/>
    <w:rsid w:val="005660EE"/>
    <w:rsid w:val="00566AAC"/>
    <w:rsid w:val="00574B47"/>
    <w:rsid w:val="00574E5F"/>
    <w:rsid w:val="00585CEC"/>
    <w:rsid w:val="00590DC7"/>
    <w:rsid w:val="00591BC3"/>
    <w:rsid w:val="0059451F"/>
    <w:rsid w:val="00595CE7"/>
    <w:rsid w:val="0059625B"/>
    <w:rsid w:val="005A5A1D"/>
    <w:rsid w:val="005B0431"/>
    <w:rsid w:val="005B0F00"/>
    <w:rsid w:val="005B2379"/>
    <w:rsid w:val="005B7AB0"/>
    <w:rsid w:val="005C1787"/>
    <w:rsid w:val="005C39A9"/>
    <w:rsid w:val="005C4C4C"/>
    <w:rsid w:val="005C7551"/>
    <w:rsid w:val="005D0BBC"/>
    <w:rsid w:val="005D12D1"/>
    <w:rsid w:val="005D1A34"/>
    <w:rsid w:val="005D242F"/>
    <w:rsid w:val="005D3F46"/>
    <w:rsid w:val="005D4600"/>
    <w:rsid w:val="005D5691"/>
    <w:rsid w:val="005D6A35"/>
    <w:rsid w:val="005E0256"/>
    <w:rsid w:val="005E07CD"/>
    <w:rsid w:val="005E54D6"/>
    <w:rsid w:val="006008BD"/>
    <w:rsid w:val="00600B85"/>
    <w:rsid w:val="00604092"/>
    <w:rsid w:val="00607073"/>
    <w:rsid w:val="00610640"/>
    <w:rsid w:val="00614330"/>
    <w:rsid w:val="00617308"/>
    <w:rsid w:val="00624B66"/>
    <w:rsid w:val="0063416B"/>
    <w:rsid w:val="0063444C"/>
    <w:rsid w:val="00640943"/>
    <w:rsid w:val="0064292C"/>
    <w:rsid w:val="0064580C"/>
    <w:rsid w:val="00646A1D"/>
    <w:rsid w:val="006533F3"/>
    <w:rsid w:val="00653F9F"/>
    <w:rsid w:val="00654C67"/>
    <w:rsid w:val="00655DA2"/>
    <w:rsid w:val="006602F5"/>
    <w:rsid w:val="006636AD"/>
    <w:rsid w:val="00666E7D"/>
    <w:rsid w:val="00670B1C"/>
    <w:rsid w:val="0067466B"/>
    <w:rsid w:val="00676449"/>
    <w:rsid w:val="00680AB2"/>
    <w:rsid w:val="00681701"/>
    <w:rsid w:val="00681D31"/>
    <w:rsid w:val="006827AA"/>
    <w:rsid w:val="00690CCD"/>
    <w:rsid w:val="006912BD"/>
    <w:rsid w:val="006A51DF"/>
    <w:rsid w:val="006A51E8"/>
    <w:rsid w:val="006A6FCF"/>
    <w:rsid w:val="006A7205"/>
    <w:rsid w:val="006B10E8"/>
    <w:rsid w:val="006B4BBC"/>
    <w:rsid w:val="006B73B3"/>
    <w:rsid w:val="006B7E40"/>
    <w:rsid w:val="006D0693"/>
    <w:rsid w:val="006D102E"/>
    <w:rsid w:val="006D1619"/>
    <w:rsid w:val="006D344E"/>
    <w:rsid w:val="006D4D51"/>
    <w:rsid w:val="006D6C0D"/>
    <w:rsid w:val="006D7FF9"/>
    <w:rsid w:val="006E2D18"/>
    <w:rsid w:val="006E2F74"/>
    <w:rsid w:val="006E707F"/>
    <w:rsid w:val="006F1D13"/>
    <w:rsid w:val="006F48A9"/>
    <w:rsid w:val="0070123B"/>
    <w:rsid w:val="0070474E"/>
    <w:rsid w:val="00706C0A"/>
    <w:rsid w:val="00710E8C"/>
    <w:rsid w:val="00711F91"/>
    <w:rsid w:val="00713AF2"/>
    <w:rsid w:val="00721439"/>
    <w:rsid w:val="00722746"/>
    <w:rsid w:val="00723C3F"/>
    <w:rsid w:val="007324C9"/>
    <w:rsid w:val="00733482"/>
    <w:rsid w:val="007334F9"/>
    <w:rsid w:val="00734818"/>
    <w:rsid w:val="0074077A"/>
    <w:rsid w:val="00746934"/>
    <w:rsid w:val="007469B6"/>
    <w:rsid w:val="00754127"/>
    <w:rsid w:val="00755235"/>
    <w:rsid w:val="007573AA"/>
    <w:rsid w:val="00761111"/>
    <w:rsid w:val="007616FA"/>
    <w:rsid w:val="00765985"/>
    <w:rsid w:val="007673F2"/>
    <w:rsid w:val="007734F5"/>
    <w:rsid w:val="00773975"/>
    <w:rsid w:val="00773D2F"/>
    <w:rsid w:val="00775ED4"/>
    <w:rsid w:val="007766CE"/>
    <w:rsid w:val="00776764"/>
    <w:rsid w:val="007817F9"/>
    <w:rsid w:val="00790C89"/>
    <w:rsid w:val="00793259"/>
    <w:rsid w:val="007979CF"/>
    <w:rsid w:val="007A1342"/>
    <w:rsid w:val="007A3348"/>
    <w:rsid w:val="007A3ED9"/>
    <w:rsid w:val="007B12EE"/>
    <w:rsid w:val="007B2E4A"/>
    <w:rsid w:val="007B5E82"/>
    <w:rsid w:val="007B6959"/>
    <w:rsid w:val="007B73C4"/>
    <w:rsid w:val="007B7E12"/>
    <w:rsid w:val="007D2C07"/>
    <w:rsid w:val="007D55A6"/>
    <w:rsid w:val="007D633A"/>
    <w:rsid w:val="007D6917"/>
    <w:rsid w:val="007E0B04"/>
    <w:rsid w:val="007E38B1"/>
    <w:rsid w:val="007F0A5D"/>
    <w:rsid w:val="007F142C"/>
    <w:rsid w:val="007F4907"/>
    <w:rsid w:val="007F6D8C"/>
    <w:rsid w:val="007F7F2D"/>
    <w:rsid w:val="008017EF"/>
    <w:rsid w:val="0080334F"/>
    <w:rsid w:val="00820A30"/>
    <w:rsid w:val="00821C1A"/>
    <w:rsid w:val="00822257"/>
    <w:rsid w:val="00824995"/>
    <w:rsid w:val="00843071"/>
    <w:rsid w:val="00844A57"/>
    <w:rsid w:val="0084530B"/>
    <w:rsid w:val="0085118C"/>
    <w:rsid w:val="00852AFF"/>
    <w:rsid w:val="00862BA9"/>
    <w:rsid w:val="00863769"/>
    <w:rsid w:val="008637CD"/>
    <w:rsid w:val="0087247A"/>
    <w:rsid w:val="00874A8D"/>
    <w:rsid w:val="00881CD4"/>
    <w:rsid w:val="00882330"/>
    <w:rsid w:val="00883A3A"/>
    <w:rsid w:val="00885016"/>
    <w:rsid w:val="00893C0D"/>
    <w:rsid w:val="0089411D"/>
    <w:rsid w:val="00894882"/>
    <w:rsid w:val="008A0835"/>
    <w:rsid w:val="008A71B8"/>
    <w:rsid w:val="008B02D5"/>
    <w:rsid w:val="008B3358"/>
    <w:rsid w:val="008B7667"/>
    <w:rsid w:val="008C14DF"/>
    <w:rsid w:val="008C3DFB"/>
    <w:rsid w:val="008C7668"/>
    <w:rsid w:val="008D0164"/>
    <w:rsid w:val="008D0751"/>
    <w:rsid w:val="008D2427"/>
    <w:rsid w:val="008D5323"/>
    <w:rsid w:val="008E0A84"/>
    <w:rsid w:val="008E0E36"/>
    <w:rsid w:val="008F09D3"/>
    <w:rsid w:val="00901B06"/>
    <w:rsid w:val="009020E7"/>
    <w:rsid w:val="00904961"/>
    <w:rsid w:val="009060A5"/>
    <w:rsid w:val="009121E4"/>
    <w:rsid w:val="00914782"/>
    <w:rsid w:val="00923297"/>
    <w:rsid w:val="0093420E"/>
    <w:rsid w:val="009350D9"/>
    <w:rsid w:val="00935E26"/>
    <w:rsid w:val="00942E58"/>
    <w:rsid w:val="009447D0"/>
    <w:rsid w:val="00947AF6"/>
    <w:rsid w:val="009565D4"/>
    <w:rsid w:val="00957338"/>
    <w:rsid w:val="00966BAF"/>
    <w:rsid w:val="00973B9D"/>
    <w:rsid w:val="00974109"/>
    <w:rsid w:val="00976E7A"/>
    <w:rsid w:val="00992C80"/>
    <w:rsid w:val="00993A9D"/>
    <w:rsid w:val="0099575C"/>
    <w:rsid w:val="009A1BEB"/>
    <w:rsid w:val="009C1DD3"/>
    <w:rsid w:val="009C27E7"/>
    <w:rsid w:val="009C49F5"/>
    <w:rsid w:val="009C4BE1"/>
    <w:rsid w:val="009C514E"/>
    <w:rsid w:val="009D199B"/>
    <w:rsid w:val="009D46ED"/>
    <w:rsid w:val="009D5734"/>
    <w:rsid w:val="009D72F4"/>
    <w:rsid w:val="009E1666"/>
    <w:rsid w:val="009E1EFB"/>
    <w:rsid w:val="009E2E3E"/>
    <w:rsid w:val="009E4031"/>
    <w:rsid w:val="009E45E3"/>
    <w:rsid w:val="009F0B07"/>
    <w:rsid w:val="009F7C0B"/>
    <w:rsid w:val="00A11957"/>
    <w:rsid w:val="00A12EE9"/>
    <w:rsid w:val="00A13ABE"/>
    <w:rsid w:val="00A16B57"/>
    <w:rsid w:val="00A238C2"/>
    <w:rsid w:val="00A23D95"/>
    <w:rsid w:val="00A27135"/>
    <w:rsid w:val="00A30180"/>
    <w:rsid w:val="00A429D3"/>
    <w:rsid w:val="00A4315F"/>
    <w:rsid w:val="00A473BB"/>
    <w:rsid w:val="00A5043E"/>
    <w:rsid w:val="00A51952"/>
    <w:rsid w:val="00A52F4D"/>
    <w:rsid w:val="00A5775F"/>
    <w:rsid w:val="00A60ACE"/>
    <w:rsid w:val="00A62111"/>
    <w:rsid w:val="00A62175"/>
    <w:rsid w:val="00A62B2E"/>
    <w:rsid w:val="00A634EC"/>
    <w:rsid w:val="00A671EF"/>
    <w:rsid w:val="00A67FBF"/>
    <w:rsid w:val="00A70566"/>
    <w:rsid w:val="00A738F8"/>
    <w:rsid w:val="00A73AF6"/>
    <w:rsid w:val="00A76110"/>
    <w:rsid w:val="00A770F4"/>
    <w:rsid w:val="00A810B7"/>
    <w:rsid w:val="00A9014E"/>
    <w:rsid w:val="00A92455"/>
    <w:rsid w:val="00A9350D"/>
    <w:rsid w:val="00A96CF6"/>
    <w:rsid w:val="00AA22D4"/>
    <w:rsid w:val="00AA68E0"/>
    <w:rsid w:val="00AA7E20"/>
    <w:rsid w:val="00AB013C"/>
    <w:rsid w:val="00AB352F"/>
    <w:rsid w:val="00AB7444"/>
    <w:rsid w:val="00AC1E7A"/>
    <w:rsid w:val="00AD1259"/>
    <w:rsid w:val="00AD1FF7"/>
    <w:rsid w:val="00AD58A2"/>
    <w:rsid w:val="00AD7263"/>
    <w:rsid w:val="00AD7A97"/>
    <w:rsid w:val="00AE0891"/>
    <w:rsid w:val="00AE4273"/>
    <w:rsid w:val="00AE43C4"/>
    <w:rsid w:val="00AE6E53"/>
    <w:rsid w:val="00AE7EB5"/>
    <w:rsid w:val="00AF20FD"/>
    <w:rsid w:val="00AF2AEE"/>
    <w:rsid w:val="00B02B22"/>
    <w:rsid w:val="00B02DCC"/>
    <w:rsid w:val="00B04C03"/>
    <w:rsid w:val="00B066B8"/>
    <w:rsid w:val="00B12498"/>
    <w:rsid w:val="00B13427"/>
    <w:rsid w:val="00B137A0"/>
    <w:rsid w:val="00B20155"/>
    <w:rsid w:val="00B2199C"/>
    <w:rsid w:val="00B21DD4"/>
    <w:rsid w:val="00B2263F"/>
    <w:rsid w:val="00B23AD3"/>
    <w:rsid w:val="00B25F96"/>
    <w:rsid w:val="00B352F7"/>
    <w:rsid w:val="00B355E6"/>
    <w:rsid w:val="00B358FC"/>
    <w:rsid w:val="00B362F1"/>
    <w:rsid w:val="00B37FB0"/>
    <w:rsid w:val="00B434C3"/>
    <w:rsid w:val="00B45997"/>
    <w:rsid w:val="00B472E9"/>
    <w:rsid w:val="00B50E06"/>
    <w:rsid w:val="00B54E6D"/>
    <w:rsid w:val="00B6164B"/>
    <w:rsid w:val="00B61703"/>
    <w:rsid w:val="00B70EBC"/>
    <w:rsid w:val="00B70FA6"/>
    <w:rsid w:val="00B75371"/>
    <w:rsid w:val="00B81258"/>
    <w:rsid w:val="00B90545"/>
    <w:rsid w:val="00B923BA"/>
    <w:rsid w:val="00B95307"/>
    <w:rsid w:val="00B95D98"/>
    <w:rsid w:val="00B97B3C"/>
    <w:rsid w:val="00BA7F86"/>
    <w:rsid w:val="00BB2CEF"/>
    <w:rsid w:val="00BB2E42"/>
    <w:rsid w:val="00BB648E"/>
    <w:rsid w:val="00BB7829"/>
    <w:rsid w:val="00BC2F42"/>
    <w:rsid w:val="00BC6441"/>
    <w:rsid w:val="00BD450F"/>
    <w:rsid w:val="00BD6E43"/>
    <w:rsid w:val="00BE4494"/>
    <w:rsid w:val="00BE7F51"/>
    <w:rsid w:val="00BF2403"/>
    <w:rsid w:val="00BF486F"/>
    <w:rsid w:val="00C058AE"/>
    <w:rsid w:val="00C06419"/>
    <w:rsid w:val="00C06763"/>
    <w:rsid w:val="00C06E14"/>
    <w:rsid w:val="00C117CE"/>
    <w:rsid w:val="00C11C9A"/>
    <w:rsid w:val="00C11D79"/>
    <w:rsid w:val="00C11EF2"/>
    <w:rsid w:val="00C12278"/>
    <w:rsid w:val="00C200E0"/>
    <w:rsid w:val="00C20BD2"/>
    <w:rsid w:val="00C232C1"/>
    <w:rsid w:val="00C245AE"/>
    <w:rsid w:val="00C25EF5"/>
    <w:rsid w:val="00C32C42"/>
    <w:rsid w:val="00C33857"/>
    <w:rsid w:val="00C338AD"/>
    <w:rsid w:val="00C40906"/>
    <w:rsid w:val="00C454C3"/>
    <w:rsid w:val="00C45A3B"/>
    <w:rsid w:val="00C45C5E"/>
    <w:rsid w:val="00C50BF2"/>
    <w:rsid w:val="00C51CF5"/>
    <w:rsid w:val="00C53D92"/>
    <w:rsid w:val="00C53E25"/>
    <w:rsid w:val="00C55801"/>
    <w:rsid w:val="00C60C45"/>
    <w:rsid w:val="00C629A2"/>
    <w:rsid w:val="00C63E7A"/>
    <w:rsid w:val="00C648A3"/>
    <w:rsid w:val="00C662E2"/>
    <w:rsid w:val="00C667E9"/>
    <w:rsid w:val="00C70ACD"/>
    <w:rsid w:val="00C70DED"/>
    <w:rsid w:val="00C716AB"/>
    <w:rsid w:val="00C72ECD"/>
    <w:rsid w:val="00C74801"/>
    <w:rsid w:val="00C7637A"/>
    <w:rsid w:val="00C81347"/>
    <w:rsid w:val="00C82501"/>
    <w:rsid w:val="00C86D99"/>
    <w:rsid w:val="00C86E20"/>
    <w:rsid w:val="00C879BD"/>
    <w:rsid w:val="00C9171B"/>
    <w:rsid w:val="00C93B45"/>
    <w:rsid w:val="00C944F9"/>
    <w:rsid w:val="00C94EBD"/>
    <w:rsid w:val="00C9734C"/>
    <w:rsid w:val="00CA3C92"/>
    <w:rsid w:val="00CB0EB4"/>
    <w:rsid w:val="00CB2380"/>
    <w:rsid w:val="00CB72AA"/>
    <w:rsid w:val="00CC21E7"/>
    <w:rsid w:val="00CC4C60"/>
    <w:rsid w:val="00CC7452"/>
    <w:rsid w:val="00CC7A0A"/>
    <w:rsid w:val="00CD11AA"/>
    <w:rsid w:val="00CD11CC"/>
    <w:rsid w:val="00CD5C8D"/>
    <w:rsid w:val="00CD7809"/>
    <w:rsid w:val="00CE31BA"/>
    <w:rsid w:val="00CE6E37"/>
    <w:rsid w:val="00CE6F23"/>
    <w:rsid w:val="00CE7AAE"/>
    <w:rsid w:val="00CF24D6"/>
    <w:rsid w:val="00CF5F07"/>
    <w:rsid w:val="00CF6E9B"/>
    <w:rsid w:val="00CF6F5A"/>
    <w:rsid w:val="00D10AFE"/>
    <w:rsid w:val="00D14779"/>
    <w:rsid w:val="00D166B1"/>
    <w:rsid w:val="00D217DD"/>
    <w:rsid w:val="00D24168"/>
    <w:rsid w:val="00D24770"/>
    <w:rsid w:val="00D24794"/>
    <w:rsid w:val="00D25E54"/>
    <w:rsid w:val="00D25EE4"/>
    <w:rsid w:val="00D26995"/>
    <w:rsid w:val="00D26FB6"/>
    <w:rsid w:val="00D340E5"/>
    <w:rsid w:val="00D35856"/>
    <w:rsid w:val="00D35A03"/>
    <w:rsid w:val="00D36197"/>
    <w:rsid w:val="00D37268"/>
    <w:rsid w:val="00D3728D"/>
    <w:rsid w:val="00D4294D"/>
    <w:rsid w:val="00D42CB9"/>
    <w:rsid w:val="00D43421"/>
    <w:rsid w:val="00D434F6"/>
    <w:rsid w:val="00D50500"/>
    <w:rsid w:val="00D542C2"/>
    <w:rsid w:val="00D54C88"/>
    <w:rsid w:val="00D55327"/>
    <w:rsid w:val="00D57696"/>
    <w:rsid w:val="00D60DE1"/>
    <w:rsid w:val="00D63A32"/>
    <w:rsid w:val="00D6548E"/>
    <w:rsid w:val="00D7261F"/>
    <w:rsid w:val="00D74162"/>
    <w:rsid w:val="00D76BA9"/>
    <w:rsid w:val="00D8002A"/>
    <w:rsid w:val="00D80922"/>
    <w:rsid w:val="00D80DE6"/>
    <w:rsid w:val="00D81667"/>
    <w:rsid w:val="00D91D55"/>
    <w:rsid w:val="00D94B7C"/>
    <w:rsid w:val="00D97A69"/>
    <w:rsid w:val="00DA1EAB"/>
    <w:rsid w:val="00DA3494"/>
    <w:rsid w:val="00DA459A"/>
    <w:rsid w:val="00DA4985"/>
    <w:rsid w:val="00DA74B9"/>
    <w:rsid w:val="00DB1364"/>
    <w:rsid w:val="00DB6807"/>
    <w:rsid w:val="00DC03B7"/>
    <w:rsid w:val="00DC3A36"/>
    <w:rsid w:val="00DD0512"/>
    <w:rsid w:val="00DD07CD"/>
    <w:rsid w:val="00DD3D0E"/>
    <w:rsid w:val="00DE3BE7"/>
    <w:rsid w:val="00DE5CC6"/>
    <w:rsid w:val="00DE5EFF"/>
    <w:rsid w:val="00DF1522"/>
    <w:rsid w:val="00DF2689"/>
    <w:rsid w:val="00DF5B91"/>
    <w:rsid w:val="00DF62C6"/>
    <w:rsid w:val="00E00814"/>
    <w:rsid w:val="00E1642B"/>
    <w:rsid w:val="00E17033"/>
    <w:rsid w:val="00E20FD0"/>
    <w:rsid w:val="00E22DFE"/>
    <w:rsid w:val="00E25335"/>
    <w:rsid w:val="00E25824"/>
    <w:rsid w:val="00E3321C"/>
    <w:rsid w:val="00E35D5E"/>
    <w:rsid w:val="00E36A78"/>
    <w:rsid w:val="00E4352D"/>
    <w:rsid w:val="00E45F14"/>
    <w:rsid w:val="00E464A7"/>
    <w:rsid w:val="00E475E3"/>
    <w:rsid w:val="00E4787E"/>
    <w:rsid w:val="00E50FDE"/>
    <w:rsid w:val="00E53832"/>
    <w:rsid w:val="00E62C41"/>
    <w:rsid w:val="00E63AF6"/>
    <w:rsid w:val="00E645C2"/>
    <w:rsid w:val="00E6552B"/>
    <w:rsid w:val="00E735FB"/>
    <w:rsid w:val="00E774C9"/>
    <w:rsid w:val="00E848A6"/>
    <w:rsid w:val="00E91208"/>
    <w:rsid w:val="00E92616"/>
    <w:rsid w:val="00EA0756"/>
    <w:rsid w:val="00EA5562"/>
    <w:rsid w:val="00EA6077"/>
    <w:rsid w:val="00EA63C7"/>
    <w:rsid w:val="00EA7C1A"/>
    <w:rsid w:val="00EB038C"/>
    <w:rsid w:val="00EB08DD"/>
    <w:rsid w:val="00EB3164"/>
    <w:rsid w:val="00EB65CD"/>
    <w:rsid w:val="00EB6AF9"/>
    <w:rsid w:val="00EB7F3C"/>
    <w:rsid w:val="00EC1426"/>
    <w:rsid w:val="00EC205F"/>
    <w:rsid w:val="00EC27F1"/>
    <w:rsid w:val="00EC4D87"/>
    <w:rsid w:val="00EC5962"/>
    <w:rsid w:val="00ED0B23"/>
    <w:rsid w:val="00ED1678"/>
    <w:rsid w:val="00ED3CF8"/>
    <w:rsid w:val="00EE0772"/>
    <w:rsid w:val="00EE1184"/>
    <w:rsid w:val="00EE2ABB"/>
    <w:rsid w:val="00EE3369"/>
    <w:rsid w:val="00EE5548"/>
    <w:rsid w:val="00EE6747"/>
    <w:rsid w:val="00EE7C2A"/>
    <w:rsid w:val="00F071F1"/>
    <w:rsid w:val="00F101A2"/>
    <w:rsid w:val="00F132D8"/>
    <w:rsid w:val="00F1700A"/>
    <w:rsid w:val="00F2500F"/>
    <w:rsid w:val="00F33BE6"/>
    <w:rsid w:val="00F35152"/>
    <w:rsid w:val="00F40EEF"/>
    <w:rsid w:val="00F45072"/>
    <w:rsid w:val="00F455D9"/>
    <w:rsid w:val="00F4674E"/>
    <w:rsid w:val="00F46AAC"/>
    <w:rsid w:val="00F6123A"/>
    <w:rsid w:val="00F630D1"/>
    <w:rsid w:val="00F643E9"/>
    <w:rsid w:val="00F72CC3"/>
    <w:rsid w:val="00F77575"/>
    <w:rsid w:val="00F823F1"/>
    <w:rsid w:val="00F92579"/>
    <w:rsid w:val="00F92969"/>
    <w:rsid w:val="00F957EE"/>
    <w:rsid w:val="00FA1F5B"/>
    <w:rsid w:val="00FB2E3B"/>
    <w:rsid w:val="00FB6871"/>
    <w:rsid w:val="00FB6E7C"/>
    <w:rsid w:val="00FB7519"/>
    <w:rsid w:val="00FC12AE"/>
    <w:rsid w:val="00FC2472"/>
    <w:rsid w:val="00FC33AE"/>
    <w:rsid w:val="00FC379C"/>
    <w:rsid w:val="00FC387F"/>
    <w:rsid w:val="00FD049F"/>
    <w:rsid w:val="00FD310A"/>
    <w:rsid w:val="00FD4BF7"/>
    <w:rsid w:val="00FD64D8"/>
    <w:rsid w:val="00FD7061"/>
    <w:rsid w:val="00FE2348"/>
    <w:rsid w:val="00FE27AC"/>
    <w:rsid w:val="00FE6F04"/>
    <w:rsid w:val="00FE7159"/>
    <w:rsid w:val="00FE7E06"/>
    <w:rsid w:val="00FF24CD"/>
    <w:rsid w:val="00FF26CA"/>
    <w:rsid w:val="00FF4479"/>
    <w:rsid w:val="00FF5D2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39244"/>
  <w15:chartTrackingRefBased/>
  <w15:docId w15:val="{5FF2A242-9124-406C-B514-E7E14373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69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10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D0F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D2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6995"/>
    <w:rPr>
      <w:color w:val="0563C1" w:themeColor="hyperlink"/>
      <w:u w:val="single"/>
    </w:rPr>
  </w:style>
  <w:style w:type="paragraph" w:styleId="NoSpacing">
    <w:name w:val="No Spacing"/>
    <w:aliases w:val="Body GGF"/>
    <w:link w:val="NoSpacingChar"/>
    <w:uiPriority w:val="1"/>
    <w:qFormat/>
    <w:rsid w:val="00D26995"/>
    <w:pPr>
      <w:spacing w:after="0" w:line="240" w:lineRule="auto"/>
    </w:pPr>
  </w:style>
  <w:style w:type="character" w:customStyle="1" w:styleId="NoSpacingChar">
    <w:name w:val="No Spacing Char"/>
    <w:aliases w:val="Body GGF Char"/>
    <w:link w:val="NoSpacing"/>
    <w:uiPriority w:val="1"/>
    <w:locked/>
    <w:rsid w:val="00D26995"/>
  </w:style>
  <w:style w:type="character" w:customStyle="1" w:styleId="UnresolvedMention1">
    <w:name w:val="Unresolved Mention1"/>
    <w:basedOn w:val="DefaultParagraphFont"/>
    <w:uiPriority w:val="99"/>
    <w:semiHidden/>
    <w:unhideWhenUsed/>
    <w:rsid w:val="00D26995"/>
    <w:rPr>
      <w:color w:val="605E5C"/>
      <w:shd w:val="clear" w:color="auto" w:fill="E1DFDD"/>
    </w:rPr>
  </w:style>
  <w:style w:type="character" w:customStyle="1" w:styleId="Heading1Char">
    <w:name w:val="Heading 1 Char"/>
    <w:basedOn w:val="DefaultParagraphFont"/>
    <w:link w:val="Heading1"/>
    <w:uiPriority w:val="9"/>
    <w:rsid w:val="00D2699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26995"/>
    <w:pPr>
      <w:outlineLvl w:val="9"/>
    </w:pPr>
    <w:rPr>
      <w:lang w:val="en-US"/>
    </w:rPr>
  </w:style>
  <w:style w:type="paragraph" w:styleId="TOC1">
    <w:name w:val="toc 1"/>
    <w:basedOn w:val="Normal"/>
    <w:next w:val="Normal"/>
    <w:autoRedefine/>
    <w:uiPriority w:val="39"/>
    <w:unhideWhenUsed/>
    <w:rsid w:val="00D26995"/>
    <w:pPr>
      <w:spacing w:after="100"/>
    </w:pPr>
  </w:style>
  <w:style w:type="paragraph" w:styleId="Header">
    <w:name w:val="header"/>
    <w:basedOn w:val="Normal"/>
    <w:link w:val="HeaderChar"/>
    <w:uiPriority w:val="99"/>
    <w:unhideWhenUsed/>
    <w:rsid w:val="00D26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995"/>
  </w:style>
  <w:style w:type="paragraph" w:styleId="Footer">
    <w:name w:val="footer"/>
    <w:basedOn w:val="Normal"/>
    <w:link w:val="FooterChar"/>
    <w:uiPriority w:val="99"/>
    <w:unhideWhenUsed/>
    <w:rsid w:val="00D26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995"/>
  </w:style>
  <w:style w:type="paragraph" w:styleId="FootnoteText">
    <w:name w:val="footnote text"/>
    <w:aliases w:val="single space,Footnote Text Char1,Footnote Text Char Char,Footnote Text Char1 Char Char,Footnote Text Char Char Char Char,Char Char Char Char Char,Char Char Char,Geneva 9,ft,DNV-FT,-E Fußnotentext,Fußnotentext Ursprung,Char, Char Char,fn,f"/>
    <w:basedOn w:val="Normal"/>
    <w:link w:val="FootnoteTextChar"/>
    <w:uiPriority w:val="99"/>
    <w:unhideWhenUsed/>
    <w:qFormat/>
    <w:rsid w:val="00FF24CD"/>
    <w:pPr>
      <w:spacing w:after="0" w:line="240" w:lineRule="auto"/>
    </w:pPr>
    <w:rPr>
      <w:sz w:val="20"/>
      <w:szCs w:val="20"/>
    </w:rPr>
  </w:style>
  <w:style w:type="character" w:customStyle="1" w:styleId="FootnoteTextChar">
    <w:name w:val="Footnote Text Char"/>
    <w:aliases w:val="single space Char,Footnote Text Char1 Char,Footnote Text Char Char Char,Footnote Text Char1 Char Char Char,Footnote Text Char Char Char Char Char,Char Char Char Char Char Char,Char Char Char Char,Geneva 9 Char,ft Char,DNV-FT Char"/>
    <w:basedOn w:val="DefaultParagraphFont"/>
    <w:link w:val="FootnoteText"/>
    <w:uiPriority w:val="99"/>
    <w:rsid w:val="00FF24CD"/>
    <w:rPr>
      <w:sz w:val="20"/>
      <w:szCs w:val="20"/>
    </w:rPr>
  </w:style>
  <w:style w:type="character" w:styleId="FootnoteReference">
    <w:name w:val="footnote reference"/>
    <w:aliases w:val="ftref,16 Point,Superscript 6 Point,Footnote Reference1,E FNZ,-E Fußnotenzeichen,Footnote#,fr,EN Footnote Reference,number,SUPERS,de nota al pie,BVI fnr,Char Char Char Char Car Char,Footnote reference,Footnote,Normal + Font:9 Point,Ref"/>
    <w:basedOn w:val="DefaultParagraphFont"/>
    <w:uiPriority w:val="99"/>
    <w:unhideWhenUsed/>
    <w:qFormat/>
    <w:rsid w:val="00FF24CD"/>
    <w:rPr>
      <w:vertAlign w:val="superscript"/>
    </w:rPr>
  </w:style>
  <w:style w:type="paragraph" w:styleId="ListParagraph">
    <w:name w:val="List Paragraph"/>
    <w:aliases w:val="List Paragraph (numbered (a)),List Paragraph1,List Paragraph11,En tête 1,Heading 2_sj,Dot pt,Numbered Para 1,No Spacing1,List Paragraph Char Char Char,Indicator Text,Bullet 1,Bullet Points,MAIN CONTENT,List Paragraph12,F5 List Paragraph"/>
    <w:basedOn w:val="Normal"/>
    <w:link w:val="ListParagraphChar"/>
    <w:uiPriority w:val="34"/>
    <w:qFormat/>
    <w:rsid w:val="00914782"/>
    <w:pPr>
      <w:spacing w:after="200" w:line="276" w:lineRule="auto"/>
      <w:ind w:left="720"/>
      <w:contextualSpacing/>
    </w:pPr>
    <w:rPr>
      <w:lang w:val="de-CH"/>
    </w:rPr>
  </w:style>
  <w:style w:type="character" w:customStyle="1" w:styleId="ListParagraphChar">
    <w:name w:val="List Paragraph Char"/>
    <w:aliases w:val="List Paragraph (numbered (a)) Char,List Paragraph1 Char,List Paragraph11 Char,En tête 1 Char,Heading 2_sj Char,Dot pt Char,Numbered Para 1 Char,No Spacing1 Char,List Paragraph Char Char Char Char,Indicator Text Char,Bullet 1 Char"/>
    <w:basedOn w:val="DefaultParagraphFont"/>
    <w:link w:val="ListParagraph"/>
    <w:uiPriority w:val="34"/>
    <w:locked/>
    <w:rsid w:val="00914782"/>
    <w:rPr>
      <w:lang w:val="de-CH"/>
    </w:rPr>
  </w:style>
  <w:style w:type="paragraph" w:styleId="Caption">
    <w:name w:val="caption"/>
    <w:aliases w:val="Legend,Caption-tables Char,Caption-tables"/>
    <w:basedOn w:val="Normal"/>
    <w:next w:val="Normal"/>
    <w:link w:val="CaptionChar"/>
    <w:uiPriority w:val="35"/>
    <w:unhideWhenUsed/>
    <w:qFormat/>
    <w:rsid w:val="00E6552B"/>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131026"/>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05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D08"/>
    <w:rPr>
      <w:rFonts w:ascii="Segoe UI" w:hAnsi="Segoe UI" w:cs="Segoe UI"/>
      <w:sz w:val="18"/>
      <w:szCs w:val="18"/>
    </w:rPr>
  </w:style>
  <w:style w:type="numbering" w:customStyle="1" w:styleId="Style1">
    <w:name w:val="Style1"/>
    <w:uiPriority w:val="99"/>
    <w:rsid w:val="004A2B91"/>
    <w:pPr>
      <w:numPr>
        <w:numId w:val="14"/>
      </w:numPr>
    </w:pPr>
  </w:style>
  <w:style w:type="paragraph" w:styleId="TOC2">
    <w:name w:val="toc 2"/>
    <w:basedOn w:val="Normal"/>
    <w:next w:val="Normal"/>
    <w:autoRedefine/>
    <w:uiPriority w:val="39"/>
    <w:unhideWhenUsed/>
    <w:rsid w:val="004E2C67"/>
    <w:pPr>
      <w:spacing w:after="100"/>
      <w:ind w:left="220"/>
    </w:pPr>
  </w:style>
  <w:style w:type="character" w:customStyle="1" w:styleId="Heading3Char">
    <w:name w:val="Heading 3 Char"/>
    <w:basedOn w:val="DefaultParagraphFont"/>
    <w:link w:val="Heading3"/>
    <w:uiPriority w:val="9"/>
    <w:rsid w:val="000D0F5A"/>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9565D4"/>
    <w:pPr>
      <w:spacing w:after="100"/>
      <w:ind w:left="440"/>
    </w:pPr>
  </w:style>
  <w:style w:type="character" w:styleId="CommentReference">
    <w:name w:val="annotation reference"/>
    <w:basedOn w:val="DefaultParagraphFont"/>
    <w:uiPriority w:val="99"/>
    <w:semiHidden/>
    <w:unhideWhenUsed/>
    <w:rsid w:val="004F29CC"/>
    <w:rPr>
      <w:sz w:val="16"/>
      <w:szCs w:val="16"/>
    </w:rPr>
  </w:style>
  <w:style w:type="paragraph" w:styleId="CommentText">
    <w:name w:val="annotation text"/>
    <w:basedOn w:val="Normal"/>
    <w:link w:val="CommentTextChar"/>
    <w:uiPriority w:val="99"/>
    <w:unhideWhenUsed/>
    <w:rsid w:val="004F29CC"/>
    <w:pPr>
      <w:spacing w:line="240" w:lineRule="auto"/>
    </w:pPr>
    <w:rPr>
      <w:sz w:val="20"/>
      <w:szCs w:val="20"/>
    </w:rPr>
  </w:style>
  <w:style w:type="character" w:customStyle="1" w:styleId="CommentTextChar">
    <w:name w:val="Comment Text Char"/>
    <w:basedOn w:val="DefaultParagraphFont"/>
    <w:link w:val="CommentText"/>
    <w:uiPriority w:val="99"/>
    <w:rsid w:val="004F29CC"/>
    <w:rPr>
      <w:sz w:val="20"/>
      <w:szCs w:val="20"/>
    </w:rPr>
  </w:style>
  <w:style w:type="paragraph" w:styleId="CommentSubject">
    <w:name w:val="annotation subject"/>
    <w:basedOn w:val="CommentText"/>
    <w:next w:val="CommentText"/>
    <w:link w:val="CommentSubjectChar"/>
    <w:uiPriority w:val="99"/>
    <w:semiHidden/>
    <w:unhideWhenUsed/>
    <w:rsid w:val="004F29CC"/>
    <w:rPr>
      <w:b/>
      <w:bCs/>
    </w:rPr>
  </w:style>
  <w:style w:type="character" w:customStyle="1" w:styleId="CommentSubjectChar">
    <w:name w:val="Comment Subject Char"/>
    <w:basedOn w:val="CommentTextChar"/>
    <w:link w:val="CommentSubject"/>
    <w:uiPriority w:val="99"/>
    <w:semiHidden/>
    <w:rsid w:val="004F29CC"/>
    <w:rPr>
      <w:b/>
      <w:bCs/>
      <w:sz w:val="20"/>
      <w:szCs w:val="20"/>
    </w:rPr>
  </w:style>
  <w:style w:type="character" w:styleId="UnresolvedMention">
    <w:name w:val="Unresolved Mention"/>
    <w:basedOn w:val="DefaultParagraphFont"/>
    <w:uiPriority w:val="99"/>
    <w:semiHidden/>
    <w:unhideWhenUsed/>
    <w:rsid w:val="007F0A5D"/>
    <w:rPr>
      <w:color w:val="605E5C"/>
      <w:shd w:val="clear" w:color="auto" w:fill="E1DFDD"/>
    </w:rPr>
  </w:style>
  <w:style w:type="character" w:customStyle="1" w:styleId="CaptionChar">
    <w:name w:val="Caption Char"/>
    <w:aliases w:val="Legend Char,Caption-tables Char Char,Caption-tables Char1"/>
    <w:basedOn w:val="DefaultParagraphFont"/>
    <w:link w:val="Caption"/>
    <w:uiPriority w:val="35"/>
    <w:rsid w:val="002365F9"/>
    <w:rPr>
      <w:i/>
      <w:iCs/>
      <w:color w:val="44546A" w:themeColor="text2"/>
      <w:sz w:val="18"/>
      <w:szCs w:val="18"/>
    </w:rPr>
  </w:style>
  <w:style w:type="paragraph" w:styleId="Revision">
    <w:name w:val="Revision"/>
    <w:hidden/>
    <w:uiPriority w:val="99"/>
    <w:semiHidden/>
    <w:rsid w:val="000417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4096">
      <w:bodyDiv w:val="1"/>
      <w:marLeft w:val="0"/>
      <w:marRight w:val="0"/>
      <w:marTop w:val="0"/>
      <w:marBottom w:val="0"/>
      <w:divBdr>
        <w:top w:val="none" w:sz="0" w:space="0" w:color="auto"/>
        <w:left w:val="none" w:sz="0" w:space="0" w:color="auto"/>
        <w:bottom w:val="none" w:sz="0" w:space="0" w:color="auto"/>
        <w:right w:val="none" w:sz="0" w:space="0" w:color="auto"/>
      </w:divBdr>
      <w:divsChild>
        <w:div w:id="1404179415">
          <w:marLeft w:val="547"/>
          <w:marRight w:val="0"/>
          <w:marTop w:val="0"/>
          <w:marBottom w:val="0"/>
          <w:divBdr>
            <w:top w:val="none" w:sz="0" w:space="0" w:color="auto"/>
            <w:left w:val="none" w:sz="0" w:space="0" w:color="auto"/>
            <w:bottom w:val="none" w:sz="0" w:space="0" w:color="auto"/>
            <w:right w:val="none" w:sz="0" w:space="0" w:color="auto"/>
          </w:divBdr>
        </w:div>
        <w:div w:id="560484826">
          <w:marLeft w:val="547"/>
          <w:marRight w:val="0"/>
          <w:marTop w:val="0"/>
          <w:marBottom w:val="0"/>
          <w:divBdr>
            <w:top w:val="none" w:sz="0" w:space="0" w:color="auto"/>
            <w:left w:val="none" w:sz="0" w:space="0" w:color="auto"/>
            <w:bottom w:val="none" w:sz="0" w:space="0" w:color="auto"/>
            <w:right w:val="none" w:sz="0" w:space="0" w:color="auto"/>
          </w:divBdr>
        </w:div>
        <w:div w:id="1351301830">
          <w:marLeft w:val="547"/>
          <w:marRight w:val="0"/>
          <w:marTop w:val="0"/>
          <w:marBottom w:val="0"/>
          <w:divBdr>
            <w:top w:val="none" w:sz="0" w:space="0" w:color="auto"/>
            <w:left w:val="none" w:sz="0" w:space="0" w:color="auto"/>
            <w:bottom w:val="none" w:sz="0" w:space="0" w:color="auto"/>
            <w:right w:val="none" w:sz="0" w:space="0" w:color="auto"/>
          </w:divBdr>
        </w:div>
        <w:div w:id="851916053">
          <w:marLeft w:val="547"/>
          <w:marRight w:val="0"/>
          <w:marTop w:val="0"/>
          <w:marBottom w:val="0"/>
          <w:divBdr>
            <w:top w:val="none" w:sz="0" w:space="0" w:color="auto"/>
            <w:left w:val="none" w:sz="0" w:space="0" w:color="auto"/>
            <w:bottom w:val="none" w:sz="0" w:space="0" w:color="auto"/>
            <w:right w:val="none" w:sz="0" w:space="0" w:color="auto"/>
          </w:divBdr>
        </w:div>
        <w:div w:id="1581939114">
          <w:marLeft w:val="547"/>
          <w:marRight w:val="0"/>
          <w:marTop w:val="0"/>
          <w:marBottom w:val="0"/>
          <w:divBdr>
            <w:top w:val="none" w:sz="0" w:space="0" w:color="auto"/>
            <w:left w:val="none" w:sz="0" w:space="0" w:color="auto"/>
            <w:bottom w:val="none" w:sz="0" w:space="0" w:color="auto"/>
            <w:right w:val="none" w:sz="0" w:space="0" w:color="auto"/>
          </w:divBdr>
        </w:div>
        <w:div w:id="320471971">
          <w:marLeft w:val="547"/>
          <w:marRight w:val="0"/>
          <w:marTop w:val="0"/>
          <w:marBottom w:val="0"/>
          <w:divBdr>
            <w:top w:val="none" w:sz="0" w:space="0" w:color="auto"/>
            <w:left w:val="none" w:sz="0" w:space="0" w:color="auto"/>
            <w:bottom w:val="none" w:sz="0" w:space="0" w:color="auto"/>
            <w:right w:val="none" w:sz="0" w:space="0" w:color="auto"/>
          </w:divBdr>
        </w:div>
        <w:div w:id="2008243513">
          <w:marLeft w:val="547"/>
          <w:marRight w:val="0"/>
          <w:marTop w:val="0"/>
          <w:marBottom w:val="0"/>
          <w:divBdr>
            <w:top w:val="none" w:sz="0" w:space="0" w:color="auto"/>
            <w:left w:val="none" w:sz="0" w:space="0" w:color="auto"/>
            <w:bottom w:val="none" w:sz="0" w:space="0" w:color="auto"/>
            <w:right w:val="none" w:sz="0" w:space="0" w:color="auto"/>
          </w:divBdr>
        </w:div>
      </w:divsChild>
    </w:div>
    <w:div w:id="183518612">
      <w:bodyDiv w:val="1"/>
      <w:marLeft w:val="0"/>
      <w:marRight w:val="0"/>
      <w:marTop w:val="0"/>
      <w:marBottom w:val="0"/>
      <w:divBdr>
        <w:top w:val="none" w:sz="0" w:space="0" w:color="auto"/>
        <w:left w:val="none" w:sz="0" w:space="0" w:color="auto"/>
        <w:bottom w:val="none" w:sz="0" w:space="0" w:color="auto"/>
        <w:right w:val="none" w:sz="0" w:space="0" w:color="auto"/>
      </w:divBdr>
    </w:div>
    <w:div w:id="254940977">
      <w:bodyDiv w:val="1"/>
      <w:marLeft w:val="0"/>
      <w:marRight w:val="0"/>
      <w:marTop w:val="0"/>
      <w:marBottom w:val="0"/>
      <w:divBdr>
        <w:top w:val="none" w:sz="0" w:space="0" w:color="auto"/>
        <w:left w:val="none" w:sz="0" w:space="0" w:color="auto"/>
        <w:bottom w:val="none" w:sz="0" w:space="0" w:color="auto"/>
        <w:right w:val="none" w:sz="0" w:space="0" w:color="auto"/>
      </w:divBdr>
    </w:div>
    <w:div w:id="341053534">
      <w:bodyDiv w:val="1"/>
      <w:marLeft w:val="0"/>
      <w:marRight w:val="0"/>
      <w:marTop w:val="0"/>
      <w:marBottom w:val="0"/>
      <w:divBdr>
        <w:top w:val="none" w:sz="0" w:space="0" w:color="auto"/>
        <w:left w:val="none" w:sz="0" w:space="0" w:color="auto"/>
        <w:bottom w:val="none" w:sz="0" w:space="0" w:color="auto"/>
        <w:right w:val="none" w:sz="0" w:space="0" w:color="auto"/>
      </w:divBdr>
    </w:div>
    <w:div w:id="376007076">
      <w:bodyDiv w:val="1"/>
      <w:marLeft w:val="0"/>
      <w:marRight w:val="0"/>
      <w:marTop w:val="0"/>
      <w:marBottom w:val="0"/>
      <w:divBdr>
        <w:top w:val="none" w:sz="0" w:space="0" w:color="auto"/>
        <w:left w:val="none" w:sz="0" w:space="0" w:color="auto"/>
        <w:bottom w:val="none" w:sz="0" w:space="0" w:color="auto"/>
        <w:right w:val="none" w:sz="0" w:space="0" w:color="auto"/>
      </w:divBdr>
      <w:divsChild>
        <w:div w:id="909386497">
          <w:marLeft w:val="547"/>
          <w:marRight w:val="0"/>
          <w:marTop w:val="0"/>
          <w:marBottom w:val="0"/>
          <w:divBdr>
            <w:top w:val="none" w:sz="0" w:space="0" w:color="auto"/>
            <w:left w:val="none" w:sz="0" w:space="0" w:color="auto"/>
            <w:bottom w:val="none" w:sz="0" w:space="0" w:color="auto"/>
            <w:right w:val="none" w:sz="0" w:space="0" w:color="auto"/>
          </w:divBdr>
        </w:div>
        <w:div w:id="195509532">
          <w:marLeft w:val="547"/>
          <w:marRight w:val="0"/>
          <w:marTop w:val="0"/>
          <w:marBottom w:val="0"/>
          <w:divBdr>
            <w:top w:val="none" w:sz="0" w:space="0" w:color="auto"/>
            <w:left w:val="none" w:sz="0" w:space="0" w:color="auto"/>
            <w:bottom w:val="none" w:sz="0" w:space="0" w:color="auto"/>
            <w:right w:val="none" w:sz="0" w:space="0" w:color="auto"/>
          </w:divBdr>
        </w:div>
        <w:div w:id="2125613266">
          <w:marLeft w:val="547"/>
          <w:marRight w:val="0"/>
          <w:marTop w:val="0"/>
          <w:marBottom w:val="0"/>
          <w:divBdr>
            <w:top w:val="none" w:sz="0" w:space="0" w:color="auto"/>
            <w:left w:val="none" w:sz="0" w:space="0" w:color="auto"/>
            <w:bottom w:val="none" w:sz="0" w:space="0" w:color="auto"/>
            <w:right w:val="none" w:sz="0" w:space="0" w:color="auto"/>
          </w:divBdr>
        </w:div>
        <w:div w:id="1101609774">
          <w:marLeft w:val="547"/>
          <w:marRight w:val="0"/>
          <w:marTop w:val="0"/>
          <w:marBottom w:val="0"/>
          <w:divBdr>
            <w:top w:val="none" w:sz="0" w:space="0" w:color="auto"/>
            <w:left w:val="none" w:sz="0" w:space="0" w:color="auto"/>
            <w:bottom w:val="none" w:sz="0" w:space="0" w:color="auto"/>
            <w:right w:val="none" w:sz="0" w:space="0" w:color="auto"/>
          </w:divBdr>
        </w:div>
        <w:div w:id="1904369119">
          <w:marLeft w:val="547"/>
          <w:marRight w:val="0"/>
          <w:marTop w:val="0"/>
          <w:marBottom w:val="0"/>
          <w:divBdr>
            <w:top w:val="none" w:sz="0" w:space="0" w:color="auto"/>
            <w:left w:val="none" w:sz="0" w:space="0" w:color="auto"/>
            <w:bottom w:val="none" w:sz="0" w:space="0" w:color="auto"/>
            <w:right w:val="none" w:sz="0" w:space="0" w:color="auto"/>
          </w:divBdr>
        </w:div>
        <w:div w:id="1360665049">
          <w:marLeft w:val="547"/>
          <w:marRight w:val="0"/>
          <w:marTop w:val="0"/>
          <w:marBottom w:val="0"/>
          <w:divBdr>
            <w:top w:val="none" w:sz="0" w:space="0" w:color="auto"/>
            <w:left w:val="none" w:sz="0" w:space="0" w:color="auto"/>
            <w:bottom w:val="none" w:sz="0" w:space="0" w:color="auto"/>
            <w:right w:val="none" w:sz="0" w:space="0" w:color="auto"/>
          </w:divBdr>
        </w:div>
      </w:divsChild>
    </w:div>
    <w:div w:id="469709928">
      <w:bodyDiv w:val="1"/>
      <w:marLeft w:val="0"/>
      <w:marRight w:val="0"/>
      <w:marTop w:val="0"/>
      <w:marBottom w:val="0"/>
      <w:divBdr>
        <w:top w:val="none" w:sz="0" w:space="0" w:color="auto"/>
        <w:left w:val="none" w:sz="0" w:space="0" w:color="auto"/>
        <w:bottom w:val="none" w:sz="0" w:space="0" w:color="auto"/>
        <w:right w:val="none" w:sz="0" w:space="0" w:color="auto"/>
      </w:divBdr>
    </w:div>
    <w:div w:id="499539991">
      <w:bodyDiv w:val="1"/>
      <w:marLeft w:val="0"/>
      <w:marRight w:val="0"/>
      <w:marTop w:val="0"/>
      <w:marBottom w:val="0"/>
      <w:divBdr>
        <w:top w:val="none" w:sz="0" w:space="0" w:color="auto"/>
        <w:left w:val="none" w:sz="0" w:space="0" w:color="auto"/>
        <w:bottom w:val="none" w:sz="0" w:space="0" w:color="auto"/>
        <w:right w:val="none" w:sz="0" w:space="0" w:color="auto"/>
      </w:divBdr>
    </w:div>
    <w:div w:id="537670546">
      <w:bodyDiv w:val="1"/>
      <w:marLeft w:val="0"/>
      <w:marRight w:val="0"/>
      <w:marTop w:val="0"/>
      <w:marBottom w:val="0"/>
      <w:divBdr>
        <w:top w:val="none" w:sz="0" w:space="0" w:color="auto"/>
        <w:left w:val="none" w:sz="0" w:space="0" w:color="auto"/>
        <w:bottom w:val="none" w:sz="0" w:space="0" w:color="auto"/>
        <w:right w:val="none" w:sz="0" w:space="0" w:color="auto"/>
      </w:divBdr>
    </w:div>
    <w:div w:id="552230661">
      <w:bodyDiv w:val="1"/>
      <w:marLeft w:val="0"/>
      <w:marRight w:val="0"/>
      <w:marTop w:val="0"/>
      <w:marBottom w:val="0"/>
      <w:divBdr>
        <w:top w:val="none" w:sz="0" w:space="0" w:color="auto"/>
        <w:left w:val="none" w:sz="0" w:space="0" w:color="auto"/>
        <w:bottom w:val="none" w:sz="0" w:space="0" w:color="auto"/>
        <w:right w:val="none" w:sz="0" w:space="0" w:color="auto"/>
      </w:divBdr>
    </w:div>
    <w:div w:id="685716196">
      <w:bodyDiv w:val="1"/>
      <w:marLeft w:val="0"/>
      <w:marRight w:val="0"/>
      <w:marTop w:val="0"/>
      <w:marBottom w:val="0"/>
      <w:divBdr>
        <w:top w:val="none" w:sz="0" w:space="0" w:color="auto"/>
        <w:left w:val="none" w:sz="0" w:space="0" w:color="auto"/>
        <w:bottom w:val="none" w:sz="0" w:space="0" w:color="auto"/>
        <w:right w:val="none" w:sz="0" w:space="0" w:color="auto"/>
      </w:divBdr>
      <w:divsChild>
        <w:div w:id="247885709">
          <w:marLeft w:val="547"/>
          <w:marRight w:val="0"/>
          <w:marTop w:val="0"/>
          <w:marBottom w:val="0"/>
          <w:divBdr>
            <w:top w:val="none" w:sz="0" w:space="0" w:color="auto"/>
            <w:left w:val="none" w:sz="0" w:space="0" w:color="auto"/>
            <w:bottom w:val="none" w:sz="0" w:space="0" w:color="auto"/>
            <w:right w:val="none" w:sz="0" w:space="0" w:color="auto"/>
          </w:divBdr>
        </w:div>
        <w:div w:id="292250074">
          <w:marLeft w:val="547"/>
          <w:marRight w:val="0"/>
          <w:marTop w:val="0"/>
          <w:marBottom w:val="0"/>
          <w:divBdr>
            <w:top w:val="none" w:sz="0" w:space="0" w:color="auto"/>
            <w:left w:val="none" w:sz="0" w:space="0" w:color="auto"/>
            <w:bottom w:val="none" w:sz="0" w:space="0" w:color="auto"/>
            <w:right w:val="none" w:sz="0" w:space="0" w:color="auto"/>
          </w:divBdr>
        </w:div>
        <w:div w:id="500312151">
          <w:marLeft w:val="547"/>
          <w:marRight w:val="0"/>
          <w:marTop w:val="0"/>
          <w:marBottom w:val="0"/>
          <w:divBdr>
            <w:top w:val="none" w:sz="0" w:space="0" w:color="auto"/>
            <w:left w:val="none" w:sz="0" w:space="0" w:color="auto"/>
            <w:bottom w:val="none" w:sz="0" w:space="0" w:color="auto"/>
            <w:right w:val="none" w:sz="0" w:space="0" w:color="auto"/>
          </w:divBdr>
        </w:div>
        <w:div w:id="785926554">
          <w:marLeft w:val="547"/>
          <w:marRight w:val="0"/>
          <w:marTop w:val="0"/>
          <w:marBottom w:val="0"/>
          <w:divBdr>
            <w:top w:val="none" w:sz="0" w:space="0" w:color="auto"/>
            <w:left w:val="none" w:sz="0" w:space="0" w:color="auto"/>
            <w:bottom w:val="none" w:sz="0" w:space="0" w:color="auto"/>
            <w:right w:val="none" w:sz="0" w:space="0" w:color="auto"/>
          </w:divBdr>
        </w:div>
        <w:div w:id="1910653379">
          <w:marLeft w:val="547"/>
          <w:marRight w:val="0"/>
          <w:marTop w:val="0"/>
          <w:marBottom w:val="0"/>
          <w:divBdr>
            <w:top w:val="none" w:sz="0" w:space="0" w:color="auto"/>
            <w:left w:val="none" w:sz="0" w:space="0" w:color="auto"/>
            <w:bottom w:val="none" w:sz="0" w:space="0" w:color="auto"/>
            <w:right w:val="none" w:sz="0" w:space="0" w:color="auto"/>
          </w:divBdr>
        </w:div>
        <w:div w:id="1265187561">
          <w:marLeft w:val="547"/>
          <w:marRight w:val="0"/>
          <w:marTop w:val="0"/>
          <w:marBottom w:val="0"/>
          <w:divBdr>
            <w:top w:val="none" w:sz="0" w:space="0" w:color="auto"/>
            <w:left w:val="none" w:sz="0" w:space="0" w:color="auto"/>
            <w:bottom w:val="none" w:sz="0" w:space="0" w:color="auto"/>
            <w:right w:val="none" w:sz="0" w:space="0" w:color="auto"/>
          </w:divBdr>
        </w:div>
      </w:divsChild>
    </w:div>
    <w:div w:id="713509058">
      <w:bodyDiv w:val="1"/>
      <w:marLeft w:val="0"/>
      <w:marRight w:val="0"/>
      <w:marTop w:val="0"/>
      <w:marBottom w:val="0"/>
      <w:divBdr>
        <w:top w:val="none" w:sz="0" w:space="0" w:color="auto"/>
        <w:left w:val="none" w:sz="0" w:space="0" w:color="auto"/>
        <w:bottom w:val="none" w:sz="0" w:space="0" w:color="auto"/>
        <w:right w:val="none" w:sz="0" w:space="0" w:color="auto"/>
      </w:divBdr>
    </w:div>
    <w:div w:id="733890306">
      <w:bodyDiv w:val="1"/>
      <w:marLeft w:val="0"/>
      <w:marRight w:val="0"/>
      <w:marTop w:val="0"/>
      <w:marBottom w:val="0"/>
      <w:divBdr>
        <w:top w:val="none" w:sz="0" w:space="0" w:color="auto"/>
        <w:left w:val="none" w:sz="0" w:space="0" w:color="auto"/>
        <w:bottom w:val="none" w:sz="0" w:space="0" w:color="auto"/>
        <w:right w:val="none" w:sz="0" w:space="0" w:color="auto"/>
      </w:divBdr>
    </w:div>
    <w:div w:id="790705092">
      <w:bodyDiv w:val="1"/>
      <w:marLeft w:val="0"/>
      <w:marRight w:val="0"/>
      <w:marTop w:val="0"/>
      <w:marBottom w:val="0"/>
      <w:divBdr>
        <w:top w:val="none" w:sz="0" w:space="0" w:color="auto"/>
        <w:left w:val="none" w:sz="0" w:space="0" w:color="auto"/>
        <w:bottom w:val="none" w:sz="0" w:space="0" w:color="auto"/>
        <w:right w:val="none" w:sz="0" w:space="0" w:color="auto"/>
      </w:divBdr>
    </w:div>
    <w:div w:id="792291319">
      <w:bodyDiv w:val="1"/>
      <w:marLeft w:val="0"/>
      <w:marRight w:val="0"/>
      <w:marTop w:val="0"/>
      <w:marBottom w:val="0"/>
      <w:divBdr>
        <w:top w:val="none" w:sz="0" w:space="0" w:color="auto"/>
        <w:left w:val="none" w:sz="0" w:space="0" w:color="auto"/>
        <w:bottom w:val="none" w:sz="0" w:space="0" w:color="auto"/>
        <w:right w:val="none" w:sz="0" w:space="0" w:color="auto"/>
      </w:divBdr>
    </w:div>
    <w:div w:id="841774418">
      <w:bodyDiv w:val="1"/>
      <w:marLeft w:val="0"/>
      <w:marRight w:val="0"/>
      <w:marTop w:val="0"/>
      <w:marBottom w:val="0"/>
      <w:divBdr>
        <w:top w:val="none" w:sz="0" w:space="0" w:color="auto"/>
        <w:left w:val="none" w:sz="0" w:space="0" w:color="auto"/>
        <w:bottom w:val="none" w:sz="0" w:space="0" w:color="auto"/>
        <w:right w:val="none" w:sz="0" w:space="0" w:color="auto"/>
      </w:divBdr>
    </w:div>
    <w:div w:id="903876816">
      <w:bodyDiv w:val="1"/>
      <w:marLeft w:val="0"/>
      <w:marRight w:val="0"/>
      <w:marTop w:val="0"/>
      <w:marBottom w:val="0"/>
      <w:divBdr>
        <w:top w:val="none" w:sz="0" w:space="0" w:color="auto"/>
        <w:left w:val="none" w:sz="0" w:space="0" w:color="auto"/>
        <w:bottom w:val="none" w:sz="0" w:space="0" w:color="auto"/>
        <w:right w:val="none" w:sz="0" w:space="0" w:color="auto"/>
      </w:divBdr>
    </w:div>
    <w:div w:id="1217013102">
      <w:bodyDiv w:val="1"/>
      <w:marLeft w:val="0"/>
      <w:marRight w:val="0"/>
      <w:marTop w:val="0"/>
      <w:marBottom w:val="0"/>
      <w:divBdr>
        <w:top w:val="none" w:sz="0" w:space="0" w:color="auto"/>
        <w:left w:val="none" w:sz="0" w:space="0" w:color="auto"/>
        <w:bottom w:val="none" w:sz="0" w:space="0" w:color="auto"/>
        <w:right w:val="none" w:sz="0" w:space="0" w:color="auto"/>
      </w:divBdr>
    </w:div>
    <w:div w:id="1256478494">
      <w:bodyDiv w:val="1"/>
      <w:marLeft w:val="0"/>
      <w:marRight w:val="0"/>
      <w:marTop w:val="0"/>
      <w:marBottom w:val="0"/>
      <w:divBdr>
        <w:top w:val="none" w:sz="0" w:space="0" w:color="auto"/>
        <w:left w:val="none" w:sz="0" w:space="0" w:color="auto"/>
        <w:bottom w:val="none" w:sz="0" w:space="0" w:color="auto"/>
        <w:right w:val="none" w:sz="0" w:space="0" w:color="auto"/>
      </w:divBdr>
    </w:div>
    <w:div w:id="1355230078">
      <w:bodyDiv w:val="1"/>
      <w:marLeft w:val="0"/>
      <w:marRight w:val="0"/>
      <w:marTop w:val="0"/>
      <w:marBottom w:val="0"/>
      <w:divBdr>
        <w:top w:val="none" w:sz="0" w:space="0" w:color="auto"/>
        <w:left w:val="none" w:sz="0" w:space="0" w:color="auto"/>
        <w:bottom w:val="none" w:sz="0" w:space="0" w:color="auto"/>
        <w:right w:val="none" w:sz="0" w:space="0" w:color="auto"/>
      </w:divBdr>
    </w:div>
    <w:div w:id="1367172295">
      <w:bodyDiv w:val="1"/>
      <w:marLeft w:val="0"/>
      <w:marRight w:val="0"/>
      <w:marTop w:val="0"/>
      <w:marBottom w:val="0"/>
      <w:divBdr>
        <w:top w:val="none" w:sz="0" w:space="0" w:color="auto"/>
        <w:left w:val="none" w:sz="0" w:space="0" w:color="auto"/>
        <w:bottom w:val="none" w:sz="0" w:space="0" w:color="auto"/>
        <w:right w:val="none" w:sz="0" w:space="0" w:color="auto"/>
      </w:divBdr>
      <w:divsChild>
        <w:div w:id="1634409154">
          <w:marLeft w:val="547"/>
          <w:marRight w:val="0"/>
          <w:marTop w:val="0"/>
          <w:marBottom w:val="0"/>
          <w:divBdr>
            <w:top w:val="none" w:sz="0" w:space="0" w:color="auto"/>
            <w:left w:val="none" w:sz="0" w:space="0" w:color="auto"/>
            <w:bottom w:val="none" w:sz="0" w:space="0" w:color="auto"/>
            <w:right w:val="none" w:sz="0" w:space="0" w:color="auto"/>
          </w:divBdr>
        </w:div>
        <w:div w:id="2024822923">
          <w:marLeft w:val="547"/>
          <w:marRight w:val="0"/>
          <w:marTop w:val="0"/>
          <w:marBottom w:val="0"/>
          <w:divBdr>
            <w:top w:val="none" w:sz="0" w:space="0" w:color="auto"/>
            <w:left w:val="none" w:sz="0" w:space="0" w:color="auto"/>
            <w:bottom w:val="none" w:sz="0" w:space="0" w:color="auto"/>
            <w:right w:val="none" w:sz="0" w:space="0" w:color="auto"/>
          </w:divBdr>
        </w:div>
        <w:div w:id="1559321400">
          <w:marLeft w:val="547"/>
          <w:marRight w:val="0"/>
          <w:marTop w:val="0"/>
          <w:marBottom w:val="0"/>
          <w:divBdr>
            <w:top w:val="none" w:sz="0" w:space="0" w:color="auto"/>
            <w:left w:val="none" w:sz="0" w:space="0" w:color="auto"/>
            <w:bottom w:val="none" w:sz="0" w:space="0" w:color="auto"/>
            <w:right w:val="none" w:sz="0" w:space="0" w:color="auto"/>
          </w:divBdr>
        </w:div>
        <w:div w:id="1358316954">
          <w:marLeft w:val="547"/>
          <w:marRight w:val="0"/>
          <w:marTop w:val="0"/>
          <w:marBottom w:val="0"/>
          <w:divBdr>
            <w:top w:val="none" w:sz="0" w:space="0" w:color="auto"/>
            <w:left w:val="none" w:sz="0" w:space="0" w:color="auto"/>
            <w:bottom w:val="none" w:sz="0" w:space="0" w:color="auto"/>
            <w:right w:val="none" w:sz="0" w:space="0" w:color="auto"/>
          </w:divBdr>
        </w:div>
        <w:div w:id="706640485">
          <w:marLeft w:val="547"/>
          <w:marRight w:val="0"/>
          <w:marTop w:val="0"/>
          <w:marBottom w:val="0"/>
          <w:divBdr>
            <w:top w:val="none" w:sz="0" w:space="0" w:color="auto"/>
            <w:left w:val="none" w:sz="0" w:space="0" w:color="auto"/>
            <w:bottom w:val="none" w:sz="0" w:space="0" w:color="auto"/>
            <w:right w:val="none" w:sz="0" w:space="0" w:color="auto"/>
          </w:divBdr>
        </w:div>
        <w:div w:id="1810124019">
          <w:marLeft w:val="547"/>
          <w:marRight w:val="0"/>
          <w:marTop w:val="0"/>
          <w:marBottom w:val="0"/>
          <w:divBdr>
            <w:top w:val="none" w:sz="0" w:space="0" w:color="auto"/>
            <w:left w:val="none" w:sz="0" w:space="0" w:color="auto"/>
            <w:bottom w:val="none" w:sz="0" w:space="0" w:color="auto"/>
            <w:right w:val="none" w:sz="0" w:space="0" w:color="auto"/>
          </w:divBdr>
        </w:div>
        <w:div w:id="783697993">
          <w:marLeft w:val="547"/>
          <w:marRight w:val="0"/>
          <w:marTop w:val="0"/>
          <w:marBottom w:val="0"/>
          <w:divBdr>
            <w:top w:val="none" w:sz="0" w:space="0" w:color="auto"/>
            <w:left w:val="none" w:sz="0" w:space="0" w:color="auto"/>
            <w:bottom w:val="none" w:sz="0" w:space="0" w:color="auto"/>
            <w:right w:val="none" w:sz="0" w:space="0" w:color="auto"/>
          </w:divBdr>
        </w:div>
        <w:div w:id="888883667">
          <w:marLeft w:val="547"/>
          <w:marRight w:val="0"/>
          <w:marTop w:val="0"/>
          <w:marBottom w:val="0"/>
          <w:divBdr>
            <w:top w:val="none" w:sz="0" w:space="0" w:color="auto"/>
            <w:left w:val="none" w:sz="0" w:space="0" w:color="auto"/>
            <w:bottom w:val="none" w:sz="0" w:space="0" w:color="auto"/>
            <w:right w:val="none" w:sz="0" w:space="0" w:color="auto"/>
          </w:divBdr>
        </w:div>
        <w:div w:id="1094016305">
          <w:marLeft w:val="547"/>
          <w:marRight w:val="0"/>
          <w:marTop w:val="0"/>
          <w:marBottom w:val="0"/>
          <w:divBdr>
            <w:top w:val="none" w:sz="0" w:space="0" w:color="auto"/>
            <w:left w:val="none" w:sz="0" w:space="0" w:color="auto"/>
            <w:bottom w:val="none" w:sz="0" w:space="0" w:color="auto"/>
            <w:right w:val="none" w:sz="0" w:space="0" w:color="auto"/>
          </w:divBdr>
        </w:div>
      </w:divsChild>
    </w:div>
    <w:div w:id="1445417366">
      <w:bodyDiv w:val="1"/>
      <w:marLeft w:val="0"/>
      <w:marRight w:val="0"/>
      <w:marTop w:val="0"/>
      <w:marBottom w:val="0"/>
      <w:divBdr>
        <w:top w:val="none" w:sz="0" w:space="0" w:color="auto"/>
        <w:left w:val="none" w:sz="0" w:space="0" w:color="auto"/>
        <w:bottom w:val="none" w:sz="0" w:space="0" w:color="auto"/>
        <w:right w:val="none" w:sz="0" w:space="0" w:color="auto"/>
      </w:divBdr>
    </w:div>
    <w:div w:id="1509634751">
      <w:bodyDiv w:val="1"/>
      <w:marLeft w:val="0"/>
      <w:marRight w:val="0"/>
      <w:marTop w:val="0"/>
      <w:marBottom w:val="0"/>
      <w:divBdr>
        <w:top w:val="none" w:sz="0" w:space="0" w:color="auto"/>
        <w:left w:val="none" w:sz="0" w:space="0" w:color="auto"/>
        <w:bottom w:val="none" w:sz="0" w:space="0" w:color="auto"/>
        <w:right w:val="none" w:sz="0" w:space="0" w:color="auto"/>
      </w:divBdr>
    </w:div>
    <w:div w:id="1554003595">
      <w:bodyDiv w:val="1"/>
      <w:marLeft w:val="0"/>
      <w:marRight w:val="0"/>
      <w:marTop w:val="0"/>
      <w:marBottom w:val="0"/>
      <w:divBdr>
        <w:top w:val="none" w:sz="0" w:space="0" w:color="auto"/>
        <w:left w:val="none" w:sz="0" w:space="0" w:color="auto"/>
        <w:bottom w:val="none" w:sz="0" w:space="0" w:color="auto"/>
        <w:right w:val="none" w:sz="0" w:space="0" w:color="auto"/>
      </w:divBdr>
    </w:div>
    <w:div w:id="1611933512">
      <w:bodyDiv w:val="1"/>
      <w:marLeft w:val="0"/>
      <w:marRight w:val="0"/>
      <w:marTop w:val="0"/>
      <w:marBottom w:val="0"/>
      <w:divBdr>
        <w:top w:val="none" w:sz="0" w:space="0" w:color="auto"/>
        <w:left w:val="none" w:sz="0" w:space="0" w:color="auto"/>
        <w:bottom w:val="none" w:sz="0" w:space="0" w:color="auto"/>
        <w:right w:val="none" w:sz="0" w:space="0" w:color="auto"/>
      </w:divBdr>
    </w:div>
    <w:div w:id="1626811205">
      <w:bodyDiv w:val="1"/>
      <w:marLeft w:val="0"/>
      <w:marRight w:val="0"/>
      <w:marTop w:val="0"/>
      <w:marBottom w:val="0"/>
      <w:divBdr>
        <w:top w:val="none" w:sz="0" w:space="0" w:color="auto"/>
        <w:left w:val="none" w:sz="0" w:space="0" w:color="auto"/>
        <w:bottom w:val="none" w:sz="0" w:space="0" w:color="auto"/>
        <w:right w:val="none" w:sz="0" w:space="0" w:color="auto"/>
      </w:divBdr>
    </w:div>
    <w:div w:id="1704747143">
      <w:bodyDiv w:val="1"/>
      <w:marLeft w:val="0"/>
      <w:marRight w:val="0"/>
      <w:marTop w:val="0"/>
      <w:marBottom w:val="0"/>
      <w:divBdr>
        <w:top w:val="none" w:sz="0" w:space="0" w:color="auto"/>
        <w:left w:val="none" w:sz="0" w:space="0" w:color="auto"/>
        <w:bottom w:val="none" w:sz="0" w:space="0" w:color="auto"/>
        <w:right w:val="none" w:sz="0" w:space="0" w:color="auto"/>
      </w:divBdr>
    </w:div>
    <w:div w:id="1732772329">
      <w:bodyDiv w:val="1"/>
      <w:marLeft w:val="0"/>
      <w:marRight w:val="0"/>
      <w:marTop w:val="0"/>
      <w:marBottom w:val="0"/>
      <w:divBdr>
        <w:top w:val="none" w:sz="0" w:space="0" w:color="auto"/>
        <w:left w:val="none" w:sz="0" w:space="0" w:color="auto"/>
        <w:bottom w:val="none" w:sz="0" w:space="0" w:color="auto"/>
        <w:right w:val="none" w:sz="0" w:space="0" w:color="auto"/>
      </w:divBdr>
    </w:div>
    <w:div w:id="1864400587">
      <w:bodyDiv w:val="1"/>
      <w:marLeft w:val="0"/>
      <w:marRight w:val="0"/>
      <w:marTop w:val="0"/>
      <w:marBottom w:val="0"/>
      <w:divBdr>
        <w:top w:val="none" w:sz="0" w:space="0" w:color="auto"/>
        <w:left w:val="none" w:sz="0" w:space="0" w:color="auto"/>
        <w:bottom w:val="none" w:sz="0" w:space="0" w:color="auto"/>
        <w:right w:val="none" w:sz="0" w:space="0" w:color="auto"/>
      </w:divBdr>
    </w:div>
    <w:div w:id="195601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afo.eu/vehicles-and-fleet/m2-m3" TargetMode="External"/><Relationship Id="rId18" Type="http://schemas.openxmlformats.org/officeDocument/2006/relationships/chart" Target="charts/chart5.xml"/><Relationship Id="rId26" Type="http://schemas.openxmlformats.org/officeDocument/2006/relationships/image" Target="media/image8.emf"/><Relationship Id="rId39" Type="http://schemas.openxmlformats.org/officeDocument/2006/relationships/customXml" Target="../customXml/item2.xml"/><Relationship Id="rId21" Type="http://schemas.openxmlformats.org/officeDocument/2006/relationships/chart" Target="charts/chart7.xml"/><Relationship Id="rId34" Type="http://schemas.openxmlformats.org/officeDocument/2006/relationships/header" Target="header1.xml"/><Relationship Id="rId42"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s://www.dieselnet.com/standards/eu/ld.php" TargetMode="External"/><Relationship Id="rId29" Type="http://schemas.openxmlformats.org/officeDocument/2006/relationships/image" Target="media/image11.emf"/><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glossaryDocument" Target="glossary/document.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ipcc.ch/report/ar5/" TargetMode="External"/><Relationship Id="rId28" Type="http://schemas.openxmlformats.org/officeDocument/2006/relationships/image" Target="media/image10.emf"/><Relationship Id="rId36"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6.xml"/><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jpeg"/><Relationship Id="rId22" Type="http://schemas.openxmlformats.org/officeDocument/2006/relationships/chart" Target="charts/chart8.xml"/><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chart" Target="charts/chart4.xm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heicct.org/blogs/staff/brazil-not-ready-for-diesel-cars" TargetMode="External"/><Relationship Id="rId1" Type="http://schemas.openxmlformats.org/officeDocument/2006/relationships/hyperlink" Target="https://www.ipcc.ch/report/ar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urg\Documents\GHG%20Transport\WB%20Kosovo\Report\Vehicle%20emission%20sheet%20new.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urg\Documents\GHG%20Transport\WB%20Kosovo\Report\Vehicle%20emission%20sheet%20new.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urg\Documents\GHG%20Transport\WB%20Kosovo\Report\Vehicle%20emission%20sheet%20new.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urg\Documents\GHG%20Transport\WB%20Kosovo\Report\Bus%20sheet%20Kosovo.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urg\Documents\GHG%20Transport\WB%20Kosovo\Docs\data%20vehicles%20kosovo.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jurg\Documents\GHG%20Transport\WB%20Kosovo\Docs\data%20vehicles%20kosovo.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jurg\Documents\GHG%20Transport\WB%20Kosovo\Docs\data%20vehicles%20kosovo.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jurg\Documents\GHG%20Transport\WB%20Kosovo\Docs\data%20vehicles%20kosovo.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Cars!$A$6</c:f>
              <c:strCache>
                <c:ptCount val="1"/>
                <c:pt idx="0">
                  <c:v>Euro standard</c:v>
                </c:pt>
              </c:strCache>
            </c:strRef>
          </c:tx>
          <c:spPr>
            <a:solidFill>
              <a:schemeClr val="accent1"/>
            </a:solidFill>
            <a:ln>
              <a:noFill/>
            </a:ln>
            <a:effectLst/>
          </c:spPr>
          <c:invertIfNegative val="0"/>
          <c:cat>
            <c:strRef>
              <c:f>Cars!$A$8:$A$13</c:f>
              <c:strCache>
                <c:ptCount val="6"/>
                <c:pt idx="0">
                  <c:v>Euro 0</c:v>
                </c:pt>
                <c:pt idx="1">
                  <c:v>Euro 1</c:v>
                </c:pt>
                <c:pt idx="2">
                  <c:v>Euro 2</c:v>
                </c:pt>
                <c:pt idx="3">
                  <c:v>Euro 3</c:v>
                </c:pt>
                <c:pt idx="4">
                  <c:v>Euro 4</c:v>
                </c:pt>
                <c:pt idx="5">
                  <c:v>Euro 5</c:v>
                </c:pt>
              </c:strCache>
            </c:strRef>
          </c:cat>
          <c:val>
            <c:numRef>
              <c:f>Cars!$G$8:$G$13</c:f>
              <c:numCache>
                <c:formatCode>#,##0</c:formatCode>
                <c:ptCount val="6"/>
                <c:pt idx="0">
                  <c:v>9615.8752873197736</c:v>
                </c:pt>
                <c:pt idx="1">
                  <c:v>9750.6768991090212</c:v>
                </c:pt>
                <c:pt idx="2">
                  <c:v>14492.236534168338</c:v>
                </c:pt>
                <c:pt idx="3">
                  <c:v>16168.961487942519</c:v>
                </c:pt>
                <c:pt idx="4">
                  <c:v>19087.962477262743</c:v>
                </c:pt>
                <c:pt idx="5">
                  <c:v>25270.689981118627</c:v>
                </c:pt>
              </c:numCache>
            </c:numRef>
          </c:val>
          <c:extLst>
            <c:ext xmlns:c16="http://schemas.microsoft.com/office/drawing/2014/chart" uri="{C3380CC4-5D6E-409C-BE32-E72D297353CC}">
              <c16:uniqueId val="{00000000-6ECC-4A67-81F3-EC724958ADD1}"/>
            </c:ext>
          </c:extLst>
        </c:ser>
        <c:dLbls>
          <c:showLegendKey val="0"/>
          <c:showVal val="0"/>
          <c:showCatName val="0"/>
          <c:showSerName val="0"/>
          <c:showPercent val="0"/>
          <c:showBubbleSize val="0"/>
        </c:dLbls>
        <c:gapWidth val="150"/>
        <c:axId val="830848255"/>
        <c:axId val="830848583"/>
      </c:barChart>
      <c:catAx>
        <c:axId val="8308482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48583"/>
        <c:crosses val="autoZero"/>
        <c:auto val="1"/>
        <c:lblAlgn val="ctr"/>
        <c:lblOffset val="100"/>
        <c:noMultiLvlLbl val="0"/>
      </c:catAx>
      <c:valAx>
        <c:axId val="83084858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km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482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0"/>
          <c:spPr>
            <a:solidFill>
              <a:schemeClr val="accent1"/>
            </a:solidFill>
            <a:ln>
              <a:noFill/>
            </a:ln>
            <a:effectLst/>
          </c:spPr>
          <c:invertIfNegative val="0"/>
          <c:cat>
            <c:strRef>
              <c:f>Trucks!$A$32:$A$38</c:f>
              <c:strCache>
                <c:ptCount val="7"/>
                <c:pt idx="0">
                  <c:v>Pre Euro O</c:v>
                </c:pt>
                <c:pt idx="1">
                  <c:v>Euro 0</c:v>
                </c:pt>
                <c:pt idx="2">
                  <c:v>Euro I</c:v>
                </c:pt>
                <c:pt idx="3">
                  <c:v>Euro II</c:v>
                </c:pt>
                <c:pt idx="4">
                  <c:v>Euro III</c:v>
                </c:pt>
                <c:pt idx="5">
                  <c:v>Euro IV</c:v>
                </c:pt>
                <c:pt idx="6">
                  <c:v>Euro V</c:v>
                </c:pt>
              </c:strCache>
            </c:strRef>
          </c:cat>
          <c:val>
            <c:numRef>
              <c:f>Trucks!$D$32:$D$38</c:f>
              <c:numCache>
                <c:formatCode>#,##0</c:formatCode>
                <c:ptCount val="7"/>
                <c:pt idx="0">
                  <c:v>10875.156075338222</c:v>
                </c:pt>
                <c:pt idx="1">
                  <c:v>15719.49504446042</c:v>
                </c:pt>
                <c:pt idx="2">
                  <c:v>24658.980104641476</c:v>
                </c:pt>
                <c:pt idx="3">
                  <c:v>24865.270718322761</c:v>
                </c:pt>
                <c:pt idx="4">
                  <c:v>29844.890149039857</c:v>
                </c:pt>
                <c:pt idx="5">
                  <c:v>38744.756730984416</c:v>
                </c:pt>
                <c:pt idx="6">
                  <c:v>55264.114526411824</c:v>
                </c:pt>
              </c:numCache>
            </c:numRef>
          </c:val>
          <c:extLst>
            <c:ext xmlns:c16="http://schemas.microsoft.com/office/drawing/2014/chart" uri="{C3380CC4-5D6E-409C-BE32-E72D297353CC}">
              <c16:uniqueId val="{00000000-71FA-4C20-9004-EC5D0462683C}"/>
            </c:ext>
          </c:extLst>
        </c:ser>
        <c:dLbls>
          <c:showLegendKey val="0"/>
          <c:showVal val="0"/>
          <c:showCatName val="0"/>
          <c:showSerName val="0"/>
          <c:showPercent val="0"/>
          <c:showBubbleSize val="0"/>
        </c:dLbls>
        <c:gapWidth val="219"/>
        <c:overlap val="-27"/>
        <c:axId val="2050564488"/>
        <c:axId val="2050566128"/>
      </c:barChart>
      <c:catAx>
        <c:axId val="2050564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0566128"/>
        <c:crosses val="autoZero"/>
        <c:auto val="1"/>
        <c:lblAlgn val="ctr"/>
        <c:lblOffset val="100"/>
        <c:noMultiLvlLbl val="0"/>
      </c:catAx>
      <c:valAx>
        <c:axId val="2050566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km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0564488"/>
        <c:crosses val="autoZero"/>
        <c:crossBetween val="between"/>
      </c:valAx>
      <c:spPr>
        <a:noFill/>
        <a:ln w="12700">
          <a:noFill/>
        </a:ln>
        <a:effectLst/>
      </c:spPr>
    </c:plotArea>
    <c:plotVisOnly val="1"/>
    <c:dispBlanksAs val="gap"/>
    <c:showDLblsOverMax val="0"/>
  </c:chart>
  <c:spPr>
    <a:solidFill>
      <a:schemeClr val="bg1"/>
    </a:solidFill>
    <a:ln w="12700"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Emissions!$B$58</c:f>
              <c:strCache>
                <c:ptCount val="1"/>
                <c:pt idx="0">
                  <c:v>2018</c:v>
                </c:pt>
              </c:strCache>
            </c:strRef>
          </c:tx>
          <c:spPr>
            <a:solidFill>
              <a:schemeClr val="accent1"/>
            </a:solidFill>
            <a:ln>
              <a:noFill/>
            </a:ln>
            <a:effectLst/>
          </c:spPr>
          <c:invertIfNegative val="0"/>
          <c:cat>
            <c:strRef>
              <c:f>Emissions!$A$59:$A$61</c:f>
              <c:strCache>
                <c:ptCount val="3"/>
                <c:pt idx="0">
                  <c:v>PM2.5</c:v>
                </c:pt>
                <c:pt idx="1">
                  <c:v>NOx</c:v>
                </c:pt>
                <c:pt idx="2">
                  <c:v>GHG WTW incl. BC</c:v>
                </c:pt>
              </c:strCache>
            </c:strRef>
          </c:cat>
          <c:val>
            <c:numRef>
              <c:f>Emissions!$B$59:$B$61</c:f>
              <c:numCache>
                <c:formatCode>General</c:formatCode>
                <c:ptCount val="3"/>
                <c:pt idx="0">
                  <c:v>100</c:v>
                </c:pt>
                <c:pt idx="1">
                  <c:v>100</c:v>
                </c:pt>
                <c:pt idx="2">
                  <c:v>100</c:v>
                </c:pt>
              </c:numCache>
            </c:numRef>
          </c:val>
          <c:extLst>
            <c:ext xmlns:c16="http://schemas.microsoft.com/office/drawing/2014/chart" uri="{C3380CC4-5D6E-409C-BE32-E72D297353CC}">
              <c16:uniqueId val="{00000000-76FC-4BF2-8057-C03960CAB2F2}"/>
            </c:ext>
          </c:extLst>
        </c:ser>
        <c:ser>
          <c:idx val="1"/>
          <c:order val="1"/>
          <c:tx>
            <c:strRef>
              <c:f>Emissions!$C$58</c:f>
              <c:strCache>
                <c:ptCount val="1"/>
                <c:pt idx="0">
                  <c:v>2025</c:v>
                </c:pt>
              </c:strCache>
            </c:strRef>
          </c:tx>
          <c:spPr>
            <a:solidFill>
              <a:schemeClr val="accent2"/>
            </a:solidFill>
            <a:ln>
              <a:noFill/>
            </a:ln>
            <a:effectLst/>
          </c:spPr>
          <c:invertIfNegative val="0"/>
          <c:cat>
            <c:strRef>
              <c:f>Emissions!$A$59:$A$61</c:f>
              <c:strCache>
                <c:ptCount val="3"/>
                <c:pt idx="0">
                  <c:v>PM2.5</c:v>
                </c:pt>
                <c:pt idx="1">
                  <c:v>NOx</c:v>
                </c:pt>
                <c:pt idx="2">
                  <c:v>GHG WTW incl. BC</c:v>
                </c:pt>
              </c:strCache>
            </c:strRef>
          </c:cat>
          <c:val>
            <c:numRef>
              <c:f>Emissions!$C$59:$C$61</c:f>
              <c:numCache>
                <c:formatCode>0</c:formatCode>
                <c:ptCount val="3"/>
                <c:pt idx="0">
                  <c:v>97.638388255561352</c:v>
                </c:pt>
                <c:pt idx="1">
                  <c:v>131.46436824934543</c:v>
                </c:pt>
                <c:pt idx="2">
                  <c:v>155.49038997516408</c:v>
                </c:pt>
              </c:numCache>
            </c:numRef>
          </c:val>
          <c:extLst>
            <c:ext xmlns:c16="http://schemas.microsoft.com/office/drawing/2014/chart" uri="{C3380CC4-5D6E-409C-BE32-E72D297353CC}">
              <c16:uniqueId val="{00000001-76FC-4BF2-8057-C03960CAB2F2}"/>
            </c:ext>
          </c:extLst>
        </c:ser>
        <c:ser>
          <c:idx val="2"/>
          <c:order val="2"/>
          <c:tx>
            <c:strRef>
              <c:f>Emissions!$D$58</c:f>
              <c:strCache>
                <c:ptCount val="1"/>
                <c:pt idx="0">
                  <c:v>2030</c:v>
                </c:pt>
              </c:strCache>
            </c:strRef>
          </c:tx>
          <c:spPr>
            <a:solidFill>
              <a:schemeClr val="accent3"/>
            </a:solidFill>
            <a:ln>
              <a:noFill/>
            </a:ln>
            <a:effectLst/>
          </c:spPr>
          <c:invertIfNegative val="0"/>
          <c:cat>
            <c:strRef>
              <c:f>Emissions!$A$59:$A$61</c:f>
              <c:strCache>
                <c:ptCount val="3"/>
                <c:pt idx="0">
                  <c:v>PM2.5</c:v>
                </c:pt>
                <c:pt idx="1">
                  <c:v>NOx</c:v>
                </c:pt>
                <c:pt idx="2">
                  <c:v>GHG WTW incl. BC</c:v>
                </c:pt>
              </c:strCache>
            </c:strRef>
          </c:cat>
          <c:val>
            <c:numRef>
              <c:f>Emissions!$D$59:$D$61</c:f>
              <c:numCache>
                <c:formatCode>0</c:formatCode>
                <c:ptCount val="3"/>
                <c:pt idx="0">
                  <c:v>84.269329227749864</c:v>
                </c:pt>
                <c:pt idx="1">
                  <c:v>153.25915238860284</c:v>
                </c:pt>
                <c:pt idx="2">
                  <c:v>207.18638767230453</c:v>
                </c:pt>
              </c:numCache>
            </c:numRef>
          </c:val>
          <c:extLst>
            <c:ext xmlns:c16="http://schemas.microsoft.com/office/drawing/2014/chart" uri="{C3380CC4-5D6E-409C-BE32-E72D297353CC}">
              <c16:uniqueId val="{00000002-76FC-4BF2-8057-C03960CAB2F2}"/>
            </c:ext>
          </c:extLst>
        </c:ser>
        <c:dLbls>
          <c:showLegendKey val="0"/>
          <c:showVal val="0"/>
          <c:showCatName val="0"/>
          <c:showSerName val="0"/>
          <c:showPercent val="0"/>
          <c:showBubbleSize val="0"/>
        </c:dLbls>
        <c:gapWidth val="219"/>
        <c:overlap val="-27"/>
        <c:axId val="273207600"/>
        <c:axId val="273207928"/>
      </c:barChart>
      <c:catAx>
        <c:axId val="273207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3207928"/>
        <c:crosses val="autoZero"/>
        <c:auto val="1"/>
        <c:lblAlgn val="ctr"/>
        <c:lblOffset val="100"/>
        <c:noMultiLvlLbl val="0"/>
      </c:catAx>
      <c:valAx>
        <c:axId val="273207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Index</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3207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'comparison bus types'!$B$16</c:f>
              <c:strCache>
                <c:ptCount val="1"/>
                <c:pt idx="0">
                  <c:v>2 small buses</c:v>
                </c:pt>
              </c:strCache>
            </c:strRef>
          </c:tx>
          <c:spPr>
            <a:solidFill>
              <a:schemeClr val="accent1"/>
            </a:solidFill>
            <a:ln>
              <a:noFill/>
            </a:ln>
            <a:effectLst/>
          </c:spPr>
          <c:invertIfNegative val="0"/>
          <c:cat>
            <c:strRef>
              <c:f>'comparison bus types'!$A$17:$A$19</c:f>
              <c:strCache>
                <c:ptCount val="3"/>
                <c:pt idx="0">
                  <c:v>GHG emissions (WTW)</c:v>
                </c:pt>
                <c:pt idx="1">
                  <c:v>PM2.5 emissions</c:v>
                </c:pt>
                <c:pt idx="2">
                  <c:v>NOx emissions</c:v>
                </c:pt>
              </c:strCache>
            </c:strRef>
          </c:cat>
          <c:val>
            <c:numRef>
              <c:f>'comparison bus types'!$B$17:$B$19</c:f>
              <c:numCache>
                <c:formatCode>General</c:formatCode>
                <c:ptCount val="3"/>
                <c:pt idx="0">
                  <c:v>100</c:v>
                </c:pt>
                <c:pt idx="1">
                  <c:v>100</c:v>
                </c:pt>
                <c:pt idx="2">
                  <c:v>100</c:v>
                </c:pt>
              </c:numCache>
            </c:numRef>
          </c:val>
          <c:extLst>
            <c:ext xmlns:c16="http://schemas.microsoft.com/office/drawing/2014/chart" uri="{C3380CC4-5D6E-409C-BE32-E72D297353CC}">
              <c16:uniqueId val="{00000000-2FAD-45D2-B126-42BC023755B4}"/>
            </c:ext>
          </c:extLst>
        </c:ser>
        <c:ser>
          <c:idx val="1"/>
          <c:order val="1"/>
          <c:tx>
            <c:strRef>
              <c:f>'comparison bus types'!$C$16</c:f>
              <c:strCache>
                <c:ptCount val="1"/>
                <c:pt idx="0">
                  <c:v>Standard Euro VI bus</c:v>
                </c:pt>
              </c:strCache>
            </c:strRef>
          </c:tx>
          <c:spPr>
            <a:solidFill>
              <a:schemeClr val="accent2"/>
            </a:solidFill>
            <a:ln>
              <a:noFill/>
            </a:ln>
            <a:effectLst/>
          </c:spPr>
          <c:invertIfNegative val="0"/>
          <c:cat>
            <c:strRef>
              <c:f>'comparison bus types'!$A$17:$A$19</c:f>
              <c:strCache>
                <c:ptCount val="3"/>
                <c:pt idx="0">
                  <c:v>GHG emissions (WTW)</c:v>
                </c:pt>
                <c:pt idx="1">
                  <c:v>PM2.5 emissions</c:v>
                </c:pt>
                <c:pt idx="2">
                  <c:v>NOx emissions</c:v>
                </c:pt>
              </c:strCache>
            </c:strRef>
          </c:cat>
          <c:val>
            <c:numRef>
              <c:f>'comparison bus types'!$C$17:$C$19</c:f>
              <c:numCache>
                <c:formatCode>0</c:formatCode>
                <c:ptCount val="3"/>
                <c:pt idx="0">
                  <c:v>60.675335602958405</c:v>
                </c:pt>
                <c:pt idx="1">
                  <c:v>2.4096385542168672</c:v>
                </c:pt>
                <c:pt idx="2">
                  <c:v>3.5471622701838532</c:v>
                </c:pt>
              </c:numCache>
            </c:numRef>
          </c:val>
          <c:extLst>
            <c:ext xmlns:c16="http://schemas.microsoft.com/office/drawing/2014/chart" uri="{C3380CC4-5D6E-409C-BE32-E72D297353CC}">
              <c16:uniqueId val="{00000001-2FAD-45D2-B126-42BC023755B4}"/>
            </c:ext>
          </c:extLst>
        </c:ser>
        <c:dLbls>
          <c:showLegendKey val="0"/>
          <c:showVal val="0"/>
          <c:showCatName val="0"/>
          <c:showSerName val="0"/>
          <c:showPercent val="0"/>
          <c:showBubbleSize val="0"/>
        </c:dLbls>
        <c:gapWidth val="219"/>
        <c:overlap val="-27"/>
        <c:axId val="642227272"/>
        <c:axId val="642224320"/>
      </c:barChart>
      <c:catAx>
        <c:axId val="642227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2224320"/>
        <c:crosses val="autoZero"/>
        <c:auto val="1"/>
        <c:lblAlgn val="ctr"/>
        <c:lblOffset val="100"/>
        <c:noMultiLvlLbl val="0"/>
      </c:catAx>
      <c:valAx>
        <c:axId val="642224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Index</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2227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'Tax '!$A$11</c:f>
              <c:strCache>
                <c:ptCount val="1"/>
                <c:pt idx="0">
                  <c:v>age gasoline cars</c:v>
                </c:pt>
              </c:strCache>
            </c:strRef>
          </c:tx>
          <c:spPr>
            <a:ln w="28575" cap="rnd">
              <a:solidFill>
                <a:schemeClr val="accent1"/>
              </a:solidFill>
              <a:round/>
            </a:ln>
            <a:effectLst/>
          </c:spPr>
          <c:marker>
            <c:symbol val="none"/>
          </c:marker>
          <c:cat>
            <c:numRef>
              <c:f>'Tax '!$B$10:$F$10</c:f>
              <c:numCache>
                <c:formatCode>General</c:formatCode>
                <c:ptCount val="5"/>
                <c:pt idx="0">
                  <c:v>2014</c:v>
                </c:pt>
                <c:pt idx="1">
                  <c:v>2015</c:v>
                </c:pt>
                <c:pt idx="2">
                  <c:v>2016</c:v>
                </c:pt>
                <c:pt idx="3">
                  <c:v>2017</c:v>
                </c:pt>
                <c:pt idx="4">
                  <c:v>2018</c:v>
                </c:pt>
              </c:numCache>
            </c:numRef>
          </c:cat>
          <c:val>
            <c:numRef>
              <c:f>'Tax '!$B$11:$F$11</c:f>
              <c:numCache>
                <c:formatCode>General</c:formatCode>
                <c:ptCount val="5"/>
                <c:pt idx="0">
                  <c:v>9.39</c:v>
                </c:pt>
                <c:pt idx="1">
                  <c:v>10.06</c:v>
                </c:pt>
                <c:pt idx="2">
                  <c:v>10.17</c:v>
                </c:pt>
                <c:pt idx="3">
                  <c:v>11.95</c:v>
                </c:pt>
                <c:pt idx="4">
                  <c:v>5.4</c:v>
                </c:pt>
              </c:numCache>
            </c:numRef>
          </c:val>
          <c:smooth val="0"/>
          <c:extLst>
            <c:ext xmlns:c16="http://schemas.microsoft.com/office/drawing/2014/chart" uri="{C3380CC4-5D6E-409C-BE32-E72D297353CC}">
              <c16:uniqueId val="{00000000-B9DF-40AF-B3F0-5A131FFF0442}"/>
            </c:ext>
          </c:extLst>
        </c:ser>
        <c:ser>
          <c:idx val="1"/>
          <c:order val="1"/>
          <c:tx>
            <c:strRef>
              <c:f>'Tax '!$A$12</c:f>
              <c:strCache>
                <c:ptCount val="1"/>
                <c:pt idx="0">
                  <c:v>age diesel cars</c:v>
                </c:pt>
              </c:strCache>
            </c:strRef>
          </c:tx>
          <c:spPr>
            <a:ln w="28575" cap="rnd">
              <a:solidFill>
                <a:schemeClr val="accent2"/>
              </a:solidFill>
              <a:round/>
            </a:ln>
            <a:effectLst/>
          </c:spPr>
          <c:marker>
            <c:symbol val="none"/>
          </c:marker>
          <c:cat>
            <c:numRef>
              <c:f>'Tax '!$B$10:$F$10</c:f>
              <c:numCache>
                <c:formatCode>General</c:formatCode>
                <c:ptCount val="5"/>
                <c:pt idx="0">
                  <c:v>2014</c:v>
                </c:pt>
                <c:pt idx="1">
                  <c:v>2015</c:v>
                </c:pt>
                <c:pt idx="2">
                  <c:v>2016</c:v>
                </c:pt>
                <c:pt idx="3">
                  <c:v>2017</c:v>
                </c:pt>
                <c:pt idx="4">
                  <c:v>2018</c:v>
                </c:pt>
              </c:numCache>
            </c:numRef>
          </c:cat>
          <c:val>
            <c:numRef>
              <c:f>'Tax '!$B$12:$F$12</c:f>
              <c:numCache>
                <c:formatCode>General</c:formatCode>
                <c:ptCount val="5"/>
                <c:pt idx="0">
                  <c:v>8.9499999999999993</c:v>
                </c:pt>
                <c:pt idx="1">
                  <c:v>9.0299999999999994</c:v>
                </c:pt>
                <c:pt idx="2">
                  <c:v>9.6199999999999992</c:v>
                </c:pt>
                <c:pt idx="3">
                  <c:v>10.92</c:v>
                </c:pt>
                <c:pt idx="4">
                  <c:v>6.98</c:v>
                </c:pt>
              </c:numCache>
            </c:numRef>
          </c:val>
          <c:smooth val="0"/>
          <c:extLst>
            <c:ext xmlns:c16="http://schemas.microsoft.com/office/drawing/2014/chart" uri="{C3380CC4-5D6E-409C-BE32-E72D297353CC}">
              <c16:uniqueId val="{00000001-B9DF-40AF-B3F0-5A131FFF0442}"/>
            </c:ext>
          </c:extLst>
        </c:ser>
        <c:dLbls>
          <c:showLegendKey val="0"/>
          <c:showVal val="0"/>
          <c:showCatName val="0"/>
          <c:showSerName val="0"/>
          <c:showPercent val="0"/>
          <c:showBubbleSize val="0"/>
        </c:dLbls>
        <c:smooth val="0"/>
        <c:axId val="504460216"/>
        <c:axId val="504467104"/>
      </c:lineChart>
      <c:catAx>
        <c:axId val="504460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467104"/>
        <c:crosses val="autoZero"/>
        <c:auto val="1"/>
        <c:lblAlgn val="ctr"/>
        <c:lblOffset val="100"/>
        <c:noMultiLvlLbl val="0"/>
      </c:catAx>
      <c:valAx>
        <c:axId val="504467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 age in years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460216"/>
        <c:crosses val="autoZero"/>
        <c:crossBetween val="between"/>
      </c:valAx>
      <c:spPr>
        <a:noFill/>
        <a:ln>
          <a:noFill/>
        </a:ln>
        <a:effectLst/>
      </c:spPr>
    </c:plotArea>
    <c:legend>
      <c:legendPos val="b"/>
      <c:overlay val="0"/>
      <c:spPr>
        <a:noFill/>
        <a:ln w="12700">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'Tax '!$A$32</c:f>
              <c:strCache>
                <c:ptCount val="1"/>
                <c:pt idx="0">
                  <c:v>Gasoline cars</c:v>
                </c:pt>
              </c:strCache>
            </c:strRef>
          </c:tx>
          <c:spPr>
            <a:ln w="28575" cap="rnd">
              <a:solidFill>
                <a:schemeClr val="accent1"/>
              </a:solidFill>
              <a:round/>
            </a:ln>
            <a:effectLst/>
          </c:spPr>
          <c:marker>
            <c:symbol val="none"/>
          </c:marker>
          <c:cat>
            <c:numRef>
              <c:f>'Tax '!$B$31:$F$31</c:f>
              <c:numCache>
                <c:formatCode>General</c:formatCode>
                <c:ptCount val="5"/>
                <c:pt idx="0">
                  <c:v>2014</c:v>
                </c:pt>
                <c:pt idx="1">
                  <c:v>2015</c:v>
                </c:pt>
                <c:pt idx="2">
                  <c:v>2016</c:v>
                </c:pt>
                <c:pt idx="3">
                  <c:v>2017</c:v>
                </c:pt>
                <c:pt idx="4">
                  <c:v>2018</c:v>
                </c:pt>
              </c:numCache>
            </c:numRef>
          </c:cat>
          <c:val>
            <c:numRef>
              <c:f>'Tax '!$B$32:$F$32</c:f>
              <c:numCache>
                <c:formatCode>#,##0</c:formatCode>
                <c:ptCount val="5"/>
                <c:pt idx="0">
                  <c:v>2938</c:v>
                </c:pt>
                <c:pt idx="1">
                  <c:v>2835</c:v>
                </c:pt>
                <c:pt idx="2">
                  <c:v>3835</c:v>
                </c:pt>
                <c:pt idx="3">
                  <c:v>6164</c:v>
                </c:pt>
                <c:pt idx="4">
                  <c:v>2460</c:v>
                </c:pt>
              </c:numCache>
            </c:numRef>
          </c:val>
          <c:smooth val="0"/>
          <c:extLst>
            <c:ext xmlns:c16="http://schemas.microsoft.com/office/drawing/2014/chart" uri="{C3380CC4-5D6E-409C-BE32-E72D297353CC}">
              <c16:uniqueId val="{00000000-A078-4B52-9441-CE7174FCEC1E}"/>
            </c:ext>
          </c:extLst>
        </c:ser>
        <c:ser>
          <c:idx val="1"/>
          <c:order val="1"/>
          <c:tx>
            <c:strRef>
              <c:f>'Tax '!$A$33</c:f>
              <c:strCache>
                <c:ptCount val="1"/>
                <c:pt idx="0">
                  <c:v>Diesel cars</c:v>
                </c:pt>
              </c:strCache>
            </c:strRef>
          </c:tx>
          <c:spPr>
            <a:ln w="28575" cap="rnd">
              <a:solidFill>
                <a:schemeClr val="accent2"/>
              </a:solidFill>
              <a:round/>
            </a:ln>
            <a:effectLst/>
          </c:spPr>
          <c:marker>
            <c:symbol val="none"/>
          </c:marker>
          <c:cat>
            <c:numRef>
              <c:f>'Tax '!$B$31:$F$31</c:f>
              <c:numCache>
                <c:formatCode>General</c:formatCode>
                <c:ptCount val="5"/>
                <c:pt idx="0">
                  <c:v>2014</c:v>
                </c:pt>
                <c:pt idx="1">
                  <c:v>2015</c:v>
                </c:pt>
                <c:pt idx="2">
                  <c:v>2016</c:v>
                </c:pt>
                <c:pt idx="3">
                  <c:v>2017</c:v>
                </c:pt>
                <c:pt idx="4">
                  <c:v>2018</c:v>
                </c:pt>
              </c:numCache>
            </c:numRef>
          </c:cat>
          <c:val>
            <c:numRef>
              <c:f>'Tax '!$B$33:$F$33</c:f>
              <c:numCache>
                <c:formatCode>#,##0</c:formatCode>
                <c:ptCount val="5"/>
                <c:pt idx="0">
                  <c:v>14798</c:v>
                </c:pt>
                <c:pt idx="1">
                  <c:v>16371</c:v>
                </c:pt>
                <c:pt idx="2">
                  <c:v>22717</c:v>
                </c:pt>
                <c:pt idx="3">
                  <c:v>31391</c:v>
                </c:pt>
                <c:pt idx="4">
                  <c:v>18165</c:v>
                </c:pt>
              </c:numCache>
            </c:numRef>
          </c:val>
          <c:smooth val="0"/>
          <c:extLst>
            <c:ext xmlns:c16="http://schemas.microsoft.com/office/drawing/2014/chart" uri="{C3380CC4-5D6E-409C-BE32-E72D297353CC}">
              <c16:uniqueId val="{00000001-A078-4B52-9441-CE7174FCEC1E}"/>
            </c:ext>
          </c:extLst>
        </c:ser>
        <c:dLbls>
          <c:showLegendKey val="0"/>
          <c:showVal val="0"/>
          <c:showCatName val="0"/>
          <c:showSerName val="0"/>
          <c:showPercent val="0"/>
          <c:showBubbleSize val="0"/>
        </c:dLbls>
        <c:smooth val="0"/>
        <c:axId val="556590472"/>
        <c:axId val="556590800"/>
      </c:lineChart>
      <c:catAx>
        <c:axId val="556590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590800"/>
        <c:crosses val="autoZero"/>
        <c:auto val="1"/>
        <c:lblAlgn val="ctr"/>
        <c:lblOffset val="100"/>
        <c:noMultiLvlLbl val="0"/>
      </c:catAx>
      <c:valAx>
        <c:axId val="556590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 of imported cars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590472"/>
        <c:crosses val="autoZero"/>
        <c:crossBetween val="between"/>
      </c:valAx>
      <c:spPr>
        <a:noFill/>
        <a:ln>
          <a:noFill/>
        </a:ln>
        <a:effectLst/>
      </c:spPr>
    </c:plotArea>
    <c:legend>
      <c:legendPos val="b"/>
      <c:layout>
        <c:manualLayout>
          <c:xMode val="edge"/>
          <c:yMode val="edge"/>
          <c:x val="0.30539490423959015"/>
          <c:y val="0.90791015253528096"/>
          <c:w val="0.39406220510645779"/>
          <c:h val="6.793525809273841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NOx</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Emissions!$A$9</c:f>
              <c:strCache>
                <c:ptCount val="1"/>
                <c:pt idx="0">
                  <c:v>gasoline</c:v>
                </c:pt>
              </c:strCache>
            </c:strRef>
          </c:tx>
          <c:spPr>
            <a:ln w="28575" cap="rnd">
              <a:solidFill>
                <a:schemeClr val="accent1"/>
              </a:solidFill>
              <a:round/>
            </a:ln>
            <a:effectLst/>
          </c:spPr>
          <c:marker>
            <c:symbol val="none"/>
          </c:marker>
          <c:cat>
            <c:strRef>
              <c:f>Emissions!$B$8:$E$8</c:f>
              <c:strCache>
                <c:ptCount val="4"/>
                <c:pt idx="0">
                  <c:v>Euro 4</c:v>
                </c:pt>
                <c:pt idx="1">
                  <c:v>Euro 5</c:v>
                </c:pt>
                <c:pt idx="2">
                  <c:v>Euro 6</c:v>
                </c:pt>
                <c:pt idx="3">
                  <c:v>Euro 6 from 2018</c:v>
                </c:pt>
              </c:strCache>
            </c:strRef>
          </c:cat>
          <c:val>
            <c:numRef>
              <c:f>Emissions!$B$9:$E$9</c:f>
              <c:numCache>
                <c:formatCode>General</c:formatCode>
                <c:ptCount val="4"/>
                <c:pt idx="0">
                  <c:v>4.5100000000000001E-2</c:v>
                </c:pt>
                <c:pt idx="1">
                  <c:v>2.46E-2</c:v>
                </c:pt>
                <c:pt idx="2">
                  <c:v>2.7900000000000001E-2</c:v>
                </c:pt>
                <c:pt idx="3">
                  <c:v>3.0499999999999999E-2</c:v>
                </c:pt>
              </c:numCache>
            </c:numRef>
          </c:val>
          <c:smooth val="0"/>
          <c:extLst>
            <c:ext xmlns:c16="http://schemas.microsoft.com/office/drawing/2014/chart" uri="{C3380CC4-5D6E-409C-BE32-E72D297353CC}">
              <c16:uniqueId val="{00000000-C0AB-438D-9FA0-737E12E68B8C}"/>
            </c:ext>
          </c:extLst>
        </c:ser>
        <c:ser>
          <c:idx val="1"/>
          <c:order val="1"/>
          <c:tx>
            <c:strRef>
              <c:f>Emissions!$A$10</c:f>
              <c:strCache>
                <c:ptCount val="1"/>
                <c:pt idx="0">
                  <c:v>diesel</c:v>
                </c:pt>
              </c:strCache>
            </c:strRef>
          </c:tx>
          <c:spPr>
            <a:ln w="28575" cap="rnd">
              <a:solidFill>
                <a:schemeClr val="accent2"/>
              </a:solidFill>
              <a:round/>
            </a:ln>
            <a:effectLst/>
          </c:spPr>
          <c:marker>
            <c:symbol val="none"/>
          </c:marker>
          <c:cat>
            <c:strRef>
              <c:f>Emissions!$B$8:$E$8</c:f>
              <c:strCache>
                <c:ptCount val="4"/>
                <c:pt idx="0">
                  <c:v>Euro 4</c:v>
                </c:pt>
                <c:pt idx="1">
                  <c:v>Euro 5</c:v>
                </c:pt>
                <c:pt idx="2">
                  <c:v>Euro 6</c:v>
                </c:pt>
                <c:pt idx="3">
                  <c:v>Euro 6 from 2018</c:v>
                </c:pt>
              </c:strCache>
            </c:strRef>
          </c:cat>
          <c:val>
            <c:numRef>
              <c:f>Emissions!$B$10:$E$10</c:f>
              <c:numCache>
                <c:formatCode>General</c:formatCode>
                <c:ptCount val="4"/>
                <c:pt idx="0">
                  <c:v>0.47099999999999997</c:v>
                </c:pt>
                <c:pt idx="1">
                  <c:v>0.53680000000000005</c:v>
                </c:pt>
                <c:pt idx="2">
                  <c:v>0.44219999999999998</c:v>
                </c:pt>
                <c:pt idx="3">
                  <c:v>0.33779999999999999</c:v>
                </c:pt>
              </c:numCache>
            </c:numRef>
          </c:val>
          <c:smooth val="0"/>
          <c:extLst>
            <c:ext xmlns:c16="http://schemas.microsoft.com/office/drawing/2014/chart" uri="{C3380CC4-5D6E-409C-BE32-E72D297353CC}">
              <c16:uniqueId val="{00000001-C0AB-438D-9FA0-737E12E68B8C}"/>
            </c:ext>
          </c:extLst>
        </c:ser>
        <c:dLbls>
          <c:showLegendKey val="0"/>
          <c:showVal val="0"/>
          <c:showCatName val="0"/>
          <c:showSerName val="0"/>
          <c:showPercent val="0"/>
          <c:showBubbleSize val="0"/>
        </c:dLbls>
        <c:smooth val="0"/>
        <c:axId val="602501408"/>
        <c:axId val="602507312"/>
      </c:lineChart>
      <c:catAx>
        <c:axId val="60250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2507312"/>
        <c:crosses val="autoZero"/>
        <c:auto val="1"/>
        <c:lblAlgn val="ctr"/>
        <c:lblOffset val="100"/>
        <c:noMultiLvlLbl val="0"/>
      </c:catAx>
      <c:valAx>
        <c:axId val="602507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g/km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2501408"/>
        <c:crosses val="autoZero"/>
        <c:crossBetween val="between"/>
      </c:valAx>
      <c:spPr>
        <a:noFill/>
        <a:ln>
          <a:noFill/>
        </a:ln>
        <a:effectLst/>
      </c:spPr>
    </c:plotArea>
    <c:legend>
      <c:legendPos val="b"/>
      <c:layout>
        <c:manualLayout>
          <c:xMode val="edge"/>
          <c:yMode val="edge"/>
          <c:x val="0.23255298732819688"/>
          <c:y val="0.85192247122955789"/>
          <c:w val="0.53489367256512288"/>
          <c:h val="8.653906723198061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PM2.5</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Emissions!$A$14</c:f>
              <c:strCache>
                <c:ptCount val="1"/>
                <c:pt idx="0">
                  <c:v>gasoline</c:v>
                </c:pt>
              </c:strCache>
            </c:strRef>
          </c:tx>
          <c:spPr>
            <a:ln w="28575" cap="rnd">
              <a:solidFill>
                <a:schemeClr val="accent1"/>
              </a:solidFill>
              <a:round/>
            </a:ln>
            <a:effectLst/>
          </c:spPr>
          <c:marker>
            <c:symbol val="none"/>
          </c:marker>
          <c:cat>
            <c:strRef>
              <c:f>Emissions!$B$13:$E$13</c:f>
              <c:strCache>
                <c:ptCount val="4"/>
                <c:pt idx="0">
                  <c:v>Euro 4</c:v>
                </c:pt>
                <c:pt idx="1">
                  <c:v>Euro 5</c:v>
                </c:pt>
                <c:pt idx="2">
                  <c:v>Euro 6</c:v>
                </c:pt>
                <c:pt idx="3">
                  <c:v>Euro 6 from 2018</c:v>
                </c:pt>
              </c:strCache>
            </c:strRef>
          </c:cat>
          <c:val>
            <c:numRef>
              <c:f>Emissions!$B$14:$E$14</c:f>
              <c:numCache>
                <c:formatCode>General</c:formatCode>
                <c:ptCount val="4"/>
                <c:pt idx="0">
                  <c:v>8.0000000000000004E-4</c:v>
                </c:pt>
                <c:pt idx="1">
                  <c:v>1.4E-3</c:v>
                </c:pt>
                <c:pt idx="2">
                  <c:v>1.4E-3</c:v>
                </c:pt>
                <c:pt idx="3">
                  <c:v>1.6000000000000001E-3</c:v>
                </c:pt>
              </c:numCache>
            </c:numRef>
          </c:val>
          <c:smooth val="0"/>
          <c:extLst>
            <c:ext xmlns:c16="http://schemas.microsoft.com/office/drawing/2014/chart" uri="{C3380CC4-5D6E-409C-BE32-E72D297353CC}">
              <c16:uniqueId val="{00000000-D720-4810-9324-E0465EF57ADE}"/>
            </c:ext>
          </c:extLst>
        </c:ser>
        <c:ser>
          <c:idx val="1"/>
          <c:order val="1"/>
          <c:tx>
            <c:strRef>
              <c:f>Emissions!$A$15</c:f>
              <c:strCache>
                <c:ptCount val="1"/>
                <c:pt idx="0">
                  <c:v>diesel</c:v>
                </c:pt>
              </c:strCache>
            </c:strRef>
          </c:tx>
          <c:spPr>
            <a:ln w="28575" cap="rnd">
              <a:solidFill>
                <a:schemeClr val="accent2"/>
              </a:solidFill>
              <a:round/>
            </a:ln>
            <a:effectLst/>
          </c:spPr>
          <c:marker>
            <c:symbol val="none"/>
          </c:marker>
          <c:cat>
            <c:strRef>
              <c:f>Emissions!$B$13:$E$13</c:f>
              <c:strCache>
                <c:ptCount val="4"/>
                <c:pt idx="0">
                  <c:v>Euro 4</c:v>
                </c:pt>
                <c:pt idx="1">
                  <c:v>Euro 5</c:v>
                </c:pt>
                <c:pt idx="2">
                  <c:v>Euro 6</c:v>
                </c:pt>
                <c:pt idx="3">
                  <c:v>Euro 6 from 2018</c:v>
                </c:pt>
              </c:strCache>
            </c:strRef>
          </c:cat>
          <c:val>
            <c:numRef>
              <c:f>Emissions!$B$15:$E$15</c:f>
              <c:numCache>
                <c:formatCode>General</c:formatCode>
                <c:ptCount val="4"/>
                <c:pt idx="0">
                  <c:v>2.6800000000000001E-2</c:v>
                </c:pt>
                <c:pt idx="1">
                  <c:v>2.0999999999999999E-3</c:v>
                </c:pt>
                <c:pt idx="2">
                  <c:v>1.5E-3</c:v>
                </c:pt>
                <c:pt idx="3">
                  <c:v>1.5E-3</c:v>
                </c:pt>
              </c:numCache>
            </c:numRef>
          </c:val>
          <c:smooth val="0"/>
          <c:extLst>
            <c:ext xmlns:c16="http://schemas.microsoft.com/office/drawing/2014/chart" uri="{C3380CC4-5D6E-409C-BE32-E72D297353CC}">
              <c16:uniqueId val="{00000001-D720-4810-9324-E0465EF57ADE}"/>
            </c:ext>
          </c:extLst>
        </c:ser>
        <c:dLbls>
          <c:showLegendKey val="0"/>
          <c:showVal val="0"/>
          <c:showCatName val="0"/>
          <c:showSerName val="0"/>
          <c:showPercent val="0"/>
          <c:showBubbleSize val="0"/>
        </c:dLbls>
        <c:smooth val="0"/>
        <c:axId val="602481072"/>
        <c:axId val="602487304"/>
      </c:lineChart>
      <c:catAx>
        <c:axId val="60248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2487304"/>
        <c:crosses val="autoZero"/>
        <c:auto val="1"/>
        <c:lblAlgn val="ctr"/>
        <c:lblOffset val="100"/>
        <c:noMultiLvlLbl val="0"/>
      </c:catAx>
      <c:valAx>
        <c:axId val="602487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g/km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2481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2D2D5999DA4B59808915CF02EB546C"/>
        <w:category>
          <w:name w:val="General"/>
          <w:gallery w:val="placeholder"/>
        </w:category>
        <w:types>
          <w:type w:val="bbPlcHdr"/>
        </w:types>
        <w:behaviors>
          <w:behavior w:val="content"/>
        </w:behaviors>
        <w:guid w:val="{7180E7CA-DBF7-4329-A565-B6DBDC6FBE2C}"/>
      </w:docPartPr>
      <w:docPartBody>
        <w:p w:rsidR="004B41AF" w:rsidRDefault="00604AE5" w:rsidP="00604AE5">
          <w:pPr>
            <w:pStyle w:val="242D2D5999DA4B59808915CF02EB546C"/>
          </w:pPr>
          <w:r>
            <w:rPr>
              <w:caps/>
              <w:color w:val="4472C4" w:themeColor="accent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AE5"/>
    <w:rsid w:val="00022791"/>
    <w:rsid w:val="00057A4C"/>
    <w:rsid w:val="000624F9"/>
    <w:rsid w:val="00070266"/>
    <w:rsid w:val="00097125"/>
    <w:rsid w:val="000B3EF8"/>
    <w:rsid w:val="00143421"/>
    <w:rsid w:val="001617CF"/>
    <w:rsid w:val="00211427"/>
    <w:rsid w:val="002142A2"/>
    <w:rsid w:val="002749B1"/>
    <w:rsid w:val="002D12FF"/>
    <w:rsid w:val="0032151C"/>
    <w:rsid w:val="00325BD2"/>
    <w:rsid w:val="003270FC"/>
    <w:rsid w:val="00360DF9"/>
    <w:rsid w:val="003859EE"/>
    <w:rsid w:val="0039795F"/>
    <w:rsid w:val="003B5148"/>
    <w:rsid w:val="004A20EB"/>
    <w:rsid w:val="004B41AF"/>
    <w:rsid w:val="004C7390"/>
    <w:rsid w:val="00504225"/>
    <w:rsid w:val="00604AE5"/>
    <w:rsid w:val="00631A24"/>
    <w:rsid w:val="00643EE1"/>
    <w:rsid w:val="00681707"/>
    <w:rsid w:val="006A30EE"/>
    <w:rsid w:val="006A4709"/>
    <w:rsid w:val="006B515A"/>
    <w:rsid w:val="006F2539"/>
    <w:rsid w:val="00740153"/>
    <w:rsid w:val="00741962"/>
    <w:rsid w:val="00831D3D"/>
    <w:rsid w:val="008412E2"/>
    <w:rsid w:val="0093192A"/>
    <w:rsid w:val="00A42AE3"/>
    <w:rsid w:val="00A92152"/>
    <w:rsid w:val="00AD44C3"/>
    <w:rsid w:val="00AE1446"/>
    <w:rsid w:val="00B20214"/>
    <w:rsid w:val="00B42A6F"/>
    <w:rsid w:val="00B4385C"/>
    <w:rsid w:val="00B5264D"/>
    <w:rsid w:val="00B749CC"/>
    <w:rsid w:val="00C03364"/>
    <w:rsid w:val="00C57DE5"/>
    <w:rsid w:val="00C66236"/>
    <w:rsid w:val="00C8782C"/>
    <w:rsid w:val="00D01CBD"/>
    <w:rsid w:val="00DE60C4"/>
    <w:rsid w:val="00E10652"/>
    <w:rsid w:val="00E202C4"/>
    <w:rsid w:val="00E91562"/>
    <w:rsid w:val="00EE6BFB"/>
    <w:rsid w:val="00F2437F"/>
    <w:rsid w:val="00F725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2D2D5999DA4B59808915CF02EB546C">
    <w:name w:val="242D2D5999DA4B59808915CF02EB546C"/>
    <w:rsid w:val="00604AE5"/>
  </w:style>
  <w:style w:type="paragraph" w:customStyle="1" w:styleId="32CC7405EC1642F799538F6B7A43DF51">
    <w:name w:val="32CC7405EC1642F799538F6B7A43DF51"/>
    <w:rsid w:val="00604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451F23B78EA5DA41A439CEFFD6A9755A" ma:contentTypeVersion="3" ma:contentTypeDescription="" ma:contentTypeScope="" ma:versionID="a5d41ebb52a7c4b751a6a4f56baa1e3a">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4117c50-33ca-4e49-9a5c-4b51d291b3ff" ContentTypeId="0x01010054E0FEF4951F9D49A6F48A35419983C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ortOrder xmlns="b99a068c-3844-4a16-badd-77233eea0529" xsi:nil="true"/>
    <DocStatus xmlns="b99a068c-3844-4a16-badd-77233eea0529" xsi:nil="true"/>
    <DocAuthors xmlns="b99a068c-3844-4a16-badd-77233eea0529">000375267:Jing Xiong:jxiong@worldbank.org;</DocAuthors>
    <RefreshDate xmlns="b99a068c-3844-4a16-badd-77233eea0529" xsi:nil="true"/>
    <Abstract xmlns="b99a068c-3844-4a16-badd-77233eea0529" xsi:nil="true"/>
    <Authors xmlns="b99a068c-3844-4a16-badd-77233eea0529">
      <UserInfo>
        <DisplayName>i:0#.w|wb\wb375267</DisplayName>
        <AccountId>3064</AccountId>
        <AccountType/>
      </UserInfo>
      <UserInfo>
        <DisplayName/>
        <AccountId xsi:nil="true"/>
        <AccountType/>
      </UserInfo>
    </Authors>
    <SequenceNum xmlns="b99a068c-3844-4a16-badd-77233eea0529" xsi:nil="true"/>
    <Cordis_x0020_ID xmlns="b99a068c-3844-4a16-badd-77233eea0529" xsi:nil="true"/>
    <Stage xmlns="b99a068c-3844-4a16-badd-77233eea0529">IMP</Stage>
    <PolicyExceptions xmlns="b99a068c-3844-4a16-badd-77233eea0529" xsi:nil="true"/>
    <IsHidden xmlns="b99a068c-3844-4a16-badd-77233eea0529">false</IsHidden>
    <IsTemplate xmlns="b99a068c-3844-4a16-badd-77233eea0529">false</IsTemplate>
    <WBDocType xmlns="b99a068c-3844-4a16-badd-77233eea0529">Report</WBDocType>
    <DisclosedVersion xmlns="b99a068c-3844-4a16-badd-77233eea0529" xsi:nil="true"/>
    <SecurityClassification xmlns="b99a068c-3844-4a16-badd-77233eea0529">Public</SecurityClassification>
    <DeliverableID xmlns="b99a068c-3844-4a16-badd-77233eea0529">DLV0280138</DeliverableID>
    <IsMandatory xmlns="b99a068c-3844-4a16-badd-77233eea0529">false</IsMandatory>
    <DocumentAction xmlns="b99a068c-3844-4a16-badd-77233eea0529" xsi:nil="true"/>
    <ProjectID xmlns="b99a068c-3844-4a16-badd-77233eea0529">P168453</ProjectID>
    <AttachmentType xmlns="b99a068c-3844-4a16-badd-77233eea0529" xsi:nil="true"/>
    <LockStatus xmlns="b99a068c-3844-4a16-badd-77233eea0529" xsi:nil="true"/>
    <TemplateDocVersion xmlns="b99a068c-3844-4a16-badd-77233eea0529" xsi:nil="true"/>
    <DependentDoc xmlns="b99a068c-3844-4a16-badd-77233eea0529" xsi:nil="true"/>
    <ApprovedVersion xmlns="b99a068c-3844-4a16-badd-77233eea0529" xsi:nil="true"/>
    <DocumentType xmlns="b99a068c-3844-4a16-badd-77233eea0529" xsi:nil="true"/>
    <Task_x0020_ID xmlns="b99a068c-3844-4a16-badd-77233eea0529" xsi:nil="true"/>
    <Package xmlns="b99a068c-3844-4a16-badd-77233eea0529">true</Package>
    <SAPStage xmlns="b99a068c-3844-4a16-badd-77233eea0529" xsi:nil="true"/>
    <HasUserUploaded xmlns="b99a068c-3844-4a16-badd-77233eea0529">true</HasUserUploaded>
    <DocumentDate xmlns="b99a068c-3844-4a16-badd-77233eea0529">2019-06-24T04:00:00+00:00</DocumentDate>
  </documentManagement>
</p:properties>
</file>

<file path=customXml/itemProps1.xml><?xml version="1.0" encoding="utf-8"?>
<ds:datastoreItem xmlns:ds="http://schemas.openxmlformats.org/officeDocument/2006/customXml" ds:itemID="{7A824455-64D3-40A6-A5D4-809DE4FD1C2B}">
  <ds:schemaRefs>
    <ds:schemaRef ds:uri="http://schemas.openxmlformats.org/officeDocument/2006/bibliography"/>
  </ds:schemaRefs>
</ds:datastoreItem>
</file>

<file path=customXml/itemProps2.xml><?xml version="1.0" encoding="utf-8"?>
<ds:datastoreItem xmlns:ds="http://schemas.openxmlformats.org/officeDocument/2006/customXml" ds:itemID="{728F5FB3-94B8-4F47-9635-0CFCDF8D1E10}"/>
</file>

<file path=customXml/itemProps3.xml><?xml version="1.0" encoding="utf-8"?>
<ds:datastoreItem xmlns:ds="http://schemas.openxmlformats.org/officeDocument/2006/customXml" ds:itemID="{FFD49A5A-2246-4D98-8FC9-9BCD187891BF}"/>
</file>

<file path=customXml/itemProps4.xml><?xml version="1.0" encoding="utf-8"?>
<ds:datastoreItem xmlns:ds="http://schemas.openxmlformats.org/officeDocument/2006/customXml" ds:itemID="{D7AC289D-4E7A-454A-B007-F1138C2290AC}"/>
</file>

<file path=customXml/itemProps5.xml><?xml version="1.0" encoding="utf-8"?>
<ds:datastoreItem xmlns:ds="http://schemas.openxmlformats.org/officeDocument/2006/customXml" ds:itemID="{0FD512A6-B538-4D06-8EAE-6FA851C5B695}"/>
</file>

<file path=docProps/app.xml><?xml version="1.0" encoding="utf-8"?>
<Properties xmlns="http://schemas.openxmlformats.org/officeDocument/2006/extended-properties" xmlns:vt="http://schemas.openxmlformats.org/officeDocument/2006/docPropsVTypes">
  <Template>Normal.dotm</Template>
  <TotalTime>131</TotalTime>
  <Pages>42</Pages>
  <Words>12865</Words>
  <Characters>73334</Characters>
  <Application>Microsoft Office Word</Application>
  <DocSecurity>0</DocSecurity>
  <Lines>611</Lines>
  <Paragraphs>172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Kosovo: A future of green transport and clean air</vt:lpstr>
      <vt:lpstr>EV Strategy PENANG</vt:lpstr>
    </vt:vector>
  </TitlesOfParts>
  <Company/>
  <LinksUpToDate>false</LinksUpToDate>
  <CharactersWithSpaces>86027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subject/>
  <dc:creator>grutter consulting</dc:creator>
  <cp:keywords/>
  <dc:description/>
  <cp:lastModifiedBy>Jing Xiong</cp:lastModifiedBy>
  <cp:revision>31</cp:revision>
  <cp:lastPrinted>2019-04-18T15:42:00Z</cp:lastPrinted>
  <dcterms:created xsi:type="dcterms:W3CDTF">2019-06-24T13:56:00Z</dcterms:created>
  <dcterms:modified xsi:type="dcterms:W3CDTF">2019-06-24T18:44:00Z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0x01010054E0FEF4951F9D49A6F48A35419983C700451F23B78EA5DA41A439CEFFD6A9755A</vt:lpwstr>
  </property>
  <property fmtid="{D5CDD505-2E9C-101B-9397-08002B2CF9AE}" pid="3" name="RatedBy">
    <vt:lpwstr/>
  </property>
  <property fmtid="{D5CDD505-2E9C-101B-9397-08002B2CF9AE}" pid="4" name="Ratings">
    <vt:lpwstr/>
  </property>
  <property fmtid="{D5CDD505-2E9C-101B-9397-08002B2CF9AE}" pid="5" name="LikedBy">
    <vt:lpwstr/>
  </property>
</Properties>
</file>