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FA" w:rsidRPr="00C01DA5" w:rsidRDefault="00283684">
      <w:pPr>
        <w:jc w:val="center"/>
        <w:rPr>
          <w:b/>
          <w:bCs/>
        </w:rPr>
      </w:pPr>
      <w:r w:rsidRPr="00C01DA5">
        <w:rPr>
          <w:b/>
          <w:bCs/>
        </w:rPr>
        <w:t xml:space="preserve">PROGRAM </w:t>
      </w:r>
      <w:r w:rsidR="00A126FA" w:rsidRPr="00C01DA5">
        <w:rPr>
          <w:b/>
          <w:bCs/>
        </w:rPr>
        <w:t>INFORMATION DOCUMENT (PID)</w:t>
      </w:r>
    </w:p>
    <w:p w:rsidR="00A126FA" w:rsidRDefault="00A126FA">
      <w:pPr>
        <w:jc w:val="center"/>
        <w:rPr>
          <w:b/>
          <w:bCs/>
        </w:rPr>
      </w:pPr>
      <w:r w:rsidRPr="00C01DA5">
        <w:rPr>
          <w:b/>
          <w:bCs/>
        </w:rPr>
        <w:t>CONCEPT STAGE</w:t>
      </w:r>
    </w:p>
    <w:p w:rsidR="00E42895" w:rsidRPr="00C01DA5" w:rsidRDefault="00E42895">
      <w:pPr>
        <w:jc w:val="center"/>
        <w:rPr>
          <w:b/>
          <w:bCs/>
        </w:rPr>
      </w:pPr>
    </w:p>
    <w:p w:rsidR="00283684" w:rsidRDefault="0096376D" w:rsidP="00C67E15">
      <w:pPr>
        <w:jc w:val="right"/>
      </w:pPr>
      <w:r w:rsidRPr="00C01DA5">
        <w:t xml:space="preserve">September </w:t>
      </w:r>
      <w:r w:rsidR="000F300A">
        <w:t>1</w:t>
      </w:r>
      <w:bookmarkStart w:id="0" w:name="_GoBack"/>
      <w:bookmarkEnd w:id="0"/>
      <w:r w:rsidR="00CF47A2">
        <w:t>5</w:t>
      </w:r>
      <w:r w:rsidRPr="00C01DA5">
        <w:t>, 2014</w:t>
      </w:r>
    </w:p>
    <w:p w:rsidR="00690DA9" w:rsidRDefault="00690DA9" w:rsidP="00E42895">
      <w:pPr>
        <w:tabs>
          <w:tab w:val="left" w:pos="6210"/>
          <w:tab w:val="left" w:pos="7290"/>
        </w:tabs>
        <w:jc w:val="right"/>
      </w:pPr>
      <w:bookmarkStart w:id="1" w:name="ReportNo"/>
      <w:r>
        <w:tab/>
      </w:r>
      <w:r>
        <w:tab/>
        <w:t>Report No.</w:t>
      </w:r>
      <w:r w:rsidR="00E42895">
        <w:t>:</w:t>
      </w:r>
      <w:r>
        <w:t xml:space="preserve"> </w:t>
      </w:r>
      <w:r w:rsidR="00A9293D" w:rsidRPr="00C01DA5">
        <w:t>AB7617</w:t>
      </w:r>
      <w:bookmarkEnd w:id="1"/>
      <w:r>
        <w:t xml:space="preserve"> </w:t>
      </w:r>
    </w:p>
    <w:p w:rsidR="00690DA9" w:rsidRDefault="00690DA9" w:rsidP="00690DA9">
      <w:pPr>
        <w:tabs>
          <w:tab w:val="left" w:pos="6210"/>
          <w:tab w:val="left" w:pos="7380"/>
        </w:tabs>
        <w:jc w:val="right"/>
      </w:pPr>
    </w:p>
    <w:p w:rsidR="0096376D" w:rsidRPr="00C01DA5" w:rsidRDefault="0096376D">
      <w:pPr>
        <w:jc w:val="center"/>
        <w:rPr>
          <w:b/>
          <w:bCs/>
          <w:i/>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1D607D" w:rsidRPr="00C01DA5" w:rsidTr="009835DC">
        <w:tc>
          <w:tcPr>
            <w:tcW w:w="3420" w:type="dxa"/>
            <w:tcBorders>
              <w:top w:val="single" w:sz="4" w:space="0" w:color="auto"/>
              <w:left w:val="single" w:sz="4" w:space="0" w:color="auto"/>
              <w:bottom w:val="single" w:sz="4" w:space="0" w:color="auto"/>
              <w:right w:val="single" w:sz="4" w:space="0" w:color="auto"/>
            </w:tcBorders>
          </w:tcPr>
          <w:p w:rsidR="001D607D" w:rsidRPr="00C01DA5" w:rsidRDefault="001D607D" w:rsidP="009835DC">
            <w:pPr>
              <w:rPr>
                <w:b/>
                <w:bCs/>
              </w:rPr>
            </w:pPr>
            <w:r w:rsidRPr="00C01DA5">
              <w:rPr>
                <w:b/>
                <w:bCs/>
              </w:rPr>
              <w:t>Operation Name</w:t>
            </w:r>
          </w:p>
        </w:tc>
        <w:tc>
          <w:tcPr>
            <w:tcW w:w="6120" w:type="dxa"/>
            <w:tcBorders>
              <w:top w:val="single" w:sz="4" w:space="0" w:color="auto"/>
              <w:left w:val="single" w:sz="4" w:space="0" w:color="auto"/>
              <w:bottom w:val="single" w:sz="4" w:space="0" w:color="auto"/>
              <w:right w:val="single" w:sz="4" w:space="0" w:color="auto"/>
            </w:tcBorders>
          </w:tcPr>
          <w:p w:rsidR="001D607D" w:rsidRPr="00C01DA5" w:rsidRDefault="00DF2BFF" w:rsidP="00DF2BFF">
            <w:pPr>
              <w:pStyle w:val="CM15"/>
              <w:spacing w:after="120"/>
            </w:pPr>
            <w:r w:rsidRPr="00C01DA5">
              <w:rPr>
                <w:color w:val="000000"/>
              </w:rPr>
              <w:t xml:space="preserve">ENHANCING FISCAL MANAGEMENT, SOCIAL PROTECTION AND FINANCIAL INCLUSION </w:t>
            </w:r>
            <w:r w:rsidRPr="00C01DA5">
              <w:t>DPL - DDO</w:t>
            </w:r>
          </w:p>
        </w:tc>
      </w:tr>
      <w:tr w:rsidR="001D607D" w:rsidRPr="00C01DA5" w:rsidTr="009835DC">
        <w:tc>
          <w:tcPr>
            <w:tcW w:w="3420" w:type="dxa"/>
            <w:tcBorders>
              <w:top w:val="single" w:sz="4" w:space="0" w:color="auto"/>
              <w:left w:val="single" w:sz="4" w:space="0" w:color="auto"/>
              <w:bottom w:val="single" w:sz="4" w:space="0" w:color="auto"/>
              <w:right w:val="single" w:sz="4" w:space="0" w:color="auto"/>
            </w:tcBorders>
          </w:tcPr>
          <w:p w:rsidR="001D607D" w:rsidRPr="00C01DA5" w:rsidRDefault="001D607D" w:rsidP="009835DC">
            <w:pPr>
              <w:rPr>
                <w:b/>
                <w:bCs/>
              </w:rPr>
            </w:pPr>
            <w:r w:rsidRPr="00C01DA5">
              <w:rPr>
                <w:b/>
                <w:bCs/>
              </w:rPr>
              <w:t>Region</w:t>
            </w:r>
          </w:p>
        </w:tc>
        <w:tc>
          <w:tcPr>
            <w:tcW w:w="6120" w:type="dxa"/>
            <w:tcBorders>
              <w:top w:val="single" w:sz="4" w:space="0" w:color="auto"/>
              <w:left w:val="single" w:sz="4" w:space="0" w:color="auto"/>
              <w:bottom w:val="single" w:sz="4" w:space="0" w:color="auto"/>
              <w:right w:val="single" w:sz="4" w:space="0" w:color="auto"/>
            </w:tcBorders>
          </w:tcPr>
          <w:p w:rsidR="001D607D" w:rsidRPr="00C01DA5" w:rsidRDefault="00A9293D" w:rsidP="009835DC">
            <w:bookmarkStart w:id="2" w:name="REGION"/>
            <w:r w:rsidRPr="00C01DA5">
              <w:t>LATIN AMERICA AND CARIBBEAN</w:t>
            </w:r>
            <w:bookmarkEnd w:id="2"/>
          </w:p>
        </w:tc>
      </w:tr>
      <w:tr w:rsidR="001D607D" w:rsidRPr="00C01DA5" w:rsidTr="009835DC">
        <w:tc>
          <w:tcPr>
            <w:tcW w:w="3420" w:type="dxa"/>
            <w:tcBorders>
              <w:top w:val="single" w:sz="4" w:space="0" w:color="auto"/>
              <w:left w:val="single" w:sz="4" w:space="0" w:color="auto"/>
              <w:bottom w:val="single" w:sz="4" w:space="0" w:color="auto"/>
              <w:right w:val="single" w:sz="4" w:space="0" w:color="auto"/>
            </w:tcBorders>
          </w:tcPr>
          <w:p w:rsidR="001D607D" w:rsidRPr="00C01DA5" w:rsidRDefault="001D607D" w:rsidP="009835DC">
            <w:pPr>
              <w:rPr>
                <w:b/>
                <w:bCs/>
              </w:rPr>
            </w:pPr>
            <w:r w:rsidRPr="00C01DA5">
              <w:rPr>
                <w:b/>
                <w:bCs/>
              </w:rPr>
              <w:t>Country</w:t>
            </w:r>
          </w:p>
        </w:tc>
        <w:tc>
          <w:tcPr>
            <w:tcW w:w="6120" w:type="dxa"/>
            <w:tcBorders>
              <w:top w:val="single" w:sz="4" w:space="0" w:color="auto"/>
              <w:left w:val="single" w:sz="4" w:space="0" w:color="auto"/>
              <w:bottom w:val="single" w:sz="4" w:space="0" w:color="auto"/>
              <w:right w:val="single" w:sz="4" w:space="0" w:color="auto"/>
            </w:tcBorders>
          </w:tcPr>
          <w:p w:rsidR="001D607D" w:rsidRPr="00C01DA5" w:rsidRDefault="00A9293D" w:rsidP="009835DC">
            <w:bookmarkStart w:id="3" w:name="COUNTRY"/>
            <w:r w:rsidRPr="00C01DA5">
              <w:t>Paraguay</w:t>
            </w:r>
            <w:bookmarkEnd w:id="3"/>
          </w:p>
        </w:tc>
      </w:tr>
      <w:tr w:rsidR="001D607D" w:rsidRPr="00C01DA5" w:rsidTr="009835DC">
        <w:tc>
          <w:tcPr>
            <w:tcW w:w="3420" w:type="dxa"/>
            <w:tcBorders>
              <w:top w:val="single" w:sz="4" w:space="0" w:color="auto"/>
              <w:left w:val="single" w:sz="4" w:space="0" w:color="auto"/>
              <w:bottom w:val="single" w:sz="4" w:space="0" w:color="auto"/>
              <w:right w:val="single" w:sz="4" w:space="0" w:color="auto"/>
            </w:tcBorders>
          </w:tcPr>
          <w:p w:rsidR="001D607D" w:rsidRPr="00C01DA5" w:rsidRDefault="001D607D" w:rsidP="009835DC">
            <w:pPr>
              <w:rPr>
                <w:b/>
                <w:bCs/>
              </w:rPr>
            </w:pPr>
            <w:r w:rsidRPr="00C01DA5">
              <w:rPr>
                <w:b/>
                <w:bCs/>
              </w:rPr>
              <w:t>Sector</w:t>
            </w:r>
          </w:p>
        </w:tc>
        <w:tc>
          <w:tcPr>
            <w:tcW w:w="6120" w:type="dxa"/>
            <w:tcBorders>
              <w:top w:val="single" w:sz="4" w:space="0" w:color="auto"/>
              <w:left w:val="single" w:sz="4" w:space="0" w:color="auto"/>
              <w:bottom w:val="single" w:sz="4" w:space="0" w:color="auto"/>
              <w:right w:val="single" w:sz="4" w:space="0" w:color="auto"/>
            </w:tcBorders>
          </w:tcPr>
          <w:p w:rsidR="001D607D" w:rsidRPr="00C01DA5" w:rsidRDefault="00A9293D" w:rsidP="009835DC">
            <w:bookmarkStart w:id="4" w:name="SECTOR"/>
            <w:r w:rsidRPr="00C01DA5">
              <w:t>Payments, settlements, and remittance systems (20%);</w:t>
            </w:r>
            <w:r w:rsidR="009E7456" w:rsidRPr="00C01DA5">
              <w:t xml:space="preserve"> </w:t>
            </w:r>
            <w:r w:rsidRPr="00C01DA5">
              <w:t>General public administration sector (30%)</w:t>
            </w:r>
            <w:proofErr w:type="gramStart"/>
            <w:r w:rsidRPr="00C01DA5">
              <w:t>;Central</w:t>
            </w:r>
            <w:proofErr w:type="gramEnd"/>
            <w:r w:rsidRPr="00C01DA5">
              <w:t xml:space="preserve"> government administration (30%);Microfinance (20%)</w:t>
            </w:r>
            <w:bookmarkEnd w:id="4"/>
          </w:p>
        </w:tc>
      </w:tr>
      <w:tr w:rsidR="001D607D" w:rsidRPr="00C01DA5" w:rsidTr="009835DC">
        <w:tc>
          <w:tcPr>
            <w:tcW w:w="3420" w:type="dxa"/>
            <w:tcBorders>
              <w:top w:val="single" w:sz="4" w:space="0" w:color="auto"/>
              <w:left w:val="single" w:sz="4" w:space="0" w:color="auto"/>
              <w:bottom w:val="single" w:sz="4" w:space="0" w:color="auto"/>
              <w:right w:val="single" w:sz="4" w:space="0" w:color="auto"/>
            </w:tcBorders>
          </w:tcPr>
          <w:p w:rsidR="001D607D" w:rsidRPr="00C01DA5" w:rsidRDefault="001D607D" w:rsidP="009835DC">
            <w:pPr>
              <w:rPr>
                <w:b/>
                <w:bCs/>
              </w:rPr>
            </w:pPr>
            <w:r w:rsidRPr="00C01DA5">
              <w:rPr>
                <w:b/>
                <w:bCs/>
              </w:rPr>
              <w:t>Operation ID</w:t>
            </w:r>
          </w:p>
        </w:tc>
        <w:tc>
          <w:tcPr>
            <w:tcW w:w="6120" w:type="dxa"/>
            <w:tcBorders>
              <w:top w:val="single" w:sz="4" w:space="0" w:color="auto"/>
              <w:left w:val="single" w:sz="4" w:space="0" w:color="auto"/>
              <w:bottom w:val="single" w:sz="4" w:space="0" w:color="auto"/>
              <w:right w:val="single" w:sz="4" w:space="0" w:color="auto"/>
            </w:tcBorders>
          </w:tcPr>
          <w:p w:rsidR="001D607D" w:rsidRPr="00C01DA5" w:rsidRDefault="00A9293D" w:rsidP="009835DC">
            <w:bookmarkStart w:id="5" w:name="PROJECTCODE"/>
            <w:r w:rsidRPr="00C01DA5">
              <w:t>P151007</w:t>
            </w:r>
            <w:bookmarkEnd w:id="5"/>
          </w:p>
        </w:tc>
      </w:tr>
      <w:tr w:rsidR="001D607D" w:rsidRPr="00C01DA5" w:rsidTr="009835DC">
        <w:tc>
          <w:tcPr>
            <w:tcW w:w="3420" w:type="dxa"/>
            <w:tcBorders>
              <w:top w:val="single" w:sz="4" w:space="0" w:color="auto"/>
              <w:left w:val="single" w:sz="4" w:space="0" w:color="auto"/>
              <w:bottom w:val="single" w:sz="4" w:space="0" w:color="auto"/>
              <w:right w:val="single" w:sz="4" w:space="0" w:color="auto"/>
            </w:tcBorders>
          </w:tcPr>
          <w:p w:rsidR="001D607D" w:rsidRPr="00C01DA5" w:rsidRDefault="001D607D" w:rsidP="009835DC">
            <w:pPr>
              <w:rPr>
                <w:b/>
                <w:bCs/>
              </w:rPr>
            </w:pPr>
            <w:r w:rsidRPr="00C01DA5">
              <w:rPr>
                <w:b/>
                <w:bCs/>
              </w:rPr>
              <w:t>Lending Instrument</w:t>
            </w:r>
          </w:p>
        </w:tc>
        <w:tc>
          <w:tcPr>
            <w:tcW w:w="6120" w:type="dxa"/>
            <w:tcBorders>
              <w:top w:val="single" w:sz="4" w:space="0" w:color="auto"/>
              <w:left w:val="single" w:sz="4" w:space="0" w:color="auto"/>
              <w:bottom w:val="single" w:sz="4" w:space="0" w:color="auto"/>
              <w:right w:val="single" w:sz="4" w:space="0" w:color="auto"/>
            </w:tcBorders>
          </w:tcPr>
          <w:p w:rsidR="001D607D" w:rsidRPr="00C01DA5" w:rsidRDefault="00A9293D" w:rsidP="009835DC">
            <w:bookmarkStart w:id="6" w:name="INSTR_NAME"/>
            <w:r w:rsidRPr="00C01DA5">
              <w:t>Development Policy Lending</w:t>
            </w:r>
            <w:bookmarkEnd w:id="6"/>
          </w:p>
        </w:tc>
      </w:tr>
      <w:tr w:rsidR="001D607D" w:rsidRPr="00C01DA5" w:rsidTr="009835DC">
        <w:tc>
          <w:tcPr>
            <w:tcW w:w="3420" w:type="dxa"/>
            <w:tcBorders>
              <w:top w:val="single" w:sz="4" w:space="0" w:color="auto"/>
              <w:left w:val="single" w:sz="4" w:space="0" w:color="auto"/>
              <w:bottom w:val="single" w:sz="4" w:space="0" w:color="auto"/>
              <w:right w:val="single" w:sz="4" w:space="0" w:color="auto"/>
            </w:tcBorders>
          </w:tcPr>
          <w:p w:rsidR="001D607D" w:rsidRPr="00C01DA5" w:rsidRDefault="001D607D" w:rsidP="009835DC">
            <w:pPr>
              <w:rPr>
                <w:b/>
                <w:bCs/>
              </w:rPr>
            </w:pPr>
            <w:r w:rsidRPr="00C01DA5">
              <w:rPr>
                <w:b/>
                <w:bCs/>
              </w:rPr>
              <w:t>Borrower(s)</w:t>
            </w:r>
          </w:p>
        </w:tc>
        <w:tc>
          <w:tcPr>
            <w:tcW w:w="6120" w:type="dxa"/>
            <w:tcBorders>
              <w:top w:val="single" w:sz="4" w:space="0" w:color="auto"/>
              <w:left w:val="single" w:sz="4" w:space="0" w:color="auto"/>
              <w:bottom w:val="single" w:sz="4" w:space="0" w:color="auto"/>
              <w:right w:val="single" w:sz="4" w:space="0" w:color="auto"/>
            </w:tcBorders>
          </w:tcPr>
          <w:p w:rsidR="001D607D" w:rsidRPr="00C01DA5" w:rsidRDefault="00152A94" w:rsidP="009835DC">
            <w:bookmarkStart w:id="7" w:name="BORROWERNAME"/>
            <w:bookmarkEnd w:id="7"/>
            <w:r>
              <w:t>Republic of Paraguay</w:t>
            </w:r>
          </w:p>
        </w:tc>
      </w:tr>
      <w:tr w:rsidR="001D607D" w:rsidRPr="00C01DA5" w:rsidTr="009835DC">
        <w:trPr>
          <w:trHeight w:val="140"/>
        </w:trPr>
        <w:tc>
          <w:tcPr>
            <w:tcW w:w="3420" w:type="dxa"/>
            <w:tcBorders>
              <w:top w:val="single" w:sz="4" w:space="0" w:color="auto"/>
              <w:left w:val="single" w:sz="4" w:space="0" w:color="auto"/>
              <w:bottom w:val="nil"/>
              <w:right w:val="single" w:sz="4" w:space="0" w:color="auto"/>
            </w:tcBorders>
          </w:tcPr>
          <w:p w:rsidR="001D607D" w:rsidRPr="00C01DA5" w:rsidRDefault="001D607D" w:rsidP="009835DC">
            <w:pPr>
              <w:rPr>
                <w:b/>
                <w:bCs/>
              </w:rPr>
            </w:pPr>
            <w:r w:rsidRPr="00C01DA5">
              <w:rPr>
                <w:b/>
                <w:bCs/>
              </w:rPr>
              <w:t>Implementing Agency</w:t>
            </w:r>
          </w:p>
        </w:tc>
        <w:tc>
          <w:tcPr>
            <w:tcW w:w="6120" w:type="dxa"/>
            <w:tcBorders>
              <w:top w:val="single" w:sz="4" w:space="0" w:color="auto"/>
              <w:left w:val="single" w:sz="4" w:space="0" w:color="auto"/>
              <w:bottom w:val="nil"/>
              <w:right w:val="single" w:sz="4" w:space="0" w:color="auto"/>
            </w:tcBorders>
          </w:tcPr>
          <w:p w:rsidR="001D607D" w:rsidRPr="00C01DA5" w:rsidRDefault="00152A94" w:rsidP="009835DC">
            <w:bookmarkStart w:id="8" w:name="IMPLEMENTINGAGENCY"/>
            <w:bookmarkEnd w:id="8"/>
            <w:r>
              <w:t>Ministry of Finance</w:t>
            </w:r>
          </w:p>
        </w:tc>
      </w:tr>
      <w:tr w:rsidR="001D607D" w:rsidRPr="00C01DA5" w:rsidTr="009835DC">
        <w:tc>
          <w:tcPr>
            <w:tcW w:w="3420" w:type="dxa"/>
            <w:tcBorders>
              <w:top w:val="single" w:sz="4" w:space="0" w:color="auto"/>
              <w:left w:val="single" w:sz="4" w:space="0" w:color="auto"/>
              <w:bottom w:val="single" w:sz="4" w:space="0" w:color="auto"/>
              <w:right w:val="single" w:sz="4" w:space="0" w:color="auto"/>
            </w:tcBorders>
          </w:tcPr>
          <w:p w:rsidR="001D607D" w:rsidRPr="00C01DA5" w:rsidRDefault="001D607D" w:rsidP="009835DC">
            <w:pPr>
              <w:rPr>
                <w:b/>
                <w:bCs/>
              </w:rPr>
            </w:pPr>
            <w:r w:rsidRPr="00C01DA5">
              <w:rPr>
                <w:b/>
                <w:bCs/>
              </w:rPr>
              <w:t>Date PID Prepared</w:t>
            </w:r>
          </w:p>
        </w:tc>
        <w:tc>
          <w:tcPr>
            <w:tcW w:w="6120" w:type="dxa"/>
            <w:tcBorders>
              <w:top w:val="single" w:sz="4" w:space="0" w:color="auto"/>
              <w:left w:val="single" w:sz="4" w:space="0" w:color="auto"/>
              <w:bottom w:val="single" w:sz="4" w:space="0" w:color="auto"/>
              <w:right w:val="single" w:sz="4" w:space="0" w:color="auto"/>
            </w:tcBorders>
          </w:tcPr>
          <w:p w:rsidR="001D607D" w:rsidRPr="00C01DA5" w:rsidRDefault="00A9293D" w:rsidP="009835DC">
            <w:bookmarkStart w:id="9" w:name="DATEPREPARED"/>
            <w:r w:rsidRPr="00C01DA5">
              <w:t>July 23, 2014</w:t>
            </w:r>
            <w:bookmarkEnd w:id="9"/>
          </w:p>
        </w:tc>
      </w:tr>
      <w:tr w:rsidR="001D607D" w:rsidRPr="00C01DA5" w:rsidTr="009835DC">
        <w:tc>
          <w:tcPr>
            <w:tcW w:w="3420" w:type="dxa"/>
            <w:tcBorders>
              <w:top w:val="single" w:sz="4" w:space="0" w:color="auto"/>
              <w:left w:val="single" w:sz="4" w:space="0" w:color="auto"/>
              <w:bottom w:val="single" w:sz="4" w:space="0" w:color="auto"/>
              <w:right w:val="single" w:sz="4" w:space="0" w:color="auto"/>
            </w:tcBorders>
          </w:tcPr>
          <w:p w:rsidR="001D607D" w:rsidRPr="00C01DA5" w:rsidRDefault="001D607D" w:rsidP="009835DC">
            <w:pPr>
              <w:rPr>
                <w:b/>
                <w:bCs/>
              </w:rPr>
            </w:pPr>
            <w:r w:rsidRPr="00C01DA5">
              <w:rPr>
                <w:b/>
                <w:bCs/>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1D607D" w:rsidRPr="00C01DA5" w:rsidRDefault="001D607D" w:rsidP="009835DC">
            <w:bookmarkStart w:id="10" w:name="APPRAISALDATE"/>
            <w:bookmarkEnd w:id="10"/>
          </w:p>
        </w:tc>
      </w:tr>
      <w:tr w:rsidR="001D607D" w:rsidRPr="00C01DA5" w:rsidTr="009835DC">
        <w:tc>
          <w:tcPr>
            <w:tcW w:w="3420" w:type="dxa"/>
            <w:tcBorders>
              <w:top w:val="single" w:sz="4" w:space="0" w:color="auto"/>
              <w:left w:val="single" w:sz="4" w:space="0" w:color="auto"/>
              <w:bottom w:val="single" w:sz="4" w:space="0" w:color="auto"/>
              <w:right w:val="single" w:sz="4" w:space="0" w:color="auto"/>
            </w:tcBorders>
          </w:tcPr>
          <w:p w:rsidR="001D607D" w:rsidRPr="00C01DA5" w:rsidRDefault="001D607D" w:rsidP="009835DC">
            <w:pPr>
              <w:rPr>
                <w:b/>
                <w:bCs/>
              </w:rPr>
            </w:pPr>
            <w:r w:rsidRPr="00C01DA5">
              <w:rPr>
                <w:b/>
                <w:bCs/>
              </w:rPr>
              <w:t>Estimated Date of Board Approval</w:t>
            </w:r>
          </w:p>
        </w:tc>
        <w:tc>
          <w:tcPr>
            <w:tcW w:w="6120" w:type="dxa"/>
            <w:tcBorders>
              <w:top w:val="single" w:sz="4" w:space="0" w:color="auto"/>
              <w:left w:val="single" w:sz="4" w:space="0" w:color="auto"/>
              <w:bottom w:val="single" w:sz="4" w:space="0" w:color="auto"/>
              <w:right w:val="single" w:sz="4" w:space="0" w:color="auto"/>
            </w:tcBorders>
          </w:tcPr>
          <w:p w:rsidR="001D607D" w:rsidRPr="00C01DA5" w:rsidRDefault="00A9293D" w:rsidP="009835DC">
            <w:bookmarkStart w:id="11" w:name="BOARDAPPROVALDATE"/>
            <w:r w:rsidRPr="00C01DA5">
              <w:t>October 21, 2014</w:t>
            </w:r>
            <w:bookmarkEnd w:id="11"/>
          </w:p>
        </w:tc>
      </w:tr>
      <w:tr w:rsidR="001D607D" w:rsidRPr="00C01DA5" w:rsidTr="009835DC">
        <w:tc>
          <w:tcPr>
            <w:tcW w:w="3420" w:type="dxa"/>
            <w:tcBorders>
              <w:top w:val="single" w:sz="4" w:space="0" w:color="auto"/>
              <w:left w:val="single" w:sz="4" w:space="0" w:color="auto"/>
              <w:bottom w:val="single" w:sz="4" w:space="0" w:color="auto"/>
              <w:right w:val="single" w:sz="4" w:space="0" w:color="auto"/>
            </w:tcBorders>
          </w:tcPr>
          <w:p w:rsidR="001D607D" w:rsidRPr="00C01DA5" w:rsidRDefault="001D607D" w:rsidP="009835DC">
            <w:pPr>
              <w:rPr>
                <w:b/>
                <w:bCs/>
              </w:rPr>
            </w:pPr>
            <w:r w:rsidRPr="00C01DA5">
              <w:rPr>
                <w:b/>
                <w:bCs/>
              </w:rPr>
              <w:t>Corporate Review Decision</w:t>
            </w:r>
          </w:p>
        </w:tc>
        <w:tc>
          <w:tcPr>
            <w:tcW w:w="6120" w:type="dxa"/>
            <w:tcBorders>
              <w:top w:val="single" w:sz="4" w:space="0" w:color="auto"/>
              <w:left w:val="single" w:sz="4" w:space="0" w:color="auto"/>
              <w:bottom w:val="single" w:sz="4" w:space="0" w:color="auto"/>
              <w:right w:val="single" w:sz="4" w:space="0" w:color="auto"/>
            </w:tcBorders>
          </w:tcPr>
          <w:p w:rsidR="001D607D" w:rsidRPr="00C01DA5" w:rsidRDefault="001D607D" w:rsidP="009835DC">
            <w:pPr>
              <w:rPr>
                <w:i/>
                <w:u w:val="single"/>
              </w:rPr>
            </w:pPr>
            <w:r w:rsidRPr="00C01DA5">
              <w:t>Following the corporate review, the decision was taken to proceed with the preparation of the operation.</w:t>
            </w:r>
            <w:r w:rsidRPr="00C01DA5">
              <w:rPr>
                <w:i/>
                <w:u w:val="single"/>
              </w:rPr>
              <w:t xml:space="preserve"> </w:t>
            </w:r>
          </w:p>
        </w:tc>
      </w:tr>
    </w:tbl>
    <w:p w:rsidR="003D21D2" w:rsidRPr="003D21D2" w:rsidRDefault="003D21D2" w:rsidP="003D21D2">
      <w:pPr>
        <w:ind w:left="720"/>
        <w:rPr>
          <w:b/>
          <w:i/>
        </w:rPr>
      </w:pPr>
    </w:p>
    <w:p w:rsidR="00671A99" w:rsidRPr="00C01DA5" w:rsidRDefault="00671A99" w:rsidP="00671A99">
      <w:pPr>
        <w:numPr>
          <w:ilvl w:val="0"/>
          <w:numId w:val="24"/>
        </w:numPr>
        <w:rPr>
          <w:b/>
          <w:i/>
        </w:rPr>
      </w:pPr>
      <w:r w:rsidRPr="00C01DA5">
        <w:rPr>
          <w:b/>
        </w:rPr>
        <w:t xml:space="preserve">Key development issues and rationale for Bank involvement </w:t>
      </w:r>
    </w:p>
    <w:p w:rsidR="009E7456" w:rsidRPr="00C01DA5" w:rsidRDefault="009E7456" w:rsidP="009E7456">
      <w:pPr>
        <w:pStyle w:val="Style1"/>
        <w:numPr>
          <w:ilvl w:val="0"/>
          <w:numId w:val="0"/>
        </w:numPr>
        <w:tabs>
          <w:tab w:val="num" w:pos="720"/>
        </w:tabs>
        <w:overflowPunct/>
        <w:autoSpaceDE/>
        <w:autoSpaceDN/>
        <w:adjustRightInd/>
        <w:spacing w:after="120"/>
        <w:textAlignment w:val="auto"/>
        <w:rPr>
          <w:szCs w:val="24"/>
        </w:rPr>
      </w:pPr>
      <w:r w:rsidRPr="00C01DA5">
        <w:rPr>
          <w:szCs w:val="24"/>
        </w:rPr>
        <w:t xml:space="preserve">Over the last decade, Paraguay has improved its economic performance. After almost two decades of economic stagnation and instability, Paraguay’s average annual GDP growth rate exceeded 4.5 percent, between 2003 and 2013. As a result, per capita GDP grew by 33 percent in the same period. </w:t>
      </w:r>
    </w:p>
    <w:p w:rsidR="00FF23CF" w:rsidRPr="00C01DA5" w:rsidRDefault="009E7456" w:rsidP="009E7456">
      <w:pPr>
        <w:pStyle w:val="Style1"/>
        <w:numPr>
          <w:ilvl w:val="0"/>
          <w:numId w:val="0"/>
        </w:numPr>
        <w:tabs>
          <w:tab w:val="num" w:pos="720"/>
        </w:tabs>
        <w:overflowPunct/>
        <w:autoSpaceDE/>
        <w:autoSpaceDN/>
        <w:adjustRightInd/>
        <w:spacing w:after="120"/>
        <w:textAlignment w:val="auto"/>
        <w:rPr>
          <w:i/>
          <w:szCs w:val="24"/>
        </w:rPr>
      </w:pPr>
      <w:r w:rsidRPr="00C01DA5">
        <w:rPr>
          <w:szCs w:val="24"/>
        </w:rPr>
        <w:t>The poverty impacts of improved good economic growth and stability performance have intensified in the last three years. Moderate poverty declined sharply in 2003</w:t>
      </w:r>
      <w:r w:rsidR="00543158" w:rsidRPr="00C01DA5">
        <w:rPr>
          <w:bCs/>
          <w:szCs w:val="24"/>
        </w:rPr>
        <w:t>–</w:t>
      </w:r>
      <w:r w:rsidRPr="00C01DA5">
        <w:rPr>
          <w:szCs w:val="24"/>
        </w:rPr>
        <w:t xml:space="preserve">2013, dropping </w:t>
      </w:r>
      <w:proofErr w:type="gramStart"/>
      <w:r w:rsidRPr="00C01DA5">
        <w:rPr>
          <w:szCs w:val="24"/>
        </w:rPr>
        <w:t>from</w:t>
      </w:r>
      <w:proofErr w:type="gramEnd"/>
      <w:r w:rsidRPr="00C01DA5">
        <w:rPr>
          <w:szCs w:val="24"/>
        </w:rPr>
        <w:t xml:space="preserve"> 44 percent to 23.8 percent. From </w:t>
      </w:r>
      <w:r w:rsidRPr="00C01DA5">
        <w:rPr>
          <w:bCs/>
          <w:szCs w:val="24"/>
        </w:rPr>
        <w:t>2003–11, e</w:t>
      </w:r>
      <w:r w:rsidRPr="00C01DA5">
        <w:rPr>
          <w:szCs w:val="24"/>
        </w:rPr>
        <w:t xml:space="preserve">xtreme poverty had been resilient to increased growth performance, but it </w:t>
      </w:r>
      <w:r w:rsidRPr="00C01DA5">
        <w:rPr>
          <w:bCs/>
          <w:szCs w:val="24"/>
        </w:rPr>
        <w:t>accelerated falling by almost half from 18 percent to 10.1 percent in 2011</w:t>
      </w:r>
      <w:r w:rsidR="00543158" w:rsidRPr="00C01DA5">
        <w:rPr>
          <w:bCs/>
          <w:szCs w:val="24"/>
        </w:rPr>
        <w:t>–</w:t>
      </w:r>
      <w:r w:rsidRPr="00C01DA5">
        <w:rPr>
          <w:bCs/>
          <w:szCs w:val="24"/>
        </w:rPr>
        <w:t xml:space="preserve">13. The fall in inequality followed a similar pattern. </w:t>
      </w:r>
      <w:r w:rsidRPr="00C01DA5">
        <w:rPr>
          <w:szCs w:val="24"/>
        </w:rPr>
        <w:t>Improvements have been also observed in non-monetary poverty. Between 2003 and 2013, Paraguay successfully brought down the degree of deprivation to less than 5 percent in terms of access to electricity, educational attainment, and secondary-school enrollments.</w:t>
      </w:r>
    </w:p>
    <w:p w:rsidR="00C01DA5" w:rsidRDefault="00C01DA5">
      <w:pPr>
        <w:rPr>
          <w:b/>
        </w:rPr>
      </w:pPr>
    </w:p>
    <w:p w:rsidR="003103C4" w:rsidRPr="00C01DA5" w:rsidRDefault="003103C4" w:rsidP="003103C4">
      <w:pPr>
        <w:numPr>
          <w:ilvl w:val="0"/>
          <w:numId w:val="24"/>
        </w:numPr>
        <w:rPr>
          <w:b/>
        </w:rPr>
      </w:pPr>
      <w:r w:rsidRPr="00C01DA5">
        <w:rPr>
          <w:b/>
        </w:rPr>
        <w:t>Proposed Objective(s)</w:t>
      </w:r>
    </w:p>
    <w:p w:rsidR="009E7456" w:rsidRPr="00C01DA5" w:rsidRDefault="009E7456" w:rsidP="00A126FA"/>
    <w:p w:rsidR="00A126FA" w:rsidRPr="00C01DA5" w:rsidRDefault="009E7456" w:rsidP="00543158">
      <w:pPr>
        <w:jc w:val="both"/>
      </w:pPr>
      <w:r w:rsidRPr="00C01DA5">
        <w:t xml:space="preserve">The Program Development Objectives of this operation is to assist the Government of Paraguay’s efforts to strengthen sustainability, equity, transparency and efficiency in fiscal </w:t>
      </w:r>
      <w:r w:rsidRPr="00C01DA5">
        <w:lastRenderedPageBreak/>
        <w:t>management, to improve the targeting and coverage of social programs and to increase the access to financial services.</w:t>
      </w:r>
    </w:p>
    <w:p w:rsidR="009E7456" w:rsidRPr="00C01DA5" w:rsidRDefault="009E7456" w:rsidP="00543158">
      <w:pPr>
        <w:jc w:val="both"/>
      </w:pPr>
    </w:p>
    <w:p w:rsidR="009E7456" w:rsidRPr="00C01DA5" w:rsidRDefault="009E7456" w:rsidP="00543158">
      <w:pPr>
        <w:jc w:val="both"/>
      </w:pPr>
      <w:r w:rsidRPr="00C01DA5">
        <w:t xml:space="preserve">The </w:t>
      </w:r>
      <w:proofErr w:type="spellStart"/>
      <w:r w:rsidRPr="00C01DA5">
        <w:t>GoPY</w:t>
      </w:r>
      <w:proofErr w:type="spellEnd"/>
      <w:r w:rsidRPr="00C01DA5">
        <w:t xml:space="preserve"> has prepared its National Development Plan (PND) for the period 2013</w:t>
      </w:r>
      <w:r w:rsidR="00543158" w:rsidRPr="00C01DA5">
        <w:rPr>
          <w:bCs/>
        </w:rPr>
        <w:t>–</w:t>
      </w:r>
      <w:r w:rsidRPr="00C01DA5">
        <w:t>18 which spells out its policy agenda to eliminate poverty. By supporting the PND’s cross-cutting areas of equal opportunities and efficient and transparent government the proposed operation will be fully consistent with the forthcoming CPS. This includes reforms designed to: (</w:t>
      </w:r>
      <w:proofErr w:type="spellStart"/>
      <w:r w:rsidRPr="00C01DA5">
        <w:t>i</w:t>
      </w:r>
      <w:proofErr w:type="spellEnd"/>
      <w:r w:rsidRPr="00C01DA5">
        <w:t>) promote responsible macroeconomic management by supporting the establishment of a fiscal framework instrumental to sustainable fiscal policies and enhancing the tax revenue efforts; (ii) improve efficiency in public-service delivery by enabling a transparent budget execution; and (iii) reduce poverty by fostering financial inclusion and improving targeting of social protection programs.</w:t>
      </w:r>
    </w:p>
    <w:p w:rsidR="009E7456" w:rsidRPr="00C01DA5" w:rsidRDefault="009E7456" w:rsidP="00543158">
      <w:pPr>
        <w:jc w:val="both"/>
      </w:pPr>
    </w:p>
    <w:p w:rsidR="00A126FA" w:rsidRPr="00C01DA5" w:rsidRDefault="00A126FA" w:rsidP="00543158">
      <w:pPr>
        <w:numPr>
          <w:ilvl w:val="0"/>
          <w:numId w:val="24"/>
        </w:numPr>
        <w:jc w:val="both"/>
        <w:rPr>
          <w:b/>
        </w:rPr>
      </w:pPr>
      <w:r w:rsidRPr="00C01DA5">
        <w:rPr>
          <w:b/>
        </w:rPr>
        <w:t>Preliminary Description</w:t>
      </w:r>
    </w:p>
    <w:p w:rsidR="009E7456" w:rsidRPr="00C01DA5" w:rsidRDefault="009E7456" w:rsidP="00543158">
      <w:pPr>
        <w:pStyle w:val="Style1"/>
        <w:numPr>
          <w:ilvl w:val="0"/>
          <w:numId w:val="0"/>
        </w:numPr>
        <w:tabs>
          <w:tab w:val="num" w:pos="720"/>
        </w:tabs>
        <w:spacing w:after="120"/>
        <w:rPr>
          <w:szCs w:val="24"/>
          <w:lang w:eastAsia="ar-SA"/>
        </w:rPr>
      </w:pPr>
      <w:r w:rsidRPr="00C01DA5">
        <w:rPr>
          <w:szCs w:val="24"/>
        </w:rPr>
        <w:t>This operation is structured in three pillars: (</w:t>
      </w:r>
      <w:proofErr w:type="spellStart"/>
      <w:r w:rsidRPr="00C01DA5">
        <w:rPr>
          <w:szCs w:val="24"/>
        </w:rPr>
        <w:t>i</w:t>
      </w:r>
      <w:proofErr w:type="spellEnd"/>
      <w:r w:rsidRPr="00C01DA5">
        <w:rPr>
          <w:szCs w:val="24"/>
        </w:rPr>
        <w:t>) Public Finance Management; (ii) Social protection; and (iii) Financial Inclusion.</w:t>
      </w:r>
    </w:p>
    <w:p w:rsidR="00FF23CF" w:rsidRPr="00C01DA5" w:rsidRDefault="00FF23CF" w:rsidP="00FF23CF">
      <w:pPr>
        <w:ind w:firstLine="720"/>
        <w:rPr>
          <w:b/>
        </w:rPr>
      </w:pPr>
    </w:p>
    <w:p w:rsidR="00AA5A30" w:rsidRPr="00C01DA5" w:rsidRDefault="00AA5A30" w:rsidP="00AA5A30">
      <w:pPr>
        <w:numPr>
          <w:ilvl w:val="0"/>
          <w:numId w:val="24"/>
        </w:numPr>
        <w:rPr>
          <w:b/>
        </w:rPr>
      </w:pPr>
      <w:r w:rsidRPr="00C01DA5">
        <w:rPr>
          <w:b/>
        </w:rPr>
        <w:t>Poverty and Social Impacts and Environment Aspects</w:t>
      </w:r>
    </w:p>
    <w:p w:rsidR="00C01DA5" w:rsidRDefault="00C01DA5" w:rsidP="00AA5A30">
      <w:pPr>
        <w:pStyle w:val="CM4"/>
        <w:spacing w:after="252" w:line="253" w:lineRule="atLeast"/>
        <w:rPr>
          <w:i/>
          <w:iCs/>
          <w:color w:val="00007F"/>
        </w:rPr>
      </w:pPr>
    </w:p>
    <w:p w:rsidR="00AA5A30" w:rsidRPr="00C01DA5" w:rsidRDefault="00AA5A30" w:rsidP="00AA5A30">
      <w:pPr>
        <w:pStyle w:val="CM4"/>
        <w:spacing w:after="252" w:line="253" w:lineRule="atLeast"/>
        <w:rPr>
          <w:i/>
          <w:iCs/>
          <w:color w:val="00007F"/>
        </w:rPr>
      </w:pPr>
      <w:r w:rsidRPr="00C01DA5">
        <w:rPr>
          <w:i/>
          <w:iCs/>
          <w:color w:val="00007F"/>
        </w:rPr>
        <w:t xml:space="preserve">Poverty and Social Impacts </w:t>
      </w:r>
    </w:p>
    <w:p w:rsidR="009E7456" w:rsidRPr="00C01DA5" w:rsidRDefault="009E7456" w:rsidP="00543158">
      <w:pPr>
        <w:autoSpaceDE w:val="0"/>
        <w:autoSpaceDN w:val="0"/>
        <w:adjustRightInd w:val="0"/>
        <w:spacing w:before="120" w:after="120"/>
        <w:jc w:val="both"/>
      </w:pPr>
      <w:r w:rsidRPr="00C01DA5">
        <w:t xml:space="preserve">The reform program supported by this operation is expected to have positive direct impacts on poverty and shared prosperity. Measures supporting improvements in the coverage and targeting of social programs are expected to benefit directly the extreme poor while the implementation of the financial inclusion agenda is expected to improve economic opportunities to enable a sustainable boost in shared prosperity.  </w:t>
      </w:r>
    </w:p>
    <w:p w:rsidR="009E7456" w:rsidRPr="00C01DA5" w:rsidRDefault="009E7456" w:rsidP="00543158">
      <w:pPr>
        <w:pStyle w:val="CM4"/>
        <w:spacing w:after="252" w:line="253" w:lineRule="atLeast"/>
        <w:jc w:val="both"/>
      </w:pPr>
      <w:r w:rsidRPr="00C01DA5">
        <w:t>Tax policy measures are also expected to enhance the progressivity of the tax system and reduce income inequality. The establishment of the agricultural income tax, the increase in the VAT rate applied to the financial sector and agriculture products are expected to enhance equity in the text system.</w:t>
      </w:r>
    </w:p>
    <w:p w:rsidR="00AA5A30" w:rsidRPr="00C01DA5" w:rsidRDefault="00AA5A30" w:rsidP="00543158">
      <w:pPr>
        <w:pStyle w:val="CM4"/>
        <w:spacing w:after="252" w:line="253" w:lineRule="atLeast"/>
        <w:jc w:val="both"/>
        <w:rPr>
          <w:i/>
          <w:iCs/>
          <w:color w:val="00007F"/>
        </w:rPr>
      </w:pPr>
      <w:r w:rsidRPr="00C01DA5">
        <w:rPr>
          <w:i/>
          <w:iCs/>
          <w:color w:val="00007F"/>
        </w:rPr>
        <w:t xml:space="preserve">Environment Aspects </w:t>
      </w:r>
    </w:p>
    <w:p w:rsidR="009E7456" w:rsidRPr="00C01DA5" w:rsidRDefault="009E7456" w:rsidP="00543158">
      <w:pPr>
        <w:pStyle w:val="Style1"/>
        <w:numPr>
          <w:ilvl w:val="0"/>
          <w:numId w:val="0"/>
        </w:numPr>
        <w:tabs>
          <w:tab w:val="num" w:pos="720"/>
        </w:tabs>
        <w:spacing w:after="120"/>
        <w:rPr>
          <w:szCs w:val="24"/>
        </w:rPr>
      </w:pPr>
      <w:r w:rsidRPr="00C01DA5">
        <w:rPr>
          <w:iCs/>
          <w:szCs w:val="24"/>
        </w:rPr>
        <w:t>The</w:t>
      </w:r>
      <w:r w:rsidRPr="00C01DA5">
        <w:rPr>
          <w:szCs w:val="24"/>
        </w:rPr>
        <w:t xml:space="preserve"> specific actions supported under the proposed operation are not likely to have significant positive or negative effects on the state or country's environment, forests, fisheries or other natural resources. The first pillar, Strengthening Public Sector Management, has a primarily administrative nature, therefore policy actions under the first pillar are unlikely to either exacerbate environmental problems or contribute to their remediation. </w:t>
      </w:r>
      <w:r w:rsidRPr="00C01DA5">
        <w:rPr>
          <w:color w:val="000000"/>
          <w:szCs w:val="24"/>
        </w:rPr>
        <w:t>The second pillar, social Protection and Financial Inclusion, encompasses policy actions that are not expected to have implications on environmental sustainability</w:t>
      </w:r>
      <w:r w:rsidRPr="00C01DA5">
        <w:rPr>
          <w:szCs w:val="24"/>
        </w:rPr>
        <w:t>.</w:t>
      </w:r>
    </w:p>
    <w:p w:rsidR="0096376D" w:rsidRPr="00C01DA5" w:rsidRDefault="0096376D" w:rsidP="00543158">
      <w:pPr>
        <w:jc w:val="both"/>
        <w:rPr>
          <w:rFonts w:eastAsiaTheme="minorEastAsia"/>
          <w:i/>
          <w:iCs/>
          <w:color w:val="00007F"/>
        </w:rPr>
      </w:pPr>
      <w:r w:rsidRPr="00C01DA5">
        <w:rPr>
          <w:i/>
          <w:iCs/>
          <w:color w:val="00007F"/>
        </w:rPr>
        <w:br w:type="page"/>
      </w:r>
    </w:p>
    <w:p w:rsidR="00A126FA" w:rsidRPr="00C01DA5" w:rsidRDefault="00543158" w:rsidP="00A126FA">
      <w:pPr>
        <w:numPr>
          <w:ilvl w:val="0"/>
          <w:numId w:val="24"/>
        </w:numPr>
        <w:rPr>
          <w:b/>
        </w:rPr>
      </w:pPr>
      <w:r w:rsidRPr="00C01DA5">
        <w:rPr>
          <w:b/>
        </w:rPr>
        <w:lastRenderedPageBreak/>
        <w:t>Tentative F</w:t>
      </w:r>
      <w:r w:rsidR="00A126FA" w:rsidRPr="00C01DA5">
        <w:rPr>
          <w:b/>
        </w:rPr>
        <w:t>inancing</w:t>
      </w:r>
    </w:p>
    <w:p w:rsidR="00F34B6F" w:rsidRPr="00C01DA5" w:rsidRDefault="00F34B6F" w:rsidP="0059349F">
      <w:pPr>
        <w:ind w:firstLine="720"/>
      </w:pPr>
    </w:p>
    <w:tbl>
      <w:tblPr>
        <w:tblW w:w="0" w:type="auto"/>
        <w:tblLook w:val="0000" w:firstRow="0" w:lastRow="0" w:firstColumn="0" w:lastColumn="0" w:noHBand="0" w:noVBand="0"/>
      </w:tblPr>
      <w:tblGrid>
        <w:gridCol w:w="7848"/>
        <w:gridCol w:w="1620"/>
      </w:tblGrid>
      <w:tr w:rsidR="00A126FA" w:rsidRPr="00C01DA5" w:rsidTr="00546990">
        <w:tc>
          <w:tcPr>
            <w:tcW w:w="7848" w:type="dxa"/>
          </w:tcPr>
          <w:p w:rsidR="00A126FA" w:rsidRPr="00C01DA5" w:rsidRDefault="00A126FA" w:rsidP="00A126FA">
            <w:r w:rsidRPr="00C01DA5">
              <w:t>Source:</w:t>
            </w:r>
            <w:bookmarkStart w:id="12" w:name="FINANCINGTAB_PID"/>
            <w:bookmarkEnd w:id="12"/>
          </w:p>
        </w:tc>
        <w:tc>
          <w:tcPr>
            <w:tcW w:w="1620" w:type="dxa"/>
          </w:tcPr>
          <w:p w:rsidR="00A126FA" w:rsidRPr="00C01DA5" w:rsidRDefault="00A126FA" w:rsidP="00A126FA">
            <w:pPr>
              <w:tabs>
                <w:tab w:val="decimal" w:pos="252"/>
              </w:tabs>
              <w:jc w:val="center"/>
            </w:pPr>
            <w:r w:rsidRPr="00C01DA5">
              <w:t>($m.)</w:t>
            </w:r>
          </w:p>
        </w:tc>
      </w:tr>
      <w:tr w:rsidR="00A9293D" w:rsidRPr="00C01DA5" w:rsidTr="00546990">
        <w:tc>
          <w:tcPr>
            <w:tcW w:w="7848" w:type="dxa"/>
          </w:tcPr>
          <w:p w:rsidR="00A9293D" w:rsidRPr="00C01DA5" w:rsidRDefault="00A9293D" w:rsidP="00A126FA">
            <w:pPr>
              <w:tabs>
                <w:tab w:val="right" w:pos="7200"/>
              </w:tabs>
            </w:pPr>
            <w:r w:rsidRPr="00C01DA5">
              <w:t>Borrower</w:t>
            </w:r>
          </w:p>
        </w:tc>
        <w:tc>
          <w:tcPr>
            <w:tcW w:w="1620" w:type="dxa"/>
          </w:tcPr>
          <w:p w:rsidR="00A9293D" w:rsidRPr="00C01DA5" w:rsidRDefault="00A9293D" w:rsidP="00A126FA">
            <w:pPr>
              <w:tabs>
                <w:tab w:val="decimal" w:pos="252"/>
              </w:tabs>
              <w:jc w:val="center"/>
            </w:pPr>
            <w:r w:rsidRPr="00C01DA5">
              <w:t>0</w:t>
            </w:r>
          </w:p>
        </w:tc>
      </w:tr>
      <w:tr w:rsidR="00A9293D" w:rsidRPr="00C01DA5" w:rsidTr="00546990">
        <w:tc>
          <w:tcPr>
            <w:tcW w:w="7848" w:type="dxa"/>
          </w:tcPr>
          <w:p w:rsidR="00A9293D" w:rsidRPr="00C01DA5" w:rsidRDefault="00A9293D" w:rsidP="00A126FA">
            <w:pPr>
              <w:tabs>
                <w:tab w:val="right" w:pos="7200"/>
              </w:tabs>
            </w:pPr>
            <w:r w:rsidRPr="00C01DA5">
              <w:t>International Bank for Reconstruction and Development</w:t>
            </w:r>
          </w:p>
        </w:tc>
        <w:tc>
          <w:tcPr>
            <w:tcW w:w="1620" w:type="dxa"/>
          </w:tcPr>
          <w:p w:rsidR="00A9293D" w:rsidRPr="00C01DA5" w:rsidRDefault="00A9293D" w:rsidP="00A126FA">
            <w:pPr>
              <w:tabs>
                <w:tab w:val="decimal" w:pos="252"/>
              </w:tabs>
              <w:jc w:val="center"/>
            </w:pPr>
            <w:r w:rsidRPr="00C01DA5">
              <w:t>100</w:t>
            </w:r>
          </w:p>
        </w:tc>
      </w:tr>
      <w:tr w:rsidR="00A126FA" w:rsidRPr="00C01DA5" w:rsidTr="00546990">
        <w:tc>
          <w:tcPr>
            <w:tcW w:w="7848" w:type="dxa"/>
          </w:tcPr>
          <w:p w:rsidR="00A126FA" w:rsidRPr="00C01DA5" w:rsidRDefault="00A126FA" w:rsidP="00A126FA">
            <w:pPr>
              <w:tabs>
                <w:tab w:val="right" w:pos="7200"/>
              </w:tabs>
            </w:pPr>
            <w:r w:rsidRPr="00C01DA5">
              <w:t>Borrower/Recipient</w:t>
            </w:r>
          </w:p>
        </w:tc>
        <w:tc>
          <w:tcPr>
            <w:tcW w:w="1620" w:type="dxa"/>
          </w:tcPr>
          <w:p w:rsidR="00A126FA" w:rsidRPr="00C01DA5" w:rsidRDefault="00A126FA" w:rsidP="00A126FA">
            <w:pPr>
              <w:tabs>
                <w:tab w:val="decimal" w:pos="252"/>
              </w:tabs>
              <w:jc w:val="center"/>
            </w:pPr>
          </w:p>
        </w:tc>
      </w:tr>
      <w:tr w:rsidR="00A126FA" w:rsidRPr="00C01DA5" w:rsidTr="00546990">
        <w:tc>
          <w:tcPr>
            <w:tcW w:w="7848" w:type="dxa"/>
          </w:tcPr>
          <w:p w:rsidR="00A126FA" w:rsidRPr="00C01DA5" w:rsidRDefault="00A126FA" w:rsidP="00A126FA">
            <w:pPr>
              <w:tabs>
                <w:tab w:val="right" w:pos="7200"/>
              </w:tabs>
            </w:pPr>
            <w:r w:rsidRPr="00C01DA5">
              <w:t>IBRD</w:t>
            </w:r>
          </w:p>
          <w:p w:rsidR="00071B65" w:rsidRPr="00C01DA5" w:rsidRDefault="00071B65" w:rsidP="00A126FA">
            <w:pPr>
              <w:tabs>
                <w:tab w:val="right" w:pos="7200"/>
              </w:tabs>
            </w:pPr>
            <w:r w:rsidRPr="00C01DA5">
              <w:t>Others (</w:t>
            </w:r>
            <w:r w:rsidR="0096376D" w:rsidRPr="00C01DA5">
              <w:t>specify</w:t>
            </w:r>
            <w:r w:rsidRPr="00C01DA5">
              <w:t>)</w:t>
            </w:r>
          </w:p>
        </w:tc>
        <w:tc>
          <w:tcPr>
            <w:tcW w:w="1620" w:type="dxa"/>
          </w:tcPr>
          <w:p w:rsidR="00A126FA" w:rsidRPr="00C01DA5" w:rsidRDefault="00A126FA" w:rsidP="00A126FA">
            <w:pPr>
              <w:tabs>
                <w:tab w:val="decimal" w:pos="252"/>
              </w:tabs>
              <w:jc w:val="center"/>
            </w:pPr>
          </w:p>
        </w:tc>
      </w:tr>
      <w:tr w:rsidR="00A126FA" w:rsidRPr="00C01DA5" w:rsidTr="00546990">
        <w:tc>
          <w:tcPr>
            <w:tcW w:w="7848" w:type="dxa"/>
          </w:tcPr>
          <w:p w:rsidR="00A126FA" w:rsidRPr="00C01DA5" w:rsidRDefault="00A126FA" w:rsidP="00A126FA">
            <w:pPr>
              <w:tabs>
                <w:tab w:val="right" w:pos="7200"/>
              </w:tabs>
            </w:pPr>
            <w:r w:rsidRPr="00C01DA5">
              <w:tab/>
              <w:t>Total</w:t>
            </w:r>
          </w:p>
        </w:tc>
        <w:tc>
          <w:tcPr>
            <w:tcW w:w="1620" w:type="dxa"/>
          </w:tcPr>
          <w:p w:rsidR="00A126FA" w:rsidRPr="00C01DA5" w:rsidRDefault="009E7456" w:rsidP="00A126FA">
            <w:pPr>
              <w:tabs>
                <w:tab w:val="decimal" w:pos="252"/>
              </w:tabs>
              <w:jc w:val="center"/>
            </w:pPr>
            <w:r w:rsidRPr="00C01DA5">
              <w:t>100</w:t>
            </w:r>
          </w:p>
        </w:tc>
      </w:tr>
    </w:tbl>
    <w:p w:rsidR="00F34B6F" w:rsidRPr="00C01DA5" w:rsidRDefault="00F34B6F" w:rsidP="00F34B6F">
      <w:pPr>
        <w:ind w:left="720"/>
        <w:rPr>
          <w:b/>
        </w:rPr>
      </w:pPr>
    </w:p>
    <w:p w:rsidR="00A126FA" w:rsidRPr="00C01DA5" w:rsidRDefault="00543158" w:rsidP="00A126FA">
      <w:pPr>
        <w:numPr>
          <w:ilvl w:val="0"/>
          <w:numId w:val="24"/>
        </w:numPr>
        <w:rPr>
          <w:b/>
        </w:rPr>
      </w:pPr>
      <w:r w:rsidRPr="00C01DA5">
        <w:rPr>
          <w:b/>
        </w:rPr>
        <w:t>Contact P</w:t>
      </w:r>
      <w:r w:rsidR="00A126FA" w:rsidRPr="00C01DA5">
        <w:rPr>
          <w:b/>
        </w:rPr>
        <w:t>oint</w:t>
      </w:r>
    </w:p>
    <w:p w:rsidR="008F0B46" w:rsidRPr="00C01DA5" w:rsidRDefault="008F0B46" w:rsidP="008F0B46">
      <w:pPr>
        <w:pStyle w:val="ListParagraph"/>
        <w:ind w:left="0"/>
      </w:pPr>
      <w:r w:rsidRPr="00C01DA5">
        <w:rPr>
          <w:b/>
        </w:rPr>
        <w:t>World Bank</w:t>
      </w:r>
      <w:r w:rsidR="00F34B6F" w:rsidRPr="00C01DA5">
        <w:rPr>
          <w:b/>
        </w:rPr>
        <w:t xml:space="preserve"> </w:t>
      </w:r>
    </w:p>
    <w:p w:rsidR="00A9293D" w:rsidRPr="00C01DA5" w:rsidRDefault="00A9293D" w:rsidP="008F0B46">
      <w:bookmarkStart w:id="13" w:name="ContactInfo"/>
      <w:r w:rsidRPr="00C01DA5">
        <w:t xml:space="preserve">Contact: Fernando Andres Blanco </w:t>
      </w:r>
      <w:proofErr w:type="spellStart"/>
      <w:r w:rsidRPr="00C01DA5">
        <w:t>Cossio</w:t>
      </w:r>
      <w:proofErr w:type="spellEnd"/>
    </w:p>
    <w:p w:rsidR="00A9293D" w:rsidRPr="00C01DA5" w:rsidRDefault="00A9293D" w:rsidP="008F0B46">
      <w:r w:rsidRPr="00C01DA5">
        <w:t>Title: Senior Economist</w:t>
      </w:r>
    </w:p>
    <w:p w:rsidR="00A9293D" w:rsidRPr="00C01DA5" w:rsidRDefault="00A9293D" w:rsidP="008F0B46">
      <w:r w:rsidRPr="00C01DA5">
        <w:t>Tel: (202) 458-5075</w:t>
      </w:r>
    </w:p>
    <w:p w:rsidR="00A9293D" w:rsidRPr="00C01DA5" w:rsidRDefault="00A9293D" w:rsidP="008F0B46">
      <w:r w:rsidRPr="00C01DA5">
        <w:t xml:space="preserve">Fax: </w:t>
      </w:r>
    </w:p>
    <w:p w:rsidR="008F0B46" w:rsidRPr="00C01DA5" w:rsidRDefault="00A9293D" w:rsidP="008F0B46">
      <w:r w:rsidRPr="00C01DA5">
        <w:t>Email: fblanco@worldbank.org</w:t>
      </w:r>
      <w:bookmarkEnd w:id="13"/>
    </w:p>
    <w:p w:rsidR="00690DA9" w:rsidRDefault="00690DA9" w:rsidP="008F0B46">
      <w:pPr>
        <w:rPr>
          <w:b/>
        </w:rPr>
      </w:pPr>
    </w:p>
    <w:p w:rsidR="008F0B46" w:rsidRPr="00C01DA5" w:rsidRDefault="008F0B46" w:rsidP="008F0B46">
      <w:pPr>
        <w:rPr>
          <w:b/>
        </w:rPr>
      </w:pPr>
      <w:r w:rsidRPr="00C01DA5">
        <w:rPr>
          <w:b/>
        </w:rPr>
        <w:t>Borrower</w:t>
      </w:r>
    </w:p>
    <w:p w:rsidR="008F0B46" w:rsidRPr="00C01DA5" w:rsidRDefault="008F0B46" w:rsidP="008F0B46">
      <w:r w:rsidRPr="00C01DA5">
        <w:t>Contact:</w:t>
      </w:r>
      <w:r w:rsidR="009E7456" w:rsidRPr="00C01DA5">
        <w:t xml:space="preserve"> Daniel Correa</w:t>
      </w:r>
    </w:p>
    <w:p w:rsidR="008F0B46" w:rsidRPr="00C01DA5" w:rsidRDefault="008F0B46" w:rsidP="008F0B46">
      <w:r w:rsidRPr="00C01DA5">
        <w:t>Title:</w:t>
      </w:r>
      <w:r w:rsidR="009E7456" w:rsidRPr="00C01DA5">
        <w:t xml:space="preserve"> Under-Secretary of Economy</w:t>
      </w:r>
    </w:p>
    <w:p w:rsidR="008F0B46" w:rsidRPr="00C01DA5" w:rsidRDefault="009E7456" w:rsidP="008F0B46">
      <w:r w:rsidRPr="00C01DA5">
        <w:t>Tel: (595-21) 447049</w:t>
      </w:r>
      <w:r w:rsidR="008F0B46" w:rsidRPr="00C01DA5">
        <w:tab/>
      </w:r>
    </w:p>
    <w:p w:rsidR="008F0B46" w:rsidRPr="00C01DA5" w:rsidRDefault="008F0B46" w:rsidP="008F0B46">
      <w:r w:rsidRPr="00C01DA5">
        <w:t>Email:</w:t>
      </w:r>
      <w:r w:rsidRPr="00C01DA5">
        <w:tab/>
      </w:r>
      <w:r w:rsidR="009E7456" w:rsidRPr="00C01DA5">
        <w:t>daniel_correa@hacienda.gov.py</w:t>
      </w:r>
    </w:p>
    <w:p w:rsidR="0059349F" w:rsidRPr="00C01DA5" w:rsidRDefault="0059349F" w:rsidP="00A126FA"/>
    <w:p w:rsidR="0059349F" w:rsidRPr="00C01DA5" w:rsidRDefault="0059349F" w:rsidP="0059349F">
      <w:pPr>
        <w:numPr>
          <w:ilvl w:val="0"/>
          <w:numId w:val="24"/>
        </w:numPr>
        <w:rPr>
          <w:b/>
        </w:rPr>
      </w:pPr>
      <w:r w:rsidRPr="00C01DA5">
        <w:rPr>
          <w:b/>
        </w:rPr>
        <w:t>For more information contact:</w:t>
      </w:r>
    </w:p>
    <w:p w:rsidR="0059349F" w:rsidRPr="00C01DA5" w:rsidRDefault="0059349F" w:rsidP="008F0B46">
      <w:r w:rsidRPr="00C01DA5">
        <w:t xml:space="preserve">The </w:t>
      </w:r>
      <w:proofErr w:type="spellStart"/>
      <w:r w:rsidRPr="00C01DA5">
        <w:t>InfoShop</w:t>
      </w:r>
      <w:proofErr w:type="spellEnd"/>
    </w:p>
    <w:p w:rsidR="0059349F" w:rsidRPr="00C01DA5" w:rsidRDefault="0059349F" w:rsidP="008F0B46">
      <w:r w:rsidRPr="00C01DA5">
        <w:t>The World Bank</w:t>
      </w:r>
    </w:p>
    <w:p w:rsidR="0059349F" w:rsidRPr="00C01DA5" w:rsidRDefault="0059349F" w:rsidP="008F0B46">
      <w:r w:rsidRPr="00C01DA5">
        <w:t>1818 H Street, NW</w:t>
      </w:r>
    </w:p>
    <w:p w:rsidR="0059349F" w:rsidRPr="00C01DA5" w:rsidRDefault="0059349F" w:rsidP="008F0B46">
      <w:r w:rsidRPr="00C01DA5">
        <w:t>Washington, D.C. 20433</w:t>
      </w:r>
    </w:p>
    <w:p w:rsidR="0059349F" w:rsidRPr="00C01DA5" w:rsidRDefault="0059349F" w:rsidP="008F0B46">
      <w:r w:rsidRPr="00C01DA5">
        <w:t>Telephone:  (202) 458-</w:t>
      </w:r>
      <w:r w:rsidR="00C070C8" w:rsidRPr="00C01DA5">
        <w:t>4500</w:t>
      </w:r>
    </w:p>
    <w:p w:rsidR="0059349F" w:rsidRPr="00C01DA5" w:rsidRDefault="0059349F" w:rsidP="008F0B46">
      <w:r w:rsidRPr="00C01DA5">
        <w:t>Fax:  (202) 522-1500</w:t>
      </w:r>
    </w:p>
    <w:p w:rsidR="0059349F" w:rsidRPr="00C01DA5" w:rsidRDefault="0059349F" w:rsidP="008F0B46">
      <w:r w:rsidRPr="00C01DA5">
        <w:t>Web: http://www.worldbank.org/infoshop</w:t>
      </w:r>
    </w:p>
    <w:p w:rsidR="0059349F" w:rsidRPr="00C01DA5" w:rsidRDefault="0059349F" w:rsidP="00A126FA"/>
    <w:sectPr w:rsidR="0059349F" w:rsidRPr="00C01DA5" w:rsidSect="00731BC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4A0" w:rsidRDefault="00E474A0">
      <w:r>
        <w:separator/>
      </w:r>
    </w:p>
  </w:endnote>
  <w:endnote w:type="continuationSeparator" w:id="0">
    <w:p w:rsidR="00E474A0" w:rsidRDefault="00E4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630545"/>
      <w:docPartObj>
        <w:docPartGallery w:val="Page Numbers (Bottom of Page)"/>
        <w:docPartUnique/>
      </w:docPartObj>
    </w:sdtPr>
    <w:sdtEndPr>
      <w:rPr>
        <w:noProof/>
      </w:rPr>
    </w:sdtEndPr>
    <w:sdtContent>
      <w:p w:rsidR="00B25EE4" w:rsidRDefault="00B25EE4">
        <w:pPr>
          <w:pStyle w:val="Footer"/>
          <w:jc w:val="center"/>
        </w:pPr>
        <w:r>
          <w:fldChar w:fldCharType="begin"/>
        </w:r>
        <w:r>
          <w:instrText xml:space="preserve"> PAGE   \* MERGEFORMAT </w:instrText>
        </w:r>
        <w:r>
          <w:fldChar w:fldCharType="separate"/>
        </w:r>
        <w:r w:rsidR="000F300A">
          <w:rPr>
            <w:noProof/>
          </w:rPr>
          <w:t>1</w:t>
        </w:r>
        <w:r>
          <w:rPr>
            <w:noProof/>
          </w:rPr>
          <w:fldChar w:fldCharType="end"/>
        </w:r>
      </w:p>
    </w:sdtContent>
  </w:sdt>
  <w:p w:rsidR="00B25EE4" w:rsidRDefault="00B25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4A0" w:rsidRDefault="00E474A0">
      <w:r>
        <w:separator/>
      </w:r>
    </w:p>
  </w:footnote>
  <w:footnote w:type="continuationSeparator" w:id="0">
    <w:p w:rsidR="00E474A0" w:rsidRDefault="00E47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0E2A8C"/>
    <w:multiLevelType w:val="hybridMultilevel"/>
    <w:tmpl w:val="345E6AB6"/>
    <w:lvl w:ilvl="0" w:tplc="04090001">
      <w:start w:val="18"/>
      <w:numFmt w:val="decimal"/>
      <w:lvlText w:val="%1."/>
      <w:lvlJc w:val="left"/>
      <w:pPr>
        <w:ind w:left="720" w:hanging="360"/>
      </w:pPr>
      <w:rPr>
        <w:rFonts w:ascii="Times New Roman" w:hAnsi="Times New Roman" w:cs="Times New Roman" w:hint="default"/>
        <w:b w:val="0"/>
        <w:i w:val="0"/>
        <w:sz w:val="24"/>
        <w:szCs w:val="24"/>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B97147"/>
    <w:multiLevelType w:val="hybridMultilevel"/>
    <w:tmpl w:val="6832D33A"/>
    <w:lvl w:ilvl="0" w:tplc="D09215A2">
      <w:start w:val="1"/>
      <w:numFmt w:val="decimal"/>
      <w:lvlText w:val="%1."/>
      <w:lvlJc w:val="left"/>
      <w:pPr>
        <w:tabs>
          <w:tab w:val="num" w:pos="900"/>
        </w:tabs>
        <w:ind w:left="252" w:hanging="72"/>
      </w:pPr>
      <w:rPr>
        <w:rFonts w:ascii="Times New Roman" w:eastAsia="Times New Roman" w:hAnsi="Times New Roman" w:cs="Times New Roman"/>
        <w:b w:val="0"/>
        <w:sz w:val="24"/>
        <w:szCs w:val="24"/>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4">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4E1F0F"/>
    <w:multiLevelType w:val="multilevel"/>
    <w:tmpl w:val="A970ABB4"/>
    <w:lvl w:ilvl="0">
      <w:start w:val="1"/>
      <w:numFmt w:val="upperRoman"/>
      <w:lvlText w:val="%1."/>
      <w:lvlJc w:val="left"/>
      <w:pPr>
        <w:ind w:left="0" w:firstLine="0"/>
      </w:pPr>
      <w:rPr>
        <w:rFonts w:hint="default"/>
      </w:rPr>
    </w:lvl>
    <w:lvl w:ilvl="1">
      <w:start w:val="1"/>
      <w:numFmt w:val="upperLetter"/>
      <w:lvlText w:val="%2."/>
      <w:lvlJc w:val="center"/>
      <w:pPr>
        <w:ind w:left="-4590" w:firstLine="0"/>
      </w:pPr>
      <w:rPr>
        <w:rFonts w:hint="default"/>
      </w:rPr>
    </w:lvl>
    <w:lvl w:ilvl="2">
      <w:start w:val="1"/>
      <w:numFmt w:val="none"/>
      <w:pStyle w:val="Heading3"/>
      <w:lvlText w:val=""/>
      <w:lvlJc w:val="right"/>
      <w:pPr>
        <w:ind w:left="-4590" w:firstLine="0"/>
      </w:pPr>
      <w:rPr>
        <w:rFonts w:hint="default"/>
      </w:rPr>
    </w:lvl>
    <w:lvl w:ilvl="3">
      <w:start w:val="1"/>
      <w:numFmt w:val="decimal"/>
      <w:pStyle w:val="Style1"/>
      <w:lvlText w:val="2.%4"/>
      <w:lvlJc w:val="left"/>
      <w:pPr>
        <w:ind w:left="-4050" w:firstLine="0"/>
      </w:pPr>
      <w:rPr>
        <w:rFonts w:hint="default"/>
        <w:b w:val="0"/>
        <w:i w:val="0"/>
        <w:sz w:val="24"/>
        <w:szCs w:val="24"/>
      </w:rPr>
    </w:lvl>
    <w:lvl w:ilvl="4">
      <w:start w:val="1"/>
      <w:numFmt w:val="none"/>
      <w:suff w:val="space"/>
      <w:lvlText w:val=""/>
      <w:lvlJc w:val="left"/>
      <w:pPr>
        <w:ind w:left="-4590" w:firstLine="0"/>
      </w:pPr>
      <w:rPr>
        <w:rFonts w:hint="default"/>
      </w:rPr>
    </w:lvl>
    <w:lvl w:ilvl="5">
      <w:start w:val="1"/>
      <w:numFmt w:val="lowerRoman"/>
      <w:lvlText w:val="%6."/>
      <w:lvlJc w:val="right"/>
      <w:pPr>
        <w:ind w:left="-630" w:hanging="180"/>
      </w:pPr>
      <w:rPr>
        <w:rFonts w:hint="default"/>
      </w:rPr>
    </w:lvl>
    <w:lvl w:ilvl="6">
      <w:start w:val="1"/>
      <w:numFmt w:val="decimal"/>
      <w:lvlText w:val="%7."/>
      <w:lvlJc w:val="left"/>
      <w:pPr>
        <w:ind w:left="90" w:hanging="360"/>
      </w:pPr>
      <w:rPr>
        <w:rFonts w:hint="default"/>
      </w:rPr>
    </w:lvl>
    <w:lvl w:ilvl="7">
      <w:start w:val="1"/>
      <w:numFmt w:val="lowerLetter"/>
      <w:lvlText w:val="%8."/>
      <w:lvlJc w:val="left"/>
      <w:pPr>
        <w:ind w:left="810" w:hanging="360"/>
      </w:pPr>
      <w:rPr>
        <w:rFonts w:hint="default"/>
      </w:rPr>
    </w:lvl>
    <w:lvl w:ilvl="8">
      <w:start w:val="1"/>
      <w:numFmt w:val="lowerRoman"/>
      <w:lvlText w:val="%9."/>
      <w:lvlJc w:val="right"/>
      <w:pPr>
        <w:ind w:left="1530" w:hanging="180"/>
      </w:pPr>
      <w:rPr>
        <w:rFonts w:hint="default"/>
      </w:rPr>
    </w:lvl>
  </w:abstractNum>
  <w:abstractNum w:abstractNumId="27">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27"/>
  </w:num>
  <w:num w:numId="4">
    <w:abstractNumId w:val="1"/>
  </w:num>
  <w:num w:numId="5">
    <w:abstractNumId w:val="14"/>
  </w:num>
  <w:num w:numId="6">
    <w:abstractNumId w:val="0"/>
  </w:num>
  <w:num w:numId="7">
    <w:abstractNumId w:val="20"/>
  </w:num>
  <w:num w:numId="8">
    <w:abstractNumId w:val="7"/>
  </w:num>
  <w:num w:numId="9">
    <w:abstractNumId w:val="16"/>
  </w:num>
  <w:num w:numId="10">
    <w:abstractNumId w:val="2"/>
  </w:num>
  <w:num w:numId="11">
    <w:abstractNumId w:val="11"/>
  </w:num>
  <w:num w:numId="12">
    <w:abstractNumId w:val="15"/>
  </w:num>
  <w:num w:numId="13">
    <w:abstractNumId w:val="10"/>
  </w:num>
  <w:num w:numId="14">
    <w:abstractNumId w:val="23"/>
  </w:num>
  <w:num w:numId="15">
    <w:abstractNumId w:val="28"/>
  </w:num>
  <w:num w:numId="16">
    <w:abstractNumId w:val="8"/>
  </w:num>
  <w:num w:numId="17">
    <w:abstractNumId w:val="12"/>
  </w:num>
  <w:num w:numId="18">
    <w:abstractNumId w:val="25"/>
  </w:num>
  <w:num w:numId="19">
    <w:abstractNumId w:val="17"/>
  </w:num>
  <w:num w:numId="20">
    <w:abstractNumId w:val="3"/>
  </w:num>
  <w:num w:numId="21">
    <w:abstractNumId w:val="22"/>
  </w:num>
  <w:num w:numId="22">
    <w:abstractNumId w:val="18"/>
  </w:num>
  <w:num w:numId="23">
    <w:abstractNumId w:val="5"/>
  </w:num>
  <w:num w:numId="24">
    <w:abstractNumId w:val="24"/>
  </w:num>
  <w:num w:numId="25">
    <w:abstractNumId w:val="19"/>
  </w:num>
  <w:num w:numId="26">
    <w:abstractNumId w:val="4"/>
  </w:num>
  <w:num w:numId="27">
    <w:abstractNumId w:val="26"/>
  </w:num>
  <w:num w:numId="28">
    <w:abstractNumId w:val="2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FA"/>
    <w:rsid w:val="00007917"/>
    <w:rsid w:val="00030402"/>
    <w:rsid w:val="00071B65"/>
    <w:rsid w:val="000736A2"/>
    <w:rsid w:val="00086692"/>
    <w:rsid w:val="000D2D1B"/>
    <w:rsid w:val="000F300A"/>
    <w:rsid w:val="00101C42"/>
    <w:rsid w:val="0010219F"/>
    <w:rsid w:val="001527BE"/>
    <w:rsid w:val="00152A94"/>
    <w:rsid w:val="00171E5D"/>
    <w:rsid w:val="00182A0D"/>
    <w:rsid w:val="001936A8"/>
    <w:rsid w:val="001A4469"/>
    <w:rsid w:val="001D607D"/>
    <w:rsid w:val="001E638A"/>
    <w:rsid w:val="002428DC"/>
    <w:rsid w:val="00283684"/>
    <w:rsid w:val="003103C4"/>
    <w:rsid w:val="00335C23"/>
    <w:rsid w:val="00337CE7"/>
    <w:rsid w:val="003415D1"/>
    <w:rsid w:val="003723D9"/>
    <w:rsid w:val="00383CBB"/>
    <w:rsid w:val="003D21D2"/>
    <w:rsid w:val="003E3E86"/>
    <w:rsid w:val="003F02CA"/>
    <w:rsid w:val="004C6525"/>
    <w:rsid w:val="004D6196"/>
    <w:rsid w:val="004F0F64"/>
    <w:rsid w:val="00543158"/>
    <w:rsid w:val="00546990"/>
    <w:rsid w:val="00561FC4"/>
    <w:rsid w:val="00577870"/>
    <w:rsid w:val="00586A53"/>
    <w:rsid w:val="0059349F"/>
    <w:rsid w:val="00671A99"/>
    <w:rsid w:val="00674243"/>
    <w:rsid w:val="0067697E"/>
    <w:rsid w:val="00690DA9"/>
    <w:rsid w:val="00690F9A"/>
    <w:rsid w:val="006C5D18"/>
    <w:rsid w:val="006F3FC6"/>
    <w:rsid w:val="00701460"/>
    <w:rsid w:val="007150F6"/>
    <w:rsid w:val="00731BC4"/>
    <w:rsid w:val="007863D3"/>
    <w:rsid w:val="00787B7C"/>
    <w:rsid w:val="00793D7D"/>
    <w:rsid w:val="007B7DB3"/>
    <w:rsid w:val="008451FE"/>
    <w:rsid w:val="008B3F76"/>
    <w:rsid w:val="008F0B46"/>
    <w:rsid w:val="00914E33"/>
    <w:rsid w:val="00915DAE"/>
    <w:rsid w:val="009218E7"/>
    <w:rsid w:val="00921E31"/>
    <w:rsid w:val="00923AC9"/>
    <w:rsid w:val="00963593"/>
    <w:rsid w:val="0096376D"/>
    <w:rsid w:val="00996EEB"/>
    <w:rsid w:val="009B1BF2"/>
    <w:rsid w:val="009B6060"/>
    <w:rsid w:val="009E7456"/>
    <w:rsid w:val="009F5E4D"/>
    <w:rsid w:val="00A05BC0"/>
    <w:rsid w:val="00A126FA"/>
    <w:rsid w:val="00A25C56"/>
    <w:rsid w:val="00A9293D"/>
    <w:rsid w:val="00AA5A30"/>
    <w:rsid w:val="00AB0F65"/>
    <w:rsid w:val="00B17C5F"/>
    <w:rsid w:val="00B25EE4"/>
    <w:rsid w:val="00B677C4"/>
    <w:rsid w:val="00C01DA5"/>
    <w:rsid w:val="00C070C8"/>
    <w:rsid w:val="00C56065"/>
    <w:rsid w:val="00C63E52"/>
    <w:rsid w:val="00C67E15"/>
    <w:rsid w:val="00C96CBF"/>
    <w:rsid w:val="00CF47A2"/>
    <w:rsid w:val="00D1495D"/>
    <w:rsid w:val="00D2365D"/>
    <w:rsid w:val="00D545E4"/>
    <w:rsid w:val="00DE739D"/>
    <w:rsid w:val="00DF2BFF"/>
    <w:rsid w:val="00E42895"/>
    <w:rsid w:val="00E474A0"/>
    <w:rsid w:val="00E528E0"/>
    <w:rsid w:val="00EC042A"/>
    <w:rsid w:val="00F0622C"/>
    <w:rsid w:val="00F34A55"/>
    <w:rsid w:val="00F34B6F"/>
    <w:rsid w:val="00F41703"/>
    <w:rsid w:val="00F7168A"/>
    <w:rsid w:val="00FF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paragraph" w:styleId="Heading3">
    <w:name w:val="heading 3"/>
    <w:basedOn w:val="Normal"/>
    <w:next w:val="Normal"/>
    <w:link w:val="Heading3Char"/>
    <w:qFormat/>
    <w:rsid w:val="009E7456"/>
    <w:pPr>
      <w:keepNext/>
      <w:keepLines/>
      <w:numPr>
        <w:ilvl w:val="2"/>
        <w:numId w:val="27"/>
      </w:numPr>
      <w:spacing w:before="120" w:after="24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ftref, BVI fnr,BVI fnr,16 Point,Superscript 6 Point,Footnote Reference Number,Footnote Reference_LVL6,Footnote Reference_LVL61,Footnote Reference_LVL62,Footnote Reference_LVL63,Footnote Reference_LVL64,Знак сноски-FN,Times 10 Point,fr"/>
    <w:basedOn w:val="DefaultParagraphFont"/>
    <w:uiPriority w:val="99"/>
    <w:qFormat/>
    <w:rsid w:val="00731BC4"/>
    <w:rPr>
      <w:vertAlign w:val="superscript"/>
    </w:rPr>
  </w:style>
  <w:style w:type="paragraph" w:styleId="FootnoteText">
    <w:name w:val="footnote text"/>
    <w:aliases w:val="FOOTNOTES,fn,single space,footnote text,ALTS FOOTNOTE,Note de bas de page2,Note de bas de page Car Car Car,Note de bas de page Car Car,Note de bas de page Car Car Car2,Note de bas de page Car Car Car3,Note de bas de page Car Car Car4,ft,f"/>
    <w:basedOn w:val="Normal"/>
    <w:link w:val="FootnoteTextChar"/>
    <w:uiPriority w:val="99"/>
    <w:qFormat/>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ALTS FOOTNOTE Char,Note de bas de page2 Char,Note de bas de page Car Car Car Char,Note de bas de page Car Car Char,Note de bas de page Car Car Car2 Char,ft Char,f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character" w:customStyle="1" w:styleId="Heading3Char">
    <w:name w:val="Heading 3 Char"/>
    <w:basedOn w:val="DefaultParagraphFont"/>
    <w:link w:val="Heading3"/>
    <w:rsid w:val="009E7456"/>
    <w:rPr>
      <w:rFonts w:cs="Arial"/>
      <w:b/>
      <w:bCs/>
      <w:sz w:val="24"/>
      <w:szCs w:val="26"/>
    </w:rPr>
  </w:style>
  <w:style w:type="paragraph" w:customStyle="1" w:styleId="Style1">
    <w:name w:val="Style1"/>
    <w:basedOn w:val="ListParagraph"/>
    <w:link w:val="Style1Char"/>
    <w:qFormat/>
    <w:rsid w:val="009E7456"/>
    <w:pPr>
      <w:numPr>
        <w:ilvl w:val="3"/>
        <w:numId w:val="27"/>
      </w:numPr>
      <w:overflowPunct w:val="0"/>
      <w:autoSpaceDE w:val="0"/>
      <w:autoSpaceDN w:val="0"/>
      <w:adjustRightInd w:val="0"/>
      <w:spacing w:before="120" w:after="240"/>
      <w:contextualSpacing w:val="0"/>
      <w:jc w:val="both"/>
      <w:textAlignment w:val="baseline"/>
    </w:pPr>
    <w:rPr>
      <w:szCs w:val="20"/>
    </w:rPr>
  </w:style>
  <w:style w:type="character" w:customStyle="1" w:styleId="Style1Char">
    <w:name w:val="Style1 Char"/>
    <w:basedOn w:val="DefaultParagraphFont"/>
    <w:link w:val="Style1"/>
    <w:rsid w:val="009E7456"/>
    <w:rPr>
      <w:sz w:val="24"/>
    </w:rPr>
  </w:style>
  <w:style w:type="paragraph" w:customStyle="1" w:styleId="CM15">
    <w:name w:val="CM15"/>
    <w:basedOn w:val="Normal"/>
    <w:next w:val="Normal"/>
    <w:link w:val="CM15Char"/>
    <w:uiPriority w:val="99"/>
    <w:rsid w:val="00DF2BFF"/>
    <w:pPr>
      <w:widowControl w:val="0"/>
      <w:autoSpaceDE w:val="0"/>
      <w:autoSpaceDN w:val="0"/>
      <w:adjustRightInd w:val="0"/>
    </w:pPr>
  </w:style>
  <w:style w:type="character" w:customStyle="1" w:styleId="CM15Char">
    <w:name w:val="CM15 Char"/>
    <w:basedOn w:val="DefaultParagraphFont"/>
    <w:link w:val="CM15"/>
    <w:uiPriority w:val="99"/>
    <w:rsid w:val="00DF2BFF"/>
    <w:rPr>
      <w:sz w:val="24"/>
      <w:szCs w:val="24"/>
    </w:rPr>
  </w:style>
  <w:style w:type="paragraph" w:styleId="Header">
    <w:name w:val="header"/>
    <w:basedOn w:val="Normal"/>
    <w:link w:val="HeaderChar"/>
    <w:rsid w:val="00B25EE4"/>
    <w:pPr>
      <w:tabs>
        <w:tab w:val="center" w:pos="4680"/>
        <w:tab w:val="right" w:pos="9360"/>
      </w:tabs>
    </w:pPr>
  </w:style>
  <w:style w:type="character" w:customStyle="1" w:styleId="HeaderChar">
    <w:name w:val="Header Char"/>
    <w:basedOn w:val="DefaultParagraphFont"/>
    <w:link w:val="Header"/>
    <w:rsid w:val="00B25EE4"/>
    <w:rPr>
      <w:sz w:val="24"/>
      <w:szCs w:val="24"/>
    </w:rPr>
  </w:style>
  <w:style w:type="paragraph" w:styleId="Footer">
    <w:name w:val="footer"/>
    <w:basedOn w:val="Normal"/>
    <w:link w:val="FooterChar"/>
    <w:uiPriority w:val="99"/>
    <w:rsid w:val="00B25EE4"/>
    <w:pPr>
      <w:tabs>
        <w:tab w:val="center" w:pos="4680"/>
        <w:tab w:val="right" w:pos="9360"/>
      </w:tabs>
    </w:pPr>
  </w:style>
  <w:style w:type="character" w:customStyle="1" w:styleId="FooterChar">
    <w:name w:val="Footer Char"/>
    <w:basedOn w:val="DefaultParagraphFont"/>
    <w:link w:val="Footer"/>
    <w:uiPriority w:val="99"/>
    <w:rsid w:val="00B25E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paragraph" w:styleId="Heading3">
    <w:name w:val="heading 3"/>
    <w:basedOn w:val="Normal"/>
    <w:next w:val="Normal"/>
    <w:link w:val="Heading3Char"/>
    <w:qFormat/>
    <w:rsid w:val="009E7456"/>
    <w:pPr>
      <w:keepNext/>
      <w:keepLines/>
      <w:numPr>
        <w:ilvl w:val="2"/>
        <w:numId w:val="27"/>
      </w:numPr>
      <w:spacing w:before="120" w:after="24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ftref, BVI fnr,BVI fnr,16 Point,Superscript 6 Point,Footnote Reference Number,Footnote Reference_LVL6,Footnote Reference_LVL61,Footnote Reference_LVL62,Footnote Reference_LVL63,Footnote Reference_LVL64,Знак сноски-FN,Times 10 Point,fr"/>
    <w:basedOn w:val="DefaultParagraphFont"/>
    <w:uiPriority w:val="99"/>
    <w:qFormat/>
    <w:rsid w:val="00731BC4"/>
    <w:rPr>
      <w:vertAlign w:val="superscript"/>
    </w:rPr>
  </w:style>
  <w:style w:type="paragraph" w:styleId="FootnoteText">
    <w:name w:val="footnote text"/>
    <w:aliases w:val="FOOTNOTES,fn,single space,footnote text,ALTS FOOTNOTE,Note de bas de page2,Note de bas de page Car Car Car,Note de bas de page Car Car,Note de bas de page Car Car Car2,Note de bas de page Car Car Car3,Note de bas de page Car Car Car4,ft,f"/>
    <w:basedOn w:val="Normal"/>
    <w:link w:val="FootnoteTextChar"/>
    <w:uiPriority w:val="99"/>
    <w:qFormat/>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ALTS FOOTNOTE Char,Note de bas de page2 Char,Note de bas de page Car Car Car Char,Note de bas de page Car Car Char,Note de bas de page Car Car Car2 Char,ft Char,f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character" w:customStyle="1" w:styleId="Heading3Char">
    <w:name w:val="Heading 3 Char"/>
    <w:basedOn w:val="DefaultParagraphFont"/>
    <w:link w:val="Heading3"/>
    <w:rsid w:val="009E7456"/>
    <w:rPr>
      <w:rFonts w:cs="Arial"/>
      <w:b/>
      <w:bCs/>
      <w:sz w:val="24"/>
      <w:szCs w:val="26"/>
    </w:rPr>
  </w:style>
  <w:style w:type="paragraph" w:customStyle="1" w:styleId="Style1">
    <w:name w:val="Style1"/>
    <w:basedOn w:val="ListParagraph"/>
    <w:link w:val="Style1Char"/>
    <w:qFormat/>
    <w:rsid w:val="009E7456"/>
    <w:pPr>
      <w:numPr>
        <w:ilvl w:val="3"/>
        <w:numId w:val="27"/>
      </w:numPr>
      <w:overflowPunct w:val="0"/>
      <w:autoSpaceDE w:val="0"/>
      <w:autoSpaceDN w:val="0"/>
      <w:adjustRightInd w:val="0"/>
      <w:spacing w:before="120" w:after="240"/>
      <w:contextualSpacing w:val="0"/>
      <w:jc w:val="both"/>
      <w:textAlignment w:val="baseline"/>
    </w:pPr>
    <w:rPr>
      <w:szCs w:val="20"/>
    </w:rPr>
  </w:style>
  <w:style w:type="character" w:customStyle="1" w:styleId="Style1Char">
    <w:name w:val="Style1 Char"/>
    <w:basedOn w:val="DefaultParagraphFont"/>
    <w:link w:val="Style1"/>
    <w:rsid w:val="009E7456"/>
    <w:rPr>
      <w:sz w:val="24"/>
    </w:rPr>
  </w:style>
  <w:style w:type="paragraph" w:customStyle="1" w:styleId="CM15">
    <w:name w:val="CM15"/>
    <w:basedOn w:val="Normal"/>
    <w:next w:val="Normal"/>
    <w:link w:val="CM15Char"/>
    <w:uiPriority w:val="99"/>
    <w:rsid w:val="00DF2BFF"/>
    <w:pPr>
      <w:widowControl w:val="0"/>
      <w:autoSpaceDE w:val="0"/>
      <w:autoSpaceDN w:val="0"/>
      <w:adjustRightInd w:val="0"/>
    </w:pPr>
  </w:style>
  <w:style w:type="character" w:customStyle="1" w:styleId="CM15Char">
    <w:name w:val="CM15 Char"/>
    <w:basedOn w:val="DefaultParagraphFont"/>
    <w:link w:val="CM15"/>
    <w:uiPriority w:val="99"/>
    <w:rsid w:val="00DF2BFF"/>
    <w:rPr>
      <w:sz w:val="24"/>
      <w:szCs w:val="24"/>
    </w:rPr>
  </w:style>
  <w:style w:type="paragraph" w:styleId="Header">
    <w:name w:val="header"/>
    <w:basedOn w:val="Normal"/>
    <w:link w:val="HeaderChar"/>
    <w:rsid w:val="00B25EE4"/>
    <w:pPr>
      <w:tabs>
        <w:tab w:val="center" w:pos="4680"/>
        <w:tab w:val="right" w:pos="9360"/>
      </w:tabs>
    </w:pPr>
  </w:style>
  <w:style w:type="character" w:customStyle="1" w:styleId="HeaderChar">
    <w:name w:val="Header Char"/>
    <w:basedOn w:val="DefaultParagraphFont"/>
    <w:link w:val="Header"/>
    <w:rsid w:val="00B25EE4"/>
    <w:rPr>
      <w:sz w:val="24"/>
      <w:szCs w:val="24"/>
    </w:rPr>
  </w:style>
  <w:style w:type="paragraph" w:styleId="Footer">
    <w:name w:val="footer"/>
    <w:basedOn w:val="Normal"/>
    <w:link w:val="FooterChar"/>
    <w:uiPriority w:val="99"/>
    <w:rsid w:val="00B25EE4"/>
    <w:pPr>
      <w:tabs>
        <w:tab w:val="center" w:pos="4680"/>
        <w:tab w:val="right" w:pos="9360"/>
      </w:tabs>
    </w:pPr>
  </w:style>
  <w:style w:type="character" w:customStyle="1" w:styleId="FooterChar">
    <w:name w:val="Footer Char"/>
    <w:basedOn w:val="DefaultParagraphFont"/>
    <w:link w:val="Footer"/>
    <w:uiPriority w:val="99"/>
    <w:rsid w:val="00B25E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BF295-78DF-4376-BC6B-CAF7A813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5118</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Jason Mayfield</dc:creator>
  <cp:lastModifiedBy>Miriam Beatriz Villarroel</cp:lastModifiedBy>
  <cp:revision>2</cp:revision>
  <cp:lastPrinted>2009-11-17T16:33:00Z</cp:lastPrinted>
  <dcterms:created xsi:type="dcterms:W3CDTF">2014-09-15T21:11:00Z</dcterms:created>
  <dcterms:modified xsi:type="dcterms:W3CDTF">2014-09-15T21:11:00Z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AB7617</vt:lpwstr>
  </property>
  <property fmtid="{D5CDD505-2E9C-101B-9397-08002B2CF9AE}" pid="3" name="TEAMLEADER">
    <vt:lpwstr>Mr Fernando Andres Blanco Cossio</vt:lpwstr>
  </property>
</Properties>
</file>