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3B" w:rsidRPr="00C35E3B" w:rsidRDefault="0048738D" w:rsidP="00C35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738D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59BAB" wp14:editId="2101D746">
                <wp:simplePos x="0" y="0"/>
                <wp:positionH relativeFrom="margin">
                  <wp:posOffset>4754880</wp:posOffset>
                </wp:positionH>
                <wp:positionV relativeFrom="paragraph">
                  <wp:posOffset>-266700</wp:posOffset>
                </wp:positionV>
                <wp:extent cx="118681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8D" w:rsidRDefault="0048738D" w:rsidP="005F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92803</w:t>
                            </w:r>
                          </w:p>
                          <w:p w:rsidR="0048738D" w:rsidRPr="005F30DC" w:rsidRDefault="0048738D" w:rsidP="005F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June 8</w:t>
                            </w:r>
                            <w:r w:rsidRPr="005F3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2007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59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-21pt;width:9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" filled="f" stroked="f">
                <v:textbox style="mso-fit-shape-to-text:t">
                  <w:txbxContent>
                    <w:p w:rsidR="0048738D" w:rsidRDefault="0048738D" w:rsidP="005F30DC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92803</w:t>
                      </w:r>
                    </w:p>
                    <w:p w:rsidR="0048738D" w:rsidRPr="005F30DC" w:rsidRDefault="0048738D" w:rsidP="005F30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June 8</w:t>
                      </w:r>
                      <w:r w:rsidRPr="005F30DC">
                        <w:rPr>
                          <w:rFonts w:ascii="Arial" w:hAnsi="Arial" w:cs="Arial"/>
                          <w:sz w:val="24"/>
                          <w:szCs w:val="24"/>
                        </w:rPr>
                        <w:t>, 2007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3B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905250" cy="38100"/>
            <wp:effectExtent l="0" t="0" r="0" b="0"/>
            <wp:docPr id="12" name="Picture 12" descr="http://web.worldbank.org/shared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worldbank.org/shared/images/shi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mainContent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00"/>
        <w:gridCol w:w="9060"/>
      </w:tblGrid>
      <w:tr w:rsidR="00C35E3B" w:rsidRPr="00C35E3B">
        <w:trPr>
          <w:tblCellSpacing w:w="0" w:type="dxa"/>
        </w:trPr>
        <w:tc>
          <w:tcPr>
            <w:tcW w:w="300" w:type="dxa"/>
            <w:hideMark/>
          </w:tcPr>
          <w:p w:rsidR="00C35E3B" w:rsidRPr="00C35E3B" w:rsidRDefault="00C35E3B" w:rsidP="00C3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e Details about نيكاراغوا - بيئة أفضل لأنشطة الأعمال displayed below"/>
            </w:tblPr>
            <w:tblGrid>
              <w:gridCol w:w="8390"/>
              <w:gridCol w:w="335"/>
              <w:gridCol w:w="335"/>
            </w:tblGrid>
            <w:tr w:rsidR="00C35E3B" w:rsidRPr="00C35E3B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35E3B" w:rsidRPr="00C35E3B" w:rsidRDefault="00C35E3B" w:rsidP="00C35E3B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بيئة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أفضل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لأنشطة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الأعمال</w:t>
                  </w:r>
                  <w:proofErr w:type="spellEnd"/>
                </w:p>
              </w:tc>
            </w:tr>
            <w:tr w:rsidR="00C35E3B" w:rsidRPr="00C35E3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6699CC"/>
                  <w:hideMark/>
                </w:tcPr>
                <w:p w:rsidR="00C35E3B" w:rsidRPr="00C35E3B" w:rsidRDefault="00C35E3B" w:rsidP="00C35E3B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"/>
                      <w:szCs w:val="2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0" name="Picture 10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5E3B" w:rsidRPr="00C35E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35E3B" w:rsidRPr="00C35E3B" w:rsidRDefault="00C35E3B" w:rsidP="00C35E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" cy="66675"/>
                        <wp:effectExtent l="0" t="0" r="0" b="0"/>
                        <wp:docPr id="9" name="Picture 9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E3B" w:rsidRPr="00C35E3B" w:rsidRDefault="00C35E3B" w:rsidP="00C3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E3B" w:rsidRPr="00C35E3B" w:rsidRDefault="00C35E3B" w:rsidP="00C35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E3B" w:rsidRPr="00C35E3B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35E3B" w:rsidRPr="00C35E3B" w:rsidRDefault="00C35E3B" w:rsidP="00C35E3B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889933"/>
                      <w:sz w:val="15"/>
                      <w:szCs w:val="15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تاريخ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آخر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تحديث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يونيه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/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حزيران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2007</w:t>
                  </w:r>
                </w:p>
                <w:p w:rsidR="00C35E3B" w:rsidRPr="00C35E3B" w:rsidRDefault="00C35E3B" w:rsidP="00C35E3B">
                  <w:pPr>
                    <w:shd w:val="clear" w:color="auto" w:fill="BF7C2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5334000" cy="714375"/>
                        <wp:effectExtent l="0" t="0" r="0" b="9525"/>
                        <wp:docPr id="8" name="Picture 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F0DA6A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3257550" cy="1990725"/>
                        <wp:effectExtent l="0" t="0" r="0" b="9525"/>
                        <wp:docPr id="7" name="Picture 7" descr="التخلص من الروتين يحقق انتعاشاً في بيئة أنشطة الأعمال في نيكاراغو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التخلص من الروتين يحقق انتعاشاً في بيئة أنشطة الأعمال في نيكاراغو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F0DA6A"/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روابط</w:t>
                  </w:r>
                  <w:proofErr w:type="spellEnd"/>
                  <w:proofErr w:type="gram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proofErr w:type="gram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hyperlink r:id="rId7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ما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هي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المؤسسة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الدولية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للتنمية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؟</w:t>
                    </w:r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8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عمل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المؤسسة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الدولية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للتنمية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في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نيكاراغوا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مزيد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المعلومات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-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9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تاريخ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الاقتراض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0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بيانات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وإحصاءات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1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بحوث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2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للاتصال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بنا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809625" cy="238125"/>
                        <wp:effectExtent l="0" t="0" r="9525" b="9525"/>
                        <wp:docPr id="6" name="Picture 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مرحلة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تصميم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وبداية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تنفيذه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كانت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متخلفة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بشكل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كبير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جيرانها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الوسطى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حيث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قدراتها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ولم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تكن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لديها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إستراتيجية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واضحة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للتصدي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لهذه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القضية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2002،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جاء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ترتيب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دليل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المنتدى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الاقتصادي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العالمي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لقياس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القدرة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عالمياً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الخامس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والسبعين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80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بلداً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العالم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يعاني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عدم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وجود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وعدم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للقدرات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التقنية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وعدم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للقطاع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C35E3B" w:rsidRPr="00C35E3B" w:rsidRDefault="00C35E3B" w:rsidP="00C35E3B">
                  <w:pPr>
                    <w:shd w:val="clear" w:color="auto" w:fill="FCFFF0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143000" cy="190500"/>
                        <wp:effectExtent l="0" t="0" r="0" b="0"/>
                        <wp:docPr id="5" name="Picture 5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FCFFF0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تصميم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تعزيز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القدرة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لعرض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واختبار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خيارات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بشأن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تحسين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الأعمال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وكذلك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لطرح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خدمات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تطوير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الأعمال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والمشروعات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الجديدة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سبيل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التجربة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لاسيما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وتطوير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التركيزات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الجغرافية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للمجموعات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القطاعية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بالشركات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والمؤسسات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العاملة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مجالات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علاقة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يسمح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لصغار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ومتوسطي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المنتجين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والصناع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الحصول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الخدمات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يحتاجونها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يساعد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التأثير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أجندة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البحوث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والسياسات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تستجيب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لمطالبهم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609725" cy="333375"/>
                        <wp:effectExtent l="0" t="0" r="9525" b="9525"/>
                        <wp:docPr id="4" name="Picture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أدى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تيسير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وتسهيل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القطاع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تبسيط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اللوائح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والقوانين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الأعمال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بصورة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هائلة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تعزيز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مجموعات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الصناعات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وتشجيع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وجذب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الاستثمارات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الأجنبية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المباشرة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وطرح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خدمات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سبيل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التجربة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أجل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تحقيق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مستدامة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وتطوير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الأعمال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والمشروعات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أبرز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الملامح</w:t>
                  </w:r>
                  <w:proofErr w:type="spellEnd"/>
                  <w:proofErr w:type="gram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proofErr w:type="gram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تراجعت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والإجراءات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المطلوبة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لتأسيس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شركة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71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يوماً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و12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إجراء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2003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39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يوماً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و 6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إجراءات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2006.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وطبقا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للمسح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الوارد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تقرير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ممارسة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الأعمال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2006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مجموعة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الذي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178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بلداً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جاء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ترتيب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السابع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والستين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وهو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ترتيب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بلدان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الوسطى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إحراز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تقدم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الشأن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حيث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ترتيب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الثاني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والسبعين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2005.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تحقيق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معدلات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النمو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المستهدفة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البالغة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وتجاوز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التوقعات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صناعات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محددة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حسبما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المؤشرات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بأربعة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مجالات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يساندها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السياحة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وزراعة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وإنتاج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الألبان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والصناعات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الخفيفة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):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زيادة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أعداد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السياح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بنسبة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17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2004 (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525400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614800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سائح</w:t>
                  </w:r>
                  <w:proofErr w:type="spellEnd"/>
                  <w:proofErr w:type="gram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)</w:t>
                  </w:r>
                  <w:proofErr w:type="gram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تضاعف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إنتاج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تقريباً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1.10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قنطار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2004/2005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2.07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قنطار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2005/2006،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وشمل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ذلك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الفاخر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والبن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المنتج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باستخدام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أسمدة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عضوية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مبيدات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نمو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إجمالي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منتجات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الألبان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بنسبة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33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2003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2004.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نمو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فرص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بنسبة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38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قطاع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السياحة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وبنسبة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67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قطاع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الصناعات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الخفيفة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قامت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هيئة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تشجيع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الاستثمار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التابعة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لحكومة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بجذب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استثمارات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أجنبية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مباشرة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بقيمة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137.7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أدى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يزيد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12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ألف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فرصة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فيما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2003، 2005؛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وبلغت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المنطقة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700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2004.</w:t>
                  </w:r>
                </w:p>
                <w:p w:rsidR="00C35E3B" w:rsidRPr="00C35E3B" w:rsidRDefault="00C35E3B" w:rsidP="00C35E3B">
                  <w:pPr>
                    <w:shd w:val="clear" w:color="auto" w:fill="FCFFF0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905000" cy="285750"/>
                        <wp:effectExtent l="0" t="0" r="0" b="0"/>
                        <wp:docPr id="3" name="Picture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FCFFF0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شملت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المساعدات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الفنية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المقدمة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خبرات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عالمية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تمت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الاستفادة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وضع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القوانين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والمنطقة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والتسجيل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قامت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ببناء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لهيئة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تشجيع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وهيئة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تشجيع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الاستثمار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وذلك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اعتماداً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تجارب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ومساعدات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الوكالة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لضمان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الاستثمار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أيضاًً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إحدى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التابعة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لمجموعة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حتى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يتسنى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تقديم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المساندة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لأنشطة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المجموعات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اعتمدت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التجارب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الواسعة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النطاق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لبرنامج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الخدمات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الاستشارية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للاستثمار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الأجنبي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التابع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التمويل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فضلاً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مساندة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إضافية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منحة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برنامج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الشراكة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وهولندا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بلغت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التكلفة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الكلية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لهذا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5.95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قدمت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5.4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وقدمت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الحكومة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550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ألف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609725" cy="133350"/>
                        <wp:effectExtent l="0" t="0" r="9525" b="0"/>
                        <wp:docPr id="2" name="Picture 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الرغم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التحسينات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طرأت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البيروقراطية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واللوائح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المقيدة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مازالت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تحول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تحقيق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الاستفادة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الكاملة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مزايا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الأسواق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العالمية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ومنها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تلك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المزايا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والمنافع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المتحققة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عضويتها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اتفاقية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الجمهورية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الدومينيكية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وأمريكا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الوسطى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وستواصل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مساندتها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لهذا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العمل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تعزيز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القدرة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(17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proofErr w:type="gram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)،</w:t>
                  </w:r>
                  <w:proofErr w:type="gram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الذي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ساعد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بدوره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تعزيز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وتوفير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المساندة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الفنية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وتوجيه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المنح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للقطاع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لخلق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فرص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وزيادة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الإنتاجية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وتشجيع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الصادرات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خلال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الوفاء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بشروط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اتفاقية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التجارة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الحرة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الجمهورية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الدومينيكية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وأمريكا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الوسطى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C35E3B" w:rsidRPr="00C35E3B" w:rsidRDefault="00C35E3B" w:rsidP="00C35E3B">
                  <w:pPr>
                    <w:shd w:val="clear" w:color="auto" w:fill="FFF1AD"/>
                    <w:spacing w:after="150" w:line="255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524000" cy="333375"/>
                        <wp:effectExtent l="0" t="0" r="0" b="9525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3B" w:rsidRPr="00C35E3B" w:rsidRDefault="00C35E3B" w:rsidP="00C35E3B">
                  <w:pPr>
                    <w:shd w:val="clear" w:color="auto" w:fill="FFF1AD"/>
                    <w:spacing w:after="150" w:line="255" w:lineRule="atLeas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قرض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التعلم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والابتكار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المعني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بتعزيز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قدرة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نيكاراغوا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المنافسة</w:t>
                  </w:r>
                  <w:proofErr w:type="spellEnd"/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(2001-2006)</w:t>
                  </w:r>
                  <w:r w:rsidRPr="00C35E3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hyperlink r:id="rId19" w:history="1"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وثائق</w:t>
                    </w:r>
                    <w:proofErr w:type="spellEnd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35E3B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المشروع</w:t>
                    </w:r>
                    <w:proofErr w:type="spellEnd"/>
                  </w:hyperlink>
                  <w:r w:rsidRPr="00C35E3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</w:p>
              </w:tc>
            </w:tr>
          </w:tbl>
          <w:p w:rsidR="00C35E3B" w:rsidRPr="00C35E3B" w:rsidRDefault="00C35E3B" w:rsidP="00C3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05E51" w:rsidRDefault="00705E51"/>
    <w:sectPr w:rsidR="0070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B"/>
    <w:rsid w:val="0048738D"/>
    <w:rsid w:val="00662991"/>
    <w:rsid w:val="00705E51"/>
    <w:rsid w:val="00C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930AA-1964-4D96-8B6D-DF3B3A7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E3B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E3B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C35E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worldbank.org/WBSITE/EXTERNAL/EXTARABICHOME/EXTABOUTUSARABIC/EXTIDAARABIC/0,,contentMDK:21454707~pagePK:51236175~piPK:437394~theSitePK:1774633,00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eb.worldbank.org/WBSITE/EXTERNAL/EXTARABICHOME/EXTABOUTUSARABIC/EXTIDAARABIC/0,,contentMDK:21216974~menuPK:3440391~pagePK:51236175~piPK:437394~theSitePK:1774633,00.html" TargetMode="External"/><Relationship Id="rId12" Type="http://schemas.openxmlformats.org/officeDocument/2006/relationships/hyperlink" Target="http://web.worldbank.org/WBSITE/EXTERNAL/COUNTRIES/LACEXT/NICARAGUAEXTN/0,,menuPK:287247~pagePK:141132~piPK:141099~theSitePK:258689,00.htm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eb.worldbank.org/external/default/main?theSitePK=258689&amp;pagePK=51187344&amp;cntry=82532&amp;menuPK=287228&amp;piPK=51189442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jpeg"/><Relationship Id="rId10" Type="http://schemas.openxmlformats.org/officeDocument/2006/relationships/hyperlink" Target="http://web.worldbank.org/WBSITE/EXTERNAL/COUNTRIES/LACEXT/NICARAGUAEXTN/0,,contentMDK:20212601~menuPK:287226~pagePK:1497618~piPK:217854~theSitePK:258689,00.html" TargetMode="External"/><Relationship Id="rId19" Type="http://schemas.openxmlformats.org/officeDocument/2006/relationships/hyperlink" Target="http://web.worldbank.org/external/projects/main?pagePK=64283627&amp;piPK=73230&amp;theSitePK=40941&amp;menuPK=228424&amp;Projectid=P07001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eb.worldbank.org/WBSITE/EXTERNAL/PROJECTS/0,,pagePK:64392398~piPK:64392037~theSitePK:40941~countrycode:NI~menuPK:64382427,00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The World Bank Group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Bank Group</dc:creator>
  <cp:lastModifiedBy>Zachary Stuart Newton</cp:lastModifiedBy>
  <cp:revision>3</cp:revision>
  <dcterms:created xsi:type="dcterms:W3CDTF">2014-11-13T13:58:00Z</dcterms:created>
  <dcterms:modified xsi:type="dcterms:W3CDTF">2014-12-15T15:59:00Z</dcterms:modified>
</cp:coreProperties>
</file>