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theme/themeOverride1.xml" ContentType="application/vnd.openxmlformats-officedocument.themeOverride+xml"/>
  <Override PartName="/word/charts/colors1.xml" ContentType="application/vnd.ms-office.chartcolorstyle+xml"/>
  <Override PartName="/word/charts/style1.xml" ContentType="application/vnd.ms-office.chartstyle+xml"/>
  <Override PartName="/word/ink/ink3.xml" ContentType="application/inkml+xml"/>
  <Override PartName="/word/charts/chart1.xml" ContentType="application/vnd.openxmlformats-officedocument.drawingml.chart+xml"/>
  <Override PartName="/word/ink/ink1.xml" ContentType="application/inkml+xml"/>
  <Override PartName="/word/ink/ink2.xml" ContentType="application/inkml+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36"/>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0" w:type="dxa"/>
          <w:right w:w="50" w:type="dxa"/>
        </w:tblCellMar>
        <w:tblLook w:val="0000" w:firstRow="0" w:lastRow="0" w:firstColumn="0" w:lastColumn="0" w:noHBand="0" w:noVBand="0"/>
      </w:tblPr>
      <w:tblGrid>
        <w:gridCol w:w="188"/>
        <w:gridCol w:w="9218"/>
      </w:tblGrid>
      <w:tr w:rsidR="002A5F7D" w14:paraId="62267100" w14:textId="77777777" w:rsidTr="00685255">
        <w:tc>
          <w:tcPr>
            <w:tcW w:w="100" w:type="pct"/>
            <w:tcBorders>
              <w:top w:val="nil"/>
              <w:left w:val="nil"/>
              <w:bottom w:val="nil"/>
              <w:right w:val="nil"/>
            </w:tcBorders>
            <w:shd w:val="clear" w:color="auto" w:fill="FFFFFF" w:themeFill="background1"/>
            <w:tcMar>
              <w:top w:w="50" w:type="dxa"/>
              <w:left w:w="50" w:type="dxa"/>
              <w:bottom w:w="50" w:type="dxa"/>
              <w:right w:w="50" w:type="dxa"/>
            </w:tcMar>
            <w:vAlign w:val="center"/>
          </w:tcPr>
          <w:p w14:paraId="787C474C" w14:textId="77777777" w:rsidR="002A5F7D" w:rsidRPr="00EB1F56" w:rsidRDefault="002A5F7D" w:rsidP="00D97FB4">
            <w:pPr>
              <w:rPr>
                <w:rFonts w:eastAsiaTheme="minorEastAsia" w:cstheme="minorHAnsi"/>
                <w:color w:val="000000"/>
                <w:sz w:val="20"/>
                <w:szCs w:val="20"/>
              </w:rPr>
            </w:pPr>
          </w:p>
        </w:tc>
        <w:tc>
          <w:tcPr>
            <w:tcW w:w="4900" w:type="pct"/>
            <w:tcBorders>
              <w:top w:val="nil"/>
              <w:left w:val="nil"/>
              <w:bottom w:val="nil"/>
              <w:right w:val="nil"/>
            </w:tcBorders>
            <w:shd w:val="clear" w:color="auto" w:fill="FFFFFF" w:themeFill="background1"/>
            <w:tcMar>
              <w:top w:w="50" w:type="dxa"/>
              <w:left w:w="50" w:type="dxa"/>
              <w:bottom w:w="50" w:type="dxa"/>
              <w:right w:w="50" w:type="dxa"/>
            </w:tcMar>
            <w:vAlign w:val="center"/>
          </w:tcPr>
          <w:p w14:paraId="52C81DA7" w14:textId="341230F5" w:rsidR="002A5F7D" w:rsidRPr="00EB1F56" w:rsidRDefault="002A5F7D" w:rsidP="00D97FB4">
            <w:pPr>
              <w:rPr>
                <w:rFonts w:eastAsiaTheme="minorEastAsia" w:cstheme="minorHAnsi"/>
                <w:color w:val="000000"/>
                <w:sz w:val="20"/>
                <w:szCs w:val="20"/>
              </w:rPr>
            </w:pPr>
            <w:r w:rsidRPr="00EB1F56">
              <w:rPr>
                <w:rFonts w:eastAsiaTheme="minorEastAsia" w:cstheme="minorHAnsi"/>
                <w:color w:val="000000"/>
                <w:szCs w:val="20"/>
              </w:rPr>
              <w:t xml:space="preserve">Report No: </w:t>
            </w:r>
            <w:r w:rsidR="0019634D">
              <w:rPr>
                <w:noProof/>
                <w:sz w:val="20"/>
                <w:szCs w:val="20"/>
              </w:rPr>
              <w:t>AUS0001001</w:t>
            </w:r>
            <w:bookmarkStart w:id="0" w:name="_GoBack"/>
            <w:bookmarkEnd w:id="0"/>
          </w:p>
        </w:tc>
      </w:tr>
      <w:tr w:rsidR="002A5F7D" w14:paraId="1761BB03" w14:textId="77777777" w:rsidTr="00685255">
        <w:tc>
          <w:tcPr>
            <w:tcW w:w="5000" w:type="pct"/>
            <w:gridSpan w:val="2"/>
            <w:tcBorders>
              <w:top w:val="nil"/>
              <w:left w:val="nil"/>
              <w:bottom w:val="nil"/>
              <w:right w:val="nil"/>
            </w:tcBorders>
            <w:shd w:val="clear" w:color="auto" w:fill="FFFFFF" w:themeFill="background1"/>
            <w:tcMar>
              <w:top w:w="50" w:type="dxa"/>
              <w:left w:w="50" w:type="dxa"/>
              <w:bottom w:w="50" w:type="dxa"/>
              <w:right w:w="50" w:type="dxa"/>
            </w:tcMar>
            <w:vAlign w:val="center"/>
          </w:tcPr>
          <w:p w14:paraId="77C9E4F6" w14:textId="77777777" w:rsidR="002A5F7D" w:rsidRPr="00EB1F56" w:rsidRDefault="002A5F7D" w:rsidP="00D97FB4">
            <w:pPr>
              <w:rPr>
                <w:rFonts w:cstheme="minorHAnsi"/>
                <w:color w:val="FFFFFF"/>
                <w:sz w:val="10"/>
                <w:szCs w:val="10"/>
              </w:rPr>
            </w:pPr>
            <w:r w:rsidRPr="00EB1F56">
              <w:rPr>
                <w:rFonts w:cstheme="minorHAnsi"/>
                <w:color w:val="FFFFFF"/>
                <w:sz w:val="10"/>
                <w:szCs w:val="10"/>
              </w:rPr>
              <w:t>.</w:t>
            </w:r>
          </w:p>
        </w:tc>
      </w:tr>
      <w:tr w:rsidR="002A5F7D" w14:paraId="2D69369F" w14:textId="77777777" w:rsidTr="00685255">
        <w:tc>
          <w:tcPr>
            <w:tcW w:w="100" w:type="pct"/>
            <w:tcBorders>
              <w:top w:val="nil"/>
              <w:left w:val="nil"/>
              <w:bottom w:val="nil"/>
              <w:right w:val="nil"/>
            </w:tcBorders>
            <w:shd w:val="clear" w:color="auto" w:fill="FFFFFF" w:themeFill="background1"/>
            <w:tcMar>
              <w:top w:w="50" w:type="dxa"/>
              <w:left w:w="50" w:type="dxa"/>
              <w:bottom w:w="50" w:type="dxa"/>
              <w:right w:w="50" w:type="dxa"/>
            </w:tcMar>
            <w:vAlign w:val="center"/>
          </w:tcPr>
          <w:p w14:paraId="1B502F7E" w14:textId="77777777" w:rsidR="002A5F7D" w:rsidRPr="00E15AF3" w:rsidRDefault="002A5F7D" w:rsidP="00D97FB4">
            <w:pPr>
              <w:rPr>
                <w:rFonts w:cstheme="minorHAnsi"/>
                <w:color w:val="44546A" w:themeColor="text2"/>
              </w:rPr>
            </w:pPr>
          </w:p>
        </w:tc>
        <w:tc>
          <w:tcPr>
            <w:tcW w:w="4900" w:type="pct"/>
            <w:tcBorders>
              <w:top w:val="nil"/>
              <w:left w:val="nil"/>
              <w:bottom w:val="nil"/>
              <w:right w:val="nil"/>
            </w:tcBorders>
            <w:shd w:val="clear" w:color="auto" w:fill="FFFFFF" w:themeFill="background1"/>
            <w:tcMar>
              <w:top w:w="50" w:type="dxa"/>
              <w:left w:w="50" w:type="dxa"/>
              <w:bottom w:w="50" w:type="dxa"/>
              <w:right w:w="50" w:type="dxa"/>
            </w:tcMar>
          </w:tcPr>
          <w:p w14:paraId="029E030C" w14:textId="22A02CE7" w:rsidR="00685255" w:rsidRPr="00E15AF3" w:rsidRDefault="00685255" w:rsidP="00685255">
            <w:pPr>
              <w:spacing w:line="240" w:lineRule="auto"/>
              <w:jc w:val="both"/>
              <w:rPr>
                <w:rFonts w:cstheme="minorHAnsi"/>
                <w:b/>
                <w:color w:val="44546A" w:themeColor="text2"/>
                <w:sz w:val="32"/>
                <w:szCs w:val="32"/>
              </w:rPr>
            </w:pPr>
            <w:r w:rsidRPr="00E15AF3">
              <w:rPr>
                <w:rFonts w:cstheme="minorHAnsi"/>
                <w:b/>
                <w:color w:val="44546A" w:themeColor="text2"/>
                <w:sz w:val="32"/>
                <w:szCs w:val="32"/>
              </w:rPr>
              <w:t>Toward a More Pro-Poor and Explicit Health Benefit Package in the Kyrgyz Republic</w:t>
            </w:r>
          </w:p>
          <w:p w14:paraId="47B034EC" w14:textId="77777777" w:rsidR="00582AF6" w:rsidRPr="00000ACE" w:rsidRDefault="00582AF6" w:rsidP="00582AF6">
            <w:pPr>
              <w:spacing w:line="240" w:lineRule="auto"/>
              <w:jc w:val="both"/>
              <w:rPr>
                <w:rFonts w:cstheme="minorHAnsi"/>
                <w:b/>
                <w:i/>
                <w:color w:val="44546A" w:themeColor="text2"/>
                <w:sz w:val="24"/>
              </w:rPr>
            </w:pPr>
            <w:r w:rsidRPr="00000ACE">
              <w:rPr>
                <w:rFonts w:cstheme="minorHAnsi"/>
                <w:b/>
                <w:i/>
                <w:color w:val="44546A" w:themeColor="text2"/>
                <w:sz w:val="24"/>
              </w:rPr>
              <w:t>A Critical Review of the Stated Guaranteed Benefit Package and Options for Its Revision</w:t>
            </w:r>
          </w:p>
          <w:p w14:paraId="75E75B8D" w14:textId="77777777" w:rsidR="00582AF6" w:rsidRPr="00E15AF3" w:rsidRDefault="00582AF6" w:rsidP="00685255">
            <w:pPr>
              <w:spacing w:line="240" w:lineRule="auto"/>
              <w:jc w:val="both"/>
              <w:rPr>
                <w:rFonts w:cstheme="minorHAnsi"/>
                <w:b/>
                <w:color w:val="44546A" w:themeColor="text2"/>
                <w:sz w:val="32"/>
                <w:szCs w:val="32"/>
              </w:rPr>
            </w:pPr>
          </w:p>
          <w:p w14:paraId="773E55A9" w14:textId="77777777" w:rsidR="002A5F7D" w:rsidRPr="00E15AF3" w:rsidRDefault="002A5F7D" w:rsidP="00D97FB4">
            <w:pPr>
              <w:rPr>
                <w:color w:val="44546A" w:themeColor="text2"/>
                <w:sz w:val="48"/>
                <w:szCs w:val="48"/>
              </w:rPr>
            </w:pPr>
          </w:p>
        </w:tc>
      </w:tr>
      <w:tr w:rsidR="002A5F7D" w14:paraId="614F453E" w14:textId="77777777" w:rsidTr="00685255">
        <w:tc>
          <w:tcPr>
            <w:tcW w:w="100" w:type="pct"/>
            <w:tcBorders>
              <w:top w:val="nil"/>
              <w:left w:val="nil"/>
              <w:bottom w:val="nil"/>
              <w:right w:val="nil"/>
            </w:tcBorders>
            <w:shd w:val="clear" w:color="auto" w:fill="FFFFFF" w:themeFill="background1"/>
            <w:tcMar>
              <w:top w:w="50" w:type="dxa"/>
              <w:left w:w="50" w:type="dxa"/>
              <w:bottom w:w="50" w:type="dxa"/>
              <w:right w:w="50" w:type="dxa"/>
            </w:tcMar>
            <w:vAlign w:val="center"/>
          </w:tcPr>
          <w:p w14:paraId="789125F9" w14:textId="77777777" w:rsidR="002A5F7D" w:rsidRPr="00EB1F56" w:rsidRDefault="002A5F7D" w:rsidP="00D97FB4">
            <w:pPr>
              <w:rPr>
                <w:rFonts w:cstheme="minorHAnsi"/>
              </w:rPr>
            </w:pPr>
          </w:p>
        </w:tc>
        <w:tc>
          <w:tcPr>
            <w:tcW w:w="4900" w:type="pct"/>
            <w:tcBorders>
              <w:top w:val="nil"/>
              <w:left w:val="nil"/>
              <w:bottom w:val="nil"/>
              <w:right w:val="nil"/>
            </w:tcBorders>
            <w:shd w:val="clear" w:color="auto" w:fill="FFFFFF" w:themeFill="background1"/>
            <w:tcMar>
              <w:top w:w="50" w:type="dxa"/>
              <w:left w:w="50" w:type="dxa"/>
              <w:bottom w:w="50" w:type="dxa"/>
              <w:right w:w="50" w:type="dxa"/>
            </w:tcMar>
            <w:vAlign w:val="center"/>
          </w:tcPr>
          <w:p w14:paraId="736ABFDC" w14:textId="77777777" w:rsidR="002A5F7D" w:rsidRDefault="002A5F7D" w:rsidP="00D97FB4">
            <w:pPr>
              <w:rPr>
                <w:sz w:val="34"/>
                <w:szCs w:val="34"/>
              </w:rPr>
            </w:pPr>
          </w:p>
        </w:tc>
      </w:tr>
      <w:tr w:rsidR="002A5F7D" w14:paraId="0285F1E9" w14:textId="77777777" w:rsidTr="00685255">
        <w:tc>
          <w:tcPr>
            <w:tcW w:w="5000" w:type="pct"/>
            <w:gridSpan w:val="2"/>
            <w:tcBorders>
              <w:top w:val="nil"/>
              <w:left w:val="nil"/>
              <w:bottom w:val="nil"/>
              <w:right w:val="nil"/>
            </w:tcBorders>
            <w:shd w:val="clear" w:color="auto" w:fill="FFFFFF" w:themeFill="background1"/>
            <w:tcMar>
              <w:top w:w="50" w:type="dxa"/>
              <w:left w:w="50" w:type="dxa"/>
              <w:bottom w:w="50" w:type="dxa"/>
              <w:right w:w="50" w:type="dxa"/>
            </w:tcMar>
            <w:vAlign w:val="center"/>
          </w:tcPr>
          <w:p w14:paraId="39205223" w14:textId="570FC567" w:rsidR="002A5F7D" w:rsidRDefault="002A5F7D" w:rsidP="00D97FB4">
            <w:pPr>
              <w:rPr>
                <w:color w:val="FFFFFF" w:themeColor="background1"/>
                <w:sz w:val="60"/>
                <w:szCs w:val="60"/>
              </w:rPr>
            </w:pPr>
            <w:r w:rsidRPr="03F0C869">
              <w:rPr>
                <w:color w:val="FFFFFF" w:themeColor="background1"/>
                <w:sz w:val="60"/>
                <w:szCs w:val="60"/>
              </w:rPr>
              <w:t>.</w:t>
            </w:r>
          </w:p>
          <w:p w14:paraId="1314DF81" w14:textId="22CF1E99" w:rsidR="00087892" w:rsidRDefault="00087892" w:rsidP="00D97FB4">
            <w:pPr>
              <w:rPr>
                <w:color w:val="FFFFFF" w:themeColor="background1"/>
                <w:sz w:val="60"/>
                <w:szCs w:val="60"/>
              </w:rPr>
            </w:pPr>
          </w:p>
          <w:p w14:paraId="7ED59909" w14:textId="77777777" w:rsidR="00087892" w:rsidRDefault="00087892" w:rsidP="00D97FB4">
            <w:pPr>
              <w:rPr>
                <w:color w:val="FFFFFF" w:themeColor="background1"/>
                <w:sz w:val="60"/>
                <w:szCs w:val="60"/>
              </w:rPr>
            </w:pPr>
          </w:p>
          <w:p w14:paraId="27FBD0CC" w14:textId="77777777" w:rsidR="002A5F7D" w:rsidRPr="00EB1F56" w:rsidRDefault="002A5F7D" w:rsidP="00D97FB4">
            <w:pPr>
              <w:rPr>
                <w:color w:val="FFFFFF" w:themeColor="background1"/>
                <w:sz w:val="60"/>
                <w:szCs w:val="60"/>
              </w:rPr>
            </w:pPr>
          </w:p>
        </w:tc>
      </w:tr>
      <w:tr w:rsidR="002A5F7D" w14:paraId="62F81B2D" w14:textId="77777777" w:rsidTr="00685255">
        <w:tc>
          <w:tcPr>
            <w:tcW w:w="100" w:type="pct"/>
            <w:tcBorders>
              <w:top w:val="nil"/>
              <w:left w:val="nil"/>
              <w:bottom w:val="nil"/>
              <w:right w:val="nil"/>
            </w:tcBorders>
            <w:shd w:val="clear" w:color="auto" w:fill="FFFFFF" w:themeFill="background1"/>
            <w:tcMar>
              <w:top w:w="50" w:type="dxa"/>
              <w:left w:w="50" w:type="dxa"/>
              <w:bottom w:w="50" w:type="dxa"/>
              <w:right w:w="50" w:type="dxa"/>
            </w:tcMar>
            <w:vAlign w:val="center"/>
          </w:tcPr>
          <w:p w14:paraId="679E3C47" w14:textId="77777777" w:rsidR="002A5F7D" w:rsidRPr="005623A6" w:rsidRDefault="002A5F7D" w:rsidP="00D97FB4">
            <w:pPr>
              <w:rPr>
                <w:rFonts w:cstheme="minorHAnsi"/>
              </w:rPr>
            </w:pPr>
          </w:p>
        </w:tc>
        <w:tc>
          <w:tcPr>
            <w:tcW w:w="4900" w:type="pct"/>
            <w:tcBorders>
              <w:top w:val="nil"/>
              <w:left w:val="nil"/>
              <w:bottom w:val="nil"/>
              <w:right w:val="nil"/>
            </w:tcBorders>
            <w:shd w:val="clear" w:color="auto" w:fill="FFFFFF" w:themeFill="background1"/>
            <w:tcMar>
              <w:top w:w="50" w:type="dxa"/>
              <w:left w:w="50" w:type="dxa"/>
              <w:bottom w:w="50" w:type="dxa"/>
              <w:right w:w="50" w:type="dxa"/>
            </w:tcMar>
            <w:vAlign w:val="center"/>
          </w:tcPr>
          <w:p w14:paraId="3C7B5852" w14:textId="1B434B1A" w:rsidR="002A5F7D" w:rsidRPr="005623A6" w:rsidRDefault="002A5F7D" w:rsidP="00D97FB4">
            <w:pPr>
              <w:rPr>
                <w:rFonts w:cstheme="minorHAnsi"/>
                <w:szCs w:val="20"/>
              </w:rPr>
            </w:pPr>
            <w:r w:rsidRPr="005623A6">
              <w:rPr>
                <w:rFonts w:cstheme="minorHAnsi"/>
                <w:szCs w:val="20"/>
              </w:rPr>
              <w:t xml:space="preserve">June </w:t>
            </w:r>
            <w:r w:rsidR="005604EA">
              <w:rPr>
                <w:rFonts w:cstheme="minorHAnsi"/>
                <w:szCs w:val="20"/>
              </w:rPr>
              <w:t>21</w:t>
            </w:r>
            <w:r w:rsidRPr="005623A6">
              <w:rPr>
                <w:rFonts w:cstheme="minorHAnsi"/>
                <w:szCs w:val="20"/>
              </w:rPr>
              <w:t>, 2019</w:t>
            </w:r>
          </w:p>
        </w:tc>
      </w:tr>
    </w:tbl>
    <w:p w14:paraId="5884AC87" w14:textId="77777777" w:rsidR="002A5F7D" w:rsidRPr="004C5618" w:rsidRDefault="002A5F7D" w:rsidP="002A5F7D">
      <w:pPr>
        <w:jc w:val="both"/>
        <w:rPr>
          <w:rFonts w:cstheme="minorHAnsi"/>
        </w:rPr>
      </w:pPr>
    </w:p>
    <w:p w14:paraId="2760339E" w14:textId="738F3770" w:rsidR="002A5F7D" w:rsidRPr="00584586" w:rsidRDefault="00E15AF3" w:rsidP="00E15AF3">
      <w:pPr>
        <w:jc w:val="both"/>
        <w:rPr>
          <w:rFonts w:cstheme="minorHAnsi"/>
        </w:rPr>
      </w:pPr>
      <w:r>
        <w:rPr>
          <w:rFonts w:cstheme="minorHAnsi"/>
        </w:rPr>
        <w:t xml:space="preserve">    </w:t>
      </w:r>
      <w:r w:rsidR="005604EA">
        <w:rPr>
          <w:rFonts w:cstheme="minorHAnsi"/>
        </w:rPr>
        <w:t>H</w:t>
      </w:r>
      <w:r w:rsidR="002A5F7D" w:rsidRPr="00584586">
        <w:rPr>
          <w:rFonts w:cstheme="minorHAnsi"/>
        </w:rPr>
        <w:t>ealth, Nutrition, and Population Global Practice</w:t>
      </w:r>
    </w:p>
    <w:p w14:paraId="30A90A0B" w14:textId="157934B7" w:rsidR="002A5F7D" w:rsidRPr="00584586" w:rsidRDefault="00E15AF3" w:rsidP="00E15AF3">
      <w:pPr>
        <w:jc w:val="both"/>
        <w:rPr>
          <w:rFonts w:cstheme="minorHAnsi"/>
        </w:rPr>
      </w:pPr>
      <w:r>
        <w:rPr>
          <w:rFonts w:cstheme="minorHAnsi"/>
        </w:rPr>
        <w:t xml:space="preserve">    </w:t>
      </w:r>
      <w:r w:rsidR="002A5F7D" w:rsidRPr="00584586">
        <w:rPr>
          <w:rFonts w:cstheme="minorHAnsi"/>
        </w:rPr>
        <w:t>Europe and Central Asia Region</w:t>
      </w:r>
    </w:p>
    <w:p w14:paraId="5FF31313" w14:textId="77777777" w:rsidR="002A5F7D" w:rsidRPr="004C5618" w:rsidRDefault="002A5F7D" w:rsidP="002A5F7D">
      <w:pPr>
        <w:jc w:val="both"/>
        <w:rPr>
          <w:rFonts w:cstheme="minorHAnsi"/>
        </w:rPr>
      </w:pPr>
    </w:p>
    <w:p w14:paraId="0B2F99E5" w14:textId="77777777" w:rsidR="002A5F7D" w:rsidRPr="004C5618" w:rsidRDefault="002A5F7D" w:rsidP="002A5F7D">
      <w:pPr>
        <w:jc w:val="both"/>
        <w:rPr>
          <w:rFonts w:eastAsia="Times New Roman" w:cstheme="minorHAnsi"/>
        </w:rPr>
      </w:pPr>
      <w:r>
        <w:rPr>
          <w:noProof/>
        </w:rPr>
        <w:drawing>
          <wp:inline distT="0" distB="0" distL="0" distR="0" wp14:anchorId="3C2F9F70" wp14:editId="0A045CD7">
            <wp:extent cx="2466975" cy="986790"/>
            <wp:effectExtent l="0" t="0" r="9525"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986790"/>
                    </a:xfrm>
                    <a:prstGeom prst="rect">
                      <a:avLst/>
                    </a:prstGeom>
                    <a:noFill/>
                    <a:ln>
                      <a:noFill/>
                    </a:ln>
                  </pic:spPr>
                </pic:pic>
              </a:graphicData>
            </a:graphic>
          </wp:inline>
        </w:drawing>
      </w:r>
    </w:p>
    <w:p w14:paraId="763ACEF4" w14:textId="77777777" w:rsidR="00FA276C" w:rsidRPr="00E6167F" w:rsidRDefault="00FA276C" w:rsidP="00363D34">
      <w:pPr>
        <w:spacing w:line="240" w:lineRule="auto"/>
        <w:jc w:val="both"/>
        <w:rPr>
          <w:rFonts w:cstheme="minorHAnsi"/>
          <w:b/>
        </w:rPr>
      </w:pPr>
    </w:p>
    <w:p w14:paraId="48ACC1D2" w14:textId="77777777" w:rsidR="002C6E2B" w:rsidRDefault="002C6E2B" w:rsidP="00363D34">
      <w:pPr>
        <w:spacing w:line="240" w:lineRule="auto"/>
        <w:jc w:val="both"/>
        <w:rPr>
          <w:rFonts w:cstheme="minorHAnsi"/>
        </w:rPr>
      </w:pPr>
    </w:p>
    <w:p w14:paraId="2680E1C9" w14:textId="77777777" w:rsidR="002C6E2B" w:rsidRDefault="002C6E2B" w:rsidP="00363D34">
      <w:pPr>
        <w:spacing w:line="240" w:lineRule="auto"/>
        <w:jc w:val="both"/>
        <w:rPr>
          <w:rFonts w:cstheme="minorHAnsi"/>
          <w:b/>
          <w:sz w:val="32"/>
          <w:szCs w:val="32"/>
        </w:rPr>
      </w:pPr>
    </w:p>
    <w:p w14:paraId="16753DCF" w14:textId="373E57EB" w:rsidR="002C6E2B" w:rsidRDefault="002C6E2B" w:rsidP="00363D34">
      <w:pPr>
        <w:spacing w:line="240" w:lineRule="auto"/>
        <w:jc w:val="both"/>
        <w:rPr>
          <w:rFonts w:cstheme="minorHAnsi"/>
          <w:b/>
          <w:sz w:val="32"/>
          <w:szCs w:val="32"/>
        </w:rPr>
      </w:pPr>
    </w:p>
    <w:p w14:paraId="6DBF9DD2" w14:textId="77777777" w:rsidR="002C6E2B" w:rsidRDefault="002C6E2B" w:rsidP="00363D34">
      <w:pPr>
        <w:spacing w:line="240" w:lineRule="auto"/>
        <w:jc w:val="both"/>
        <w:rPr>
          <w:rFonts w:cstheme="minorHAnsi"/>
          <w:b/>
          <w:sz w:val="32"/>
          <w:szCs w:val="32"/>
        </w:rPr>
      </w:pPr>
    </w:p>
    <w:tbl>
      <w:tblPr>
        <w:tblW w:w="949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331"/>
        <w:gridCol w:w="9159"/>
      </w:tblGrid>
      <w:tr w:rsidR="00A833A3" w:rsidRPr="00D16C4C" w14:paraId="15452A29" w14:textId="77777777" w:rsidTr="00D97FB4">
        <w:tc>
          <w:tcPr>
            <w:tcW w:w="331" w:type="dxa"/>
            <w:tcBorders>
              <w:top w:val="nil"/>
              <w:left w:val="nil"/>
              <w:bottom w:val="nil"/>
              <w:right w:val="nil"/>
            </w:tcBorders>
            <w:shd w:val="clear" w:color="auto" w:fill="FFFFFF"/>
            <w:tcMar>
              <w:top w:w="50" w:type="dxa"/>
              <w:left w:w="50" w:type="dxa"/>
              <w:bottom w:w="50" w:type="dxa"/>
              <w:right w:w="50" w:type="dxa"/>
            </w:tcMar>
            <w:vAlign w:val="center"/>
          </w:tcPr>
          <w:p w14:paraId="16EDF4BC" w14:textId="77777777" w:rsidR="00A833A3" w:rsidRPr="00D16C4C" w:rsidRDefault="00A833A3" w:rsidP="00D97FB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159" w:type="dxa"/>
            <w:tcBorders>
              <w:top w:val="nil"/>
              <w:left w:val="nil"/>
              <w:bottom w:val="nil"/>
              <w:right w:val="nil"/>
            </w:tcBorders>
            <w:shd w:val="clear" w:color="auto" w:fill="FFFFFF"/>
            <w:tcMar>
              <w:top w:w="50" w:type="dxa"/>
              <w:left w:w="50" w:type="dxa"/>
              <w:bottom w:w="50" w:type="dxa"/>
              <w:right w:w="50" w:type="dxa"/>
            </w:tcMar>
            <w:vAlign w:val="center"/>
          </w:tcPr>
          <w:p w14:paraId="41D29621" w14:textId="77777777" w:rsidR="00A833A3" w:rsidRPr="00D16C4C" w:rsidRDefault="00A833A3" w:rsidP="00D97FB4">
            <w:pPr>
              <w:autoSpaceDE w:val="0"/>
              <w:autoSpaceDN w:val="0"/>
              <w:adjustRightInd w:val="0"/>
              <w:spacing w:after="0" w:line="240" w:lineRule="auto"/>
              <w:rPr>
                <w:rFonts w:ascii="Arial" w:eastAsia="Calibri" w:hAnsi="Arial" w:cs="Arial"/>
                <w:color w:val="000000"/>
                <w:sz w:val="18"/>
              </w:rPr>
            </w:pPr>
            <w:r w:rsidRPr="00D16C4C">
              <w:rPr>
                <w:rFonts w:ascii="Arial" w:eastAsia="Calibri" w:hAnsi="Arial" w:cs="Arial"/>
                <w:color w:val="000000"/>
                <w:sz w:val="18"/>
              </w:rPr>
              <w:t xml:space="preserve">© 2017 The World Bank </w:t>
            </w:r>
          </w:p>
          <w:p w14:paraId="46D654EB" w14:textId="77777777" w:rsidR="00A833A3" w:rsidRPr="00D16C4C" w:rsidRDefault="00A833A3" w:rsidP="00D97FB4">
            <w:pPr>
              <w:autoSpaceDE w:val="0"/>
              <w:autoSpaceDN w:val="0"/>
              <w:adjustRightInd w:val="0"/>
              <w:spacing w:after="0" w:line="240" w:lineRule="auto"/>
              <w:rPr>
                <w:rFonts w:ascii="Arial" w:eastAsia="Calibri" w:hAnsi="Arial" w:cs="Arial"/>
                <w:color w:val="000000"/>
                <w:sz w:val="18"/>
              </w:rPr>
            </w:pPr>
            <w:r w:rsidRPr="00D16C4C">
              <w:rPr>
                <w:rFonts w:ascii="Arial" w:eastAsia="Calibri" w:hAnsi="Arial" w:cs="Arial"/>
                <w:color w:val="000000"/>
                <w:sz w:val="18"/>
              </w:rPr>
              <w:t xml:space="preserve">1818 H Street NW, Washington DC 20433 </w:t>
            </w:r>
          </w:p>
          <w:p w14:paraId="2784888D" w14:textId="77777777" w:rsidR="00A833A3" w:rsidRPr="00D16C4C" w:rsidRDefault="00A833A3" w:rsidP="00D97FB4">
            <w:pPr>
              <w:autoSpaceDE w:val="0"/>
              <w:autoSpaceDN w:val="0"/>
              <w:adjustRightInd w:val="0"/>
              <w:spacing w:after="0" w:line="240" w:lineRule="auto"/>
              <w:rPr>
                <w:rFonts w:ascii="Arial" w:eastAsia="Calibri" w:hAnsi="Arial" w:cs="Arial"/>
                <w:color w:val="000000"/>
                <w:sz w:val="18"/>
              </w:rPr>
            </w:pPr>
            <w:r w:rsidRPr="00D16C4C">
              <w:rPr>
                <w:rFonts w:ascii="Arial" w:eastAsia="Calibri" w:hAnsi="Arial" w:cs="Arial"/>
                <w:color w:val="000000"/>
                <w:sz w:val="18"/>
              </w:rPr>
              <w:t xml:space="preserve">Telephone: 202-473-1000; Internet: </w:t>
            </w:r>
            <w:hyperlink r:id="rId9" w:history="1">
              <w:r w:rsidRPr="00D16C4C">
                <w:rPr>
                  <w:rFonts w:ascii="Times New Roman" w:eastAsia="Calibri" w:hAnsi="Times New Roman" w:cs="Times New Roman"/>
                  <w:color w:val="0563C1"/>
                  <w:sz w:val="18"/>
                  <w:u w:val="single"/>
                </w:rPr>
                <w:t>www.worldbank.org</w:t>
              </w:r>
            </w:hyperlink>
            <w:r w:rsidRPr="00D16C4C">
              <w:rPr>
                <w:rFonts w:ascii="Arial" w:eastAsia="Calibri" w:hAnsi="Arial" w:cs="Arial"/>
                <w:color w:val="000000"/>
                <w:sz w:val="18"/>
              </w:rPr>
              <w:t xml:space="preserve"> </w:t>
            </w:r>
          </w:p>
          <w:p w14:paraId="22774026" w14:textId="77777777" w:rsidR="00A833A3" w:rsidRPr="00D16C4C" w:rsidRDefault="00A833A3" w:rsidP="00D97FB4">
            <w:pPr>
              <w:autoSpaceDE w:val="0"/>
              <w:autoSpaceDN w:val="0"/>
              <w:adjustRightInd w:val="0"/>
              <w:spacing w:after="0" w:line="240" w:lineRule="auto"/>
              <w:rPr>
                <w:rFonts w:ascii="Arial" w:eastAsia="Calibri" w:hAnsi="Arial" w:cs="Arial"/>
                <w:color w:val="000000"/>
                <w:sz w:val="18"/>
              </w:rPr>
            </w:pPr>
          </w:p>
          <w:p w14:paraId="53E4AAC0" w14:textId="77777777" w:rsidR="00A833A3" w:rsidRPr="00D16C4C" w:rsidRDefault="00A833A3" w:rsidP="00D97FB4">
            <w:pPr>
              <w:widowControl w:val="0"/>
              <w:autoSpaceDE w:val="0"/>
              <w:autoSpaceDN w:val="0"/>
              <w:adjustRightInd w:val="0"/>
              <w:spacing w:after="120" w:line="240" w:lineRule="auto"/>
              <w:rPr>
                <w:rFonts w:ascii="Arial" w:eastAsia="Times New Roman" w:hAnsi="Arial" w:cs="Arial"/>
                <w:color w:val="000000"/>
                <w:sz w:val="18"/>
              </w:rPr>
            </w:pPr>
            <w:r w:rsidRPr="00D16C4C">
              <w:rPr>
                <w:rFonts w:ascii="Arial" w:eastAsia="Times New Roman" w:hAnsi="Arial" w:cs="Arial"/>
                <w:color w:val="000000"/>
                <w:sz w:val="18"/>
              </w:rPr>
              <w:t>Some rights reserved</w:t>
            </w:r>
          </w:p>
          <w:p w14:paraId="06776364" w14:textId="77777777" w:rsidR="00A833A3" w:rsidRPr="00D16C4C" w:rsidRDefault="00A833A3" w:rsidP="00D97FB4">
            <w:pPr>
              <w:autoSpaceDE w:val="0"/>
              <w:autoSpaceDN w:val="0"/>
              <w:adjustRightInd w:val="0"/>
              <w:spacing w:after="0" w:line="240" w:lineRule="auto"/>
              <w:rPr>
                <w:rFonts w:ascii="Arial" w:eastAsia="Calibri" w:hAnsi="Arial" w:cs="Arial"/>
                <w:color w:val="000000"/>
                <w:sz w:val="18"/>
              </w:rPr>
            </w:pPr>
          </w:p>
          <w:p w14:paraId="2D2CAC6D" w14:textId="77777777" w:rsidR="00A833A3" w:rsidRPr="00D16C4C" w:rsidRDefault="00A833A3" w:rsidP="00D97FB4">
            <w:pPr>
              <w:autoSpaceDE w:val="0"/>
              <w:autoSpaceDN w:val="0"/>
              <w:adjustRightInd w:val="0"/>
              <w:spacing w:after="0" w:line="240" w:lineRule="auto"/>
              <w:rPr>
                <w:rFonts w:ascii="Arial" w:eastAsia="Calibri" w:hAnsi="Arial" w:cs="Arial"/>
                <w:color w:val="000000"/>
                <w:sz w:val="18"/>
              </w:rPr>
            </w:pPr>
            <w:r w:rsidRPr="00D16C4C">
              <w:rPr>
                <w:rFonts w:ascii="Arial" w:eastAsia="Calibri" w:hAnsi="Arial" w:cs="Arial"/>
                <w:color w:val="000000"/>
                <w:sz w:val="18"/>
              </w:rPr>
              <w:t xml:space="preserve">This work is a product of the staff of The World Bank. The findings, interpretations, and conclusions expressed in this work do not necessarily reflect the views of the Executive Directors of The World Bank or the governments they represent. The World Bank does not guarantee the accuracy of the data included in this work. The boundaries, colors, denominations, and other information shown on any map in this work do not imply any judgment on the part of The World Bank concerning the legal status of any territory or the endorsement or acceptance of such boundaries. </w:t>
            </w:r>
          </w:p>
          <w:p w14:paraId="25DF94CF" w14:textId="77777777" w:rsidR="00A833A3" w:rsidRPr="00D16C4C" w:rsidRDefault="00A833A3" w:rsidP="00D97FB4">
            <w:pPr>
              <w:autoSpaceDE w:val="0"/>
              <w:autoSpaceDN w:val="0"/>
              <w:adjustRightInd w:val="0"/>
              <w:spacing w:after="0" w:line="240" w:lineRule="auto"/>
              <w:rPr>
                <w:rFonts w:ascii="Arial" w:eastAsia="Calibri" w:hAnsi="Arial" w:cs="Arial"/>
                <w:color w:val="000000"/>
                <w:sz w:val="18"/>
              </w:rPr>
            </w:pPr>
          </w:p>
          <w:p w14:paraId="0D5CA06B" w14:textId="77777777" w:rsidR="00A833A3" w:rsidRPr="00D16C4C" w:rsidRDefault="00A833A3" w:rsidP="00D97FB4">
            <w:pPr>
              <w:autoSpaceDE w:val="0"/>
              <w:autoSpaceDN w:val="0"/>
              <w:adjustRightInd w:val="0"/>
              <w:spacing w:after="0" w:line="240" w:lineRule="auto"/>
              <w:rPr>
                <w:rFonts w:ascii="Arial" w:eastAsia="Times New Roman" w:hAnsi="Arial" w:cs="Arial"/>
                <w:b/>
                <w:bCs/>
                <w:sz w:val="18"/>
                <w:szCs w:val="18"/>
              </w:rPr>
            </w:pPr>
            <w:r w:rsidRPr="00D16C4C">
              <w:rPr>
                <w:rFonts w:ascii="Arial" w:eastAsia="Times New Roman" w:hAnsi="Arial" w:cs="Arial"/>
                <w:b/>
                <w:bCs/>
                <w:sz w:val="18"/>
                <w:szCs w:val="18"/>
              </w:rPr>
              <w:t>Rights and Permissions</w:t>
            </w:r>
          </w:p>
          <w:p w14:paraId="3582ECD5" w14:textId="77777777" w:rsidR="00A833A3" w:rsidRPr="00D16C4C" w:rsidRDefault="00A833A3" w:rsidP="00D97FB4">
            <w:pPr>
              <w:autoSpaceDE w:val="0"/>
              <w:autoSpaceDN w:val="0"/>
              <w:adjustRightInd w:val="0"/>
              <w:spacing w:after="0" w:line="240" w:lineRule="auto"/>
              <w:rPr>
                <w:rFonts w:ascii="Arial" w:eastAsia="Calibri" w:hAnsi="Arial" w:cs="Arial"/>
                <w:color w:val="000000"/>
                <w:sz w:val="18"/>
              </w:rPr>
            </w:pPr>
          </w:p>
          <w:p w14:paraId="7AC4778D" w14:textId="77777777" w:rsidR="00A833A3" w:rsidRPr="00D16C4C" w:rsidRDefault="00A833A3" w:rsidP="00D97FB4">
            <w:pPr>
              <w:autoSpaceDE w:val="0"/>
              <w:autoSpaceDN w:val="0"/>
              <w:adjustRightInd w:val="0"/>
              <w:spacing w:after="0" w:line="240" w:lineRule="auto"/>
              <w:rPr>
                <w:rFonts w:ascii="Arial" w:eastAsia="Calibri" w:hAnsi="Arial" w:cs="Arial"/>
                <w:color w:val="000000"/>
                <w:sz w:val="18"/>
              </w:rPr>
            </w:pPr>
            <w:r w:rsidRPr="00D16C4C">
              <w:rPr>
                <w:rFonts w:ascii="Arial" w:eastAsia="Calibri" w:hAnsi="Arial" w:cs="Arial"/>
                <w:color w:val="000000"/>
                <w:sz w:val="18"/>
              </w:rPr>
              <w:t xml:space="preserve">The material in this work is subject to copyright. Because The World Bank encourages dissemination of its knowledge, this work may be reproduced, in whole or in part, for noncommercial purposes as long as full attribution to this work is given. </w:t>
            </w:r>
          </w:p>
          <w:p w14:paraId="5E2B43B2" w14:textId="77777777" w:rsidR="00A833A3" w:rsidRPr="00D16C4C" w:rsidRDefault="00A833A3" w:rsidP="00D97FB4">
            <w:pPr>
              <w:autoSpaceDE w:val="0"/>
              <w:autoSpaceDN w:val="0"/>
              <w:adjustRightInd w:val="0"/>
              <w:spacing w:after="0" w:line="240" w:lineRule="auto"/>
              <w:rPr>
                <w:rFonts w:ascii="Arial" w:eastAsia="Calibri" w:hAnsi="Arial" w:cs="Arial"/>
                <w:color w:val="000000"/>
                <w:sz w:val="18"/>
              </w:rPr>
            </w:pPr>
          </w:p>
          <w:p w14:paraId="3CD0FE06" w14:textId="517B8E56" w:rsidR="00A833A3" w:rsidRPr="00D16C4C" w:rsidRDefault="00A833A3" w:rsidP="00D97FB4">
            <w:pPr>
              <w:widowControl w:val="0"/>
              <w:autoSpaceDE w:val="0"/>
              <w:autoSpaceDN w:val="0"/>
              <w:adjustRightInd w:val="0"/>
              <w:spacing w:after="120" w:line="240" w:lineRule="auto"/>
              <w:rPr>
                <w:rFonts w:ascii="Arial" w:eastAsia="Times New Roman" w:hAnsi="Arial" w:cs="Arial"/>
                <w:color w:val="000000"/>
                <w:sz w:val="18"/>
              </w:rPr>
            </w:pPr>
            <w:r w:rsidRPr="00D16C4C">
              <w:rPr>
                <w:rFonts w:ascii="Arial" w:eastAsia="Times New Roman" w:hAnsi="Arial" w:cs="Arial"/>
                <w:b/>
                <w:color w:val="000000"/>
                <w:sz w:val="18"/>
              </w:rPr>
              <w:t>Attribution</w:t>
            </w:r>
            <w:r w:rsidRPr="00D16C4C">
              <w:rPr>
                <w:rFonts w:ascii="Arial" w:eastAsia="Times New Roman" w:hAnsi="Arial" w:cs="Arial"/>
                <w:color w:val="000000"/>
                <w:sz w:val="18"/>
              </w:rPr>
              <w:t xml:space="preserve">—Please cite the work as follows: “World Bank. </w:t>
            </w:r>
            <w:r>
              <w:rPr>
                <w:rFonts w:ascii="Arial" w:eastAsia="Times New Roman" w:hAnsi="Arial" w:cs="Arial"/>
                <w:color w:val="000000"/>
                <w:sz w:val="18"/>
              </w:rPr>
              <w:t>2019</w:t>
            </w:r>
            <w:r w:rsidRPr="00D16C4C">
              <w:rPr>
                <w:rFonts w:ascii="Arial" w:eastAsia="Times New Roman" w:hAnsi="Arial" w:cs="Arial"/>
                <w:color w:val="000000"/>
                <w:sz w:val="18"/>
              </w:rPr>
              <w:t xml:space="preserve">. </w:t>
            </w:r>
            <w:r>
              <w:rPr>
                <w:rFonts w:ascii="Arial" w:eastAsia="Times New Roman" w:hAnsi="Arial" w:cs="Arial"/>
                <w:color w:val="000000"/>
                <w:sz w:val="18"/>
              </w:rPr>
              <w:t>Toward a More Pro-Poor and Explicit Health Benefit Package in the Kyrgyz Republic. A Critical Review of the State Guaranteed Benefit Package and Options for Its Revision</w:t>
            </w:r>
            <w:r w:rsidRPr="00D16C4C">
              <w:rPr>
                <w:rFonts w:ascii="Arial" w:eastAsia="Times New Roman" w:hAnsi="Arial" w:cs="Arial"/>
                <w:color w:val="000000"/>
                <w:sz w:val="18"/>
              </w:rPr>
              <w:t xml:space="preserve">. </w:t>
            </w:r>
            <w:r w:rsidRPr="00D16C4C">
              <w:rPr>
                <w:rFonts w:ascii="Arial" w:eastAsia="Times New Roman" w:hAnsi="Arial" w:cs="Arial"/>
                <w:iCs/>
                <w:color w:val="000000"/>
                <w:sz w:val="18"/>
              </w:rPr>
              <w:t xml:space="preserve">© World Bank.” </w:t>
            </w:r>
          </w:p>
          <w:p w14:paraId="38ADF769" w14:textId="77777777" w:rsidR="00A833A3" w:rsidRPr="00D16C4C" w:rsidRDefault="00A833A3" w:rsidP="00D97FB4">
            <w:pPr>
              <w:autoSpaceDE w:val="0"/>
              <w:autoSpaceDN w:val="0"/>
              <w:adjustRightInd w:val="0"/>
              <w:spacing w:after="0" w:line="240" w:lineRule="auto"/>
              <w:rPr>
                <w:rFonts w:ascii="Arial" w:eastAsia="Calibri" w:hAnsi="Arial" w:cs="Arial"/>
                <w:color w:val="000000"/>
                <w:sz w:val="18"/>
              </w:rPr>
            </w:pPr>
          </w:p>
          <w:p w14:paraId="04F938B6" w14:textId="77777777" w:rsidR="00A833A3" w:rsidRPr="00D16C4C" w:rsidRDefault="00A833A3" w:rsidP="00D97FB4">
            <w:pPr>
              <w:autoSpaceDE w:val="0"/>
              <w:autoSpaceDN w:val="0"/>
              <w:adjustRightInd w:val="0"/>
              <w:spacing w:after="0" w:line="240" w:lineRule="auto"/>
              <w:rPr>
                <w:rFonts w:ascii="Arial" w:eastAsia="Calibri" w:hAnsi="Arial" w:cs="Arial"/>
                <w:color w:val="000000"/>
                <w:sz w:val="18"/>
              </w:rPr>
            </w:pPr>
            <w:r w:rsidRPr="00D16C4C">
              <w:rPr>
                <w:rFonts w:ascii="Arial" w:eastAsia="Calibri" w:hAnsi="Arial" w:cs="Arial"/>
                <w:color w:val="000000"/>
                <w:sz w:val="18"/>
              </w:rPr>
              <w:t xml:space="preserve">All queries on rights and licenses, including subsidiary rights, should be addressed to World Bank Publications, The World Bank Group, 1818 H Street NW, Washington, DC 20433, USA; fax: 202-522-2625; e-mail: </w:t>
            </w:r>
            <w:hyperlink r:id="rId10" w:history="1">
              <w:r w:rsidRPr="00D16C4C">
                <w:rPr>
                  <w:rFonts w:ascii="Times New Roman" w:eastAsia="Calibri" w:hAnsi="Times New Roman" w:cs="Times New Roman"/>
                  <w:color w:val="0563C1"/>
                  <w:sz w:val="18"/>
                  <w:u w:val="single"/>
                </w:rPr>
                <w:t>pubrights@worldbank.org</w:t>
              </w:r>
            </w:hyperlink>
            <w:r w:rsidRPr="00D16C4C">
              <w:rPr>
                <w:rFonts w:ascii="Arial" w:eastAsia="Calibri" w:hAnsi="Arial" w:cs="Arial"/>
                <w:color w:val="000000"/>
                <w:sz w:val="18"/>
              </w:rPr>
              <w:t xml:space="preserve">. </w:t>
            </w:r>
          </w:p>
          <w:p w14:paraId="68014F1E" w14:textId="77777777" w:rsidR="00A833A3" w:rsidRPr="00D16C4C" w:rsidRDefault="00A833A3" w:rsidP="00D97FB4">
            <w:pPr>
              <w:widowControl w:val="0"/>
              <w:autoSpaceDE w:val="0"/>
              <w:autoSpaceDN w:val="0"/>
              <w:adjustRightInd w:val="0"/>
              <w:spacing w:after="0" w:line="240" w:lineRule="auto"/>
              <w:rPr>
                <w:rFonts w:ascii="Arial" w:eastAsia="Times New Roman" w:hAnsi="Arial" w:cs="Arial"/>
                <w:color w:val="245086"/>
                <w:sz w:val="18"/>
                <w:szCs w:val="18"/>
              </w:rPr>
            </w:pPr>
          </w:p>
        </w:tc>
      </w:tr>
    </w:tbl>
    <w:p w14:paraId="2D76989A" w14:textId="77777777" w:rsidR="002C6E2B" w:rsidRDefault="002C6E2B" w:rsidP="00363D34">
      <w:pPr>
        <w:spacing w:line="240" w:lineRule="auto"/>
        <w:jc w:val="both"/>
        <w:rPr>
          <w:rFonts w:cstheme="minorHAnsi"/>
          <w:b/>
          <w:sz w:val="32"/>
          <w:szCs w:val="32"/>
        </w:rPr>
      </w:pPr>
    </w:p>
    <w:p w14:paraId="0FF8308E" w14:textId="3F6B7481" w:rsidR="009D1708" w:rsidRPr="005419DA" w:rsidRDefault="009D1708" w:rsidP="00363D34">
      <w:pPr>
        <w:spacing w:line="240" w:lineRule="auto"/>
        <w:jc w:val="both"/>
        <w:rPr>
          <w:rFonts w:cstheme="minorHAnsi"/>
          <w:b/>
          <w:color w:val="1F4E79" w:themeColor="accent1" w:themeShade="80"/>
          <w:sz w:val="28"/>
        </w:rPr>
      </w:pPr>
    </w:p>
    <w:p w14:paraId="18614631" w14:textId="66CE8AA8" w:rsidR="009D1708" w:rsidRPr="005419DA" w:rsidRDefault="009D1708" w:rsidP="00363D34">
      <w:pPr>
        <w:spacing w:line="240" w:lineRule="auto"/>
        <w:jc w:val="both"/>
        <w:rPr>
          <w:rFonts w:cstheme="minorHAnsi"/>
          <w:b/>
          <w:color w:val="1F4E79" w:themeColor="accent1" w:themeShade="80"/>
          <w:sz w:val="28"/>
        </w:rPr>
      </w:pPr>
    </w:p>
    <w:p w14:paraId="1CAA4C77" w14:textId="4C442741" w:rsidR="009D1708" w:rsidRPr="005419DA" w:rsidRDefault="009D1708" w:rsidP="00363D34">
      <w:pPr>
        <w:spacing w:line="240" w:lineRule="auto"/>
        <w:jc w:val="both"/>
        <w:rPr>
          <w:rFonts w:cstheme="minorHAnsi"/>
          <w:b/>
          <w:color w:val="1F4E79" w:themeColor="accent1" w:themeShade="80"/>
          <w:sz w:val="28"/>
        </w:rPr>
      </w:pPr>
    </w:p>
    <w:p w14:paraId="6DA2C107" w14:textId="17D41046" w:rsidR="009D1708" w:rsidRPr="005419DA" w:rsidRDefault="009D1708" w:rsidP="00363D34">
      <w:pPr>
        <w:spacing w:line="240" w:lineRule="auto"/>
        <w:jc w:val="both"/>
        <w:rPr>
          <w:rFonts w:cstheme="minorHAnsi"/>
          <w:b/>
          <w:color w:val="1F4E79" w:themeColor="accent1" w:themeShade="80"/>
          <w:sz w:val="28"/>
        </w:rPr>
      </w:pPr>
    </w:p>
    <w:p w14:paraId="3D81021B" w14:textId="39C92530" w:rsidR="009D1708" w:rsidRPr="005419DA" w:rsidRDefault="009D1708" w:rsidP="00363D34">
      <w:pPr>
        <w:spacing w:line="240" w:lineRule="auto"/>
        <w:jc w:val="both"/>
        <w:rPr>
          <w:rFonts w:cstheme="minorHAnsi"/>
          <w:b/>
          <w:color w:val="1F4E79" w:themeColor="accent1" w:themeShade="80"/>
          <w:sz w:val="28"/>
        </w:rPr>
      </w:pPr>
    </w:p>
    <w:p w14:paraId="74A462B9" w14:textId="616C4D90" w:rsidR="002C6E2B" w:rsidRPr="005419DA" w:rsidRDefault="002C6E2B" w:rsidP="00363D34">
      <w:pPr>
        <w:spacing w:line="240" w:lineRule="auto"/>
        <w:jc w:val="both"/>
        <w:rPr>
          <w:rFonts w:cstheme="minorHAnsi"/>
          <w:b/>
          <w:color w:val="1F4E79" w:themeColor="accent1" w:themeShade="80"/>
          <w:sz w:val="28"/>
        </w:rPr>
      </w:pPr>
    </w:p>
    <w:p w14:paraId="12E87EFB" w14:textId="7C5C2BB6" w:rsidR="002C6E2B" w:rsidRPr="005419DA" w:rsidRDefault="002C6E2B" w:rsidP="00363D34">
      <w:pPr>
        <w:spacing w:line="240" w:lineRule="auto"/>
        <w:jc w:val="both"/>
        <w:rPr>
          <w:rFonts w:cstheme="minorHAnsi"/>
          <w:b/>
          <w:color w:val="1F4E79" w:themeColor="accent1" w:themeShade="80"/>
          <w:sz w:val="28"/>
        </w:rPr>
      </w:pPr>
    </w:p>
    <w:p w14:paraId="7705DEB9" w14:textId="77777777" w:rsidR="002C6E2B" w:rsidRPr="005419DA" w:rsidRDefault="002C6E2B" w:rsidP="00363D34">
      <w:pPr>
        <w:spacing w:line="240" w:lineRule="auto"/>
        <w:jc w:val="both"/>
        <w:rPr>
          <w:rFonts w:cstheme="minorHAnsi"/>
          <w:b/>
          <w:color w:val="1F4E79" w:themeColor="accent1" w:themeShade="80"/>
          <w:sz w:val="28"/>
        </w:rPr>
      </w:pPr>
    </w:p>
    <w:p w14:paraId="2828B6E5" w14:textId="76891ED2" w:rsidR="00FA276C" w:rsidRDefault="00FA276C" w:rsidP="00363D34">
      <w:pPr>
        <w:spacing w:line="240" w:lineRule="auto"/>
        <w:jc w:val="both"/>
        <w:rPr>
          <w:rFonts w:cstheme="minorHAnsi"/>
          <w:bCs/>
          <w:iCs/>
        </w:rPr>
      </w:pPr>
      <w:r w:rsidRPr="00E6167F">
        <w:rPr>
          <w:rFonts w:cstheme="minorHAnsi"/>
          <w:bCs/>
          <w:iCs/>
        </w:rPr>
        <w:br w:type="page"/>
      </w:r>
    </w:p>
    <w:p w14:paraId="05706191" w14:textId="301AB952" w:rsidR="009D1708" w:rsidRDefault="009D1708" w:rsidP="00363D34">
      <w:pPr>
        <w:spacing w:line="240" w:lineRule="auto"/>
        <w:jc w:val="both"/>
        <w:rPr>
          <w:rFonts w:cstheme="minorHAnsi"/>
          <w:bCs/>
          <w:iCs/>
        </w:rPr>
      </w:pPr>
    </w:p>
    <w:bookmarkStart w:id="1" w:name="_Toc440233240" w:displacedByCustomXml="next"/>
    <w:sdt>
      <w:sdtPr>
        <w:rPr>
          <w:rFonts w:asciiTheme="minorHAnsi" w:eastAsiaTheme="minorHAnsi" w:hAnsiTheme="minorHAnsi" w:cstheme="minorBidi"/>
          <w:color w:val="auto"/>
          <w:sz w:val="22"/>
          <w:szCs w:val="22"/>
        </w:rPr>
        <w:id w:val="-1783574369"/>
        <w:docPartObj>
          <w:docPartGallery w:val="Table of Contents"/>
          <w:docPartUnique/>
        </w:docPartObj>
      </w:sdtPr>
      <w:sdtEndPr>
        <w:rPr>
          <w:b/>
          <w:bCs/>
          <w:noProof/>
        </w:rPr>
      </w:sdtEndPr>
      <w:sdtContent>
        <w:p w14:paraId="228C97DB" w14:textId="3F822CE0" w:rsidR="00D92F7A" w:rsidRDefault="00D92F7A" w:rsidP="00D92F7A">
          <w:pPr>
            <w:pStyle w:val="TOCHeading"/>
            <w:jc w:val="center"/>
            <w:rPr>
              <w:b/>
            </w:rPr>
          </w:pPr>
          <w:r w:rsidRPr="00D92F7A">
            <w:rPr>
              <w:b/>
            </w:rPr>
            <w:t>Contents</w:t>
          </w:r>
        </w:p>
        <w:p w14:paraId="00005A41" w14:textId="77777777" w:rsidR="00904863" w:rsidRPr="00904863" w:rsidRDefault="00904863" w:rsidP="00904863"/>
        <w:p w14:paraId="7562C0B9" w14:textId="493D8F50" w:rsidR="00F46008" w:rsidRPr="00BF5143" w:rsidRDefault="00D92F7A">
          <w:pPr>
            <w:pStyle w:val="TOC1"/>
            <w:tabs>
              <w:tab w:val="right" w:leader="dot" w:pos="9396"/>
            </w:tabs>
            <w:rPr>
              <w:rFonts w:eastAsiaTheme="minorEastAsia"/>
              <w:b/>
              <w:noProof/>
            </w:rPr>
          </w:pPr>
          <w:r>
            <w:rPr>
              <w:b/>
              <w:bCs/>
              <w:noProof/>
            </w:rPr>
            <w:fldChar w:fldCharType="begin"/>
          </w:r>
          <w:r>
            <w:rPr>
              <w:b/>
              <w:bCs/>
              <w:noProof/>
            </w:rPr>
            <w:instrText xml:space="preserve"> TOC \o "2-3" \h \z \t "Heading 1,1,Sub_heading1,2" </w:instrText>
          </w:r>
          <w:r>
            <w:rPr>
              <w:b/>
              <w:bCs/>
              <w:noProof/>
            </w:rPr>
            <w:fldChar w:fldCharType="separate"/>
          </w:r>
          <w:hyperlink w:anchor="_Toc10477887" w:history="1">
            <w:r w:rsidR="00F46008" w:rsidRPr="00BF5143">
              <w:rPr>
                <w:rStyle w:val="Hyperlink"/>
                <w:rFonts w:ascii="Calibri" w:hAnsi="Calibri" w:cs="Calibri"/>
                <w:b/>
                <w:noProof/>
              </w:rPr>
              <w:t>Acknowledgements</w:t>
            </w:r>
            <w:r w:rsidR="00F46008" w:rsidRPr="00BF5143">
              <w:rPr>
                <w:b/>
                <w:noProof/>
                <w:webHidden/>
              </w:rPr>
              <w:tab/>
            </w:r>
            <w:r w:rsidR="00F46008" w:rsidRPr="00BF5143">
              <w:rPr>
                <w:b/>
                <w:noProof/>
                <w:webHidden/>
              </w:rPr>
              <w:fldChar w:fldCharType="begin"/>
            </w:r>
            <w:r w:rsidR="00F46008" w:rsidRPr="00BF5143">
              <w:rPr>
                <w:b/>
                <w:noProof/>
                <w:webHidden/>
              </w:rPr>
              <w:instrText xml:space="preserve"> PAGEREF _Toc10477887 \h </w:instrText>
            </w:r>
            <w:r w:rsidR="00F46008" w:rsidRPr="00BF5143">
              <w:rPr>
                <w:b/>
                <w:noProof/>
                <w:webHidden/>
              </w:rPr>
            </w:r>
            <w:r w:rsidR="00F46008" w:rsidRPr="00BF5143">
              <w:rPr>
                <w:b/>
                <w:noProof/>
                <w:webHidden/>
              </w:rPr>
              <w:fldChar w:fldCharType="separate"/>
            </w:r>
            <w:r w:rsidR="00631B02">
              <w:rPr>
                <w:b/>
                <w:noProof/>
                <w:webHidden/>
              </w:rPr>
              <w:t>i</w:t>
            </w:r>
            <w:r w:rsidR="00F46008" w:rsidRPr="00BF5143">
              <w:rPr>
                <w:b/>
                <w:noProof/>
                <w:webHidden/>
              </w:rPr>
              <w:fldChar w:fldCharType="end"/>
            </w:r>
          </w:hyperlink>
        </w:p>
        <w:p w14:paraId="68885DE9" w14:textId="681E0B97" w:rsidR="00F46008" w:rsidRPr="00BF5143" w:rsidRDefault="00F74056">
          <w:pPr>
            <w:pStyle w:val="TOC1"/>
            <w:tabs>
              <w:tab w:val="right" w:leader="dot" w:pos="9396"/>
            </w:tabs>
            <w:rPr>
              <w:rFonts w:eastAsiaTheme="minorEastAsia"/>
              <w:b/>
              <w:noProof/>
            </w:rPr>
          </w:pPr>
          <w:hyperlink w:anchor="_Toc10477888" w:history="1">
            <w:r w:rsidR="00F46008" w:rsidRPr="00BF5143">
              <w:rPr>
                <w:rStyle w:val="Hyperlink"/>
                <w:rFonts w:ascii="Calibri" w:hAnsi="Calibri" w:cs="Calibri"/>
                <w:b/>
                <w:noProof/>
              </w:rPr>
              <w:t>Abbreviations</w:t>
            </w:r>
            <w:r w:rsidR="00F46008" w:rsidRPr="00BF5143">
              <w:rPr>
                <w:b/>
                <w:noProof/>
                <w:webHidden/>
              </w:rPr>
              <w:tab/>
            </w:r>
            <w:r w:rsidR="00F46008" w:rsidRPr="00BF5143">
              <w:rPr>
                <w:b/>
                <w:noProof/>
                <w:webHidden/>
              </w:rPr>
              <w:fldChar w:fldCharType="begin"/>
            </w:r>
            <w:r w:rsidR="00F46008" w:rsidRPr="00BF5143">
              <w:rPr>
                <w:b/>
                <w:noProof/>
                <w:webHidden/>
              </w:rPr>
              <w:instrText xml:space="preserve"> PAGEREF _Toc10477888 \h </w:instrText>
            </w:r>
            <w:r w:rsidR="00F46008" w:rsidRPr="00BF5143">
              <w:rPr>
                <w:b/>
                <w:noProof/>
                <w:webHidden/>
              </w:rPr>
            </w:r>
            <w:r w:rsidR="00F46008" w:rsidRPr="00BF5143">
              <w:rPr>
                <w:b/>
                <w:noProof/>
                <w:webHidden/>
              </w:rPr>
              <w:fldChar w:fldCharType="separate"/>
            </w:r>
            <w:r w:rsidR="00631B02">
              <w:rPr>
                <w:b/>
                <w:noProof/>
                <w:webHidden/>
              </w:rPr>
              <w:t>ii</w:t>
            </w:r>
            <w:r w:rsidR="00F46008" w:rsidRPr="00BF5143">
              <w:rPr>
                <w:b/>
                <w:noProof/>
                <w:webHidden/>
              </w:rPr>
              <w:fldChar w:fldCharType="end"/>
            </w:r>
          </w:hyperlink>
        </w:p>
        <w:p w14:paraId="52879247" w14:textId="44E88953" w:rsidR="00F46008" w:rsidRPr="00BF5143" w:rsidRDefault="00F74056">
          <w:pPr>
            <w:pStyle w:val="TOC1"/>
            <w:tabs>
              <w:tab w:val="left" w:pos="440"/>
              <w:tab w:val="right" w:leader="dot" w:pos="9396"/>
            </w:tabs>
            <w:rPr>
              <w:rFonts w:eastAsiaTheme="minorEastAsia"/>
              <w:b/>
              <w:noProof/>
            </w:rPr>
          </w:pPr>
          <w:hyperlink w:anchor="_Toc10477889" w:history="1">
            <w:r w:rsidR="00F46008" w:rsidRPr="00BF5143">
              <w:rPr>
                <w:rStyle w:val="Hyperlink"/>
                <w:rFonts w:ascii="Calibri" w:hAnsi="Calibri" w:cs="Calibri"/>
                <w:b/>
                <w:noProof/>
              </w:rPr>
              <w:t>I.</w:t>
            </w:r>
            <w:r w:rsidR="00F46008" w:rsidRPr="00BF5143">
              <w:rPr>
                <w:rFonts w:eastAsiaTheme="minorEastAsia"/>
                <w:b/>
                <w:noProof/>
              </w:rPr>
              <w:tab/>
            </w:r>
            <w:r w:rsidR="00F46008" w:rsidRPr="00BF5143">
              <w:rPr>
                <w:rStyle w:val="Hyperlink"/>
                <w:rFonts w:ascii="Calibri" w:hAnsi="Calibri" w:cs="Calibri"/>
                <w:b/>
                <w:noProof/>
              </w:rPr>
              <w:t>Introduction</w:t>
            </w:r>
            <w:r w:rsidR="00F46008" w:rsidRPr="00BF5143">
              <w:rPr>
                <w:b/>
                <w:noProof/>
                <w:webHidden/>
              </w:rPr>
              <w:tab/>
            </w:r>
            <w:r w:rsidR="00F46008" w:rsidRPr="00BF5143">
              <w:rPr>
                <w:b/>
                <w:noProof/>
                <w:webHidden/>
              </w:rPr>
              <w:fldChar w:fldCharType="begin"/>
            </w:r>
            <w:r w:rsidR="00F46008" w:rsidRPr="00BF5143">
              <w:rPr>
                <w:b/>
                <w:noProof/>
                <w:webHidden/>
              </w:rPr>
              <w:instrText xml:space="preserve"> PAGEREF _Toc10477889 \h </w:instrText>
            </w:r>
            <w:r w:rsidR="00F46008" w:rsidRPr="00BF5143">
              <w:rPr>
                <w:b/>
                <w:noProof/>
                <w:webHidden/>
              </w:rPr>
            </w:r>
            <w:r w:rsidR="00F46008" w:rsidRPr="00BF5143">
              <w:rPr>
                <w:b/>
                <w:noProof/>
                <w:webHidden/>
              </w:rPr>
              <w:fldChar w:fldCharType="separate"/>
            </w:r>
            <w:r w:rsidR="00631B02">
              <w:rPr>
                <w:b/>
                <w:noProof/>
                <w:webHidden/>
              </w:rPr>
              <w:t>1</w:t>
            </w:r>
            <w:r w:rsidR="00F46008" w:rsidRPr="00BF5143">
              <w:rPr>
                <w:b/>
                <w:noProof/>
                <w:webHidden/>
              </w:rPr>
              <w:fldChar w:fldCharType="end"/>
            </w:r>
          </w:hyperlink>
        </w:p>
        <w:p w14:paraId="36039771" w14:textId="12E2EF9D" w:rsidR="00F46008" w:rsidRPr="00BF5143" w:rsidRDefault="00F74056">
          <w:pPr>
            <w:pStyle w:val="TOC1"/>
            <w:tabs>
              <w:tab w:val="left" w:pos="440"/>
              <w:tab w:val="right" w:leader="dot" w:pos="9396"/>
            </w:tabs>
            <w:rPr>
              <w:rFonts w:eastAsiaTheme="minorEastAsia"/>
              <w:b/>
              <w:noProof/>
            </w:rPr>
          </w:pPr>
          <w:hyperlink w:anchor="_Toc10477890" w:history="1">
            <w:r w:rsidR="00F46008" w:rsidRPr="00BF5143">
              <w:rPr>
                <w:rStyle w:val="Hyperlink"/>
                <w:rFonts w:ascii="Calibri" w:hAnsi="Calibri" w:cs="Calibri"/>
                <w:b/>
                <w:noProof/>
              </w:rPr>
              <w:t>II.</w:t>
            </w:r>
            <w:r w:rsidR="00F46008" w:rsidRPr="00BF5143">
              <w:rPr>
                <w:rFonts w:eastAsiaTheme="minorEastAsia"/>
                <w:b/>
                <w:noProof/>
              </w:rPr>
              <w:tab/>
            </w:r>
            <w:r w:rsidR="00F46008" w:rsidRPr="00BF5143">
              <w:rPr>
                <w:rStyle w:val="Hyperlink"/>
                <w:rFonts w:ascii="Calibri" w:hAnsi="Calibri" w:cs="Calibri"/>
                <w:b/>
                <w:noProof/>
              </w:rPr>
              <w:t>Approaches in defining health benefit packages</w:t>
            </w:r>
            <w:r w:rsidR="00F46008" w:rsidRPr="00BF5143">
              <w:rPr>
                <w:b/>
                <w:noProof/>
                <w:webHidden/>
              </w:rPr>
              <w:tab/>
            </w:r>
            <w:r w:rsidR="00F46008" w:rsidRPr="00BF5143">
              <w:rPr>
                <w:b/>
                <w:noProof/>
                <w:webHidden/>
              </w:rPr>
              <w:fldChar w:fldCharType="begin"/>
            </w:r>
            <w:r w:rsidR="00F46008" w:rsidRPr="00BF5143">
              <w:rPr>
                <w:b/>
                <w:noProof/>
                <w:webHidden/>
              </w:rPr>
              <w:instrText xml:space="preserve"> PAGEREF _Toc10477890 \h </w:instrText>
            </w:r>
            <w:r w:rsidR="00F46008" w:rsidRPr="00BF5143">
              <w:rPr>
                <w:b/>
                <w:noProof/>
                <w:webHidden/>
              </w:rPr>
            </w:r>
            <w:r w:rsidR="00F46008" w:rsidRPr="00BF5143">
              <w:rPr>
                <w:b/>
                <w:noProof/>
                <w:webHidden/>
              </w:rPr>
              <w:fldChar w:fldCharType="separate"/>
            </w:r>
            <w:r w:rsidR="00631B02">
              <w:rPr>
                <w:b/>
                <w:noProof/>
                <w:webHidden/>
              </w:rPr>
              <w:t>2</w:t>
            </w:r>
            <w:r w:rsidR="00F46008" w:rsidRPr="00BF5143">
              <w:rPr>
                <w:b/>
                <w:noProof/>
                <w:webHidden/>
              </w:rPr>
              <w:fldChar w:fldCharType="end"/>
            </w:r>
          </w:hyperlink>
        </w:p>
        <w:p w14:paraId="42D5A83C" w14:textId="0DD8C741" w:rsidR="00F46008" w:rsidRDefault="00F74056">
          <w:pPr>
            <w:pStyle w:val="TOC1"/>
            <w:tabs>
              <w:tab w:val="left" w:pos="660"/>
              <w:tab w:val="right" w:leader="dot" w:pos="9396"/>
            </w:tabs>
            <w:rPr>
              <w:rFonts w:eastAsiaTheme="minorEastAsia"/>
              <w:noProof/>
            </w:rPr>
          </w:pPr>
          <w:hyperlink w:anchor="_Toc10477891" w:history="1">
            <w:r w:rsidR="00F46008" w:rsidRPr="00BF5143">
              <w:rPr>
                <w:rStyle w:val="Hyperlink"/>
                <w:rFonts w:ascii="Calibri" w:hAnsi="Calibri" w:cs="Calibri"/>
                <w:b/>
                <w:noProof/>
              </w:rPr>
              <w:t>III.</w:t>
            </w:r>
            <w:r w:rsidR="00F46008" w:rsidRPr="00BF5143">
              <w:rPr>
                <w:rFonts w:eastAsiaTheme="minorEastAsia"/>
                <w:b/>
                <w:noProof/>
              </w:rPr>
              <w:tab/>
            </w:r>
            <w:r w:rsidR="00F46008" w:rsidRPr="00BF5143">
              <w:rPr>
                <w:rStyle w:val="Hyperlink"/>
                <w:rFonts w:ascii="Calibri" w:hAnsi="Calibri" w:cs="Calibri"/>
                <w:b/>
                <w:noProof/>
              </w:rPr>
              <w:t>The State Guaranteed Benefit Package in the Kyrgyz Republic</w:t>
            </w:r>
            <w:r w:rsidR="00F46008" w:rsidRPr="00BF5143">
              <w:rPr>
                <w:b/>
                <w:noProof/>
                <w:webHidden/>
              </w:rPr>
              <w:tab/>
            </w:r>
            <w:r w:rsidR="00F46008" w:rsidRPr="00BF5143">
              <w:rPr>
                <w:b/>
                <w:noProof/>
                <w:webHidden/>
              </w:rPr>
              <w:fldChar w:fldCharType="begin"/>
            </w:r>
            <w:r w:rsidR="00F46008" w:rsidRPr="00BF5143">
              <w:rPr>
                <w:b/>
                <w:noProof/>
                <w:webHidden/>
              </w:rPr>
              <w:instrText xml:space="preserve"> PAGEREF _Toc10477891 \h </w:instrText>
            </w:r>
            <w:r w:rsidR="00F46008" w:rsidRPr="00BF5143">
              <w:rPr>
                <w:b/>
                <w:noProof/>
                <w:webHidden/>
              </w:rPr>
            </w:r>
            <w:r w:rsidR="00F46008" w:rsidRPr="00BF5143">
              <w:rPr>
                <w:b/>
                <w:noProof/>
                <w:webHidden/>
              </w:rPr>
              <w:fldChar w:fldCharType="separate"/>
            </w:r>
            <w:r w:rsidR="00631B02">
              <w:rPr>
                <w:b/>
                <w:noProof/>
                <w:webHidden/>
              </w:rPr>
              <w:t>3</w:t>
            </w:r>
            <w:r w:rsidR="00F46008" w:rsidRPr="00BF5143">
              <w:rPr>
                <w:b/>
                <w:noProof/>
                <w:webHidden/>
              </w:rPr>
              <w:fldChar w:fldCharType="end"/>
            </w:r>
          </w:hyperlink>
        </w:p>
        <w:p w14:paraId="19A3EC00" w14:textId="51C3D678" w:rsidR="00F46008" w:rsidRDefault="00F74056">
          <w:pPr>
            <w:pStyle w:val="TOC2"/>
            <w:tabs>
              <w:tab w:val="left" w:pos="660"/>
              <w:tab w:val="right" w:leader="dot" w:pos="9396"/>
            </w:tabs>
            <w:rPr>
              <w:rFonts w:eastAsiaTheme="minorEastAsia"/>
              <w:noProof/>
            </w:rPr>
          </w:pPr>
          <w:hyperlink w:anchor="_Toc10477892" w:history="1">
            <w:r w:rsidR="00F46008" w:rsidRPr="001F40EE">
              <w:rPr>
                <w:rStyle w:val="Hyperlink"/>
                <w:noProof/>
              </w:rPr>
              <w:t>1.</w:t>
            </w:r>
            <w:r w:rsidR="00F46008">
              <w:rPr>
                <w:rFonts w:eastAsiaTheme="minorEastAsia"/>
                <w:noProof/>
              </w:rPr>
              <w:tab/>
            </w:r>
            <w:r w:rsidR="00F46008" w:rsidRPr="001F40EE">
              <w:rPr>
                <w:rStyle w:val="Hyperlink"/>
                <w:noProof/>
              </w:rPr>
              <w:t>Regulatory framework and institutional arrangement for the SGBP</w:t>
            </w:r>
            <w:r w:rsidR="00F46008">
              <w:rPr>
                <w:noProof/>
                <w:webHidden/>
              </w:rPr>
              <w:tab/>
            </w:r>
            <w:r w:rsidR="00F46008">
              <w:rPr>
                <w:noProof/>
                <w:webHidden/>
              </w:rPr>
              <w:fldChar w:fldCharType="begin"/>
            </w:r>
            <w:r w:rsidR="00F46008">
              <w:rPr>
                <w:noProof/>
                <w:webHidden/>
              </w:rPr>
              <w:instrText xml:space="preserve"> PAGEREF _Toc10477892 \h </w:instrText>
            </w:r>
            <w:r w:rsidR="00F46008">
              <w:rPr>
                <w:noProof/>
                <w:webHidden/>
              </w:rPr>
            </w:r>
            <w:r w:rsidR="00F46008">
              <w:rPr>
                <w:noProof/>
                <w:webHidden/>
              </w:rPr>
              <w:fldChar w:fldCharType="separate"/>
            </w:r>
            <w:r w:rsidR="00631B02">
              <w:rPr>
                <w:noProof/>
                <w:webHidden/>
              </w:rPr>
              <w:t>3</w:t>
            </w:r>
            <w:r w:rsidR="00F46008">
              <w:rPr>
                <w:noProof/>
                <w:webHidden/>
              </w:rPr>
              <w:fldChar w:fldCharType="end"/>
            </w:r>
          </w:hyperlink>
        </w:p>
        <w:p w14:paraId="40A18C8C" w14:textId="56C77FA5" w:rsidR="00F46008" w:rsidRDefault="00F74056">
          <w:pPr>
            <w:pStyle w:val="TOC2"/>
            <w:tabs>
              <w:tab w:val="left" w:pos="660"/>
              <w:tab w:val="right" w:leader="dot" w:pos="9396"/>
            </w:tabs>
            <w:rPr>
              <w:rFonts w:eastAsiaTheme="minorEastAsia"/>
              <w:noProof/>
            </w:rPr>
          </w:pPr>
          <w:hyperlink w:anchor="_Toc10477893" w:history="1">
            <w:r w:rsidR="00F46008" w:rsidRPr="001F40EE">
              <w:rPr>
                <w:rStyle w:val="Hyperlink"/>
                <w:noProof/>
              </w:rPr>
              <w:t>2.</w:t>
            </w:r>
            <w:r w:rsidR="00F46008">
              <w:rPr>
                <w:rFonts w:eastAsiaTheme="minorEastAsia"/>
                <w:noProof/>
              </w:rPr>
              <w:tab/>
            </w:r>
            <w:r w:rsidR="00F46008" w:rsidRPr="001F40EE">
              <w:rPr>
                <w:rStyle w:val="Hyperlink"/>
                <w:noProof/>
              </w:rPr>
              <w:t>The statutory benefit package</w:t>
            </w:r>
            <w:r w:rsidR="00F46008">
              <w:rPr>
                <w:noProof/>
                <w:webHidden/>
              </w:rPr>
              <w:tab/>
            </w:r>
            <w:r w:rsidR="00F46008">
              <w:rPr>
                <w:noProof/>
                <w:webHidden/>
              </w:rPr>
              <w:fldChar w:fldCharType="begin"/>
            </w:r>
            <w:r w:rsidR="00F46008">
              <w:rPr>
                <w:noProof/>
                <w:webHidden/>
              </w:rPr>
              <w:instrText xml:space="preserve"> PAGEREF _Toc10477893 \h </w:instrText>
            </w:r>
            <w:r w:rsidR="00F46008">
              <w:rPr>
                <w:noProof/>
                <w:webHidden/>
              </w:rPr>
            </w:r>
            <w:r w:rsidR="00F46008">
              <w:rPr>
                <w:noProof/>
                <w:webHidden/>
              </w:rPr>
              <w:fldChar w:fldCharType="separate"/>
            </w:r>
            <w:r w:rsidR="00631B02">
              <w:rPr>
                <w:noProof/>
                <w:webHidden/>
              </w:rPr>
              <w:t>4</w:t>
            </w:r>
            <w:r w:rsidR="00F46008">
              <w:rPr>
                <w:noProof/>
                <w:webHidden/>
              </w:rPr>
              <w:fldChar w:fldCharType="end"/>
            </w:r>
          </w:hyperlink>
        </w:p>
        <w:p w14:paraId="1099BAD1" w14:textId="372B3EE7" w:rsidR="00F46008" w:rsidRDefault="00F74056">
          <w:pPr>
            <w:pStyle w:val="TOC2"/>
            <w:tabs>
              <w:tab w:val="left" w:pos="660"/>
              <w:tab w:val="right" w:leader="dot" w:pos="9396"/>
            </w:tabs>
            <w:rPr>
              <w:rFonts w:eastAsiaTheme="minorEastAsia"/>
              <w:noProof/>
            </w:rPr>
          </w:pPr>
          <w:hyperlink w:anchor="_Toc10477894" w:history="1">
            <w:r w:rsidR="00F46008" w:rsidRPr="001F40EE">
              <w:rPr>
                <w:rStyle w:val="Hyperlink"/>
                <w:noProof/>
              </w:rPr>
              <w:t>3.</w:t>
            </w:r>
            <w:r w:rsidR="00F46008">
              <w:rPr>
                <w:rFonts w:eastAsiaTheme="minorEastAsia"/>
                <w:noProof/>
              </w:rPr>
              <w:tab/>
            </w:r>
            <w:r w:rsidR="00F46008" w:rsidRPr="001F40EE">
              <w:rPr>
                <w:rStyle w:val="Hyperlink"/>
                <w:noProof/>
              </w:rPr>
              <w:t>A critical assessment of the SGBP</w:t>
            </w:r>
            <w:r w:rsidR="00F46008">
              <w:rPr>
                <w:noProof/>
                <w:webHidden/>
              </w:rPr>
              <w:tab/>
            </w:r>
            <w:r w:rsidR="00F46008">
              <w:rPr>
                <w:noProof/>
                <w:webHidden/>
              </w:rPr>
              <w:fldChar w:fldCharType="begin"/>
            </w:r>
            <w:r w:rsidR="00F46008">
              <w:rPr>
                <w:noProof/>
                <w:webHidden/>
              </w:rPr>
              <w:instrText xml:space="preserve"> PAGEREF _Toc10477894 \h </w:instrText>
            </w:r>
            <w:r w:rsidR="00F46008">
              <w:rPr>
                <w:noProof/>
                <w:webHidden/>
              </w:rPr>
            </w:r>
            <w:r w:rsidR="00F46008">
              <w:rPr>
                <w:noProof/>
                <w:webHidden/>
              </w:rPr>
              <w:fldChar w:fldCharType="separate"/>
            </w:r>
            <w:r w:rsidR="00631B02">
              <w:rPr>
                <w:noProof/>
                <w:webHidden/>
              </w:rPr>
              <w:t>10</w:t>
            </w:r>
            <w:r w:rsidR="00F46008">
              <w:rPr>
                <w:noProof/>
                <w:webHidden/>
              </w:rPr>
              <w:fldChar w:fldCharType="end"/>
            </w:r>
          </w:hyperlink>
        </w:p>
        <w:p w14:paraId="74A0A33D" w14:textId="43B75226" w:rsidR="00F46008" w:rsidRDefault="00F74056">
          <w:pPr>
            <w:pStyle w:val="TOC1"/>
            <w:tabs>
              <w:tab w:val="left" w:pos="660"/>
              <w:tab w:val="right" w:leader="dot" w:pos="9396"/>
            </w:tabs>
            <w:rPr>
              <w:rFonts w:eastAsiaTheme="minorEastAsia"/>
              <w:noProof/>
            </w:rPr>
          </w:pPr>
          <w:hyperlink w:anchor="_Toc10477895" w:history="1">
            <w:r w:rsidR="00F46008" w:rsidRPr="001F40EE">
              <w:rPr>
                <w:rStyle w:val="Hyperlink"/>
                <w:rFonts w:ascii="Calibri" w:hAnsi="Calibri" w:cs="Calibri"/>
                <w:noProof/>
              </w:rPr>
              <w:t>IV.</w:t>
            </w:r>
            <w:r w:rsidR="00F46008">
              <w:rPr>
                <w:rFonts w:eastAsiaTheme="minorEastAsia"/>
                <w:noProof/>
              </w:rPr>
              <w:tab/>
            </w:r>
            <w:r w:rsidR="00F46008" w:rsidRPr="00BF5143">
              <w:rPr>
                <w:rStyle w:val="Hyperlink"/>
                <w:rFonts w:ascii="Calibri" w:hAnsi="Calibri" w:cs="Calibri"/>
                <w:b/>
                <w:noProof/>
              </w:rPr>
              <w:t>Toward a more pro-poor and explicit benefit package</w:t>
            </w:r>
            <w:r w:rsidR="00F46008" w:rsidRPr="00BF5143">
              <w:rPr>
                <w:b/>
                <w:noProof/>
                <w:webHidden/>
              </w:rPr>
              <w:tab/>
            </w:r>
            <w:r w:rsidR="00F46008" w:rsidRPr="00BF5143">
              <w:rPr>
                <w:b/>
                <w:noProof/>
                <w:webHidden/>
              </w:rPr>
              <w:fldChar w:fldCharType="begin"/>
            </w:r>
            <w:r w:rsidR="00F46008" w:rsidRPr="00BF5143">
              <w:rPr>
                <w:b/>
                <w:noProof/>
                <w:webHidden/>
              </w:rPr>
              <w:instrText xml:space="preserve"> PAGEREF _Toc10477895 \h </w:instrText>
            </w:r>
            <w:r w:rsidR="00F46008" w:rsidRPr="00BF5143">
              <w:rPr>
                <w:b/>
                <w:noProof/>
                <w:webHidden/>
              </w:rPr>
            </w:r>
            <w:r w:rsidR="00F46008" w:rsidRPr="00BF5143">
              <w:rPr>
                <w:b/>
                <w:noProof/>
                <w:webHidden/>
              </w:rPr>
              <w:fldChar w:fldCharType="separate"/>
            </w:r>
            <w:r w:rsidR="00631B02">
              <w:rPr>
                <w:b/>
                <w:noProof/>
                <w:webHidden/>
              </w:rPr>
              <w:t>18</w:t>
            </w:r>
            <w:r w:rsidR="00F46008" w:rsidRPr="00BF5143">
              <w:rPr>
                <w:b/>
                <w:noProof/>
                <w:webHidden/>
              </w:rPr>
              <w:fldChar w:fldCharType="end"/>
            </w:r>
          </w:hyperlink>
        </w:p>
        <w:p w14:paraId="51A347A8" w14:textId="3E7D0525" w:rsidR="00F46008" w:rsidRDefault="00F74056">
          <w:pPr>
            <w:pStyle w:val="TOC2"/>
            <w:tabs>
              <w:tab w:val="left" w:pos="660"/>
              <w:tab w:val="right" w:leader="dot" w:pos="9396"/>
            </w:tabs>
            <w:rPr>
              <w:rFonts w:eastAsiaTheme="minorEastAsia"/>
              <w:noProof/>
            </w:rPr>
          </w:pPr>
          <w:hyperlink w:anchor="_Toc10477896" w:history="1">
            <w:r w:rsidR="00F46008" w:rsidRPr="001F40EE">
              <w:rPr>
                <w:rStyle w:val="Hyperlink"/>
                <w:noProof/>
              </w:rPr>
              <w:t>1.</w:t>
            </w:r>
            <w:r w:rsidR="00F46008">
              <w:rPr>
                <w:rFonts w:eastAsiaTheme="minorEastAsia"/>
                <w:noProof/>
              </w:rPr>
              <w:tab/>
            </w:r>
            <w:r w:rsidR="00F46008" w:rsidRPr="001F40EE">
              <w:rPr>
                <w:rStyle w:val="Hyperlink"/>
                <w:noProof/>
              </w:rPr>
              <w:t>Making poverty targeting central in the subsidization of the SGBP</w:t>
            </w:r>
            <w:r w:rsidR="00F46008">
              <w:rPr>
                <w:noProof/>
                <w:webHidden/>
              </w:rPr>
              <w:tab/>
            </w:r>
            <w:r w:rsidR="00F46008">
              <w:rPr>
                <w:noProof/>
                <w:webHidden/>
              </w:rPr>
              <w:fldChar w:fldCharType="begin"/>
            </w:r>
            <w:r w:rsidR="00F46008">
              <w:rPr>
                <w:noProof/>
                <w:webHidden/>
              </w:rPr>
              <w:instrText xml:space="preserve"> PAGEREF _Toc10477896 \h </w:instrText>
            </w:r>
            <w:r w:rsidR="00F46008">
              <w:rPr>
                <w:noProof/>
                <w:webHidden/>
              </w:rPr>
            </w:r>
            <w:r w:rsidR="00F46008">
              <w:rPr>
                <w:noProof/>
                <w:webHidden/>
              </w:rPr>
              <w:fldChar w:fldCharType="separate"/>
            </w:r>
            <w:r w:rsidR="00631B02">
              <w:rPr>
                <w:noProof/>
                <w:webHidden/>
              </w:rPr>
              <w:t>18</w:t>
            </w:r>
            <w:r w:rsidR="00F46008">
              <w:rPr>
                <w:noProof/>
                <w:webHidden/>
              </w:rPr>
              <w:fldChar w:fldCharType="end"/>
            </w:r>
          </w:hyperlink>
        </w:p>
        <w:p w14:paraId="0000D279" w14:textId="00BD41F5" w:rsidR="00F46008" w:rsidRDefault="00F74056">
          <w:pPr>
            <w:pStyle w:val="TOC2"/>
            <w:tabs>
              <w:tab w:val="left" w:pos="660"/>
              <w:tab w:val="right" w:leader="dot" w:pos="9396"/>
            </w:tabs>
            <w:rPr>
              <w:rFonts w:eastAsiaTheme="minorEastAsia"/>
              <w:noProof/>
            </w:rPr>
          </w:pPr>
          <w:hyperlink w:anchor="_Toc10477897" w:history="1">
            <w:r w:rsidR="00F46008" w:rsidRPr="001F40EE">
              <w:rPr>
                <w:rStyle w:val="Hyperlink"/>
                <w:noProof/>
              </w:rPr>
              <w:t>2.</w:t>
            </w:r>
            <w:r w:rsidR="00F46008">
              <w:rPr>
                <w:rFonts w:eastAsiaTheme="minorEastAsia"/>
                <w:noProof/>
              </w:rPr>
              <w:tab/>
            </w:r>
            <w:r w:rsidR="00F46008" w:rsidRPr="001F40EE">
              <w:rPr>
                <w:rStyle w:val="Hyperlink"/>
                <w:noProof/>
              </w:rPr>
              <w:t>Building on the existing extensive clinical guidelines and care pathways to concretize services included in the SGBP</w:t>
            </w:r>
            <w:r w:rsidR="00F46008">
              <w:rPr>
                <w:noProof/>
                <w:webHidden/>
              </w:rPr>
              <w:tab/>
            </w:r>
            <w:r w:rsidR="00F46008">
              <w:rPr>
                <w:noProof/>
                <w:webHidden/>
              </w:rPr>
              <w:fldChar w:fldCharType="begin"/>
            </w:r>
            <w:r w:rsidR="00F46008">
              <w:rPr>
                <w:noProof/>
                <w:webHidden/>
              </w:rPr>
              <w:instrText xml:space="preserve"> PAGEREF _Toc10477897 \h </w:instrText>
            </w:r>
            <w:r w:rsidR="00F46008">
              <w:rPr>
                <w:noProof/>
                <w:webHidden/>
              </w:rPr>
            </w:r>
            <w:r w:rsidR="00F46008">
              <w:rPr>
                <w:noProof/>
                <w:webHidden/>
              </w:rPr>
              <w:fldChar w:fldCharType="separate"/>
            </w:r>
            <w:r w:rsidR="00631B02">
              <w:rPr>
                <w:noProof/>
                <w:webHidden/>
              </w:rPr>
              <w:t>20</w:t>
            </w:r>
            <w:r w:rsidR="00F46008">
              <w:rPr>
                <w:noProof/>
                <w:webHidden/>
              </w:rPr>
              <w:fldChar w:fldCharType="end"/>
            </w:r>
          </w:hyperlink>
        </w:p>
        <w:p w14:paraId="3A9728A6" w14:textId="6BFAD2AA" w:rsidR="00F46008" w:rsidRDefault="00F74056">
          <w:pPr>
            <w:pStyle w:val="TOC2"/>
            <w:tabs>
              <w:tab w:val="left" w:pos="660"/>
              <w:tab w:val="right" w:leader="dot" w:pos="9396"/>
            </w:tabs>
            <w:rPr>
              <w:rFonts w:eastAsiaTheme="minorEastAsia"/>
              <w:noProof/>
            </w:rPr>
          </w:pPr>
          <w:hyperlink w:anchor="_Toc10477898" w:history="1">
            <w:r w:rsidR="00F46008" w:rsidRPr="001F40EE">
              <w:rPr>
                <w:rStyle w:val="Hyperlink"/>
                <w:noProof/>
              </w:rPr>
              <w:t>3.</w:t>
            </w:r>
            <w:r w:rsidR="00F46008">
              <w:rPr>
                <w:rFonts w:eastAsiaTheme="minorEastAsia"/>
                <w:noProof/>
              </w:rPr>
              <w:tab/>
            </w:r>
            <w:r w:rsidR="00F46008" w:rsidRPr="001F40EE">
              <w:rPr>
                <w:rStyle w:val="Hyperlink"/>
                <w:noProof/>
              </w:rPr>
              <w:t>Developing an approach to on-going regular revisions of SGBP</w:t>
            </w:r>
            <w:r w:rsidR="00F46008">
              <w:rPr>
                <w:noProof/>
                <w:webHidden/>
              </w:rPr>
              <w:tab/>
            </w:r>
            <w:r w:rsidR="00F46008">
              <w:rPr>
                <w:noProof/>
                <w:webHidden/>
              </w:rPr>
              <w:fldChar w:fldCharType="begin"/>
            </w:r>
            <w:r w:rsidR="00F46008">
              <w:rPr>
                <w:noProof/>
                <w:webHidden/>
              </w:rPr>
              <w:instrText xml:space="preserve"> PAGEREF _Toc10477898 \h </w:instrText>
            </w:r>
            <w:r w:rsidR="00F46008">
              <w:rPr>
                <w:noProof/>
                <w:webHidden/>
              </w:rPr>
            </w:r>
            <w:r w:rsidR="00F46008">
              <w:rPr>
                <w:noProof/>
                <w:webHidden/>
              </w:rPr>
              <w:fldChar w:fldCharType="separate"/>
            </w:r>
            <w:r w:rsidR="00631B02">
              <w:rPr>
                <w:noProof/>
                <w:webHidden/>
              </w:rPr>
              <w:t>24</w:t>
            </w:r>
            <w:r w:rsidR="00F46008">
              <w:rPr>
                <w:noProof/>
                <w:webHidden/>
              </w:rPr>
              <w:fldChar w:fldCharType="end"/>
            </w:r>
          </w:hyperlink>
        </w:p>
        <w:p w14:paraId="53FF4717" w14:textId="1F3A29B0" w:rsidR="00F46008" w:rsidRPr="00BF5143" w:rsidRDefault="00F74056">
          <w:pPr>
            <w:pStyle w:val="TOC1"/>
            <w:tabs>
              <w:tab w:val="left" w:pos="440"/>
              <w:tab w:val="right" w:leader="dot" w:pos="9396"/>
            </w:tabs>
            <w:rPr>
              <w:rFonts w:eastAsiaTheme="minorEastAsia"/>
              <w:b/>
              <w:noProof/>
            </w:rPr>
          </w:pPr>
          <w:hyperlink w:anchor="_Toc10477899" w:history="1">
            <w:r w:rsidR="00F46008" w:rsidRPr="00BF5143">
              <w:rPr>
                <w:rStyle w:val="Hyperlink"/>
                <w:rFonts w:ascii="Calibri" w:hAnsi="Calibri" w:cs="Calibri"/>
                <w:b/>
                <w:noProof/>
              </w:rPr>
              <w:t>V.</w:t>
            </w:r>
            <w:r w:rsidR="00F46008" w:rsidRPr="00BF5143">
              <w:rPr>
                <w:rFonts w:eastAsiaTheme="minorEastAsia"/>
                <w:b/>
                <w:noProof/>
              </w:rPr>
              <w:tab/>
            </w:r>
            <w:r w:rsidR="00F46008" w:rsidRPr="00BF5143">
              <w:rPr>
                <w:rStyle w:val="Hyperlink"/>
                <w:rFonts w:ascii="Calibri" w:hAnsi="Calibri" w:cs="Calibri"/>
                <w:b/>
                <w:noProof/>
              </w:rPr>
              <w:t>Conclusion</w:t>
            </w:r>
            <w:r w:rsidR="00F46008" w:rsidRPr="00BF5143">
              <w:rPr>
                <w:b/>
                <w:noProof/>
                <w:webHidden/>
              </w:rPr>
              <w:tab/>
            </w:r>
            <w:r w:rsidR="00F46008" w:rsidRPr="00BF5143">
              <w:rPr>
                <w:b/>
                <w:noProof/>
                <w:webHidden/>
              </w:rPr>
              <w:fldChar w:fldCharType="begin"/>
            </w:r>
            <w:r w:rsidR="00F46008" w:rsidRPr="00BF5143">
              <w:rPr>
                <w:b/>
                <w:noProof/>
                <w:webHidden/>
              </w:rPr>
              <w:instrText xml:space="preserve"> PAGEREF _Toc10477899 \h </w:instrText>
            </w:r>
            <w:r w:rsidR="00F46008" w:rsidRPr="00BF5143">
              <w:rPr>
                <w:b/>
                <w:noProof/>
                <w:webHidden/>
              </w:rPr>
            </w:r>
            <w:r w:rsidR="00F46008" w:rsidRPr="00BF5143">
              <w:rPr>
                <w:b/>
                <w:noProof/>
                <w:webHidden/>
              </w:rPr>
              <w:fldChar w:fldCharType="separate"/>
            </w:r>
            <w:r w:rsidR="00631B02">
              <w:rPr>
                <w:b/>
                <w:noProof/>
                <w:webHidden/>
              </w:rPr>
              <w:t>25</w:t>
            </w:r>
            <w:r w:rsidR="00F46008" w:rsidRPr="00BF5143">
              <w:rPr>
                <w:b/>
                <w:noProof/>
                <w:webHidden/>
              </w:rPr>
              <w:fldChar w:fldCharType="end"/>
            </w:r>
          </w:hyperlink>
        </w:p>
        <w:p w14:paraId="03571C5E" w14:textId="6025F3B1" w:rsidR="00F46008" w:rsidRPr="00BF5143" w:rsidRDefault="00F74056">
          <w:pPr>
            <w:pStyle w:val="TOC1"/>
            <w:tabs>
              <w:tab w:val="right" w:leader="dot" w:pos="9396"/>
            </w:tabs>
            <w:rPr>
              <w:rFonts w:eastAsiaTheme="minorEastAsia"/>
              <w:b/>
              <w:noProof/>
            </w:rPr>
          </w:pPr>
          <w:hyperlink w:anchor="_Toc10477900" w:history="1">
            <w:r w:rsidR="00F46008" w:rsidRPr="00BF5143">
              <w:rPr>
                <w:rStyle w:val="Hyperlink"/>
                <w:rFonts w:ascii="Calibri" w:hAnsi="Calibri" w:cs="Calibri"/>
                <w:b/>
                <w:noProof/>
              </w:rPr>
              <w:t>References</w:t>
            </w:r>
            <w:r w:rsidR="00F46008" w:rsidRPr="00BF5143">
              <w:rPr>
                <w:b/>
                <w:noProof/>
                <w:webHidden/>
              </w:rPr>
              <w:tab/>
            </w:r>
            <w:r w:rsidR="00F46008" w:rsidRPr="00BF5143">
              <w:rPr>
                <w:b/>
                <w:noProof/>
                <w:webHidden/>
              </w:rPr>
              <w:fldChar w:fldCharType="begin"/>
            </w:r>
            <w:r w:rsidR="00F46008" w:rsidRPr="00BF5143">
              <w:rPr>
                <w:b/>
                <w:noProof/>
                <w:webHidden/>
              </w:rPr>
              <w:instrText xml:space="preserve"> PAGEREF _Toc10477900 \h </w:instrText>
            </w:r>
            <w:r w:rsidR="00F46008" w:rsidRPr="00BF5143">
              <w:rPr>
                <w:b/>
                <w:noProof/>
                <w:webHidden/>
              </w:rPr>
            </w:r>
            <w:r w:rsidR="00F46008" w:rsidRPr="00BF5143">
              <w:rPr>
                <w:b/>
                <w:noProof/>
                <w:webHidden/>
              </w:rPr>
              <w:fldChar w:fldCharType="separate"/>
            </w:r>
            <w:r w:rsidR="00631B02">
              <w:rPr>
                <w:b/>
                <w:noProof/>
                <w:webHidden/>
              </w:rPr>
              <w:t>26</w:t>
            </w:r>
            <w:r w:rsidR="00F46008" w:rsidRPr="00BF5143">
              <w:rPr>
                <w:b/>
                <w:noProof/>
                <w:webHidden/>
              </w:rPr>
              <w:fldChar w:fldCharType="end"/>
            </w:r>
          </w:hyperlink>
        </w:p>
        <w:p w14:paraId="3FE801EA" w14:textId="229E8715" w:rsidR="00F46008" w:rsidRPr="00BF5143" w:rsidRDefault="00F74056">
          <w:pPr>
            <w:pStyle w:val="TOC1"/>
            <w:tabs>
              <w:tab w:val="right" w:leader="dot" w:pos="9396"/>
            </w:tabs>
            <w:rPr>
              <w:rFonts w:eastAsiaTheme="minorEastAsia"/>
              <w:b/>
              <w:noProof/>
            </w:rPr>
          </w:pPr>
          <w:hyperlink w:anchor="_Toc10477901" w:history="1">
            <w:r w:rsidR="00F46008" w:rsidRPr="00BF5143">
              <w:rPr>
                <w:rStyle w:val="Hyperlink"/>
                <w:rFonts w:ascii="Calibri" w:hAnsi="Calibri" w:cs="Calibri"/>
                <w:b/>
                <w:noProof/>
              </w:rPr>
              <w:t>Annex 1. Categories of population eligible for copayment reduction and exemption</w:t>
            </w:r>
            <w:r w:rsidR="00F46008" w:rsidRPr="00BF5143">
              <w:rPr>
                <w:b/>
                <w:noProof/>
                <w:webHidden/>
              </w:rPr>
              <w:tab/>
            </w:r>
            <w:r w:rsidR="00F46008" w:rsidRPr="00BF5143">
              <w:rPr>
                <w:b/>
                <w:noProof/>
                <w:webHidden/>
              </w:rPr>
              <w:fldChar w:fldCharType="begin"/>
            </w:r>
            <w:r w:rsidR="00F46008" w:rsidRPr="00BF5143">
              <w:rPr>
                <w:b/>
                <w:noProof/>
                <w:webHidden/>
              </w:rPr>
              <w:instrText xml:space="preserve"> PAGEREF _Toc10477901 \h </w:instrText>
            </w:r>
            <w:r w:rsidR="00F46008" w:rsidRPr="00BF5143">
              <w:rPr>
                <w:b/>
                <w:noProof/>
                <w:webHidden/>
              </w:rPr>
            </w:r>
            <w:r w:rsidR="00F46008" w:rsidRPr="00BF5143">
              <w:rPr>
                <w:b/>
                <w:noProof/>
                <w:webHidden/>
              </w:rPr>
              <w:fldChar w:fldCharType="separate"/>
            </w:r>
            <w:r w:rsidR="00631B02">
              <w:rPr>
                <w:b/>
                <w:noProof/>
                <w:webHidden/>
              </w:rPr>
              <w:t>28</w:t>
            </w:r>
            <w:r w:rsidR="00F46008" w:rsidRPr="00BF5143">
              <w:rPr>
                <w:b/>
                <w:noProof/>
                <w:webHidden/>
              </w:rPr>
              <w:fldChar w:fldCharType="end"/>
            </w:r>
          </w:hyperlink>
        </w:p>
        <w:p w14:paraId="429E3796" w14:textId="72932EA3" w:rsidR="00F46008" w:rsidRPr="00BF5143" w:rsidRDefault="00F74056">
          <w:pPr>
            <w:pStyle w:val="TOC1"/>
            <w:tabs>
              <w:tab w:val="right" w:leader="dot" w:pos="9396"/>
            </w:tabs>
            <w:rPr>
              <w:rFonts w:eastAsiaTheme="minorEastAsia"/>
              <w:b/>
              <w:noProof/>
            </w:rPr>
          </w:pPr>
          <w:hyperlink w:anchor="_Toc10477902" w:history="1">
            <w:r w:rsidR="00F46008" w:rsidRPr="00BF5143">
              <w:rPr>
                <w:rStyle w:val="Hyperlink"/>
                <w:rFonts w:ascii="Calibri" w:hAnsi="Calibri" w:cs="Calibri"/>
                <w:b/>
                <w:noProof/>
              </w:rPr>
              <w:t>Annex 2: Key principles for defining and revising the health benefit package</w:t>
            </w:r>
            <w:r w:rsidR="00F46008" w:rsidRPr="00BF5143">
              <w:rPr>
                <w:b/>
                <w:noProof/>
                <w:webHidden/>
              </w:rPr>
              <w:tab/>
            </w:r>
            <w:r w:rsidR="00F46008" w:rsidRPr="00BF5143">
              <w:rPr>
                <w:b/>
                <w:noProof/>
                <w:webHidden/>
              </w:rPr>
              <w:fldChar w:fldCharType="begin"/>
            </w:r>
            <w:r w:rsidR="00F46008" w:rsidRPr="00BF5143">
              <w:rPr>
                <w:b/>
                <w:noProof/>
                <w:webHidden/>
              </w:rPr>
              <w:instrText xml:space="preserve"> PAGEREF _Toc10477902 \h </w:instrText>
            </w:r>
            <w:r w:rsidR="00F46008" w:rsidRPr="00BF5143">
              <w:rPr>
                <w:b/>
                <w:noProof/>
                <w:webHidden/>
              </w:rPr>
            </w:r>
            <w:r w:rsidR="00F46008" w:rsidRPr="00BF5143">
              <w:rPr>
                <w:b/>
                <w:noProof/>
                <w:webHidden/>
              </w:rPr>
              <w:fldChar w:fldCharType="separate"/>
            </w:r>
            <w:r w:rsidR="00631B02">
              <w:rPr>
                <w:b/>
                <w:noProof/>
                <w:webHidden/>
              </w:rPr>
              <w:t>30</w:t>
            </w:r>
            <w:r w:rsidR="00F46008" w:rsidRPr="00BF5143">
              <w:rPr>
                <w:b/>
                <w:noProof/>
                <w:webHidden/>
              </w:rPr>
              <w:fldChar w:fldCharType="end"/>
            </w:r>
          </w:hyperlink>
        </w:p>
        <w:p w14:paraId="4AC75D91" w14:textId="20B775A7" w:rsidR="00F46008" w:rsidRPr="00BF5143" w:rsidRDefault="00F74056">
          <w:pPr>
            <w:pStyle w:val="TOC1"/>
            <w:tabs>
              <w:tab w:val="right" w:leader="dot" w:pos="9396"/>
            </w:tabs>
            <w:rPr>
              <w:rFonts w:eastAsiaTheme="minorEastAsia"/>
              <w:b/>
              <w:noProof/>
            </w:rPr>
          </w:pPr>
          <w:hyperlink w:anchor="_Toc10477903" w:history="1">
            <w:r w:rsidR="00F46008" w:rsidRPr="00BF5143">
              <w:rPr>
                <w:rStyle w:val="Hyperlink"/>
                <w:rFonts w:ascii="Calibri" w:hAnsi="Calibri" w:cs="Calibri"/>
                <w:b/>
                <w:noProof/>
              </w:rPr>
              <w:t>Annex 3. Examples of cap on put-of-pocket payment, OECD countries</w:t>
            </w:r>
            <w:r w:rsidR="00F46008" w:rsidRPr="00BF5143">
              <w:rPr>
                <w:b/>
                <w:noProof/>
                <w:webHidden/>
              </w:rPr>
              <w:tab/>
            </w:r>
            <w:r w:rsidR="00F46008" w:rsidRPr="00BF5143">
              <w:rPr>
                <w:b/>
                <w:noProof/>
                <w:webHidden/>
              </w:rPr>
              <w:fldChar w:fldCharType="begin"/>
            </w:r>
            <w:r w:rsidR="00F46008" w:rsidRPr="00BF5143">
              <w:rPr>
                <w:b/>
                <w:noProof/>
                <w:webHidden/>
              </w:rPr>
              <w:instrText xml:space="preserve"> PAGEREF _Toc10477903 \h </w:instrText>
            </w:r>
            <w:r w:rsidR="00F46008" w:rsidRPr="00BF5143">
              <w:rPr>
                <w:b/>
                <w:noProof/>
                <w:webHidden/>
              </w:rPr>
            </w:r>
            <w:r w:rsidR="00F46008" w:rsidRPr="00BF5143">
              <w:rPr>
                <w:b/>
                <w:noProof/>
                <w:webHidden/>
              </w:rPr>
              <w:fldChar w:fldCharType="separate"/>
            </w:r>
            <w:r w:rsidR="00631B02">
              <w:rPr>
                <w:b/>
                <w:noProof/>
                <w:webHidden/>
              </w:rPr>
              <w:t>33</w:t>
            </w:r>
            <w:r w:rsidR="00F46008" w:rsidRPr="00BF5143">
              <w:rPr>
                <w:b/>
                <w:noProof/>
                <w:webHidden/>
              </w:rPr>
              <w:fldChar w:fldCharType="end"/>
            </w:r>
          </w:hyperlink>
        </w:p>
        <w:p w14:paraId="06AA7099" w14:textId="32C61D67" w:rsidR="00D92F7A" w:rsidRDefault="00D92F7A">
          <w:r>
            <w:rPr>
              <w:b/>
              <w:bCs/>
              <w:noProof/>
            </w:rPr>
            <w:fldChar w:fldCharType="end"/>
          </w:r>
        </w:p>
      </w:sdtContent>
    </w:sdt>
    <w:p w14:paraId="50292BFE" w14:textId="77777777" w:rsidR="00653B43" w:rsidRPr="00E6167F" w:rsidRDefault="00653B43" w:rsidP="00363D34">
      <w:pPr>
        <w:autoSpaceDE w:val="0"/>
        <w:autoSpaceDN w:val="0"/>
        <w:adjustRightInd w:val="0"/>
        <w:spacing w:line="240" w:lineRule="auto"/>
        <w:jc w:val="both"/>
        <w:rPr>
          <w:rFonts w:cstheme="minorHAnsi"/>
          <w:b/>
          <w:bCs/>
          <w:color w:val="000000" w:themeColor="text1"/>
        </w:rPr>
      </w:pPr>
    </w:p>
    <w:p w14:paraId="53F4061A" w14:textId="77777777" w:rsidR="00C7396E" w:rsidRDefault="00C7396E" w:rsidP="00363D34">
      <w:pPr>
        <w:spacing w:line="240" w:lineRule="auto"/>
        <w:jc w:val="both"/>
        <w:rPr>
          <w:rFonts w:cstheme="minorHAnsi"/>
          <w:bCs/>
          <w:iCs/>
          <w:spacing w:val="5"/>
          <w:u w:val="single"/>
          <w:lang w:val="en-GB"/>
        </w:rPr>
        <w:sectPr w:rsidR="00C7396E" w:rsidSect="0001514E">
          <w:footerReference w:type="default" r:id="rId11"/>
          <w:pgSz w:w="12240" w:h="15840" w:code="1"/>
          <w:pgMar w:top="1417" w:right="1417" w:bottom="1417" w:left="1417" w:header="720" w:footer="720" w:gutter="0"/>
          <w:pgNumType w:start="1"/>
          <w:cols w:space="720"/>
          <w:docGrid w:linePitch="360"/>
        </w:sectPr>
      </w:pPr>
    </w:p>
    <w:p w14:paraId="052F5E13" w14:textId="3FA22CD2" w:rsidR="001E7408" w:rsidRPr="00BA466B" w:rsidRDefault="00E26F5B" w:rsidP="00363D34">
      <w:pPr>
        <w:pStyle w:val="Heading1"/>
        <w:numPr>
          <w:ilvl w:val="0"/>
          <w:numId w:val="0"/>
        </w:numPr>
        <w:rPr>
          <w:rFonts w:ascii="Calibri" w:hAnsi="Calibri" w:cs="Calibri"/>
          <w:color w:val="1F4E79" w:themeColor="accent1" w:themeShade="80"/>
        </w:rPr>
      </w:pPr>
      <w:bookmarkStart w:id="2" w:name="_Toc10477887"/>
      <w:r w:rsidRPr="00BA466B">
        <w:rPr>
          <w:rFonts w:ascii="Calibri" w:hAnsi="Calibri" w:cs="Calibri"/>
          <w:color w:val="1F4E79" w:themeColor="accent1" w:themeShade="80"/>
        </w:rPr>
        <w:lastRenderedPageBreak/>
        <w:t>Acknowledgements</w:t>
      </w:r>
      <w:bookmarkEnd w:id="2"/>
      <w:r w:rsidRPr="00BA466B">
        <w:rPr>
          <w:rFonts w:ascii="Calibri" w:hAnsi="Calibri" w:cs="Calibri"/>
          <w:color w:val="1F4E79" w:themeColor="accent1" w:themeShade="80"/>
        </w:rPr>
        <w:t xml:space="preserve"> </w:t>
      </w:r>
    </w:p>
    <w:p w14:paraId="0FECA5EE" w14:textId="77777777" w:rsidR="00F57921" w:rsidRDefault="00F57921" w:rsidP="00D124CE">
      <w:pPr>
        <w:jc w:val="both"/>
        <w:rPr>
          <w:rFonts w:cs="Calibri"/>
        </w:rPr>
      </w:pPr>
    </w:p>
    <w:p w14:paraId="53999311" w14:textId="1BD6E74E" w:rsidR="00D124CE" w:rsidRPr="00405E66" w:rsidRDefault="00D124CE" w:rsidP="00D124CE">
      <w:pPr>
        <w:jc w:val="both"/>
        <w:rPr>
          <w:rFonts w:ascii="Calibri" w:hAnsi="Calibri" w:cs="Calibri"/>
        </w:rPr>
      </w:pPr>
      <w:r w:rsidRPr="001412C1">
        <w:rPr>
          <w:rFonts w:cs="Calibri"/>
        </w:rPr>
        <w:t xml:space="preserve">This </w:t>
      </w:r>
      <w:r>
        <w:rPr>
          <w:rFonts w:cs="Calibri"/>
        </w:rPr>
        <w:t xml:space="preserve">report </w:t>
      </w:r>
      <w:r w:rsidRPr="001412C1">
        <w:rPr>
          <w:rFonts w:cs="Calibri"/>
        </w:rPr>
        <w:t xml:space="preserve">was developed by the World Bank Health, Nutrition and Population Task Team with inputs from the Ministry of Health and Mandatory Health Insurance Fund of the Kyrgyz Republic. </w:t>
      </w:r>
      <w:r>
        <w:rPr>
          <w:rFonts w:cs="Calibri"/>
        </w:rPr>
        <w:t>The author</w:t>
      </w:r>
      <w:r w:rsidR="00F57921">
        <w:rPr>
          <w:rFonts w:cs="Calibri"/>
        </w:rPr>
        <w:t>s</w:t>
      </w:r>
      <w:r>
        <w:rPr>
          <w:rFonts w:cs="Calibri"/>
        </w:rPr>
        <w:t xml:space="preserve"> of the report </w:t>
      </w:r>
      <w:r w:rsidR="00D812C0">
        <w:rPr>
          <w:rFonts w:cs="Calibri"/>
        </w:rPr>
        <w:t>are Ha Thi Hong Nguyen, Senior Economist, and Tihomir Strizrep</w:t>
      </w:r>
      <w:r>
        <w:rPr>
          <w:rFonts w:cs="Calibri"/>
        </w:rPr>
        <w:t xml:space="preserve">, World Bank consultant. </w:t>
      </w:r>
      <w:r w:rsidR="00D03B20">
        <w:rPr>
          <w:rFonts w:cs="Calibri"/>
        </w:rPr>
        <w:t xml:space="preserve">Maya Razat and Meerim </w:t>
      </w:r>
      <w:r w:rsidR="00D66613">
        <w:rPr>
          <w:rFonts w:cs="Calibri"/>
        </w:rPr>
        <w:t>Sagynbaeva provided administrative support</w:t>
      </w:r>
      <w:r w:rsidR="00CC1BE1">
        <w:rPr>
          <w:rFonts w:cs="Calibri"/>
        </w:rPr>
        <w:t>, and Zetian</w:t>
      </w:r>
      <w:r w:rsidR="00E81D5F">
        <w:rPr>
          <w:rFonts w:cs="Calibri"/>
        </w:rPr>
        <w:t>y</w:t>
      </w:r>
      <w:r w:rsidR="00CC1BE1">
        <w:rPr>
          <w:rFonts w:cs="Calibri"/>
        </w:rPr>
        <w:t>u Wang</w:t>
      </w:r>
      <w:r w:rsidR="00A35FB2">
        <w:rPr>
          <w:rFonts w:cs="Calibri"/>
        </w:rPr>
        <w:t xml:space="preserve"> assisted</w:t>
      </w:r>
      <w:r w:rsidR="00E81D5F">
        <w:rPr>
          <w:rFonts w:cs="Calibri"/>
        </w:rPr>
        <w:t xml:space="preserve"> with data analysis</w:t>
      </w:r>
      <w:r w:rsidR="00D66613">
        <w:rPr>
          <w:rFonts w:cs="Calibri"/>
        </w:rPr>
        <w:t xml:space="preserve">. Other members of the team included </w:t>
      </w:r>
      <w:r w:rsidR="00D871A7">
        <w:rPr>
          <w:rFonts w:cs="Calibri"/>
        </w:rPr>
        <w:t>Mohir</w:t>
      </w:r>
      <w:r w:rsidR="0097348A">
        <w:rPr>
          <w:rFonts w:cs="Calibri"/>
        </w:rPr>
        <w:t>jon Ahmedov, Asel Sa</w:t>
      </w:r>
      <w:r w:rsidR="00CC01B9">
        <w:rPr>
          <w:rFonts w:cs="Calibri"/>
        </w:rPr>
        <w:t>r</w:t>
      </w:r>
      <w:r w:rsidR="0097348A">
        <w:rPr>
          <w:rFonts w:cs="Calibri"/>
        </w:rPr>
        <w:t>ga</w:t>
      </w:r>
      <w:r w:rsidR="00DC14EF">
        <w:rPr>
          <w:rFonts w:cs="Calibri"/>
        </w:rPr>
        <w:t>ld</w:t>
      </w:r>
      <w:r w:rsidR="0097348A">
        <w:rPr>
          <w:rFonts w:cs="Calibri"/>
        </w:rPr>
        <w:t>akova</w:t>
      </w:r>
      <w:r w:rsidR="00CC01B9">
        <w:rPr>
          <w:rFonts w:cs="Calibri"/>
        </w:rPr>
        <w:t xml:space="preserve">, Alaa </w:t>
      </w:r>
      <w:r w:rsidR="00DC14EF">
        <w:rPr>
          <w:rFonts w:cs="Calibri"/>
        </w:rPr>
        <w:t xml:space="preserve">Hamed, </w:t>
      </w:r>
      <w:r w:rsidR="000F6EA1">
        <w:rPr>
          <w:rFonts w:cs="Calibri"/>
        </w:rPr>
        <w:t xml:space="preserve">Michael Kent Ranson, </w:t>
      </w:r>
      <w:r w:rsidR="00DC14EF">
        <w:rPr>
          <w:rFonts w:cs="Calibri"/>
        </w:rPr>
        <w:t>Iryna Postolovska</w:t>
      </w:r>
      <w:r w:rsidR="003D1946">
        <w:rPr>
          <w:rFonts w:cs="Calibri"/>
        </w:rPr>
        <w:t xml:space="preserve">, and </w:t>
      </w:r>
      <w:r w:rsidR="002A381C" w:rsidRPr="001412C1">
        <w:rPr>
          <w:rFonts w:cs="Calibri"/>
        </w:rPr>
        <w:t>Ana Milena Aguilar Rivera</w:t>
      </w:r>
      <w:r w:rsidR="00DC14EF">
        <w:rPr>
          <w:rFonts w:cs="Calibri"/>
        </w:rPr>
        <w:t>.</w:t>
      </w:r>
      <w:r w:rsidR="00D66613">
        <w:rPr>
          <w:rFonts w:cs="Calibri"/>
        </w:rPr>
        <w:t xml:space="preserve"> </w:t>
      </w:r>
      <w:r w:rsidRPr="00405E66">
        <w:rPr>
          <w:rFonts w:ascii="Calibri" w:hAnsi="Calibri" w:cs="Calibri"/>
        </w:rPr>
        <w:t>The findings, interpretations, and conclusions in this research are entirely those of the author</w:t>
      </w:r>
      <w:r w:rsidR="00C53D64">
        <w:rPr>
          <w:rFonts w:ascii="Calibri" w:hAnsi="Calibri" w:cs="Calibri"/>
        </w:rPr>
        <w:t>s</w:t>
      </w:r>
      <w:r w:rsidRPr="00405E66">
        <w:rPr>
          <w:rFonts w:ascii="Calibri" w:hAnsi="Calibri" w:cs="Calibri"/>
        </w:rPr>
        <w:t>. They do not necessarily represent the views of the World Bank Group, its executive directors, or the countries they represent.</w:t>
      </w:r>
    </w:p>
    <w:p w14:paraId="69CB30CC" w14:textId="49EFB240" w:rsidR="00D124CE" w:rsidRDefault="00D124CE" w:rsidP="00C27593">
      <w:pPr>
        <w:jc w:val="both"/>
        <w:rPr>
          <w:rFonts w:cs="Calibri"/>
        </w:rPr>
      </w:pPr>
      <w:r>
        <w:rPr>
          <w:rFonts w:cs="Calibri"/>
        </w:rPr>
        <w:t xml:space="preserve">The team would like to thank the leadership of the Ministry of Health and </w:t>
      </w:r>
      <w:r w:rsidRPr="001412C1">
        <w:rPr>
          <w:rFonts w:cs="Calibri"/>
        </w:rPr>
        <w:t>Mandatory Health Insurance Fund of the Kyrgyz Republic</w:t>
      </w:r>
      <w:r>
        <w:rPr>
          <w:rFonts w:cs="Calibri"/>
        </w:rPr>
        <w:t xml:space="preserve"> for collaboration during the study. The team also thanks the Central Asia Country Unit and management of the Health, Nutrition and Population Practice for their support. </w:t>
      </w:r>
      <w:r w:rsidR="000A4588">
        <w:rPr>
          <w:rFonts w:cs="Calibri"/>
        </w:rPr>
        <w:t xml:space="preserve">Special thanks go to </w:t>
      </w:r>
      <w:r w:rsidR="000A4588" w:rsidRPr="00090A14">
        <w:rPr>
          <w:rFonts w:cstheme="minorHAnsi"/>
        </w:rPr>
        <w:t>Bolormaa Amgaabazar</w:t>
      </w:r>
      <w:r w:rsidR="000A4588">
        <w:rPr>
          <w:rFonts w:cstheme="minorHAnsi"/>
        </w:rPr>
        <w:t xml:space="preserve">, </w:t>
      </w:r>
      <w:r w:rsidR="000A4588" w:rsidRPr="00090A14">
        <w:rPr>
          <w:rFonts w:cstheme="minorHAnsi"/>
        </w:rPr>
        <w:t>Country Manager</w:t>
      </w:r>
      <w:r w:rsidR="000A4588">
        <w:rPr>
          <w:rFonts w:cstheme="minorHAnsi"/>
        </w:rPr>
        <w:t xml:space="preserve"> </w:t>
      </w:r>
      <w:r w:rsidR="004E12CB">
        <w:rPr>
          <w:rFonts w:cstheme="minorHAnsi"/>
        </w:rPr>
        <w:t>for the Kyrgyz Republic, and Tania Dmytra</w:t>
      </w:r>
      <w:r w:rsidR="004A3A03">
        <w:rPr>
          <w:rFonts w:cstheme="minorHAnsi"/>
        </w:rPr>
        <w:t>cz</w:t>
      </w:r>
      <w:r w:rsidR="004E12CB">
        <w:rPr>
          <w:rFonts w:cstheme="minorHAnsi"/>
        </w:rPr>
        <w:t>enko</w:t>
      </w:r>
      <w:r w:rsidR="008B05A3">
        <w:rPr>
          <w:rFonts w:cstheme="minorHAnsi"/>
        </w:rPr>
        <w:t xml:space="preserve">, Practice Manager for </w:t>
      </w:r>
      <w:r w:rsidR="008E243E">
        <w:rPr>
          <w:rFonts w:cstheme="minorHAnsi"/>
        </w:rPr>
        <w:t>Eastern Europe and Central</w:t>
      </w:r>
      <w:r w:rsidR="004E12CB">
        <w:rPr>
          <w:rFonts w:cstheme="minorHAnsi"/>
        </w:rPr>
        <w:t xml:space="preserve"> </w:t>
      </w:r>
      <w:r w:rsidR="008E243E">
        <w:rPr>
          <w:rFonts w:cstheme="minorHAnsi"/>
        </w:rPr>
        <w:t xml:space="preserve">Asia region, for their </w:t>
      </w:r>
      <w:r w:rsidR="00C460A7">
        <w:rPr>
          <w:rFonts w:cstheme="minorHAnsi"/>
        </w:rPr>
        <w:t xml:space="preserve">valuable guidance. </w:t>
      </w:r>
      <w:r>
        <w:rPr>
          <w:rFonts w:cs="Calibri"/>
        </w:rPr>
        <w:t xml:space="preserve">Inputs from peer reviewers, </w:t>
      </w:r>
      <w:r w:rsidR="00821562">
        <w:rPr>
          <w:rFonts w:cs="Calibri"/>
        </w:rPr>
        <w:t xml:space="preserve">Ian Forde </w:t>
      </w:r>
      <w:r>
        <w:rPr>
          <w:rFonts w:cs="Calibri"/>
        </w:rPr>
        <w:t>and Volkan Cet</w:t>
      </w:r>
      <w:r w:rsidR="00F22DB3">
        <w:rPr>
          <w:rFonts w:cs="Calibri"/>
        </w:rPr>
        <w:t>i</w:t>
      </w:r>
      <w:r>
        <w:rPr>
          <w:rFonts w:cs="Calibri"/>
        </w:rPr>
        <w:t xml:space="preserve">nkaya, are greatly appreciated. </w:t>
      </w:r>
    </w:p>
    <w:p w14:paraId="38B6D96C" w14:textId="0AA9BB87" w:rsidR="00C27593" w:rsidRPr="00347007" w:rsidRDefault="00D124CE" w:rsidP="00C27593">
      <w:pPr>
        <w:spacing w:after="120"/>
        <w:jc w:val="both"/>
        <w:rPr>
          <w:rFonts w:cstheme="minorHAnsi"/>
        </w:rPr>
      </w:pPr>
      <w:r w:rsidRPr="001412C1">
        <w:rPr>
          <w:rFonts w:cs="Calibri"/>
        </w:rPr>
        <w:t xml:space="preserve">The study </w:t>
      </w:r>
      <w:r>
        <w:rPr>
          <w:rFonts w:cs="Calibri"/>
        </w:rPr>
        <w:t xml:space="preserve">is </w:t>
      </w:r>
      <w:r w:rsidRPr="001412C1">
        <w:rPr>
          <w:rFonts w:cs="Calibri"/>
        </w:rPr>
        <w:t xml:space="preserve">part of the Advisory Service and Analytics work program </w:t>
      </w:r>
      <w:r w:rsidRPr="00700930">
        <w:rPr>
          <w:rFonts w:cs="Calibri"/>
        </w:rPr>
        <w:t xml:space="preserve">“Towards a more Sustainable and Effective Universal Health Coverage in Kyrgyz Republic” </w:t>
      </w:r>
      <w:r>
        <w:rPr>
          <w:rFonts w:cs="Calibri"/>
        </w:rPr>
        <w:t xml:space="preserve">funded by </w:t>
      </w:r>
      <w:r w:rsidRPr="00700930">
        <w:rPr>
          <w:rFonts w:cs="Calibri"/>
        </w:rPr>
        <w:t>the Japan Policy and Human Resources Development Trust Fund</w:t>
      </w:r>
      <w:r>
        <w:rPr>
          <w:rFonts w:cs="Calibri"/>
        </w:rPr>
        <w:t>. Co</w:t>
      </w:r>
      <w:r w:rsidR="00C5205E">
        <w:rPr>
          <w:rFonts w:cs="Calibri"/>
        </w:rPr>
        <w:t>-</w:t>
      </w:r>
      <w:r>
        <w:rPr>
          <w:rFonts w:cs="Calibri"/>
        </w:rPr>
        <w:t xml:space="preserve">financing was provided by the </w:t>
      </w:r>
      <w:r w:rsidRPr="001412C1">
        <w:rPr>
          <w:rFonts w:cs="Calibri"/>
        </w:rPr>
        <w:t xml:space="preserve"> “Expanding and Extending Health Gains in the Kyrgyz Republic” </w:t>
      </w:r>
      <w:r>
        <w:rPr>
          <w:rFonts w:cs="Calibri"/>
        </w:rPr>
        <w:t xml:space="preserve">program supported </w:t>
      </w:r>
      <w:r w:rsidRPr="001412C1">
        <w:rPr>
          <w:rFonts w:cs="Calibri"/>
        </w:rPr>
        <w:t>by the Global Alliance for Vaccine and Immunization under the World Bank Targeted Country Assistance work program for the Kyrgyz Republic</w:t>
      </w:r>
      <w:r w:rsidR="00C27593">
        <w:rPr>
          <w:rFonts w:cs="Calibri"/>
        </w:rPr>
        <w:t xml:space="preserve"> and </w:t>
      </w:r>
      <w:r w:rsidR="00C27593">
        <w:rPr>
          <w:rFonts w:cstheme="minorHAnsi"/>
        </w:rPr>
        <w:t xml:space="preserve">an Externally Funded Output arrangement with the Swiss Agency for Development and Corporation in support of the Second Health and Social Protection project (SWAp2). </w:t>
      </w:r>
    </w:p>
    <w:p w14:paraId="51C8A8CE" w14:textId="66A73C07" w:rsidR="00D124CE" w:rsidRPr="00700930" w:rsidRDefault="00D124CE" w:rsidP="00D124CE">
      <w:pPr>
        <w:spacing w:after="240"/>
        <w:jc w:val="both"/>
        <w:rPr>
          <w:rFonts w:cs="Calibri"/>
        </w:rPr>
      </w:pPr>
    </w:p>
    <w:p w14:paraId="6BEEFB99" w14:textId="77777777" w:rsidR="001E7408" w:rsidRPr="00E6167F" w:rsidRDefault="001E7408" w:rsidP="00363D34">
      <w:pPr>
        <w:spacing w:line="240" w:lineRule="auto"/>
        <w:jc w:val="both"/>
        <w:rPr>
          <w:rFonts w:cstheme="minorHAnsi"/>
          <w:bCs/>
          <w:iCs/>
          <w:spacing w:val="5"/>
          <w:u w:val="single"/>
          <w:lang w:val="en-GB"/>
        </w:rPr>
      </w:pPr>
    </w:p>
    <w:p w14:paraId="1532E678" w14:textId="254FBE80" w:rsidR="0079763F" w:rsidRPr="00E6167F" w:rsidRDefault="0079763F" w:rsidP="00D124CE">
      <w:pPr>
        <w:jc w:val="both"/>
        <w:rPr>
          <w:rFonts w:cstheme="minorHAnsi"/>
          <w:bCs/>
          <w:iCs/>
          <w:spacing w:val="5"/>
          <w:lang w:val="en-GB"/>
        </w:rPr>
      </w:pPr>
      <w:r w:rsidRPr="00E6167F">
        <w:rPr>
          <w:rFonts w:cstheme="minorHAnsi"/>
          <w:bCs/>
          <w:iCs/>
          <w:spacing w:val="5"/>
          <w:lang w:val="en-GB"/>
        </w:rPr>
        <w:br w:type="page"/>
      </w:r>
      <w:r w:rsidR="00D124CE">
        <w:rPr>
          <w:rFonts w:cs="Calibri"/>
        </w:rPr>
        <w:lastRenderedPageBreak/>
        <w:t xml:space="preserve"> </w:t>
      </w:r>
    </w:p>
    <w:p w14:paraId="5CC04F5A" w14:textId="63D12910" w:rsidR="0079763F" w:rsidRPr="00BA466B" w:rsidRDefault="00201385" w:rsidP="00363D34">
      <w:pPr>
        <w:pStyle w:val="Heading1"/>
        <w:numPr>
          <w:ilvl w:val="0"/>
          <w:numId w:val="0"/>
        </w:numPr>
        <w:rPr>
          <w:rFonts w:ascii="Calibri" w:hAnsi="Calibri" w:cs="Calibri"/>
          <w:color w:val="1F4E79" w:themeColor="accent1" w:themeShade="80"/>
        </w:rPr>
      </w:pPr>
      <w:bookmarkStart w:id="3" w:name="_Toc10477888"/>
      <w:r w:rsidRPr="00BA466B">
        <w:rPr>
          <w:rFonts w:ascii="Calibri" w:hAnsi="Calibri" w:cs="Calibri"/>
          <w:color w:val="1F4E79" w:themeColor="accent1" w:themeShade="80"/>
        </w:rPr>
        <w:t>Abbreviations</w:t>
      </w:r>
      <w:bookmarkEnd w:id="3"/>
      <w:r w:rsidRPr="00BA466B">
        <w:rPr>
          <w:rFonts w:ascii="Calibri" w:hAnsi="Calibri" w:cs="Calibri"/>
          <w:color w:val="1F4E79" w:themeColor="accent1" w:themeShade="80"/>
        </w:rPr>
        <w:t xml:space="preserve"> </w:t>
      </w:r>
    </w:p>
    <w:p w14:paraId="1B65B755" w14:textId="77777777" w:rsidR="0079763F" w:rsidRPr="00E6167F" w:rsidRDefault="0079763F" w:rsidP="00363D34">
      <w:pPr>
        <w:autoSpaceDE w:val="0"/>
        <w:autoSpaceDN w:val="0"/>
        <w:adjustRightInd w:val="0"/>
        <w:spacing w:after="0" w:line="240" w:lineRule="auto"/>
        <w:jc w:val="both"/>
        <w:rPr>
          <w:rFonts w:cstheme="minorHAnsi"/>
          <w:b/>
          <w:bCs/>
          <w:i/>
          <w:iCs/>
        </w:rPr>
      </w:pPr>
    </w:p>
    <w:tbl>
      <w:tblPr>
        <w:tblW w:w="8370" w:type="dxa"/>
        <w:tblLook w:val="04A0" w:firstRow="1" w:lastRow="0" w:firstColumn="1" w:lastColumn="0" w:noHBand="0" w:noVBand="1"/>
      </w:tblPr>
      <w:tblGrid>
        <w:gridCol w:w="1360"/>
        <w:gridCol w:w="7010"/>
      </w:tblGrid>
      <w:tr w:rsidR="000329F6" w:rsidRPr="000329F6" w14:paraId="4BA25940" w14:textId="77777777" w:rsidTr="0028176A">
        <w:trPr>
          <w:trHeight w:val="300"/>
        </w:trPr>
        <w:tc>
          <w:tcPr>
            <w:tcW w:w="1360" w:type="dxa"/>
            <w:shd w:val="clear" w:color="auto" w:fill="auto"/>
            <w:vAlign w:val="center"/>
            <w:hideMark/>
          </w:tcPr>
          <w:p w14:paraId="56B46DD8"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Calibri"/>
                <w:color w:val="000000"/>
              </w:rPr>
              <w:t>ADP</w:t>
            </w:r>
          </w:p>
        </w:tc>
        <w:tc>
          <w:tcPr>
            <w:tcW w:w="7010" w:type="dxa"/>
            <w:shd w:val="clear" w:color="auto" w:fill="auto"/>
            <w:noWrap/>
            <w:vAlign w:val="bottom"/>
            <w:hideMark/>
          </w:tcPr>
          <w:p w14:paraId="62E6CF0F" w14:textId="77777777" w:rsidR="000329F6" w:rsidRPr="000329F6" w:rsidRDefault="000329F6" w:rsidP="000329F6">
            <w:pPr>
              <w:spacing w:after="0" w:line="240" w:lineRule="auto"/>
              <w:rPr>
                <w:rFonts w:ascii="Calibri" w:eastAsia="Times New Roman" w:hAnsi="Calibri" w:cs="Calibri"/>
                <w:color w:val="000000"/>
              </w:rPr>
            </w:pPr>
            <w:r w:rsidRPr="000329F6">
              <w:rPr>
                <w:rFonts w:ascii="Calibri" w:eastAsia="Times New Roman" w:hAnsi="Calibri" w:cs="Calibri"/>
                <w:color w:val="000000"/>
              </w:rPr>
              <w:t xml:space="preserve">Additional Drugs Package </w:t>
            </w:r>
          </w:p>
        </w:tc>
      </w:tr>
      <w:tr w:rsidR="000329F6" w:rsidRPr="000329F6" w14:paraId="2F82BC20" w14:textId="77777777" w:rsidTr="0028176A">
        <w:trPr>
          <w:trHeight w:val="300"/>
        </w:trPr>
        <w:tc>
          <w:tcPr>
            <w:tcW w:w="1360" w:type="dxa"/>
            <w:shd w:val="clear" w:color="auto" w:fill="auto"/>
            <w:vAlign w:val="center"/>
            <w:hideMark/>
          </w:tcPr>
          <w:p w14:paraId="2E46CE2F"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Calibri"/>
                <w:color w:val="000000"/>
              </w:rPr>
              <w:t xml:space="preserve">DOTS </w:t>
            </w:r>
          </w:p>
        </w:tc>
        <w:tc>
          <w:tcPr>
            <w:tcW w:w="7010" w:type="dxa"/>
            <w:shd w:val="clear" w:color="auto" w:fill="auto"/>
            <w:noWrap/>
            <w:vAlign w:val="bottom"/>
            <w:hideMark/>
          </w:tcPr>
          <w:p w14:paraId="6D60A40F" w14:textId="77777777" w:rsidR="000329F6" w:rsidRPr="000329F6" w:rsidRDefault="000329F6" w:rsidP="000329F6">
            <w:pPr>
              <w:spacing w:after="0" w:line="240" w:lineRule="auto"/>
              <w:rPr>
                <w:rFonts w:ascii="Calibri" w:eastAsia="Times New Roman" w:hAnsi="Calibri" w:cs="Calibri"/>
                <w:color w:val="000000"/>
              </w:rPr>
            </w:pPr>
            <w:r w:rsidRPr="000329F6">
              <w:rPr>
                <w:rFonts w:ascii="Calibri" w:eastAsia="Times New Roman" w:hAnsi="Calibri" w:cs="Calibri"/>
                <w:color w:val="000000"/>
              </w:rPr>
              <w:t>Directly Observed Treatment, Short Course</w:t>
            </w:r>
          </w:p>
        </w:tc>
      </w:tr>
      <w:tr w:rsidR="000329F6" w:rsidRPr="000329F6" w14:paraId="2266E016" w14:textId="77777777" w:rsidTr="0028176A">
        <w:trPr>
          <w:trHeight w:val="300"/>
        </w:trPr>
        <w:tc>
          <w:tcPr>
            <w:tcW w:w="1360" w:type="dxa"/>
            <w:shd w:val="clear" w:color="auto" w:fill="auto"/>
            <w:vAlign w:val="center"/>
            <w:hideMark/>
          </w:tcPr>
          <w:p w14:paraId="4577E806"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Calibri"/>
                <w:color w:val="000000"/>
              </w:rPr>
              <w:t>DRG</w:t>
            </w:r>
          </w:p>
        </w:tc>
        <w:tc>
          <w:tcPr>
            <w:tcW w:w="7010" w:type="dxa"/>
            <w:shd w:val="clear" w:color="auto" w:fill="auto"/>
            <w:vAlign w:val="center"/>
            <w:hideMark/>
          </w:tcPr>
          <w:p w14:paraId="240D0433"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Calibri"/>
                <w:color w:val="000000"/>
              </w:rPr>
              <w:t>Diagnosis Related Groups</w:t>
            </w:r>
          </w:p>
        </w:tc>
      </w:tr>
      <w:tr w:rsidR="000329F6" w:rsidRPr="000329F6" w14:paraId="7646F5F5" w14:textId="77777777" w:rsidTr="0028176A">
        <w:trPr>
          <w:trHeight w:val="300"/>
        </w:trPr>
        <w:tc>
          <w:tcPr>
            <w:tcW w:w="1360" w:type="dxa"/>
            <w:shd w:val="clear" w:color="auto" w:fill="auto"/>
            <w:vAlign w:val="center"/>
            <w:hideMark/>
          </w:tcPr>
          <w:p w14:paraId="5FAF7160"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Calibri"/>
                <w:color w:val="000000"/>
              </w:rPr>
              <w:t>EMS</w:t>
            </w:r>
          </w:p>
        </w:tc>
        <w:tc>
          <w:tcPr>
            <w:tcW w:w="7010" w:type="dxa"/>
            <w:shd w:val="clear" w:color="auto" w:fill="auto"/>
            <w:noWrap/>
            <w:vAlign w:val="bottom"/>
            <w:hideMark/>
          </w:tcPr>
          <w:p w14:paraId="689D515B" w14:textId="77777777" w:rsidR="000329F6" w:rsidRPr="000329F6" w:rsidRDefault="000329F6" w:rsidP="000329F6">
            <w:pPr>
              <w:spacing w:after="0" w:line="240" w:lineRule="auto"/>
              <w:rPr>
                <w:rFonts w:ascii="Calibri" w:eastAsia="Times New Roman" w:hAnsi="Calibri" w:cs="Calibri"/>
                <w:color w:val="000000"/>
              </w:rPr>
            </w:pPr>
            <w:r w:rsidRPr="000329F6">
              <w:rPr>
                <w:rFonts w:ascii="Calibri" w:eastAsia="Times New Roman" w:hAnsi="Calibri" w:cs="Calibri"/>
                <w:color w:val="000000"/>
              </w:rPr>
              <w:t>Emergency Medical Service</w:t>
            </w:r>
          </w:p>
        </w:tc>
      </w:tr>
      <w:tr w:rsidR="000329F6" w:rsidRPr="000329F6" w14:paraId="2FDECD9C" w14:textId="77777777" w:rsidTr="0028176A">
        <w:trPr>
          <w:trHeight w:val="300"/>
        </w:trPr>
        <w:tc>
          <w:tcPr>
            <w:tcW w:w="1360" w:type="dxa"/>
            <w:shd w:val="clear" w:color="auto" w:fill="auto"/>
            <w:vAlign w:val="center"/>
            <w:hideMark/>
          </w:tcPr>
          <w:p w14:paraId="1B56B968"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Calibri"/>
                <w:color w:val="000000"/>
              </w:rPr>
              <w:t>FMC</w:t>
            </w:r>
          </w:p>
        </w:tc>
        <w:tc>
          <w:tcPr>
            <w:tcW w:w="7010" w:type="dxa"/>
            <w:shd w:val="clear" w:color="auto" w:fill="auto"/>
            <w:noWrap/>
            <w:vAlign w:val="bottom"/>
            <w:hideMark/>
          </w:tcPr>
          <w:p w14:paraId="691398EE" w14:textId="77777777" w:rsidR="000329F6" w:rsidRPr="000329F6" w:rsidRDefault="000329F6" w:rsidP="000329F6">
            <w:pPr>
              <w:spacing w:after="0" w:line="240" w:lineRule="auto"/>
              <w:rPr>
                <w:rFonts w:ascii="Calibri" w:eastAsia="Times New Roman" w:hAnsi="Calibri" w:cs="Calibri"/>
                <w:color w:val="000000"/>
              </w:rPr>
            </w:pPr>
            <w:r w:rsidRPr="000329F6">
              <w:rPr>
                <w:rFonts w:ascii="Calibri" w:eastAsia="Times New Roman" w:hAnsi="Calibri" w:cs="Calibri"/>
                <w:color w:val="000000"/>
              </w:rPr>
              <w:t>Family Medicine Center</w:t>
            </w:r>
          </w:p>
        </w:tc>
      </w:tr>
      <w:tr w:rsidR="000329F6" w:rsidRPr="000329F6" w14:paraId="11F66FF2" w14:textId="77777777" w:rsidTr="0028176A">
        <w:trPr>
          <w:trHeight w:val="300"/>
        </w:trPr>
        <w:tc>
          <w:tcPr>
            <w:tcW w:w="1360" w:type="dxa"/>
            <w:shd w:val="clear" w:color="auto" w:fill="auto"/>
            <w:vAlign w:val="center"/>
            <w:hideMark/>
          </w:tcPr>
          <w:p w14:paraId="1182A9C6"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Calibri"/>
                <w:color w:val="000000"/>
              </w:rPr>
              <w:t>HbA1C</w:t>
            </w:r>
          </w:p>
        </w:tc>
        <w:tc>
          <w:tcPr>
            <w:tcW w:w="7010" w:type="dxa"/>
            <w:shd w:val="clear" w:color="auto" w:fill="auto"/>
            <w:noWrap/>
            <w:vAlign w:val="bottom"/>
            <w:hideMark/>
          </w:tcPr>
          <w:p w14:paraId="5CB7CB13" w14:textId="77777777" w:rsidR="000329F6" w:rsidRPr="000329F6" w:rsidRDefault="000329F6" w:rsidP="000329F6">
            <w:pPr>
              <w:spacing w:after="0" w:line="240" w:lineRule="auto"/>
              <w:rPr>
                <w:rFonts w:ascii="Calibri" w:eastAsia="Times New Roman" w:hAnsi="Calibri" w:cs="Calibri"/>
                <w:color w:val="000000"/>
              </w:rPr>
            </w:pPr>
            <w:r w:rsidRPr="000329F6">
              <w:rPr>
                <w:rFonts w:ascii="Calibri" w:eastAsia="Times New Roman" w:hAnsi="Calibri" w:cs="Calibri"/>
                <w:color w:val="000000"/>
              </w:rPr>
              <w:t>Glycated Hemoglobin Test</w:t>
            </w:r>
          </w:p>
        </w:tc>
      </w:tr>
      <w:tr w:rsidR="000329F6" w:rsidRPr="000329F6" w14:paraId="114C5F73" w14:textId="77777777" w:rsidTr="0028176A">
        <w:trPr>
          <w:trHeight w:val="300"/>
        </w:trPr>
        <w:tc>
          <w:tcPr>
            <w:tcW w:w="1360" w:type="dxa"/>
            <w:shd w:val="clear" w:color="auto" w:fill="auto"/>
            <w:vAlign w:val="center"/>
            <w:hideMark/>
          </w:tcPr>
          <w:p w14:paraId="36315ACD"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Calibri"/>
                <w:color w:val="000000"/>
              </w:rPr>
              <w:t>HIV</w:t>
            </w:r>
          </w:p>
        </w:tc>
        <w:tc>
          <w:tcPr>
            <w:tcW w:w="7010" w:type="dxa"/>
            <w:shd w:val="clear" w:color="auto" w:fill="auto"/>
            <w:noWrap/>
            <w:vAlign w:val="bottom"/>
            <w:hideMark/>
          </w:tcPr>
          <w:p w14:paraId="1E7533AE" w14:textId="77777777" w:rsidR="000329F6" w:rsidRPr="000329F6" w:rsidRDefault="000329F6" w:rsidP="000329F6">
            <w:pPr>
              <w:spacing w:after="0" w:line="240" w:lineRule="auto"/>
              <w:rPr>
                <w:rFonts w:ascii="Calibri" w:eastAsia="Times New Roman" w:hAnsi="Calibri" w:cs="Calibri"/>
                <w:color w:val="000000"/>
              </w:rPr>
            </w:pPr>
            <w:r w:rsidRPr="000329F6">
              <w:rPr>
                <w:rFonts w:ascii="Calibri" w:eastAsia="Times New Roman" w:hAnsi="Calibri" w:cs="Calibri"/>
                <w:color w:val="000000"/>
              </w:rPr>
              <w:t>Human Immunodeficiency Virus</w:t>
            </w:r>
          </w:p>
        </w:tc>
      </w:tr>
      <w:tr w:rsidR="000329F6" w:rsidRPr="000329F6" w14:paraId="1F128018" w14:textId="77777777" w:rsidTr="0028176A">
        <w:trPr>
          <w:trHeight w:val="300"/>
        </w:trPr>
        <w:tc>
          <w:tcPr>
            <w:tcW w:w="1360" w:type="dxa"/>
            <w:shd w:val="clear" w:color="auto" w:fill="auto"/>
            <w:vAlign w:val="center"/>
            <w:hideMark/>
          </w:tcPr>
          <w:p w14:paraId="39F66BF6"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theme="minorHAnsi"/>
                <w:color w:val="000000"/>
              </w:rPr>
              <w:t>HR</w:t>
            </w:r>
          </w:p>
        </w:tc>
        <w:tc>
          <w:tcPr>
            <w:tcW w:w="7010" w:type="dxa"/>
            <w:shd w:val="clear" w:color="auto" w:fill="auto"/>
            <w:vAlign w:val="center"/>
            <w:hideMark/>
          </w:tcPr>
          <w:p w14:paraId="3D988426"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theme="minorHAnsi"/>
                <w:color w:val="000000"/>
              </w:rPr>
              <w:t>Human Resources</w:t>
            </w:r>
          </w:p>
        </w:tc>
      </w:tr>
      <w:tr w:rsidR="000329F6" w:rsidRPr="000329F6" w14:paraId="6A0B830A" w14:textId="77777777" w:rsidTr="0028176A">
        <w:trPr>
          <w:trHeight w:val="300"/>
        </w:trPr>
        <w:tc>
          <w:tcPr>
            <w:tcW w:w="1360" w:type="dxa"/>
            <w:shd w:val="clear" w:color="auto" w:fill="auto"/>
            <w:vAlign w:val="center"/>
            <w:hideMark/>
          </w:tcPr>
          <w:p w14:paraId="23C8EDD7"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Calibri"/>
                <w:color w:val="000000"/>
              </w:rPr>
              <w:t>HTA</w:t>
            </w:r>
          </w:p>
        </w:tc>
        <w:tc>
          <w:tcPr>
            <w:tcW w:w="7010" w:type="dxa"/>
            <w:shd w:val="clear" w:color="auto" w:fill="auto"/>
            <w:vAlign w:val="center"/>
            <w:hideMark/>
          </w:tcPr>
          <w:p w14:paraId="6E5911C4"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Calibri"/>
                <w:color w:val="000000"/>
              </w:rPr>
              <w:t>Health Technology Assessment</w:t>
            </w:r>
          </w:p>
        </w:tc>
      </w:tr>
      <w:tr w:rsidR="000329F6" w:rsidRPr="000329F6" w14:paraId="32BAF0E9" w14:textId="77777777" w:rsidTr="0028176A">
        <w:trPr>
          <w:trHeight w:val="589"/>
        </w:trPr>
        <w:tc>
          <w:tcPr>
            <w:tcW w:w="1360" w:type="dxa"/>
            <w:shd w:val="clear" w:color="auto" w:fill="auto"/>
            <w:vAlign w:val="center"/>
            <w:hideMark/>
          </w:tcPr>
          <w:p w14:paraId="244F3EE3"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Calibri"/>
                <w:color w:val="000000"/>
              </w:rPr>
              <w:t>ICD-10</w:t>
            </w:r>
          </w:p>
        </w:tc>
        <w:tc>
          <w:tcPr>
            <w:tcW w:w="7010" w:type="dxa"/>
            <w:shd w:val="clear" w:color="auto" w:fill="auto"/>
            <w:vAlign w:val="center"/>
            <w:hideMark/>
          </w:tcPr>
          <w:p w14:paraId="0F2C54B9"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Calibri"/>
                <w:color w:val="000000"/>
              </w:rPr>
              <w:t>International Statistical Classification of Diseases and Related Health Problems, tenth revision</w:t>
            </w:r>
          </w:p>
        </w:tc>
      </w:tr>
      <w:tr w:rsidR="000329F6" w:rsidRPr="000329F6" w14:paraId="7DFE979F" w14:textId="77777777" w:rsidTr="0028176A">
        <w:trPr>
          <w:trHeight w:val="346"/>
        </w:trPr>
        <w:tc>
          <w:tcPr>
            <w:tcW w:w="1360" w:type="dxa"/>
            <w:shd w:val="clear" w:color="auto" w:fill="auto"/>
            <w:vAlign w:val="center"/>
            <w:hideMark/>
          </w:tcPr>
          <w:p w14:paraId="48B8DADC"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theme="minorHAnsi"/>
                <w:color w:val="000000"/>
              </w:rPr>
              <w:t>ICPC</w:t>
            </w:r>
          </w:p>
        </w:tc>
        <w:tc>
          <w:tcPr>
            <w:tcW w:w="7010" w:type="dxa"/>
            <w:shd w:val="clear" w:color="auto" w:fill="auto"/>
            <w:vAlign w:val="center"/>
            <w:hideMark/>
          </w:tcPr>
          <w:p w14:paraId="76B0F6F2"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theme="minorHAnsi"/>
                <w:color w:val="000000"/>
              </w:rPr>
              <w:t>International Classification of Primary Care</w:t>
            </w:r>
          </w:p>
        </w:tc>
      </w:tr>
      <w:tr w:rsidR="000329F6" w:rsidRPr="000329F6" w14:paraId="6215438F" w14:textId="77777777" w:rsidTr="0028176A">
        <w:trPr>
          <w:trHeight w:val="300"/>
        </w:trPr>
        <w:tc>
          <w:tcPr>
            <w:tcW w:w="1360" w:type="dxa"/>
            <w:shd w:val="clear" w:color="auto" w:fill="auto"/>
            <w:vAlign w:val="center"/>
            <w:hideMark/>
          </w:tcPr>
          <w:p w14:paraId="2B0BBCC1"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Calibri"/>
                <w:color w:val="000000"/>
              </w:rPr>
              <w:t>KIHS</w:t>
            </w:r>
          </w:p>
        </w:tc>
        <w:tc>
          <w:tcPr>
            <w:tcW w:w="7010" w:type="dxa"/>
            <w:shd w:val="clear" w:color="auto" w:fill="auto"/>
            <w:noWrap/>
            <w:vAlign w:val="bottom"/>
            <w:hideMark/>
          </w:tcPr>
          <w:p w14:paraId="7C54F3AE" w14:textId="77777777" w:rsidR="000329F6" w:rsidRPr="000329F6" w:rsidRDefault="000329F6" w:rsidP="000329F6">
            <w:pPr>
              <w:spacing w:after="0" w:line="240" w:lineRule="auto"/>
              <w:rPr>
                <w:rFonts w:ascii="Calibri" w:eastAsia="Times New Roman" w:hAnsi="Calibri" w:cs="Calibri"/>
                <w:color w:val="000000"/>
              </w:rPr>
            </w:pPr>
            <w:r w:rsidRPr="000329F6">
              <w:rPr>
                <w:rFonts w:ascii="Calibri" w:eastAsia="Times New Roman" w:hAnsi="Calibri" w:cs="Calibri"/>
                <w:color w:val="000000"/>
              </w:rPr>
              <w:t>Kyrgyz Integrated Household Survey</w:t>
            </w:r>
          </w:p>
        </w:tc>
      </w:tr>
      <w:tr w:rsidR="000329F6" w:rsidRPr="000329F6" w14:paraId="5B3A159B" w14:textId="77777777" w:rsidTr="0028176A">
        <w:trPr>
          <w:trHeight w:val="300"/>
        </w:trPr>
        <w:tc>
          <w:tcPr>
            <w:tcW w:w="1360" w:type="dxa"/>
            <w:shd w:val="clear" w:color="auto" w:fill="auto"/>
            <w:vAlign w:val="center"/>
            <w:hideMark/>
          </w:tcPr>
          <w:p w14:paraId="64CDADC6"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theme="minorHAnsi"/>
                <w:color w:val="000000"/>
              </w:rPr>
              <w:t>MHI</w:t>
            </w:r>
          </w:p>
        </w:tc>
        <w:tc>
          <w:tcPr>
            <w:tcW w:w="7010" w:type="dxa"/>
            <w:shd w:val="clear" w:color="auto" w:fill="auto"/>
            <w:vAlign w:val="center"/>
            <w:hideMark/>
          </w:tcPr>
          <w:p w14:paraId="41906331"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theme="minorHAnsi"/>
                <w:color w:val="000000"/>
              </w:rPr>
              <w:t>Mandatory Health Insurance</w:t>
            </w:r>
          </w:p>
        </w:tc>
      </w:tr>
      <w:tr w:rsidR="000329F6" w:rsidRPr="000329F6" w14:paraId="7784934C" w14:textId="77777777" w:rsidTr="0028176A">
        <w:trPr>
          <w:trHeight w:val="300"/>
        </w:trPr>
        <w:tc>
          <w:tcPr>
            <w:tcW w:w="1360" w:type="dxa"/>
            <w:shd w:val="clear" w:color="auto" w:fill="auto"/>
            <w:vAlign w:val="center"/>
            <w:hideMark/>
          </w:tcPr>
          <w:p w14:paraId="5E5BCE19"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theme="minorHAnsi"/>
                <w:color w:val="000000"/>
              </w:rPr>
              <w:t>MHIF</w:t>
            </w:r>
          </w:p>
        </w:tc>
        <w:tc>
          <w:tcPr>
            <w:tcW w:w="7010" w:type="dxa"/>
            <w:shd w:val="clear" w:color="auto" w:fill="auto"/>
            <w:vAlign w:val="center"/>
            <w:hideMark/>
          </w:tcPr>
          <w:p w14:paraId="02FE796A"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theme="minorHAnsi"/>
                <w:color w:val="000000"/>
              </w:rPr>
              <w:t>Mandatory Health Insurance Fund</w:t>
            </w:r>
          </w:p>
        </w:tc>
      </w:tr>
      <w:tr w:rsidR="000329F6" w:rsidRPr="000329F6" w14:paraId="07961154" w14:textId="77777777" w:rsidTr="0028176A">
        <w:trPr>
          <w:trHeight w:val="319"/>
        </w:trPr>
        <w:tc>
          <w:tcPr>
            <w:tcW w:w="1360" w:type="dxa"/>
            <w:shd w:val="clear" w:color="auto" w:fill="auto"/>
            <w:vAlign w:val="center"/>
            <w:hideMark/>
          </w:tcPr>
          <w:p w14:paraId="3413C8DE"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Calibri"/>
                <w:color w:val="000000"/>
              </w:rPr>
              <w:t>MISSOC</w:t>
            </w:r>
          </w:p>
        </w:tc>
        <w:tc>
          <w:tcPr>
            <w:tcW w:w="7010" w:type="dxa"/>
            <w:shd w:val="clear" w:color="auto" w:fill="auto"/>
            <w:vAlign w:val="center"/>
            <w:hideMark/>
          </w:tcPr>
          <w:p w14:paraId="760DB999"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Calibri"/>
                <w:color w:val="000000"/>
              </w:rPr>
              <w:t>Mutual Information System on Social Protection</w:t>
            </w:r>
          </w:p>
        </w:tc>
      </w:tr>
      <w:tr w:rsidR="000329F6" w:rsidRPr="000329F6" w14:paraId="3B0BC610" w14:textId="77777777" w:rsidTr="0028176A">
        <w:trPr>
          <w:trHeight w:val="300"/>
        </w:trPr>
        <w:tc>
          <w:tcPr>
            <w:tcW w:w="1360" w:type="dxa"/>
            <w:shd w:val="clear" w:color="auto" w:fill="auto"/>
            <w:vAlign w:val="center"/>
            <w:hideMark/>
          </w:tcPr>
          <w:p w14:paraId="232388FA" w14:textId="77777777" w:rsidR="000329F6" w:rsidRPr="000329F6" w:rsidRDefault="000329F6" w:rsidP="000329F6">
            <w:pPr>
              <w:spacing w:after="0" w:line="240" w:lineRule="auto"/>
              <w:jc w:val="both"/>
              <w:rPr>
                <w:rFonts w:ascii="Calibri" w:eastAsia="Times New Roman" w:hAnsi="Calibri" w:cs="Calibri"/>
                <w:color w:val="000000"/>
              </w:rPr>
            </w:pPr>
            <w:proofErr w:type="spellStart"/>
            <w:r w:rsidRPr="000329F6">
              <w:rPr>
                <w:rFonts w:ascii="Calibri" w:eastAsia="Times New Roman" w:hAnsi="Calibri" w:cstheme="minorHAnsi"/>
                <w:color w:val="000000"/>
              </w:rPr>
              <w:t>MoF</w:t>
            </w:r>
            <w:proofErr w:type="spellEnd"/>
          </w:p>
        </w:tc>
        <w:tc>
          <w:tcPr>
            <w:tcW w:w="7010" w:type="dxa"/>
            <w:shd w:val="clear" w:color="auto" w:fill="auto"/>
            <w:vAlign w:val="center"/>
            <w:hideMark/>
          </w:tcPr>
          <w:p w14:paraId="254AA0E9"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theme="minorHAnsi"/>
                <w:color w:val="000000"/>
              </w:rPr>
              <w:t>Ministry of Finance</w:t>
            </w:r>
          </w:p>
        </w:tc>
      </w:tr>
      <w:tr w:rsidR="000329F6" w:rsidRPr="000329F6" w14:paraId="2F165FB3" w14:textId="77777777" w:rsidTr="0028176A">
        <w:trPr>
          <w:trHeight w:val="300"/>
        </w:trPr>
        <w:tc>
          <w:tcPr>
            <w:tcW w:w="1360" w:type="dxa"/>
            <w:shd w:val="clear" w:color="auto" w:fill="auto"/>
            <w:vAlign w:val="center"/>
            <w:hideMark/>
          </w:tcPr>
          <w:p w14:paraId="4DBA2F39" w14:textId="77777777" w:rsidR="000329F6" w:rsidRPr="000329F6" w:rsidRDefault="000329F6" w:rsidP="000329F6">
            <w:pPr>
              <w:spacing w:after="0" w:line="240" w:lineRule="auto"/>
              <w:jc w:val="both"/>
              <w:rPr>
                <w:rFonts w:ascii="Calibri" w:eastAsia="Times New Roman" w:hAnsi="Calibri" w:cs="Calibri"/>
                <w:color w:val="000000"/>
              </w:rPr>
            </w:pPr>
            <w:proofErr w:type="spellStart"/>
            <w:r w:rsidRPr="000329F6">
              <w:rPr>
                <w:rFonts w:ascii="Calibri" w:eastAsia="Times New Roman" w:hAnsi="Calibri" w:cstheme="minorHAnsi"/>
                <w:color w:val="000000"/>
              </w:rPr>
              <w:t>MoH</w:t>
            </w:r>
            <w:proofErr w:type="spellEnd"/>
          </w:p>
        </w:tc>
        <w:tc>
          <w:tcPr>
            <w:tcW w:w="7010" w:type="dxa"/>
            <w:shd w:val="clear" w:color="auto" w:fill="auto"/>
            <w:vAlign w:val="center"/>
            <w:hideMark/>
          </w:tcPr>
          <w:p w14:paraId="7AB28E9F"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theme="minorHAnsi"/>
                <w:color w:val="000000"/>
              </w:rPr>
              <w:t>Ministry of Health</w:t>
            </w:r>
          </w:p>
        </w:tc>
      </w:tr>
      <w:tr w:rsidR="000329F6" w:rsidRPr="000329F6" w14:paraId="47B12D6D" w14:textId="77777777" w:rsidTr="0028176A">
        <w:trPr>
          <w:trHeight w:val="300"/>
        </w:trPr>
        <w:tc>
          <w:tcPr>
            <w:tcW w:w="1360" w:type="dxa"/>
            <w:shd w:val="clear" w:color="auto" w:fill="auto"/>
            <w:vAlign w:val="center"/>
            <w:hideMark/>
          </w:tcPr>
          <w:p w14:paraId="08622C46" w14:textId="77777777" w:rsidR="000329F6" w:rsidRPr="000329F6" w:rsidRDefault="000329F6" w:rsidP="000329F6">
            <w:pPr>
              <w:spacing w:after="0" w:line="240" w:lineRule="auto"/>
              <w:jc w:val="both"/>
              <w:rPr>
                <w:rFonts w:ascii="Calibri" w:eastAsia="Times New Roman" w:hAnsi="Calibri" w:cs="Calibri"/>
                <w:color w:val="000000"/>
              </w:rPr>
            </w:pPr>
            <w:proofErr w:type="spellStart"/>
            <w:r w:rsidRPr="000329F6">
              <w:rPr>
                <w:rFonts w:ascii="Calibri" w:eastAsia="Times New Roman" w:hAnsi="Calibri" w:cstheme="minorHAnsi"/>
                <w:color w:val="000000"/>
              </w:rPr>
              <w:t>MoLSD</w:t>
            </w:r>
            <w:proofErr w:type="spellEnd"/>
          </w:p>
        </w:tc>
        <w:tc>
          <w:tcPr>
            <w:tcW w:w="7010" w:type="dxa"/>
            <w:shd w:val="clear" w:color="auto" w:fill="auto"/>
            <w:vAlign w:val="center"/>
            <w:hideMark/>
          </w:tcPr>
          <w:p w14:paraId="39492F87"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theme="minorHAnsi"/>
                <w:color w:val="000000"/>
              </w:rPr>
              <w:t>Ministry of Labor and Social Development</w:t>
            </w:r>
          </w:p>
        </w:tc>
      </w:tr>
      <w:tr w:rsidR="000329F6" w:rsidRPr="000329F6" w14:paraId="0F20C219" w14:textId="77777777" w:rsidTr="0028176A">
        <w:trPr>
          <w:trHeight w:val="300"/>
        </w:trPr>
        <w:tc>
          <w:tcPr>
            <w:tcW w:w="1360" w:type="dxa"/>
            <w:shd w:val="clear" w:color="auto" w:fill="auto"/>
            <w:vAlign w:val="center"/>
            <w:hideMark/>
          </w:tcPr>
          <w:p w14:paraId="73289133"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Calibri"/>
                <w:color w:val="000000"/>
              </w:rPr>
              <w:t>MR</w:t>
            </w:r>
          </w:p>
        </w:tc>
        <w:tc>
          <w:tcPr>
            <w:tcW w:w="7010" w:type="dxa"/>
            <w:shd w:val="clear" w:color="auto" w:fill="auto"/>
            <w:vAlign w:val="center"/>
            <w:hideMark/>
          </w:tcPr>
          <w:p w14:paraId="7657533A"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Calibri"/>
                <w:color w:val="000000"/>
              </w:rPr>
              <w:t>Magnetic Resonance</w:t>
            </w:r>
          </w:p>
        </w:tc>
      </w:tr>
      <w:tr w:rsidR="000329F6" w:rsidRPr="000329F6" w14:paraId="7283D2FC" w14:textId="77777777" w:rsidTr="0028176A">
        <w:trPr>
          <w:trHeight w:val="300"/>
        </w:trPr>
        <w:tc>
          <w:tcPr>
            <w:tcW w:w="1360" w:type="dxa"/>
            <w:shd w:val="clear" w:color="auto" w:fill="auto"/>
            <w:vAlign w:val="center"/>
            <w:hideMark/>
          </w:tcPr>
          <w:p w14:paraId="76C2ED74"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Calibri"/>
                <w:color w:val="000000"/>
              </w:rPr>
              <w:t>OP</w:t>
            </w:r>
          </w:p>
        </w:tc>
        <w:tc>
          <w:tcPr>
            <w:tcW w:w="7010" w:type="dxa"/>
            <w:shd w:val="clear" w:color="auto" w:fill="auto"/>
            <w:noWrap/>
            <w:vAlign w:val="bottom"/>
            <w:hideMark/>
          </w:tcPr>
          <w:p w14:paraId="2F1C7A12" w14:textId="77777777" w:rsidR="000329F6" w:rsidRPr="000329F6" w:rsidRDefault="000329F6" w:rsidP="000329F6">
            <w:pPr>
              <w:spacing w:after="0" w:line="240" w:lineRule="auto"/>
              <w:rPr>
                <w:rFonts w:ascii="Calibri" w:eastAsia="Times New Roman" w:hAnsi="Calibri" w:cs="Calibri"/>
                <w:color w:val="000000"/>
              </w:rPr>
            </w:pPr>
            <w:r w:rsidRPr="000329F6">
              <w:rPr>
                <w:rFonts w:ascii="Calibri" w:eastAsia="Times New Roman" w:hAnsi="Calibri" w:cs="Calibri"/>
                <w:color w:val="000000"/>
              </w:rPr>
              <w:t>Outpatient Care</w:t>
            </w:r>
          </w:p>
        </w:tc>
      </w:tr>
      <w:tr w:rsidR="000329F6" w:rsidRPr="000329F6" w14:paraId="79257C6A" w14:textId="77777777" w:rsidTr="0028176A">
        <w:trPr>
          <w:trHeight w:val="300"/>
        </w:trPr>
        <w:tc>
          <w:tcPr>
            <w:tcW w:w="1360" w:type="dxa"/>
            <w:shd w:val="clear" w:color="auto" w:fill="auto"/>
            <w:vAlign w:val="center"/>
            <w:hideMark/>
          </w:tcPr>
          <w:p w14:paraId="46421491"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Calibri"/>
                <w:color w:val="000000"/>
              </w:rPr>
              <w:t>PHC</w:t>
            </w:r>
          </w:p>
        </w:tc>
        <w:tc>
          <w:tcPr>
            <w:tcW w:w="7010" w:type="dxa"/>
            <w:shd w:val="clear" w:color="auto" w:fill="auto"/>
            <w:vAlign w:val="center"/>
            <w:hideMark/>
          </w:tcPr>
          <w:p w14:paraId="701BE4CD"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Calibri"/>
                <w:color w:val="000000"/>
              </w:rPr>
              <w:t>Primary Health Care</w:t>
            </w:r>
          </w:p>
        </w:tc>
      </w:tr>
      <w:tr w:rsidR="000329F6" w:rsidRPr="000329F6" w14:paraId="2946DAA2" w14:textId="77777777" w:rsidTr="0028176A">
        <w:trPr>
          <w:trHeight w:val="553"/>
        </w:trPr>
        <w:tc>
          <w:tcPr>
            <w:tcW w:w="1360" w:type="dxa"/>
            <w:shd w:val="clear" w:color="auto" w:fill="auto"/>
            <w:vAlign w:val="center"/>
            <w:hideMark/>
          </w:tcPr>
          <w:p w14:paraId="2E22D6BC"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Calibri"/>
                <w:color w:val="000000"/>
              </w:rPr>
              <w:t>PHRD</w:t>
            </w:r>
          </w:p>
        </w:tc>
        <w:tc>
          <w:tcPr>
            <w:tcW w:w="7010" w:type="dxa"/>
            <w:shd w:val="clear" w:color="auto" w:fill="auto"/>
            <w:vAlign w:val="center"/>
            <w:hideMark/>
          </w:tcPr>
          <w:p w14:paraId="0994B740"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Calibri"/>
                <w:color w:val="000000"/>
              </w:rPr>
              <w:t>Grant supported by the Japan Policy and Human Resource Development Trust Fund</w:t>
            </w:r>
          </w:p>
        </w:tc>
      </w:tr>
      <w:tr w:rsidR="000329F6" w:rsidRPr="000329F6" w14:paraId="3781D0CE" w14:textId="77777777" w:rsidTr="0028176A">
        <w:trPr>
          <w:trHeight w:val="300"/>
        </w:trPr>
        <w:tc>
          <w:tcPr>
            <w:tcW w:w="1360" w:type="dxa"/>
            <w:shd w:val="clear" w:color="auto" w:fill="auto"/>
            <w:vAlign w:val="center"/>
            <w:hideMark/>
          </w:tcPr>
          <w:p w14:paraId="1E3E3E2A" w14:textId="77777777" w:rsidR="000329F6" w:rsidRPr="000329F6" w:rsidRDefault="000329F6" w:rsidP="000329F6">
            <w:pPr>
              <w:spacing w:after="0" w:line="240" w:lineRule="auto"/>
              <w:jc w:val="both"/>
              <w:rPr>
                <w:rFonts w:ascii="Calibri" w:eastAsia="Times New Roman" w:hAnsi="Calibri" w:cs="Calibri"/>
                <w:color w:val="000000"/>
              </w:rPr>
            </w:pPr>
            <w:proofErr w:type="spellStart"/>
            <w:r w:rsidRPr="000329F6">
              <w:rPr>
                <w:rFonts w:ascii="Calibri" w:eastAsia="Times New Roman" w:hAnsi="Calibri" w:cs="Calibri"/>
                <w:color w:val="000000"/>
              </w:rPr>
              <w:t>ReHC</w:t>
            </w:r>
            <w:proofErr w:type="spellEnd"/>
          </w:p>
        </w:tc>
        <w:tc>
          <w:tcPr>
            <w:tcW w:w="7010" w:type="dxa"/>
            <w:shd w:val="clear" w:color="auto" w:fill="auto"/>
            <w:vAlign w:val="center"/>
            <w:hideMark/>
          </w:tcPr>
          <w:p w14:paraId="54E38568"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Calibri"/>
                <w:color w:val="000000"/>
              </w:rPr>
              <w:t>Republican eHealth Center</w:t>
            </w:r>
          </w:p>
        </w:tc>
      </w:tr>
      <w:tr w:rsidR="000329F6" w:rsidRPr="000329F6" w14:paraId="49A2E281" w14:textId="77777777" w:rsidTr="0028176A">
        <w:trPr>
          <w:trHeight w:val="300"/>
        </w:trPr>
        <w:tc>
          <w:tcPr>
            <w:tcW w:w="1360" w:type="dxa"/>
            <w:shd w:val="clear" w:color="auto" w:fill="auto"/>
            <w:vAlign w:val="center"/>
            <w:hideMark/>
          </w:tcPr>
          <w:p w14:paraId="0A344981"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Calibri"/>
                <w:color w:val="000000"/>
              </w:rPr>
              <w:t>SGBP</w:t>
            </w:r>
          </w:p>
        </w:tc>
        <w:tc>
          <w:tcPr>
            <w:tcW w:w="7010" w:type="dxa"/>
            <w:shd w:val="clear" w:color="auto" w:fill="auto"/>
            <w:vAlign w:val="center"/>
            <w:hideMark/>
          </w:tcPr>
          <w:p w14:paraId="12F4851A"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Calibri"/>
                <w:color w:val="000000"/>
              </w:rPr>
              <w:t>State Guaranteed Benefit Package</w:t>
            </w:r>
          </w:p>
        </w:tc>
      </w:tr>
      <w:tr w:rsidR="000329F6" w:rsidRPr="000329F6" w14:paraId="241D2923" w14:textId="77777777" w:rsidTr="0028176A">
        <w:trPr>
          <w:trHeight w:val="300"/>
        </w:trPr>
        <w:tc>
          <w:tcPr>
            <w:tcW w:w="1360" w:type="dxa"/>
            <w:shd w:val="clear" w:color="auto" w:fill="auto"/>
            <w:vAlign w:val="center"/>
            <w:hideMark/>
          </w:tcPr>
          <w:p w14:paraId="08D84137" w14:textId="77777777" w:rsidR="000329F6" w:rsidRPr="000329F6" w:rsidRDefault="000329F6" w:rsidP="000329F6">
            <w:pPr>
              <w:spacing w:after="0" w:line="240" w:lineRule="auto"/>
              <w:jc w:val="both"/>
              <w:rPr>
                <w:rFonts w:ascii="Calibri" w:eastAsia="Times New Roman" w:hAnsi="Calibri" w:cs="Calibri"/>
                <w:color w:val="000000"/>
              </w:rPr>
            </w:pPr>
            <w:proofErr w:type="spellStart"/>
            <w:r w:rsidRPr="000329F6">
              <w:rPr>
                <w:rFonts w:ascii="Calibri" w:eastAsia="Times New Roman" w:hAnsi="Calibri" w:cstheme="minorHAnsi"/>
                <w:color w:val="000000"/>
              </w:rPr>
              <w:t>SWAp</w:t>
            </w:r>
            <w:proofErr w:type="spellEnd"/>
          </w:p>
        </w:tc>
        <w:tc>
          <w:tcPr>
            <w:tcW w:w="7010" w:type="dxa"/>
            <w:shd w:val="clear" w:color="auto" w:fill="auto"/>
            <w:vAlign w:val="center"/>
            <w:hideMark/>
          </w:tcPr>
          <w:p w14:paraId="6B4A7FFE"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theme="minorHAnsi"/>
                <w:color w:val="000000"/>
              </w:rPr>
              <w:t>Sector Wide Approach Project</w:t>
            </w:r>
          </w:p>
        </w:tc>
      </w:tr>
      <w:tr w:rsidR="000329F6" w:rsidRPr="000329F6" w14:paraId="27A7BAE5" w14:textId="77777777" w:rsidTr="0028176A">
        <w:trPr>
          <w:trHeight w:val="300"/>
        </w:trPr>
        <w:tc>
          <w:tcPr>
            <w:tcW w:w="1360" w:type="dxa"/>
            <w:shd w:val="clear" w:color="auto" w:fill="auto"/>
            <w:vAlign w:val="center"/>
            <w:hideMark/>
          </w:tcPr>
          <w:p w14:paraId="0DBFF2EB"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Calibri"/>
                <w:color w:val="000000"/>
              </w:rPr>
              <w:t>TA</w:t>
            </w:r>
          </w:p>
        </w:tc>
        <w:tc>
          <w:tcPr>
            <w:tcW w:w="7010" w:type="dxa"/>
            <w:shd w:val="clear" w:color="auto" w:fill="auto"/>
            <w:vAlign w:val="center"/>
            <w:hideMark/>
          </w:tcPr>
          <w:p w14:paraId="17D6D4A0"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Calibri"/>
                <w:color w:val="000000"/>
              </w:rPr>
              <w:t>Technical Assistance</w:t>
            </w:r>
          </w:p>
        </w:tc>
      </w:tr>
      <w:tr w:rsidR="000329F6" w:rsidRPr="000329F6" w14:paraId="5218DCC0" w14:textId="77777777" w:rsidTr="0028176A">
        <w:trPr>
          <w:trHeight w:val="300"/>
        </w:trPr>
        <w:tc>
          <w:tcPr>
            <w:tcW w:w="1360" w:type="dxa"/>
            <w:shd w:val="clear" w:color="auto" w:fill="auto"/>
            <w:vAlign w:val="center"/>
            <w:hideMark/>
          </w:tcPr>
          <w:p w14:paraId="68B9A294" w14:textId="77777777" w:rsidR="000329F6" w:rsidRPr="000329F6" w:rsidRDefault="000329F6" w:rsidP="000329F6">
            <w:pPr>
              <w:spacing w:after="0" w:line="240" w:lineRule="auto"/>
              <w:jc w:val="both"/>
              <w:rPr>
                <w:rFonts w:ascii="Calibri" w:eastAsia="Times New Roman" w:hAnsi="Calibri" w:cs="Calibri"/>
                <w:color w:val="000000"/>
              </w:rPr>
            </w:pPr>
            <w:proofErr w:type="spellStart"/>
            <w:r w:rsidRPr="000329F6">
              <w:rPr>
                <w:rFonts w:ascii="Calibri" w:eastAsia="Times New Roman" w:hAnsi="Calibri" w:cstheme="minorHAnsi"/>
                <w:color w:val="000000"/>
              </w:rPr>
              <w:t>ToR</w:t>
            </w:r>
            <w:proofErr w:type="spellEnd"/>
          </w:p>
        </w:tc>
        <w:tc>
          <w:tcPr>
            <w:tcW w:w="7010" w:type="dxa"/>
            <w:shd w:val="clear" w:color="auto" w:fill="auto"/>
            <w:vAlign w:val="center"/>
            <w:hideMark/>
          </w:tcPr>
          <w:p w14:paraId="349EFB3B"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theme="minorHAnsi"/>
                <w:color w:val="000000"/>
              </w:rPr>
              <w:t>Terms of Reference</w:t>
            </w:r>
          </w:p>
        </w:tc>
      </w:tr>
      <w:tr w:rsidR="000329F6" w:rsidRPr="000329F6" w14:paraId="668F936F" w14:textId="77777777" w:rsidTr="0028176A">
        <w:trPr>
          <w:trHeight w:val="300"/>
        </w:trPr>
        <w:tc>
          <w:tcPr>
            <w:tcW w:w="1360" w:type="dxa"/>
            <w:shd w:val="clear" w:color="auto" w:fill="auto"/>
            <w:vAlign w:val="center"/>
            <w:hideMark/>
          </w:tcPr>
          <w:p w14:paraId="1ED9952F"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Calibri"/>
                <w:color w:val="000000"/>
              </w:rPr>
              <w:t>UHC</w:t>
            </w:r>
          </w:p>
        </w:tc>
        <w:tc>
          <w:tcPr>
            <w:tcW w:w="7010" w:type="dxa"/>
            <w:shd w:val="clear" w:color="auto" w:fill="auto"/>
            <w:vAlign w:val="center"/>
            <w:hideMark/>
          </w:tcPr>
          <w:p w14:paraId="1C3CE0FA"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Calibri"/>
                <w:color w:val="000000"/>
              </w:rPr>
              <w:t>Universal Health Coverage</w:t>
            </w:r>
          </w:p>
        </w:tc>
      </w:tr>
      <w:tr w:rsidR="000329F6" w:rsidRPr="000329F6" w14:paraId="1A0887D3" w14:textId="77777777" w:rsidTr="0028176A">
        <w:trPr>
          <w:trHeight w:val="300"/>
        </w:trPr>
        <w:tc>
          <w:tcPr>
            <w:tcW w:w="1360" w:type="dxa"/>
            <w:shd w:val="clear" w:color="auto" w:fill="auto"/>
            <w:vAlign w:val="center"/>
            <w:hideMark/>
          </w:tcPr>
          <w:p w14:paraId="2D180781"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Calibri"/>
                <w:color w:val="000000"/>
              </w:rPr>
              <w:t>WB</w:t>
            </w:r>
          </w:p>
        </w:tc>
        <w:tc>
          <w:tcPr>
            <w:tcW w:w="7010" w:type="dxa"/>
            <w:shd w:val="clear" w:color="auto" w:fill="auto"/>
            <w:vAlign w:val="center"/>
            <w:hideMark/>
          </w:tcPr>
          <w:p w14:paraId="0DE4B536"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theme="minorHAnsi"/>
                <w:color w:val="000000"/>
              </w:rPr>
              <w:t>World Bank</w:t>
            </w:r>
          </w:p>
        </w:tc>
      </w:tr>
      <w:tr w:rsidR="000329F6" w:rsidRPr="000329F6" w14:paraId="6194DC82" w14:textId="77777777" w:rsidTr="0028176A">
        <w:trPr>
          <w:trHeight w:val="300"/>
        </w:trPr>
        <w:tc>
          <w:tcPr>
            <w:tcW w:w="1360" w:type="dxa"/>
            <w:shd w:val="clear" w:color="auto" w:fill="auto"/>
            <w:vAlign w:val="center"/>
            <w:hideMark/>
          </w:tcPr>
          <w:p w14:paraId="544F6DC3"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Calibri"/>
                <w:color w:val="000000"/>
              </w:rPr>
              <w:t>WDI</w:t>
            </w:r>
          </w:p>
        </w:tc>
        <w:tc>
          <w:tcPr>
            <w:tcW w:w="7010" w:type="dxa"/>
            <w:shd w:val="clear" w:color="auto" w:fill="auto"/>
            <w:noWrap/>
            <w:vAlign w:val="bottom"/>
            <w:hideMark/>
          </w:tcPr>
          <w:p w14:paraId="0632AFF4" w14:textId="77777777" w:rsidR="000329F6" w:rsidRPr="000329F6" w:rsidRDefault="000329F6" w:rsidP="000329F6">
            <w:pPr>
              <w:spacing w:after="0" w:line="240" w:lineRule="auto"/>
              <w:rPr>
                <w:rFonts w:ascii="Calibri" w:eastAsia="Times New Roman" w:hAnsi="Calibri" w:cs="Calibri"/>
                <w:color w:val="000000"/>
              </w:rPr>
            </w:pPr>
            <w:r w:rsidRPr="000329F6">
              <w:rPr>
                <w:rFonts w:ascii="Calibri" w:eastAsia="Times New Roman" w:hAnsi="Calibri" w:cs="Calibri"/>
                <w:color w:val="000000"/>
              </w:rPr>
              <w:t>World Development Indicator</w:t>
            </w:r>
          </w:p>
        </w:tc>
      </w:tr>
      <w:tr w:rsidR="000329F6" w:rsidRPr="000329F6" w14:paraId="29556DC9" w14:textId="77777777" w:rsidTr="0028176A">
        <w:trPr>
          <w:trHeight w:val="300"/>
        </w:trPr>
        <w:tc>
          <w:tcPr>
            <w:tcW w:w="1360" w:type="dxa"/>
            <w:shd w:val="clear" w:color="auto" w:fill="auto"/>
            <w:vAlign w:val="center"/>
            <w:hideMark/>
          </w:tcPr>
          <w:p w14:paraId="26DC6243"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Calibri"/>
                <w:color w:val="000000"/>
              </w:rPr>
              <w:t>WHO</w:t>
            </w:r>
          </w:p>
        </w:tc>
        <w:tc>
          <w:tcPr>
            <w:tcW w:w="7010" w:type="dxa"/>
            <w:shd w:val="clear" w:color="auto" w:fill="auto"/>
            <w:vAlign w:val="center"/>
            <w:hideMark/>
          </w:tcPr>
          <w:p w14:paraId="6FB2618E" w14:textId="77777777" w:rsidR="000329F6" w:rsidRPr="000329F6" w:rsidRDefault="000329F6" w:rsidP="000329F6">
            <w:pPr>
              <w:spacing w:after="0" w:line="240" w:lineRule="auto"/>
              <w:jc w:val="both"/>
              <w:rPr>
                <w:rFonts w:ascii="Calibri" w:eastAsia="Times New Roman" w:hAnsi="Calibri" w:cs="Calibri"/>
                <w:color w:val="000000"/>
              </w:rPr>
            </w:pPr>
            <w:r w:rsidRPr="000329F6">
              <w:rPr>
                <w:rFonts w:ascii="Calibri" w:eastAsia="Times New Roman" w:hAnsi="Calibri" w:cstheme="minorHAnsi"/>
                <w:color w:val="000000"/>
              </w:rPr>
              <w:t>World Health Organization</w:t>
            </w:r>
          </w:p>
        </w:tc>
      </w:tr>
    </w:tbl>
    <w:p w14:paraId="1ECBC65A" w14:textId="77777777" w:rsidR="0079763F" w:rsidRPr="00E6167F" w:rsidRDefault="0079763F" w:rsidP="00363D34">
      <w:pPr>
        <w:autoSpaceDE w:val="0"/>
        <w:autoSpaceDN w:val="0"/>
        <w:adjustRightInd w:val="0"/>
        <w:spacing w:after="0" w:line="240" w:lineRule="auto"/>
        <w:jc w:val="both"/>
        <w:rPr>
          <w:rFonts w:cstheme="minorHAnsi"/>
        </w:rPr>
      </w:pPr>
      <w:r w:rsidRPr="00E6167F">
        <w:rPr>
          <w:rFonts w:cstheme="minorHAnsi"/>
        </w:rPr>
        <w:tab/>
      </w:r>
    </w:p>
    <w:p w14:paraId="0A852478" w14:textId="29D6D3D9" w:rsidR="0079763F" w:rsidRDefault="0079763F" w:rsidP="00363D34">
      <w:pPr>
        <w:autoSpaceDE w:val="0"/>
        <w:autoSpaceDN w:val="0"/>
        <w:adjustRightInd w:val="0"/>
        <w:spacing w:after="0" w:line="240" w:lineRule="auto"/>
        <w:jc w:val="both"/>
        <w:rPr>
          <w:rFonts w:cstheme="minorHAnsi"/>
        </w:rPr>
      </w:pPr>
      <w:r w:rsidRPr="00E6167F">
        <w:rPr>
          <w:rFonts w:cstheme="minorHAnsi"/>
        </w:rPr>
        <w:tab/>
      </w:r>
    </w:p>
    <w:p w14:paraId="3189E9CD" w14:textId="25D48574" w:rsidR="0028176A" w:rsidRDefault="0028176A" w:rsidP="00363D34">
      <w:pPr>
        <w:autoSpaceDE w:val="0"/>
        <w:autoSpaceDN w:val="0"/>
        <w:adjustRightInd w:val="0"/>
        <w:spacing w:after="0" w:line="240" w:lineRule="auto"/>
        <w:jc w:val="both"/>
        <w:rPr>
          <w:rFonts w:cstheme="minorHAnsi"/>
        </w:rPr>
      </w:pPr>
    </w:p>
    <w:p w14:paraId="65106D22" w14:textId="3373ED46" w:rsidR="0028176A" w:rsidRDefault="0028176A" w:rsidP="00363D34">
      <w:pPr>
        <w:autoSpaceDE w:val="0"/>
        <w:autoSpaceDN w:val="0"/>
        <w:adjustRightInd w:val="0"/>
        <w:spacing w:after="0" w:line="240" w:lineRule="auto"/>
        <w:jc w:val="both"/>
        <w:rPr>
          <w:rFonts w:cstheme="minorHAnsi"/>
        </w:rPr>
      </w:pPr>
    </w:p>
    <w:p w14:paraId="01625F44" w14:textId="77777777" w:rsidR="00440374" w:rsidRPr="00E6167F" w:rsidRDefault="00440374" w:rsidP="00363D34">
      <w:pPr>
        <w:autoSpaceDE w:val="0"/>
        <w:autoSpaceDN w:val="0"/>
        <w:adjustRightInd w:val="0"/>
        <w:spacing w:after="0" w:line="240" w:lineRule="auto"/>
        <w:jc w:val="both"/>
        <w:rPr>
          <w:rFonts w:cstheme="minorHAnsi"/>
        </w:rPr>
      </w:pPr>
    </w:p>
    <w:p w14:paraId="36E75779" w14:textId="3F18DCDE" w:rsidR="001E7408" w:rsidRDefault="00201385" w:rsidP="000329F6">
      <w:pPr>
        <w:autoSpaceDE w:val="0"/>
        <w:autoSpaceDN w:val="0"/>
        <w:adjustRightInd w:val="0"/>
        <w:spacing w:before="240" w:after="100" w:afterAutospacing="1" w:line="240" w:lineRule="auto"/>
        <w:jc w:val="both"/>
        <w:rPr>
          <w:rFonts w:ascii="Calibri" w:eastAsia="Times New Roman" w:hAnsi="Calibri" w:cs="Calibri"/>
          <w:b/>
          <w:bCs/>
          <w:color w:val="1F4E79" w:themeColor="accent1" w:themeShade="80"/>
          <w:kern w:val="32"/>
          <w:sz w:val="28"/>
          <w:szCs w:val="32"/>
        </w:rPr>
      </w:pPr>
      <w:r w:rsidRPr="000329F6">
        <w:rPr>
          <w:rFonts w:ascii="Calibri" w:eastAsia="Times New Roman" w:hAnsi="Calibri" w:cs="Calibri"/>
          <w:b/>
          <w:bCs/>
          <w:color w:val="1F4E79" w:themeColor="accent1" w:themeShade="80"/>
          <w:kern w:val="32"/>
          <w:sz w:val="28"/>
          <w:szCs w:val="32"/>
        </w:rPr>
        <w:lastRenderedPageBreak/>
        <w:t xml:space="preserve">Summary </w:t>
      </w:r>
    </w:p>
    <w:p w14:paraId="14628346" w14:textId="5B7125E3" w:rsidR="005F0F96" w:rsidRDefault="0081682C" w:rsidP="00363D34">
      <w:pPr>
        <w:spacing w:line="240" w:lineRule="auto"/>
        <w:jc w:val="both"/>
        <w:rPr>
          <w:rFonts w:eastAsia="Times New Roman" w:cstheme="minorHAnsi"/>
        </w:rPr>
      </w:pPr>
      <w:r>
        <w:rPr>
          <w:rFonts w:cstheme="minorHAnsi"/>
        </w:rPr>
        <w:t xml:space="preserve">The </w:t>
      </w:r>
      <w:r w:rsidR="002A1723">
        <w:rPr>
          <w:rFonts w:cstheme="minorHAnsi"/>
        </w:rPr>
        <w:t xml:space="preserve">Kyrgyz Republic </w:t>
      </w:r>
      <w:r w:rsidR="001E5718">
        <w:rPr>
          <w:rFonts w:cstheme="minorHAnsi"/>
        </w:rPr>
        <w:t xml:space="preserve">has made </w:t>
      </w:r>
      <w:r w:rsidR="002B35CC">
        <w:rPr>
          <w:rFonts w:cstheme="minorHAnsi"/>
        </w:rPr>
        <w:t xml:space="preserve">significant </w:t>
      </w:r>
      <w:r w:rsidR="00D8555D">
        <w:rPr>
          <w:rFonts w:cstheme="minorHAnsi"/>
        </w:rPr>
        <w:t xml:space="preserve">steps in reforming the health system through successive </w:t>
      </w:r>
      <w:r w:rsidR="008510C9">
        <w:rPr>
          <w:rFonts w:cstheme="minorHAnsi"/>
        </w:rPr>
        <w:t>National H</w:t>
      </w:r>
      <w:r w:rsidR="00D8555D">
        <w:rPr>
          <w:rFonts w:cstheme="minorHAnsi"/>
        </w:rPr>
        <w:t>ealth</w:t>
      </w:r>
      <w:r w:rsidR="009E2CD9">
        <w:rPr>
          <w:rFonts w:cstheme="minorHAnsi"/>
        </w:rPr>
        <w:t xml:space="preserve"> </w:t>
      </w:r>
      <w:r w:rsidR="008510C9">
        <w:rPr>
          <w:rFonts w:cstheme="minorHAnsi"/>
        </w:rPr>
        <w:t>P</w:t>
      </w:r>
      <w:r w:rsidR="009E2CD9">
        <w:rPr>
          <w:rFonts w:cstheme="minorHAnsi"/>
        </w:rPr>
        <w:t xml:space="preserve">rograms implemented over the last </w:t>
      </w:r>
      <w:r w:rsidR="001941C1">
        <w:rPr>
          <w:rFonts w:cstheme="minorHAnsi"/>
        </w:rPr>
        <w:t>2</w:t>
      </w:r>
      <w:r w:rsidR="009E2CD9">
        <w:rPr>
          <w:rFonts w:cstheme="minorHAnsi"/>
        </w:rPr>
        <w:t>0 years</w:t>
      </w:r>
      <w:r w:rsidR="00732EBE">
        <w:rPr>
          <w:rFonts w:cstheme="minorHAnsi"/>
        </w:rPr>
        <w:t xml:space="preserve">. </w:t>
      </w:r>
      <w:r w:rsidR="00DE0C08" w:rsidRPr="00155238">
        <w:rPr>
          <w:rFonts w:eastAsia="Times New Roman" w:cstheme="minorHAnsi"/>
        </w:rPr>
        <w:t xml:space="preserve">One of the major </w:t>
      </w:r>
      <w:r w:rsidR="009E2CD9">
        <w:rPr>
          <w:rFonts w:eastAsia="Times New Roman" w:cstheme="minorHAnsi"/>
        </w:rPr>
        <w:t xml:space="preserve">achievements </w:t>
      </w:r>
      <w:r w:rsidR="00457918">
        <w:rPr>
          <w:rFonts w:eastAsia="Times New Roman" w:cstheme="minorHAnsi"/>
        </w:rPr>
        <w:t xml:space="preserve">of such reforms </w:t>
      </w:r>
      <w:r w:rsidR="00DE0C08" w:rsidRPr="00155238">
        <w:rPr>
          <w:rFonts w:eastAsia="Times New Roman" w:cstheme="minorHAnsi"/>
        </w:rPr>
        <w:t xml:space="preserve">was the </w:t>
      </w:r>
      <w:r w:rsidR="002B35CC">
        <w:rPr>
          <w:rFonts w:eastAsia="Times New Roman" w:cstheme="minorHAnsi"/>
        </w:rPr>
        <w:t xml:space="preserve">establishment </w:t>
      </w:r>
      <w:r w:rsidR="00DE0C08" w:rsidRPr="00155238">
        <w:rPr>
          <w:rFonts w:eastAsia="Times New Roman" w:cstheme="minorHAnsi"/>
        </w:rPr>
        <w:t xml:space="preserve">of a single-payer national health insurance and </w:t>
      </w:r>
      <w:r w:rsidR="00457918">
        <w:rPr>
          <w:rFonts w:eastAsia="Times New Roman" w:cstheme="minorHAnsi"/>
        </w:rPr>
        <w:t xml:space="preserve">a </w:t>
      </w:r>
      <w:r w:rsidR="00FA0ABC">
        <w:rPr>
          <w:rFonts w:eastAsia="Times New Roman" w:cstheme="minorHAnsi"/>
        </w:rPr>
        <w:t xml:space="preserve">basic benefit package. The </w:t>
      </w:r>
      <w:r w:rsidR="00DE0C08" w:rsidRPr="00155238">
        <w:rPr>
          <w:rFonts w:eastAsia="Times New Roman" w:cstheme="minorHAnsi"/>
        </w:rPr>
        <w:t>State Guaranteed Benefit Package (SGBP)</w:t>
      </w:r>
      <w:r w:rsidR="00FA0ABC">
        <w:rPr>
          <w:rFonts w:eastAsia="Times New Roman" w:cstheme="minorHAnsi"/>
        </w:rPr>
        <w:t xml:space="preserve"> </w:t>
      </w:r>
      <w:r w:rsidR="005273F4" w:rsidRPr="00155238">
        <w:rPr>
          <w:rFonts w:eastAsia="Times New Roman" w:cstheme="minorHAnsi"/>
        </w:rPr>
        <w:t>provides free basic health services at the primary care level</w:t>
      </w:r>
      <w:r w:rsidR="00C22BCA">
        <w:rPr>
          <w:rFonts w:eastAsia="Times New Roman" w:cstheme="minorHAnsi"/>
        </w:rPr>
        <w:t xml:space="preserve"> for the whole population</w:t>
      </w:r>
      <w:r w:rsidR="005273F4" w:rsidRPr="00155238">
        <w:rPr>
          <w:rFonts w:eastAsia="Times New Roman" w:cstheme="minorHAnsi"/>
        </w:rPr>
        <w:t>, and inpatient care with nominal co-payments</w:t>
      </w:r>
      <w:r w:rsidR="00B57A53">
        <w:rPr>
          <w:rFonts w:eastAsia="Times New Roman" w:cstheme="minorHAnsi"/>
        </w:rPr>
        <w:t xml:space="preserve"> or no fee for certain groups. </w:t>
      </w:r>
    </w:p>
    <w:p w14:paraId="41C6B23B" w14:textId="75290F2E" w:rsidR="009A16C2" w:rsidRDefault="003445EC" w:rsidP="00363D34">
      <w:pPr>
        <w:spacing w:line="240" w:lineRule="auto"/>
        <w:jc w:val="both"/>
        <w:rPr>
          <w:rFonts w:eastAsia="Times New Roman" w:cstheme="minorHAnsi"/>
        </w:rPr>
      </w:pPr>
      <w:r>
        <w:rPr>
          <w:rFonts w:eastAsia="Times New Roman" w:cstheme="minorHAnsi"/>
        </w:rPr>
        <w:t xml:space="preserve">Even though the </w:t>
      </w:r>
      <w:r w:rsidR="009B36C7">
        <w:rPr>
          <w:rFonts w:eastAsia="Times New Roman" w:cstheme="minorHAnsi"/>
        </w:rPr>
        <w:t xml:space="preserve">principles of the </w:t>
      </w:r>
      <w:r w:rsidR="005F0F96">
        <w:rPr>
          <w:rFonts w:eastAsia="Times New Roman" w:cstheme="minorHAnsi"/>
        </w:rPr>
        <w:t>SGBP contain elements of international good practice</w:t>
      </w:r>
      <w:r w:rsidR="009B36C7">
        <w:rPr>
          <w:rFonts w:eastAsia="Times New Roman" w:cstheme="minorHAnsi"/>
        </w:rPr>
        <w:t>, the SGBP has hardly changed since it was stablished</w:t>
      </w:r>
      <w:r w:rsidR="005F0F96">
        <w:rPr>
          <w:rFonts w:eastAsia="Times New Roman" w:cstheme="minorHAnsi"/>
        </w:rPr>
        <w:t xml:space="preserve">. </w:t>
      </w:r>
      <w:r w:rsidR="00D52435">
        <w:rPr>
          <w:rFonts w:eastAsia="Times New Roman" w:cstheme="minorHAnsi"/>
        </w:rPr>
        <w:t>At the same time,</w:t>
      </w:r>
      <w:r w:rsidR="005F0F96">
        <w:rPr>
          <w:rFonts w:eastAsia="Times New Roman" w:cstheme="minorHAnsi"/>
        </w:rPr>
        <w:t xml:space="preserve"> </w:t>
      </w:r>
      <w:r w:rsidR="00554D0B">
        <w:rPr>
          <w:rFonts w:eastAsia="Times New Roman" w:cstheme="minorHAnsi"/>
        </w:rPr>
        <w:t xml:space="preserve">many changes have taken place </w:t>
      </w:r>
      <w:r w:rsidR="00194D73">
        <w:rPr>
          <w:rFonts w:eastAsia="Times New Roman" w:cstheme="minorHAnsi"/>
        </w:rPr>
        <w:t>within and outside</w:t>
      </w:r>
      <w:r w:rsidR="00554D0B">
        <w:rPr>
          <w:rFonts w:eastAsia="Times New Roman" w:cstheme="minorHAnsi"/>
        </w:rPr>
        <w:t xml:space="preserve"> the health system</w:t>
      </w:r>
      <w:r w:rsidR="00194D73">
        <w:rPr>
          <w:rFonts w:eastAsia="Times New Roman" w:cstheme="minorHAnsi"/>
        </w:rPr>
        <w:t>, exert</w:t>
      </w:r>
      <w:r w:rsidR="00097746">
        <w:rPr>
          <w:rFonts w:eastAsia="Times New Roman" w:cstheme="minorHAnsi"/>
        </w:rPr>
        <w:t>ing</w:t>
      </w:r>
      <w:r w:rsidR="00554D0B">
        <w:rPr>
          <w:rFonts w:eastAsia="Times New Roman" w:cstheme="minorHAnsi"/>
        </w:rPr>
        <w:t xml:space="preserve"> mounting pressure </w:t>
      </w:r>
      <w:r w:rsidR="00E3032E">
        <w:rPr>
          <w:rFonts w:eastAsia="Times New Roman" w:cstheme="minorHAnsi"/>
        </w:rPr>
        <w:t xml:space="preserve">for </w:t>
      </w:r>
      <w:r w:rsidR="00554D0B">
        <w:rPr>
          <w:rFonts w:eastAsia="Times New Roman" w:cstheme="minorHAnsi"/>
        </w:rPr>
        <w:t xml:space="preserve">the SGBP to </w:t>
      </w:r>
      <w:r w:rsidR="009D44A7">
        <w:rPr>
          <w:rFonts w:eastAsia="Times New Roman" w:cstheme="minorHAnsi"/>
        </w:rPr>
        <w:t xml:space="preserve">adapt to </w:t>
      </w:r>
      <w:r w:rsidR="00554D0B">
        <w:rPr>
          <w:rFonts w:eastAsia="Times New Roman" w:cstheme="minorHAnsi"/>
        </w:rPr>
        <w:t xml:space="preserve">the </w:t>
      </w:r>
      <w:r w:rsidR="00BD7528">
        <w:rPr>
          <w:rFonts w:eastAsia="Times New Roman" w:cstheme="minorHAnsi"/>
        </w:rPr>
        <w:t xml:space="preserve">new </w:t>
      </w:r>
      <w:r w:rsidR="00554D0B">
        <w:rPr>
          <w:rFonts w:eastAsia="Times New Roman" w:cstheme="minorHAnsi"/>
        </w:rPr>
        <w:t xml:space="preserve">disease burden and meet </w:t>
      </w:r>
      <w:r w:rsidR="00BD7528">
        <w:rPr>
          <w:rFonts w:eastAsia="Times New Roman" w:cstheme="minorHAnsi"/>
        </w:rPr>
        <w:t xml:space="preserve">population’s </w:t>
      </w:r>
      <w:r w:rsidR="00554D0B">
        <w:rPr>
          <w:rFonts w:eastAsia="Times New Roman" w:cstheme="minorHAnsi"/>
        </w:rPr>
        <w:t>expect</w:t>
      </w:r>
      <w:r w:rsidR="00BD7528">
        <w:rPr>
          <w:rFonts w:eastAsia="Times New Roman" w:cstheme="minorHAnsi"/>
        </w:rPr>
        <w:t>at</w:t>
      </w:r>
      <w:r w:rsidR="00554D0B">
        <w:rPr>
          <w:rFonts w:eastAsia="Times New Roman" w:cstheme="minorHAnsi"/>
        </w:rPr>
        <w:t>ion</w:t>
      </w:r>
      <w:r w:rsidR="00204360">
        <w:rPr>
          <w:rFonts w:eastAsia="Times New Roman" w:cstheme="minorHAnsi"/>
        </w:rPr>
        <w:t>s</w:t>
      </w:r>
      <w:r w:rsidR="00127442">
        <w:rPr>
          <w:rFonts w:eastAsia="Times New Roman" w:cstheme="minorHAnsi"/>
        </w:rPr>
        <w:t xml:space="preserve"> within the context of budget constraints.</w:t>
      </w:r>
    </w:p>
    <w:p w14:paraId="26E5E805" w14:textId="20FC8BC5" w:rsidR="00327ACB" w:rsidRPr="00EE2D3E" w:rsidRDefault="00554D0B" w:rsidP="00363D34">
      <w:pPr>
        <w:spacing w:line="240" w:lineRule="auto"/>
        <w:jc w:val="both"/>
        <w:rPr>
          <w:rFonts w:cstheme="minorHAnsi"/>
        </w:rPr>
      </w:pPr>
      <w:r>
        <w:rPr>
          <w:rFonts w:eastAsia="Times New Roman" w:cstheme="minorHAnsi"/>
        </w:rPr>
        <w:t xml:space="preserve">The </w:t>
      </w:r>
      <w:r w:rsidR="00955DC0" w:rsidRPr="00EE2D3E">
        <w:rPr>
          <w:rFonts w:cstheme="minorHAnsi"/>
        </w:rPr>
        <w:t>current paper provides a critical assessment of the Kyrgyz Republic’s basic health benefit package</w:t>
      </w:r>
      <w:r w:rsidR="00955DC0">
        <w:rPr>
          <w:rFonts w:cstheme="minorHAnsi"/>
        </w:rPr>
        <w:t xml:space="preserve">. It </w:t>
      </w:r>
      <w:r w:rsidR="00F84F39">
        <w:rPr>
          <w:rFonts w:cstheme="minorHAnsi"/>
        </w:rPr>
        <w:t xml:space="preserve">reveals </w:t>
      </w:r>
      <w:r w:rsidR="00311E57">
        <w:rPr>
          <w:rFonts w:cstheme="minorHAnsi"/>
        </w:rPr>
        <w:t>a number of issues in the actual benefits delivered to the population as opposed to the</w:t>
      </w:r>
      <w:r w:rsidR="00F84F39">
        <w:rPr>
          <w:rFonts w:cstheme="minorHAnsi"/>
        </w:rPr>
        <w:t xml:space="preserve"> generous </w:t>
      </w:r>
      <w:r w:rsidR="00304CEC">
        <w:rPr>
          <w:rFonts w:cstheme="minorHAnsi"/>
        </w:rPr>
        <w:t>promise of the statutory package</w:t>
      </w:r>
      <w:r w:rsidR="00383C87">
        <w:rPr>
          <w:rFonts w:cstheme="minorHAnsi"/>
        </w:rPr>
        <w:t xml:space="preserve">. Some important limitations include </w:t>
      </w:r>
      <w:r w:rsidR="00D450DD">
        <w:rPr>
          <w:rFonts w:cstheme="minorHAnsi"/>
        </w:rPr>
        <w:t xml:space="preserve">lack of clarity, persistent funding gap, </w:t>
      </w:r>
      <w:r w:rsidR="008D7358">
        <w:rPr>
          <w:rFonts w:cstheme="minorHAnsi"/>
        </w:rPr>
        <w:t>large number of fee exemption categories given the resource constraints</w:t>
      </w:r>
      <w:r w:rsidR="00564E03">
        <w:rPr>
          <w:rFonts w:cstheme="minorHAnsi"/>
        </w:rPr>
        <w:t xml:space="preserve"> and at the same time lack of an effective mechanism to protect the poor. Most importantly, there is no </w:t>
      </w:r>
      <w:r w:rsidR="00C15BE4">
        <w:rPr>
          <w:rFonts w:cstheme="minorHAnsi"/>
        </w:rPr>
        <w:t xml:space="preserve">systematic </w:t>
      </w:r>
      <w:r w:rsidR="00ED68EB">
        <w:rPr>
          <w:rFonts w:cstheme="minorHAnsi"/>
        </w:rPr>
        <w:t xml:space="preserve">arrangement </w:t>
      </w:r>
      <w:r w:rsidR="00C15BE4">
        <w:rPr>
          <w:rFonts w:cstheme="minorHAnsi"/>
        </w:rPr>
        <w:t xml:space="preserve">in place </w:t>
      </w:r>
      <w:r w:rsidR="00242D87">
        <w:rPr>
          <w:rFonts w:cstheme="minorHAnsi"/>
        </w:rPr>
        <w:t xml:space="preserve">to ensure a </w:t>
      </w:r>
      <w:r w:rsidR="00C15BE4">
        <w:rPr>
          <w:rFonts w:cstheme="minorHAnsi"/>
        </w:rPr>
        <w:t xml:space="preserve">regular </w:t>
      </w:r>
      <w:r w:rsidR="00242D87">
        <w:rPr>
          <w:rFonts w:cstheme="minorHAnsi"/>
        </w:rPr>
        <w:t xml:space="preserve">evidence-based process of </w:t>
      </w:r>
      <w:r w:rsidR="00C15BE4">
        <w:rPr>
          <w:rFonts w:cstheme="minorHAnsi"/>
        </w:rPr>
        <w:t>the benefit package</w:t>
      </w:r>
      <w:r w:rsidR="00242D87">
        <w:rPr>
          <w:rFonts w:cstheme="minorHAnsi"/>
        </w:rPr>
        <w:t xml:space="preserve"> revision. </w:t>
      </w:r>
      <w:r w:rsidR="00C15BE4">
        <w:rPr>
          <w:rFonts w:cstheme="minorHAnsi"/>
        </w:rPr>
        <w:t xml:space="preserve"> </w:t>
      </w:r>
    </w:p>
    <w:p w14:paraId="7FA4FD0F" w14:textId="65E34F6E" w:rsidR="000C6B6D" w:rsidRPr="00EE2D3E" w:rsidRDefault="0050323E" w:rsidP="00363D34">
      <w:pPr>
        <w:spacing w:line="240" w:lineRule="auto"/>
        <w:jc w:val="both"/>
        <w:rPr>
          <w:rFonts w:cstheme="minorHAnsi"/>
          <w:lang w:val="hr-HR"/>
        </w:rPr>
      </w:pPr>
      <w:r w:rsidRPr="00EE2D3E">
        <w:rPr>
          <w:rFonts w:cstheme="minorHAnsi"/>
        </w:rPr>
        <w:t xml:space="preserve">The </w:t>
      </w:r>
      <w:r w:rsidR="00CB0879">
        <w:rPr>
          <w:rFonts w:cstheme="minorHAnsi"/>
        </w:rPr>
        <w:t xml:space="preserve">paper </w:t>
      </w:r>
      <w:r w:rsidR="00465614" w:rsidRPr="00EE2D3E">
        <w:rPr>
          <w:rFonts w:cstheme="minorHAnsi"/>
        </w:rPr>
        <w:t>propose</w:t>
      </w:r>
      <w:r w:rsidRPr="00EE2D3E">
        <w:rPr>
          <w:rFonts w:cstheme="minorHAnsi"/>
        </w:rPr>
        <w:t>s</w:t>
      </w:r>
      <w:r w:rsidR="00377EB8" w:rsidRPr="00EE2D3E">
        <w:rPr>
          <w:rFonts w:cstheme="minorHAnsi"/>
        </w:rPr>
        <w:t xml:space="preserve"> </w:t>
      </w:r>
      <w:r w:rsidR="005812EC">
        <w:rPr>
          <w:rFonts w:cstheme="minorHAnsi"/>
        </w:rPr>
        <w:t xml:space="preserve">several measures that could guide the process of SGBP revision, taking into account </w:t>
      </w:r>
      <w:r w:rsidR="00466942">
        <w:rPr>
          <w:rFonts w:cstheme="minorHAnsi"/>
        </w:rPr>
        <w:t xml:space="preserve">the particular </w:t>
      </w:r>
      <w:r w:rsidR="0064303F">
        <w:rPr>
          <w:rFonts w:cstheme="minorHAnsi"/>
        </w:rPr>
        <w:t xml:space="preserve">Kyrgyz context </w:t>
      </w:r>
      <w:r w:rsidR="00466942">
        <w:rPr>
          <w:rFonts w:cstheme="minorHAnsi"/>
        </w:rPr>
        <w:t>and building on</w:t>
      </w:r>
      <w:r w:rsidR="00ED1359">
        <w:rPr>
          <w:rFonts w:cstheme="minorHAnsi"/>
        </w:rPr>
        <w:t xml:space="preserve"> </w:t>
      </w:r>
      <w:r w:rsidR="0064303F">
        <w:rPr>
          <w:rFonts w:cstheme="minorHAnsi"/>
        </w:rPr>
        <w:t xml:space="preserve">international </w:t>
      </w:r>
      <w:r w:rsidR="00ED1359">
        <w:rPr>
          <w:rFonts w:cstheme="minorHAnsi"/>
        </w:rPr>
        <w:t>experience</w:t>
      </w:r>
      <w:r w:rsidR="007D3F50">
        <w:rPr>
          <w:rFonts w:cstheme="minorHAnsi"/>
        </w:rPr>
        <w:t>s</w:t>
      </w:r>
      <w:r w:rsidR="00ED1359">
        <w:rPr>
          <w:rFonts w:cstheme="minorHAnsi"/>
        </w:rPr>
        <w:t xml:space="preserve">. It is expected that </w:t>
      </w:r>
      <w:r w:rsidR="00CB0879">
        <w:rPr>
          <w:rFonts w:cstheme="minorHAnsi"/>
        </w:rPr>
        <w:t xml:space="preserve">information from the paper will be useful </w:t>
      </w:r>
      <w:r w:rsidR="00AE153A">
        <w:rPr>
          <w:rFonts w:cstheme="minorHAnsi"/>
        </w:rPr>
        <w:t xml:space="preserve">not only </w:t>
      </w:r>
      <w:r w:rsidR="00CB0879">
        <w:rPr>
          <w:rFonts w:cstheme="minorHAnsi"/>
        </w:rPr>
        <w:t xml:space="preserve">for the </w:t>
      </w:r>
      <w:r w:rsidR="00021A0B">
        <w:rPr>
          <w:rFonts w:cstheme="minorHAnsi"/>
        </w:rPr>
        <w:t xml:space="preserve">Kyrgyz </w:t>
      </w:r>
      <w:r w:rsidR="00984CF1">
        <w:rPr>
          <w:rFonts w:cstheme="minorHAnsi"/>
        </w:rPr>
        <w:t xml:space="preserve">stakeholders </w:t>
      </w:r>
      <w:r w:rsidR="00AE153A">
        <w:rPr>
          <w:rFonts w:cstheme="minorHAnsi"/>
        </w:rPr>
        <w:t xml:space="preserve">but also other countries </w:t>
      </w:r>
      <w:r w:rsidR="00F215BA">
        <w:rPr>
          <w:rFonts w:cstheme="minorHAnsi"/>
        </w:rPr>
        <w:t>in making the benefit package an effective instrument for achieving universal health coverage.</w:t>
      </w:r>
    </w:p>
    <w:p w14:paraId="0D529187" w14:textId="48817E2E" w:rsidR="00C7396E" w:rsidRDefault="00BF356A" w:rsidP="00363D34">
      <w:pPr>
        <w:pStyle w:val="ListParagraph"/>
        <w:spacing w:after="120" w:line="240" w:lineRule="auto"/>
        <w:contextualSpacing w:val="0"/>
        <w:jc w:val="both"/>
        <w:rPr>
          <w:rFonts w:cstheme="minorHAnsi"/>
        </w:rPr>
        <w:sectPr w:rsidR="00C7396E" w:rsidSect="001A63E1">
          <w:footerReference w:type="default" r:id="rId12"/>
          <w:pgSz w:w="12240" w:h="15840" w:code="1"/>
          <w:pgMar w:top="1440" w:right="1440" w:bottom="1440" w:left="1440" w:header="720" w:footer="720" w:gutter="0"/>
          <w:pgNumType w:fmt="lowerRoman" w:start="1"/>
          <w:cols w:space="720"/>
          <w:docGrid w:linePitch="360"/>
        </w:sectPr>
      </w:pPr>
      <w:r w:rsidRPr="00EE2D3E">
        <w:rPr>
          <w:rFonts w:cstheme="minorHAnsi"/>
        </w:rPr>
        <w:t xml:space="preserve"> </w:t>
      </w:r>
    </w:p>
    <w:p w14:paraId="6E6C4F9D" w14:textId="47FAD678" w:rsidR="00FA276C" w:rsidRPr="006B067D" w:rsidRDefault="00FA276C" w:rsidP="00363D34">
      <w:pPr>
        <w:pStyle w:val="Heading1"/>
        <w:numPr>
          <w:ilvl w:val="0"/>
          <w:numId w:val="29"/>
        </w:numPr>
        <w:rPr>
          <w:rFonts w:ascii="Calibri" w:hAnsi="Calibri" w:cs="Calibri"/>
          <w:color w:val="1F4E79" w:themeColor="accent1" w:themeShade="80"/>
        </w:rPr>
      </w:pPr>
      <w:bookmarkStart w:id="4" w:name="_Toc10477889"/>
      <w:r w:rsidRPr="006B067D">
        <w:rPr>
          <w:rFonts w:ascii="Calibri" w:hAnsi="Calibri" w:cs="Calibri"/>
          <w:color w:val="1F4E79" w:themeColor="accent1" w:themeShade="80"/>
        </w:rPr>
        <w:lastRenderedPageBreak/>
        <w:t>Introduction</w:t>
      </w:r>
      <w:bookmarkEnd w:id="1"/>
      <w:bookmarkEnd w:id="4"/>
      <w:r w:rsidRPr="006B067D">
        <w:rPr>
          <w:rFonts w:ascii="Calibri" w:hAnsi="Calibri" w:cs="Calibri"/>
          <w:color w:val="1F4E79" w:themeColor="accent1" w:themeShade="80"/>
        </w:rPr>
        <w:t xml:space="preserve"> </w:t>
      </w:r>
    </w:p>
    <w:p w14:paraId="095EC58C" w14:textId="3977F0AB" w:rsidR="006D54B8" w:rsidRDefault="0057761E" w:rsidP="00363D34">
      <w:pPr>
        <w:spacing w:after="120" w:line="240" w:lineRule="auto"/>
        <w:jc w:val="both"/>
        <w:rPr>
          <w:rFonts w:eastAsia="Times New Roman" w:cstheme="minorHAnsi"/>
          <w:color w:val="000000"/>
        </w:rPr>
      </w:pPr>
      <w:r>
        <w:rPr>
          <w:rFonts w:eastAsia="Times New Roman" w:cstheme="minorHAnsi"/>
          <w:color w:val="000000"/>
        </w:rPr>
        <w:t>T</w:t>
      </w:r>
      <w:r w:rsidR="00FD0FA9">
        <w:rPr>
          <w:rFonts w:eastAsia="Times New Roman" w:cstheme="minorHAnsi"/>
          <w:color w:val="000000"/>
        </w:rPr>
        <w:t xml:space="preserve">he </w:t>
      </w:r>
      <w:r w:rsidR="005E0D79" w:rsidRPr="005E0D79">
        <w:rPr>
          <w:rFonts w:eastAsia="Times New Roman" w:cstheme="minorHAnsi"/>
          <w:color w:val="000000"/>
        </w:rPr>
        <w:t>Kyrgyz</w:t>
      </w:r>
      <w:r w:rsidR="00FD0FA9">
        <w:rPr>
          <w:rFonts w:eastAsia="Times New Roman" w:cstheme="minorHAnsi"/>
          <w:color w:val="000000"/>
        </w:rPr>
        <w:t xml:space="preserve"> Republic </w:t>
      </w:r>
      <w:r>
        <w:rPr>
          <w:rFonts w:eastAsia="Times New Roman" w:cstheme="minorHAnsi"/>
          <w:color w:val="000000"/>
        </w:rPr>
        <w:t xml:space="preserve">is </w:t>
      </w:r>
      <w:r w:rsidR="00045646">
        <w:rPr>
          <w:rFonts w:eastAsia="Times New Roman" w:cstheme="minorHAnsi"/>
          <w:color w:val="000000"/>
        </w:rPr>
        <w:t xml:space="preserve">regarded </w:t>
      </w:r>
      <w:r w:rsidR="00F61BE7">
        <w:rPr>
          <w:rFonts w:eastAsia="Times New Roman" w:cstheme="minorHAnsi"/>
          <w:color w:val="000000"/>
        </w:rPr>
        <w:t>as a</w:t>
      </w:r>
      <w:r w:rsidR="005E0D79" w:rsidRPr="005E0D79">
        <w:rPr>
          <w:rFonts w:eastAsia="Times New Roman" w:cstheme="minorHAnsi"/>
          <w:color w:val="000000"/>
        </w:rPr>
        <w:t xml:space="preserve"> pioneer in health system reforms</w:t>
      </w:r>
      <w:r>
        <w:rPr>
          <w:rFonts w:eastAsia="Times New Roman" w:cstheme="minorHAnsi"/>
          <w:color w:val="000000"/>
        </w:rPr>
        <w:t xml:space="preserve"> </w:t>
      </w:r>
      <w:r w:rsidR="00045646">
        <w:rPr>
          <w:rFonts w:eastAsia="Times New Roman" w:cstheme="minorHAnsi"/>
          <w:color w:val="000000"/>
        </w:rPr>
        <w:t>a</w:t>
      </w:r>
      <w:r>
        <w:rPr>
          <w:rFonts w:eastAsia="Times New Roman" w:cstheme="minorHAnsi"/>
          <w:color w:val="000000"/>
        </w:rPr>
        <w:t xml:space="preserve">mong </w:t>
      </w:r>
      <w:r w:rsidR="00AC6731">
        <w:rPr>
          <w:rFonts w:eastAsia="Times New Roman" w:cstheme="minorHAnsi"/>
          <w:color w:val="000000"/>
        </w:rPr>
        <w:t xml:space="preserve">peers </w:t>
      </w:r>
      <w:r>
        <w:rPr>
          <w:rFonts w:eastAsia="Times New Roman" w:cstheme="minorHAnsi"/>
          <w:color w:val="000000"/>
        </w:rPr>
        <w:t>in the Central Asia and the Former Soviet Union</w:t>
      </w:r>
      <w:r w:rsidR="005E00D4">
        <w:rPr>
          <w:rFonts w:eastAsia="Times New Roman" w:cstheme="minorHAnsi"/>
          <w:color w:val="000000"/>
        </w:rPr>
        <w:t xml:space="preserve"> (</w:t>
      </w:r>
      <w:r w:rsidR="00874B97">
        <w:rPr>
          <w:rFonts w:eastAsia="Times New Roman" w:cstheme="minorHAnsi"/>
          <w:color w:val="000000"/>
        </w:rPr>
        <w:t>Ibraimova et a</w:t>
      </w:r>
      <w:r w:rsidR="00EB10FA">
        <w:rPr>
          <w:rFonts w:eastAsia="Times New Roman" w:cstheme="minorHAnsi"/>
          <w:color w:val="000000"/>
        </w:rPr>
        <w:t>l</w:t>
      </w:r>
      <w:r w:rsidR="00874B97">
        <w:rPr>
          <w:rFonts w:eastAsia="Times New Roman" w:cstheme="minorHAnsi"/>
          <w:color w:val="000000"/>
        </w:rPr>
        <w:t xml:space="preserve">., </w:t>
      </w:r>
      <w:r w:rsidR="00EB10FA">
        <w:rPr>
          <w:rFonts w:eastAsia="Times New Roman" w:cstheme="minorHAnsi"/>
          <w:color w:val="000000"/>
        </w:rPr>
        <w:t>2011</w:t>
      </w:r>
      <w:r w:rsidR="005E00D4">
        <w:rPr>
          <w:rFonts w:eastAsia="Times New Roman" w:cstheme="minorHAnsi"/>
          <w:color w:val="000000"/>
        </w:rPr>
        <w:t>)</w:t>
      </w:r>
      <w:r w:rsidR="005E0D79" w:rsidRPr="005E0D79">
        <w:rPr>
          <w:rFonts w:eastAsia="Times New Roman" w:cstheme="minorHAnsi"/>
          <w:color w:val="000000"/>
        </w:rPr>
        <w:t>. The country has adopted successive health reforms</w:t>
      </w:r>
      <w:r w:rsidR="00F46E44">
        <w:rPr>
          <w:rFonts w:eastAsia="Times New Roman" w:cstheme="minorHAnsi"/>
          <w:color w:val="000000"/>
        </w:rPr>
        <w:t xml:space="preserve"> since </w:t>
      </w:r>
      <w:r w:rsidR="00A70473">
        <w:rPr>
          <w:rFonts w:eastAsia="Times New Roman" w:cstheme="minorHAnsi"/>
          <w:color w:val="000000"/>
        </w:rPr>
        <w:t xml:space="preserve">the early nineties </w:t>
      </w:r>
      <w:r w:rsidR="00F46E44">
        <w:rPr>
          <w:rFonts w:eastAsia="Times New Roman" w:cstheme="minorHAnsi"/>
          <w:color w:val="000000"/>
        </w:rPr>
        <w:t xml:space="preserve">and </w:t>
      </w:r>
      <w:r w:rsidR="007778AA">
        <w:rPr>
          <w:rFonts w:eastAsia="Times New Roman" w:cstheme="minorHAnsi"/>
          <w:color w:val="000000"/>
        </w:rPr>
        <w:t>has introduced significant changes in the financing and service delivery</w:t>
      </w:r>
      <w:r w:rsidR="007263A4">
        <w:rPr>
          <w:rFonts w:eastAsia="Times New Roman" w:cstheme="minorHAnsi"/>
          <w:color w:val="000000"/>
        </w:rPr>
        <w:t xml:space="preserve"> </w:t>
      </w:r>
      <w:r w:rsidR="005072B4">
        <w:rPr>
          <w:rFonts w:eastAsia="Times New Roman" w:cstheme="minorHAnsi"/>
          <w:color w:val="000000"/>
        </w:rPr>
        <w:t>arrangements</w:t>
      </w:r>
      <w:r w:rsidR="005E0D79" w:rsidRPr="005E0D79">
        <w:rPr>
          <w:rFonts w:eastAsia="Times New Roman" w:cstheme="minorHAnsi"/>
          <w:color w:val="000000"/>
        </w:rPr>
        <w:t xml:space="preserve">. </w:t>
      </w:r>
      <w:r w:rsidR="007B5BF9">
        <w:rPr>
          <w:rFonts w:eastAsia="Times New Roman" w:cstheme="minorHAnsi"/>
          <w:color w:val="000000"/>
        </w:rPr>
        <w:t xml:space="preserve">Some of the most prominent </w:t>
      </w:r>
      <w:r w:rsidR="005E0D79" w:rsidRPr="005E0D79">
        <w:rPr>
          <w:rFonts w:eastAsia="Times New Roman" w:cstheme="minorHAnsi"/>
          <w:color w:val="000000"/>
        </w:rPr>
        <w:t xml:space="preserve">features </w:t>
      </w:r>
      <w:r w:rsidR="007B5BF9">
        <w:rPr>
          <w:rFonts w:eastAsia="Times New Roman" w:cstheme="minorHAnsi"/>
          <w:color w:val="000000"/>
        </w:rPr>
        <w:t xml:space="preserve">of the early reforms include an </w:t>
      </w:r>
      <w:r w:rsidR="005E0D79" w:rsidRPr="005E0D79">
        <w:rPr>
          <w:rFonts w:eastAsia="Times New Roman" w:cstheme="minorHAnsi"/>
          <w:color w:val="000000"/>
        </w:rPr>
        <w:t xml:space="preserve">establishment of a </w:t>
      </w:r>
      <w:r w:rsidR="004C45CE">
        <w:rPr>
          <w:rFonts w:eastAsia="Times New Roman" w:cstheme="minorHAnsi"/>
          <w:color w:val="000000"/>
        </w:rPr>
        <w:t>s</w:t>
      </w:r>
      <w:r w:rsidR="005E0D79" w:rsidRPr="005E0D79">
        <w:rPr>
          <w:rFonts w:eastAsia="Times New Roman" w:cstheme="minorHAnsi"/>
          <w:color w:val="000000"/>
        </w:rPr>
        <w:t xml:space="preserve">ingle </w:t>
      </w:r>
      <w:r w:rsidR="004C45CE">
        <w:rPr>
          <w:rFonts w:eastAsia="Times New Roman" w:cstheme="minorHAnsi"/>
          <w:color w:val="000000"/>
        </w:rPr>
        <w:t>p</w:t>
      </w:r>
      <w:r w:rsidR="005E0D79" w:rsidRPr="005E0D79">
        <w:rPr>
          <w:rFonts w:eastAsia="Times New Roman" w:cstheme="minorHAnsi"/>
          <w:color w:val="000000"/>
        </w:rPr>
        <w:t>urchaser of services, the Mandatory Health Insurance Fund (MHIF)</w:t>
      </w:r>
      <w:r w:rsidR="00944F5C">
        <w:rPr>
          <w:rFonts w:eastAsia="Times New Roman" w:cstheme="minorHAnsi"/>
          <w:color w:val="000000"/>
        </w:rPr>
        <w:t xml:space="preserve">, and </w:t>
      </w:r>
      <w:r w:rsidR="005E0D79" w:rsidRPr="005E0D79">
        <w:rPr>
          <w:rFonts w:eastAsia="Times New Roman" w:cstheme="minorHAnsi"/>
          <w:color w:val="000000"/>
        </w:rPr>
        <w:t xml:space="preserve">a basic benefits package </w:t>
      </w:r>
      <w:r w:rsidR="004825D9">
        <w:rPr>
          <w:rFonts w:eastAsia="Times New Roman" w:cstheme="minorHAnsi"/>
          <w:color w:val="000000"/>
        </w:rPr>
        <w:t xml:space="preserve">for </w:t>
      </w:r>
      <w:r w:rsidR="005E0D79" w:rsidRPr="005E0D79">
        <w:rPr>
          <w:rFonts w:eastAsia="Times New Roman" w:cstheme="minorHAnsi"/>
          <w:color w:val="000000"/>
        </w:rPr>
        <w:t>the whole population</w:t>
      </w:r>
      <w:r w:rsidR="004825D9">
        <w:rPr>
          <w:rFonts w:eastAsia="Times New Roman" w:cstheme="minorHAnsi"/>
          <w:color w:val="000000"/>
        </w:rPr>
        <w:t xml:space="preserve">. </w:t>
      </w:r>
      <w:r w:rsidR="00F13898">
        <w:rPr>
          <w:rFonts w:eastAsia="Times New Roman" w:cstheme="minorHAnsi"/>
          <w:color w:val="000000"/>
        </w:rPr>
        <w:t>As such, the country was aspired to the principle</w:t>
      </w:r>
      <w:r w:rsidR="00732775">
        <w:rPr>
          <w:rFonts w:eastAsia="Times New Roman" w:cstheme="minorHAnsi"/>
          <w:color w:val="000000"/>
        </w:rPr>
        <w:t>s</w:t>
      </w:r>
      <w:r w:rsidR="00F13898">
        <w:rPr>
          <w:rFonts w:eastAsia="Times New Roman" w:cstheme="minorHAnsi"/>
          <w:color w:val="000000"/>
        </w:rPr>
        <w:t xml:space="preserve"> of universal health coverage </w:t>
      </w:r>
      <w:r w:rsidR="00BD4B71">
        <w:rPr>
          <w:rFonts w:eastAsia="Times New Roman" w:cstheme="minorHAnsi"/>
          <w:color w:val="000000"/>
        </w:rPr>
        <w:t xml:space="preserve">(UHC) </w:t>
      </w:r>
      <w:r w:rsidR="00F13898">
        <w:rPr>
          <w:rFonts w:eastAsia="Times New Roman" w:cstheme="minorHAnsi"/>
          <w:color w:val="000000"/>
        </w:rPr>
        <w:t>as early as 20 years ago</w:t>
      </w:r>
      <w:r w:rsidR="00C54366">
        <w:rPr>
          <w:rFonts w:eastAsia="Times New Roman" w:cstheme="minorHAnsi"/>
          <w:color w:val="000000"/>
        </w:rPr>
        <w:t>.</w:t>
      </w:r>
    </w:p>
    <w:p w14:paraId="3176DA95" w14:textId="59D238C6" w:rsidR="006D54B8" w:rsidRDefault="00710F7F" w:rsidP="00363D34">
      <w:pPr>
        <w:spacing w:after="120" w:line="240" w:lineRule="auto"/>
        <w:jc w:val="both"/>
        <w:rPr>
          <w:rFonts w:eastAsia="Times New Roman" w:cstheme="minorHAnsi"/>
        </w:rPr>
      </w:pPr>
      <w:r w:rsidRPr="00E6167F">
        <w:rPr>
          <w:rFonts w:eastAsia="Times New Roman" w:cstheme="minorHAnsi"/>
        </w:rPr>
        <w:t>The benefit package</w:t>
      </w:r>
      <w:r w:rsidR="00660439">
        <w:rPr>
          <w:rFonts w:eastAsia="Times New Roman" w:cstheme="minorHAnsi"/>
        </w:rPr>
        <w:t xml:space="preserve"> </w:t>
      </w:r>
      <w:r w:rsidRPr="00E6167F">
        <w:rPr>
          <w:rFonts w:eastAsia="Times New Roman" w:cstheme="minorHAnsi"/>
        </w:rPr>
        <w:t xml:space="preserve">defining health entitlements </w:t>
      </w:r>
      <w:r w:rsidR="001E50E4">
        <w:rPr>
          <w:rFonts w:eastAsia="Times New Roman" w:cstheme="minorHAnsi"/>
        </w:rPr>
        <w:t xml:space="preserve">was adopted </w:t>
      </w:r>
      <w:r w:rsidRPr="00E6167F">
        <w:rPr>
          <w:rFonts w:eastAsia="Times New Roman" w:cstheme="minorHAnsi"/>
        </w:rPr>
        <w:t xml:space="preserve">to ensure that essential health services </w:t>
      </w:r>
      <w:r w:rsidR="00EF6B76">
        <w:rPr>
          <w:rFonts w:eastAsia="Times New Roman" w:cstheme="minorHAnsi"/>
        </w:rPr>
        <w:t>are</w:t>
      </w:r>
      <w:r w:rsidRPr="00E6167F">
        <w:rPr>
          <w:rFonts w:eastAsia="Times New Roman" w:cstheme="minorHAnsi"/>
        </w:rPr>
        <w:t xml:space="preserve"> guaranteed to the whole population. </w:t>
      </w:r>
      <w:r w:rsidR="00660439">
        <w:rPr>
          <w:rFonts w:eastAsia="Times New Roman" w:cstheme="minorHAnsi"/>
        </w:rPr>
        <w:t xml:space="preserve">Famously known </w:t>
      </w:r>
      <w:r w:rsidR="00214834">
        <w:rPr>
          <w:rFonts w:eastAsia="Times New Roman" w:cstheme="minorHAnsi"/>
        </w:rPr>
        <w:t xml:space="preserve">in the country </w:t>
      </w:r>
      <w:r w:rsidR="00660439">
        <w:rPr>
          <w:rFonts w:eastAsia="Times New Roman" w:cstheme="minorHAnsi"/>
        </w:rPr>
        <w:t>as the State Guaranteed Benefit Package (SGBP),</w:t>
      </w:r>
      <w:r w:rsidR="00660439" w:rsidRPr="00E6167F">
        <w:rPr>
          <w:rFonts w:eastAsia="Times New Roman" w:cstheme="minorHAnsi"/>
        </w:rPr>
        <w:t xml:space="preserve"> </w:t>
      </w:r>
      <w:r w:rsidR="00660439">
        <w:rPr>
          <w:rFonts w:eastAsia="Times New Roman" w:cstheme="minorHAnsi"/>
        </w:rPr>
        <w:t>it</w:t>
      </w:r>
      <w:r w:rsidRPr="00E6167F">
        <w:rPr>
          <w:rFonts w:eastAsia="Times New Roman" w:cstheme="minorHAnsi"/>
        </w:rPr>
        <w:t xml:space="preserve"> </w:t>
      </w:r>
      <w:r w:rsidR="00037236">
        <w:rPr>
          <w:rFonts w:eastAsia="Times New Roman" w:cstheme="minorHAnsi"/>
        </w:rPr>
        <w:t xml:space="preserve">offers </w:t>
      </w:r>
      <w:r w:rsidRPr="00E6167F">
        <w:rPr>
          <w:rFonts w:eastAsia="Times New Roman" w:cstheme="minorHAnsi"/>
        </w:rPr>
        <w:t>free basic health services at the primary care level</w:t>
      </w:r>
      <w:r w:rsidR="00286F79">
        <w:rPr>
          <w:rFonts w:eastAsia="Times New Roman" w:cstheme="minorHAnsi"/>
        </w:rPr>
        <w:t xml:space="preserve"> for the whole population</w:t>
      </w:r>
      <w:r w:rsidRPr="00E6167F">
        <w:rPr>
          <w:rFonts w:eastAsia="Times New Roman" w:cstheme="minorHAnsi"/>
        </w:rPr>
        <w:t xml:space="preserve"> and </w:t>
      </w:r>
      <w:r w:rsidR="00286F79">
        <w:rPr>
          <w:rFonts w:eastAsia="Times New Roman" w:cstheme="minorHAnsi"/>
        </w:rPr>
        <w:t xml:space="preserve">subsidized </w:t>
      </w:r>
      <w:r w:rsidRPr="00E6167F">
        <w:rPr>
          <w:rFonts w:eastAsia="Times New Roman" w:cstheme="minorHAnsi"/>
        </w:rPr>
        <w:t xml:space="preserve">inpatient care </w:t>
      </w:r>
      <w:r w:rsidR="00E72137">
        <w:rPr>
          <w:rFonts w:eastAsia="Times New Roman" w:cstheme="minorHAnsi"/>
        </w:rPr>
        <w:t>for a large group of beneficiaries</w:t>
      </w:r>
      <w:r w:rsidRPr="00E6167F">
        <w:rPr>
          <w:rFonts w:eastAsia="Times New Roman" w:cstheme="minorHAnsi"/>
        </w:rPr>
        <w:t xml:space="preserve">. The MHIF </w:t>
      </w:r>
      <w:r w:rsidRPr="00E6167F">
        <w:rPr>
          <w:rFonts w:cstheme="minorHAnsi"/>
        </w:rPr>
        <w:t xml:space="preserve">is financed </w:t>
      </w:r>
      <w:r w:rsidR="005F347B" w:rsidRPr="00E6167F">
        <w:rPr>
          <w:rFonts w:cstheme="minorHAnsi"/>
        </w:rPr>
        <w:t>main</w:t>
      </w:r>
      <w:r w:rsidR="00872F93">
        <w:rPr>
          <w:rFonts w:cstheme="minorHAnsi"/>
        </w:rPr>
        <w:t>ly</w:t>
      </w:r>
      <w:r w:rsidR="005F347B" w:rsidRPr="00E6167F">
        <w:rPr>
          <w:rFonts w:cstheme="minorHAnsi"/>
        </w:rPr>
        <w:t xml:space="preserve"> </w:t>
      </w:r>
      <w:r w:rsidRPr="00E6167F">
        <w:rPr>
          <w:rFonts w:cstheme="minorHAnsi"/>
        </w:rPr>
        <w:t xml:space="preserve">through </w:t>
      </w:r>
      <w:r w:rsidR="005F347B" w:rsidRPr="00E6167F">
        <w:rPr>
          <w:rFonts w:cstheme="minorHAnsi"/>
        </w:rPr>
        <w:t>general tax revenue and insurance premium. It</w:t>
      </w:r>
      <w:r w:rsidRPr="00E6167F">
        <w:rPr>
          <w:rFonts w:cstheme="minorHAnsi"/>
        </w:rPr>
        <w:t xml:space="preserve"> pays</w:t>
      </w:r>
      <w:r w:rsidRPr="00E6167F">
        <w:rPr>
          <w:rFonts w:eastAsia="Times New Roman" w:cstheme="minorHAnsi"/>
        </w:rPr>
        <w:t xml:space="preserve"> primary health care </w:t>
      </w:r>
      <w:r w:rsidR="003C389B">
        <w:rPr>
          <w:rFonts w:eastAsia="Times New Roman" w:cstheme="minorHAnsi"/>
        </w:rPr>
        <w:t xml:space="preserve">(PHC) </w:t>
      </w:r>
      <w:r w:rsidR="005F347B" w:rsidRPr="00E6167F">
        <w:rPr>
          <w:rFonts w:eastAsia="Times New Roman" w:cstheme="minorHAnsi"/>
        </w:rPr>
        <w:t xml:space="preserve">providers </w:t>
      </w:r>
      <w:r w:rsidRPr="00E6167F">
        <w:rPr>
          <w:rFonts w:eastAsia="Times New Roman" w:cstheme="minorHAnsi"/>
        </w:rPr>
        <w:t xml:space="preserve">through capitation </w:t>
      </w:r>
      <w:r w:rsidR="005F347B" w:rsidRPr="00E6167F">
        <w:rPr>
          <w:rFonts w:eastAsia="Times New Roman" w:cstheme="minorHAnsi"/>
        </w:rPr>
        <w:t xml:space="preserve">and pays </w:t>
      </w:r>
      <w:r w:rsidRPr="00E6167F">
        <w:rPr>
          <w:rFonts w:eastAsia="Times New Roman" w:cstheme="minorHAnsi"/>
        </w:rPr>
        <w:t>hospital</w:t>
      </w:r>
      <w:r w:rsidR="005F347B" w:rsidRPr="00E6167F">
        <w:rPr>
          <w:rFonts w:eastAsia="Times New Roman" w:cstheme="minorHAnsi"/>
        </w:rPr>
        <w:t>s based on a simple form of Diagnostic-Related Group</w:t>
      </w:r>
      <w:r w:rsidR="00AF03AA">
        <w:rPr>
          <w:rFonts w:eastAsia="Times New Roman" w:cstheme="minorHAnsi"/>
        </w:rPr>
        <w:t>s</w:t>
      </w:r>
      <w:r w:rsidR="005F347B" w:rsidRPr="00E6167F">
        <w:rPr>
          <w:rFonts w:eastAsia="Times New Roman" w:cstheme="minorHAnsi"/>
        </w:rPr>
        <w:t xml:space="preserve"> (DRG</w:t>
      </w:r>
      <w:r w:rsidR="00AF03AA">
        <w:rPr>
          <w:rFonts w:eastAsia="Times New Roman" w:cstheme="minorHAnsi"/>
        </w:rPr>
        <w:t>s</w:t>
      </w:r>
      <w:r w:rsidR="007E2279" w:rsidRPr="00E6167F">
        <w:rPr>
          <w:rFonts w:eastAsia="Times New Roman" w:cstheme="minorHAnsi"/>
        </w:rPr>
        <w:t>)</w:t>
      </w:r>
      <w:r w:rsidR="004709BE" w:rsidRPr="00E6167F">
        <w:rPr>
          <w:rFonts w:eastAsia="Times New Roman" w:cstheme="minorHAnsi"/>
        </w:rPr>
        <w:t>.</w:t>
      </w:r>
      <w:r w:rsidR="00AB313F" w:rsidRPr="00E6167F">
        <w:rPr>
          <w:rFonts w:eastAsia="Times New Roman" w:cstheme="minorHAnsi"/>
        </w:rPr>
        <w:t xml:space="preserve"> </w:t>
      </w:r>
      <w:r w:rsidR="00F13E4C">
        <w:rPr>
          <w:rFonts w:eastAsia="Times New Roman" w:cstheme="minorHAnsi"/>
        </w:rPr>
        <w:t xml:space="preserve">Currently, funding for the </w:t>
      </w:r>
      <w:r w:rsidR="00AB313F" w:rsidRPr="00E6167F">
        <w:rPr>
          <w:rFonts w:eastAsia="Times New Roman" w:cstheme="minorHAnsi"/>
        </w:rPr>
        <w:t xml:space="preserve">SGBP accounts for </w:t>
      </w:r>
      <w:r w:rsidR="00F13E4C">
        <w:rPr>
          <w:rFonts w:eastAsia="Times New Roman" w:cstheme="minorHAnsi"/>
        </w:rPr>
        <w:t>nearly 8</w:t>
      </w:r>
      <w:r w:rsidR="00975C75" w:rsidRPr="00E6167F">
        <w:rPr>
          <w:rFonts w:eastAsia="Times New Roman" w:cstheme="minorHAnsi"/>
        </w:rPr>
        <w:t xml:space="preserve">0% of the total </w:t>
      </w:r>
      <w:r w:rsidR="00AB313F" w:rsidRPr="00E6167F">
        <w:rPr>
          <w:rFonts w:eastAsia="Times New Roman" w:cstheme="minorHAnsi"/>
        </w:rPr>
        <w:t>government health spending</w:t>
      </w:r>
      <w:r w:rsidR="00975C75" w:rsidRPr="00E6167F">
        <w:rPr>
          <w:rFonts w:eastAsia="Times New Roman" w:cstheme="minorHAnsi"/>
        </w:rPr>
        <w:t>.</w:t>
      </w:r>
    </w:p>
    <w:p w14:paraId="2A38E7D3" w14:textId="72A94D9F" w:rsidR="006D54B8" w:rsidRDefault="00710F7F" w:rsidP="00363D34">
      <w:pPr>
        <w:spacing w:after="120" w:line="240" w:lineRule="auto"/>
        <w:jc w:val="both"/>
        <w:rPr>
          <w:rFonts w:eastAsia="Times New Roman" w:cstheme="minorHAnsi"/>
        </w:rPr>
      </w:pPr>
      <w:r w:rsidRPr="00E6167F">
        <w:rPr>
          <w:rFonts w:eastAsia="Times New Roman" w:cstheme="minorHAnsi"/>
        </w:rPr>
        <w:t xml:space="preserve">Despite early successes in </w:t>
      </w:r>
      <w:r w:rsidR="002B1FE5">
        <w:rPr>
          <w:rFonts w:eastAsia="Times New Roman" w:cstheme="minorHAnsi"/>
        </w:rPr>
        <w:t xml:space="preserve">health system reforms and efforts to make </w:t>
      </w:r>
      <w:r w:rsidRPr="00E6167F">
        <w:rPr>
          <w:rFonts w:eastAsia="Times New Roman" w:cstheme="minorHAnsi"/>
        </w:rPr>
        <w:t xml:space="preserve">basic services available to the whole population, </w:t>
      </w:r>
      <w:r w:rsidR="00CE41DA" w:rsidRPr="00E6167F">
        <w:rPr>
          <w:rFonts w:eastAsia="Times New Roman" w:cstheme="minorHAnsi"/>
        </w:rPr>
        <w:t xml:space="preserve">the </w:t>
      </w:r>
      <w:r w:rsidRPr="00E6167F">
        <w:rPr>
          <w:rFonts w:eastAsia="Times New Roman" w:cstheme="minorHAnsi"/>
        </w:rPr>
        <w:t xml:space="preserve">Kyrgyz </w:t>
      </w:r>
      <w:r w:rsidR="00CE41DA" w:rsidRPr="00E6167F">
        <w:rPr>
          <w:rFonts w:eastAsia="Times New Roman" w:cstheme="minorHAnsi"/>
        </w:rPr>
        <w:t xml:space="preserve">Republic </w:t>
      </w:r>
      <w:r w:rsidRPr="00E6167F">
        <w:rPr>
          <w:rFonts w:eastAsia="Times New Roman" w:cstheme="minorHAnsi"/>
        </w:rPr>
        <w:t xml:space="preserve">is </w:t>
      </w:r>
      <w:r w:rsidR="005C7774">
        <w:rPr>
          <w:rFonts w:eastAsia="Times New Roman" w:cstheme="minorHAnsi"/>
        </w:rPr>
        <w:t xml:space="preserve">still struggling to attain </w:t>
      </w:r>
      <w:r w:rsidRPr="00E6167F">
        <w:rPr>
          <w:rFonts w:eastAsia="Times New Roman" w:cstheme="minorHAnsi"/>
        </w:rPr>
        <w:t xml:space="preserve">effective universal coverage. </w:t>
      </w:r>
      <w:r w:rsidR="00E722B4">
        <w:rPr>
          <w:rFonts w:eastAsia="Times New Roman" w:cstheme="minorHAnsi"/>
        </w:rPr>
        <w:t xml:space="preserve">Its population is </w:t>
      </w:r>
      <w:r w:rsidRPr="00E6167F">
        <w:rPr>
          <w:rFonts w:eastAsia="Times New Roman" w:cstheme="minorHAnsi"/>
        </w:rPr>
        <w:t>face</w:t>
      </w:r>
      <w:r w:rsidR="00E722B4">
        <w:rPr>
          <w:rFonts w:eastAsia="Times New Roman" w:cstheme="minorHAnsi"/>
        </w:rPr>
        <w:t>d</w:t>
      </w:r>
      <w:r w:rsidRPr="00E6167F">
        <w:rPr>
          <w:rFonts w:eastAsia="Times New Roman" w:cstheme="minorHAnsi"/>
        </w:rPr>
        <w:t xml:space="preserve"> </w:t>
      </w:r>
      <w:r w:rsidR="00111638">
        <w:rPr>
          <w:rFonts w:eastAsia="Times New Roman" w:cstheme="minorHAnsi"/>
        </w:rPr>
        <w:t xml:space="preserve">with </w:t>
      </w:r>
      <w:r w:rsidRPr="00E6167F">
        <w:rPr>
          <w:rFonts w:eastAsia="Times New Roman" w:cstheme="minorHAnsi"/>
        </w:rPr>
        <w:t xml:space="preserve">double </w:t>
      </w:r>
      <w:r w:rsidR="00111638">
        <w:rPr>
          <w:rFonts w:eastAsia="Times New Roman" w:cstheme="minorHAnsi"/>
        </w:rPr>
        <w:t xml:space="preserve">disease </w:t>
      </w:r>
      <w:r w:rsidRPr="00E6167F">
        <w:rPr>
          <w:rFonts w:eastAsia="Times New Roman" w:cstheme="minorHAnsi"/>
        </w:rPr>
        <w:t>burden</w:t>
      </w:r>
      <w:r w:rsidR="005F3153">
        <w:rPr>
          <w:rFonts w:eastAsia="Times New Roman" w:cstheme="minorHAnsi"/>
        </w:rPr>
        <w:t xml:space="preserve"> - </w:t>
      </w:r>
      <w:r w:rsidRPr="00E6167F">
        <w:rPr>
          <w:rFonts w:eastAsia="Times New Roman" w:cstheme="minorHAnsi"/>
        </w:rPr>
        <w:t xml:space="preserve">a growing </w:t>
      </w:r>
      <w:r w:rsidR="00363A4B">
        <w:rPr>
          <w:rFonts w:eastAsia="Times New Roman" w:cstheme="minorHAnsi"/>
        </w:rPr>
        <w:t xml:space="preserve">incidence </w:t>
      </w:r>
      <w:r w:rsidRPr="00E6167F">
        <w:rPr>
          <w:rFonts w:eastAsia="Times New Roman" w:cstheme="minorHAnsi"/>
        </w:rPr>
        <w:t xml:space="preserve">of </w:t>
      </w:r>
      <w:r w:rsidR="00111638">
        <w:rPr>
          <w:rFonts w:eastAsia="Times New Roman" w:cstheme="minorHAnsi"/>
        </w:rPr>
        <w:t xml:space="preserve">non-communicable diseases on top of the persistent </w:t>
      </w:r>
      <w:r w:rsidR="00363A4B">
        <w:rPr>
          <w:rFonts w:eastAsia="Times New Roman" w:cstheme="minorHAnsi"/>
        </w:rPr>
        <w:t xml:space="preserve">prevalence </w:t>
      </w:r>
      <w:r w:rsidR="00111638">
        <w:rPr>
          <w:rFonts w:eastAsia="Times New Roman" w:cstheme="minorHAnsi"/>
        </w:rPr>
        <w:t xml:space="preserve">of </w:t>
      </w:r>
      <w:r w:rsidR="00A117F3">
        <w:rPr>
          <w:rFonts w:eastAsia="Times New Roman" w:cstheme="minorHAnsi"/>
        </w:rPr>
        <w:t>some important communicable diseases</w:t>
      </w:r>
      <w:r w:rsidR="0024460C">
        <w:rPr>
          <w:rFonts w:eastAsia="Times New Roman" w:cstheme="minorHAnsi"/>
        </w:rPr>
        <w:t xml:space="preserve"> and</w:t>
      </w:r>
      <w:r w:rsidR="00A117F3">
        <w:rPr>
          <w:rFonts w:eastAsia="Times New Roman" w:cstheme="minorHAnsi"/>
        </w:rPr>
        <w:t xml:space="preserve"> </w:t>
      </w:r>
      <w:r w:rsidR="00702E45">
        <w:rPr>
          <w:rFonts w:eastAsia="Times New Roman" w:cstheme="minorHAnsi"/>
        </w:rPr>
        <w:t>maternal and child health</w:t>
      </w:r>
      <w:r w:rsidR="0024460C">
        <w:rPr>
          <w:rFonts w:eastAsia="Times New Roman" w:cstheme="minorHAnsi"/>
        </w:rPr>
        <w:t xml:space="preserve"> issues</w:t>
      </w:r>
      <w:r w:rsidRPr="00E6167F">
        <w:rPr>
          <w:rFonts w:eastAsia="Times New Roman" w:cstheme="minorHAnsi"/>
        </w:rPr>
        <w:t xml:space="preserve">. This situation imposes a considerable </w:t>
      </w:r>
      <w:r w:rsidR="00111638">
        <w:rPr>
          <w:rFonts w:eastAsia="Times New Roman" w:cstheme="minorHAnsi"/>
        </w:rPr>
        <w:t xml:space="preserve">financial </w:t>
      </w:r>
      <w:r w:rsidRPr="00E6167F">
        <w:rPr>
          <w:rFonts w:eastAsia="Times New Roman" w:cstheme="minorHAnsi"/>
        </w:rPr>
        <w:t xml:space="preserve">pressure on the health system.  Some other challenges are related to the inefficiency in resource use and ineffective financial protection </w:t>
      </w:r>
      <w:r w:rsidR="00B2011A">
        <w:rPr>
          <w:rFonts w:eastAsia="Times New Roman" w:cstheme="minorHAnsi"/>
        </w:rPr>
        <w:t>for the poor</w:t>
      </w:r>
      <w:r w:rsidRPr="00E6167F">
        <w:rPr>
          <w:rFonts w:eastAsia="Times New Roman" w:cstheme="minorHAnsi"/>
        </w:rPr>
        <w:t>. To ensure effective coverage of the SGBP</w:t>
      </w:r>
      <w:r w:rsidR="00111638">
        <w:rPr>
          <w:rFonts w:eastAsia="Times New Roman" w:cstheme="minorHAnsi"/>
        </w:rPr>
        <w:t xml:space="preserve">, there is a need to </w:t>
      </w:r>
      <w:r w:rsidRPr="00E6167F">
        <w:rPr>
          <w:rFonts w:eastAsia="Times New Roman" w:cstheme="minorHAnsi"/>
        </w:rPr>
        <w:t>refine its content and scope so that the benefits are aligned with the country health needs and available financial resources.</w:t>
      </w:r>
    </w:p>
    <w:p w14:paraId="4E9AB7A6" w14:textId="1AA8656A" w:rsidR="00C54366" w:rsidRDefault="00111638" w:rsidP="00363D34">
      <w:pPr>
        <w:spacing w:after="120" w:line="240" w:lineRule="auto"/>
        <w:jc w:val="both"/>
        <w:rPr>
          <w:rFonts w:eastAsia="Times New Roman" w:cstheme="minorHAnsi"/>
          <w:color w:val="000000"/>
        </w:rPr>
      </w:pPr>
      <w:r w:rsidRPr="006529AA">
        <w:rPr>
          <w:rFonts w:eastAsia="Times New Roman" w:cstheme="minorHAnsi"/>
        </w:rPr>
        <w:t xml:space="preserve">There have been several studies that directly or indirectly addressed the issue of the SGBP in the Kyrgyz Republic </w:t>
      </w:r>
      <w:r w:rsidR="006F0944" w:rsidRPr="006529AA">
        <w:rPr>
          <w:rFonts w:eastAsia="Times New Roman" w:cstheme="minorHAnsi"/>
        </w:rPr>
        <w:t>(</w:t>
      </w:r>
      <w:r w:rsidR="00A406B0" w:rsidRPr="006529AA">
        <w:rPr>
          <w:rFonts w:eastAsia="Times New Roman" w:cstheme="minorHAnsi"/>
        </w:rPr>
        <w:t xml:space="preserve">Giuffrida, </w:t>
      </w:r>
      <w:proofErr w:type="spellStart"/>
      <w:r w:rsidR="00A406B0" w:rsidRPr="006529AA">
        <w:rPr>
          <w:rFonts w:eastAsia="Times New Roman" w:cstheme="minorHAnsi"/>
        </w:rPr>
        <w:t>Jacab</w:t>
      </w:r>
      <w:proofErr w:type="spellEnd"/>
      <w:r w:rsidR="00A406B0" w:rsidRPr="006529AA">
        <w:rPr>
          <w:rFonts w:eastAsia="Times New Roman" w:cstheme="minorHAnsi"/>
        </w:rPr>
        <w:t>, and Dale, 2013</w:t>
      </w:r>
      <w:r w:rsidR="00227D17" w:rsidRPr="006529AA">
        <w:rPr>
          <w:rFonts w:eastAsia="Times New Roman" w:cstheme="minorHAnsi"/>
        </w:rPr>
        <w:t xml:space="preserve">; </w:t>
      </w:r>
      <w:proofErr w:type="spellStart"/>
      <w:r w:rsidR="00595202" w:rsidRPr="006529AA">
        <w:rPr>
          <w:rFonts w:eastAsia="Times New Roman" w:cstheme="minorHAnsi"/>
        </w:rPr>
        <w:t>Manjieva</w:t>
      </w:r>
      <w:proofErr w:type="spellEnd"/>
      <w:r w:rsidR="00595202" w:rsidRPr="006529AA">
        <w:rPr>
          <w:rFonts w:eastAsia="Times New Roman" w:cstheme="minorHAnsi"/>
        </w:rPr>
        <w:t xml:space="preserve"> et al., 2007</w:t>
      </w:r>
      <w:r w:rsidR="00227D17" w:rsidRPr="006529AA">
        <w:rPr>
          <w:rFonts w:eastAsia="Times New Roman" w:cstheme="minorHAnsi"/>
        </w:rPr>
        <w:t>)</w:t>
      </w:r>
      <w:r w:rsidR="00A67446" w:rsidRPr="006529AA">
        <w:rPr>
          <w:rFonts w:eastAsia="Times New Roman" w:cstheme="minorHAnsi"/>
        </w:rPr>
        <w:t xml:space="preserve">. </w:t>
      </w:r>
      <w:r w:rsidR="00BA0D00" w:rsidRPr="006529AA">
        <w:rPr>
          <w:rFonts w:eastAsia="Times New Roman" w:cstheme="minorHAnsi"/>
        </w:rPr>
        <w:t xml:space="preserve">They </w:t>
      </w:r>
      <w:r w:rsidR="0075191C" w:rsidRPr="006529AA">
        <w:rPr>
          <w:rFonts w:eastAsia="Times New Roman" w:cstheme="minorHAnsi"/>
        </w:rPr>
        <w:t xml:space="preserve">highlighted </w:t>
      </w:r>
      <w:r w:rsidR="00BA0D00" w:rsidRPr="006529AA">
        <w:rPr>
          <w:rFonts w:eastAsia="Times New Roman" w:cstheme="minorHAnsi"/>
        </w:rPr>
        <w:t xml:space="preserve">a </w:t>
      </w:r>
      <w:r w:rsidR="00A97079" w:rsidRPr="006529AA">
        <w:rPr>
          <w:rFonts w:eastAsia="Times New Roman" w:cstheme="minorHAnsi"/>
        </w:rPr>
        <w:t>persisten</w:t>
      </w:r>
      <w:r w:rsidR="00BA0D00" w:rsidRPr="006529AA">
        <w:rPr>
          <w:rFonts w:eastAsia="Times New Roman" w:cstheme="minorHAnsi"/>
        </w:rPr>
        <w:t>t</w:t>
      </w:r>
      <w:r w:rsidR="00A97079" w:rsidRPr="006529AA">
        <w:rPr>
          <w:rFonts w:eastAsia="Times New Roman" w:cstheme="minorHAnsi"/>
        </w:rPr>
        <w:t xml:space="preserve"> funding gap</w:t>
      </w:r>
      <w:r w:rsidR="000D3EF0" w:rsidRPr="006529AA">
        <w:rPr>
          <w:rFonts w:eastAsia="Times New Roman" w:cstheme="minorHAnsi"/>
        </w:rPr>
        <w:t xml:space="preserve">, which then contributed to </w:t>
      </w:r>
      <w:r w:rsidR="00DA3FBB" w:rsidRPr="006529AA">
        <w:rPr>
          <w:rFonts w:eastAsia="Times New Roman" w:cstheme="minorHAnsi"/>
        </w:rPr>
        <w:t>increasing ou</w:t>
      </w:r>
      <w:r w:rsidR="00BC1EA0" w:rsidRPr="006529AA">
        <w:rPr>
          <w:rFonts w:eastAsia="Times New Roman" w:cstheme="minorHAnsi"/>
        </w:rPr>
        <w:t>t</w:t>
      </w:r>
      <w:r w:rsidR="00DA3FBB" w:rsidRPr="006529AA">
        <w:rPr>
          <w:rFonts w:eastAsia="Times New Roman" w:cstheme="minorHAnsi"/>
        </w:rPr>
        <w:t>-of-pocket</w:t>
      </w:r>
      <w:r w:rsidR="00C740DE" w:rsidRPr="006529AA">
        <w:rPr>
          <w:rFonts w:eastAsia="Times New Roman" w:cstheme="minorHAnsi"/>
        </w:rPr>
        <w:t xml:space="preserve"> expenditure</w:t>
      </w:r>
      <w:r w:rsidR="005932DB" w:rsidRPr="006529AA">
        <w:rPr>
          <w:rFonts w:eastAsia="Times New Roman" w:cstheme="minorHAnsi"/>
        </w:rPr>
        <w:t>s,</w:t>
      </w:r>
      <w:r w:rsidR="00EC017D" w:rsidRPr="006529AA">
        <w:rPr>
          <w:rFonts w:eastAsia="Times New Roman" w:cstheme="minorHAnsi"/>
        </w:rPr>
        <w:t xml:space="preserve"> including informal payment</w:t>
      </w:r>
      <w:r w:rsidR="00BA0D00" w:rsidRPr="006529AA">
        <w:rPr>
          <w:rFonts w:eastAsia="Times New Roman" w:cstheme="minorHAnsi"/>
        </w:rPr>
        <w:t xml:space="preserve">. Previous studies also pointed to a large and increasing </w:t>
      </w:r>
      <w:r w:rsidR="00A97079" w:rsidRPr="006529AA">
        <w:rPr>
          <w:rFonts w:eastAsia="Times New Roman" w:cstheme="minorHAnsi"/>
        </w:rPr>
        <w:t xml:space="preserve">number of patients entitled to </w:t>
      </w:r>
      <w:r w:rsidR="00BA0D00" w:rsidRPr="006529AA">
        <w:rPr>
          <w:rFonts w:eastAsia="Times New Roman" w:cstheme="minorHAnsi"/>
        </w:rPr>
        <w:t>fee</w:t>
      </w:r>
      <w:r w:rsidR="00BA0D00">
        <w:rPr>
          <w:rFonts w:eastAsia="Times New Roman" w:cstheme="minorHAnsi"/>
          <w:color w:val="000000"/>
        </w:rPr>
        <w:t xml:space="preserve"> </w:t>
      </w:r>
      <w:r w:rsidR="00A97079" w:rsidRPr="00E6167F">
        <w:rPr>
          <w:rFonts w:eastAsia="Times New Roman" w:cstheme="minorHAnsi"/>
          <w:color w:val="000000"/>
        </w:rPr>
        <w:t>exemptions</w:t>
      </w:r>
      <w:r w:rsidR="00BA0D00">
        <w:rPr>
          <w:rFonts w:eastAsia="Times New Roman" w:cstheme="minorHAnsi"/>
          <w:color w:val="000000"/>
        </w:rPr>
        <w:t xml:space="preserve"> in the public hospitals, </w:t>
      </w:r>
      <w:r w:rsidR="00DA3FBB">
        <w:rPr>
          <w:rFonts w:eastAsia="Times New Roman" w:cstheme="minorHAnsi"/>
          <w:color w:val="000000"/>
        </w:rPr>
        <w:t>which impose</w:t>
      </w:r>
      <w:r w:rsidR="00A322E1">
        <w:rPr>
          <w:rFonts w:eastAsia="Times New Roman" w:cstheme="minorHAnsi"/>
          <w:color w:val="000000"/>
        </w:rPr>
        <w:t>d</w:t>
      </w:r>
      <w:r w:rsidR="00DA3FBB">
        <w:rPr>
          <w:rFonts w:eastAsia="Times New Roman" w:cstheme="minorHAnsi"/>
          <w:color w:val="000000"/>
        </w:rPr>
        <w:t xml:space="preserve"> a </w:t>
      </w:r>
      <w:r w:rsidR="00684F0C">
        <w:rPr>
          <w:rFonts w:eastAsia="Times New Roman" w:cstheme="minorHAnsi"/>
          <w:color w:val="000000"/>
        </w:rPr>
        <w:t xml:space="preserve">major </w:t>
      </w:r>
      <w:r w:rsidR="00B516D7">
        <w:rPr>
          <w:rFonts w:eastAsia="Times New Roman" w:cstheme="minorHAnsi"/>
          <w:color w:val="000000"/>
        </w:rPr>
        <w:t xml:space="preserve">burden </w:t>
      </w:r>
      <w:r w:rsidR="00684F0C">
        <w:rPr>
          <w:rFonts w:eastAsia="Times New Roman" w:cstheme="minorHAnsi"/>
          <w:color w:val="000000"/>
        </w:rPr>
        <w:t xml:space="preserve">on the already </w:t>
      </w:r>
      <w:r w:rsidR="00B516D7">
        <w:rPr>
          <w:rFonts w:eastAsia="Times New Roman" w:cstheme="minorHAnsi"/>
          <w:color w:val="000000"/>
        </w:rPr>
        <w:t xml:space="preserve">constrained </w:t>
      </w:r>
      <w:r w:rsidR="00682916">
        <w:rPr>
          <w:rFonts w:eastAsia="Times New Roman" w:cstheme="minorHAnsi"/>
          <w:color w:val="000000"/>
        </w:rPr>
        <w:t xml:space="preserve">resource envelop of the </w:t>
      </w:r>
      <w:r w:rsidR="00BA0D00">
        <w:rPr>
          <w:rFonts w:eastAsia="Times New Roman" w:cstheme="minorHAnsi"/>
          <w:color w:val="000000"/>
        </w:rPr>
        <w:t>SGBP</w:t>
      </w:r>
      <w:r w:rsidR="00AE7AD3" w:rsidRPr="00E6167F">
        <w:rPr>
          <w:rFonts w:eastAsia="Times New Roman" w:cstheme="minorHAnsi"/>
          <w:color w:val="000000"/>
        </w:rPr>
        <w:t xml:space="preserve">. </w:t>
      </w:r>
      <w:r w:rsidR="001C716D">
        <w:rPr>
          <w:rFonts w:eastAsia="Times New Roman" w:cstheme="minorHAnsi"/>
          <w:color w:val="000000"/>
        </w:rPr>
        <w:t>N</w:t>
      </w:r>
      <w:r w:rsidR="00585C62">
        <w:rPr>
          <w:rFonts w:eastAsia="Times New Roman" w:cstheme="minorHAnsi"/>
          <w:color w:val="000000"/>
        </w:rPr>
        <w:t xml:space="preserve">one of the studies </w:t>
      </w:r>
      <w:r w:rsidR="00C36F90">
        <w:rPr>
          <w:rFonts w:eastAsia="Times New Roman" w:cstheme="minorHAnsi"/>
          <w:color w:val="000000"/>
        </w:rPr>
        <w:t>dived deep into the granularity of the SGBP</w:t>
      </w:r>
      <w:r w:rsidR="00C36F90" w:rsidRPr="00E6167F">
        <w:rPr>
          <w:rFonts w:eastAsia="Times New Roman" w:cstheme="minorHAnsi"/>
          <w:color w:val="000000"/>
        </w:rPr>
        <w:t xml:space="preserve"> </w:t>
      </w:r>
      <w:r w:rsidR="00C36F90">
        <w:rPr>
          <w:rFonts w:eastAsia="Times New Roman" w:cstheme="minorHAnsi"/>
          <w:color w:val="000000"/>
        </w:rPr>
        <w:t xml:space="preserve">to </w:t>
      </w:r>
      <w:r w:rsidR="00A97079" w:rsidRPr="00E6167F">
        <w:rPr>
          <w:rFonts w:eastAsia="Times New Roman" w:cstheme="minorHAnsi"/>
          <w:color w:val="000000"/>
        </w:rPr>
        <w:t>analyze</w:t>
      </w:r>
      <w:r w:rsidR="00C54366">
        <w:rPr>
          <w:rFonts w:eastAsia="Times New Roman" w:cstheme="minorHAnsi"/>
          <w:color w:val="000000"/>
        </w:rPr>
        <w:t xml:space="preserve"> its</w:t>
      </w:r>
      <w:r w:rsidR="00BA0D00">
        <w:rPr>
          <w:rFonts w:eastAsia="Times New Roman" w:cstheme="minorHAnsi"/>
          <w:color w:val="000000"/>
        </w:rPr>
        <w:t xml:space="preserve"> </w:t>
      </w:r>
      <w:r w:rsidR="00A97079" w:rsidRPr="00E6167F">
        <w:rPr>
          <w:rFonts w:eastAsia="Times New Roman" w:cstheme="minorHAnsi"/>
          <w:color w:val="000000"/>
        </w:rPr>
        <w:t>structure</w:t>
      </w:r>
      <w:r w:rsidR="00C54366">
        <w:rPr>
          <w:rFonts w:eastAsia="Times New Roman" w:cstheme="minorHAnsi"/>
          <w:color w:val="000000"/>
        </w:rPr>
        <w:t xml:space="preserve"> and </w:t>
      </w:r>
      <w:r w:rsidR="00BA0D00">
        <w:rPr>
          <w:rFonts w:eastAsia="Times New Roman" w:cstheme="minorHAnsi"/>
          <w:color w:val="000000"/>
        </w:rPr>
        <w:t>offer</w:t>
      </w:r>
      <w:r w:rsidR="00241B14">
        <w:rPr>
          <w:rFonts w:eastAsia="Times New Roman" w:cstheme="minorHAnsi"/>
          <w:color w:val="000000"/>
        </w:rPr>
        <w:t xml:space="preserve"> </w:t>
      </w:r>
      <w:r w:rsidR="00BA0D00">
        <w:rPr>
          <w:rFonts w:eastAsia="Times New Roman" w:cstheme="minorHAnsi"/>
          <w:color w:val="000000"/>
        </w:rPr>
        <w:t>recommendation</w:t>
      </w:r>
      <w:r w:rsidR="00241B14">
        <w:rPr>
          <w:rFonts w:eastAsia="Times New Roman" w:cstheme="minorHAnsi"/>
          <w:color w:val="000000"/>
        </w:rPr>
        <w:t>s</w:t>
      </w:r>
      <w:r w:rsidR="003F7015">
        <w:rPr>
          <w:rFonts w:eastAsia="Times New Roman" w:cstheme="minorHAnsi"/>
          <w:color w:val="000000"/>
        </w:rPr>
        <w:t xml:space="preserve"> </w:t>
      </w:r>
      <w:r w:rsidR="002B29C3">
        <w:rPr>
          <w:rFonts w:eastAsia="Times New Roman" w:cstheme="minorHAnsi"/>
          <w:color w:val="000000"/>
        </w:rPr>
        <w:t xml:space="preserve">on how </w:t>
      </w:r>
      <w:r w:rsidR="003F7015">
        <w:rPr>
          <w:rFonts w:eastAsia="Times New Roman" w:cstheme="minorHAnsi"/>
          <w:color w:val="000000"/>
        </w:rPr>
        <w:t>to</w:t>
      </w:r>
      <w:r w:rsidR="00C54366">
        <w:rPr>
          <w:rFonts w:eastAsia="Times New Roman" w:cstheme="minorHAnsi"/>
          <w:color w:val="000000"/>
        </w:rPr>
        <w:t xml:space="preserve"> overcome its constraints. </w:t>
      </w:r>
    </w:p>
    <w:p w14:paraId="720E7131" w14:textId="210B47B0" w:rsidR="006912E2" w:rsidRPr="00E6167F" w:rsidRDefault="00111638" w:rsidP="00363D34">
      <w:pPr>
        <w:spacing w:after="120" w:line="240" w:lineRule="auto"/>
        <w:jc w:val="both"/>
        <w:rPr>
          <w:rFonts w:eastAsia="Times New Roman" w:cstheme="minorHAnsi"/>
          <w:color w:val="000000"/>
        </w:rPr>
      </w:pPr>
      <w:r w:rsidRPr="00E6167F">
        <w:rPr>
          <w:rFonts w:eastAsia="Times New Roman" w:cstheme="minorHAnsi"/>
          <w:color w:val="000000"/>
        </w:rPr>
        <w:t xml:space="preserve">The current </w:t>
      </w:r>
      <w:r>
        <w:rPr>
          <w:rFonts w:eastAsia="Times New Roman" w:cstheme="minorHAnsi"/>
          <w:color w:val="000000"/>
        </w:rPr>
        <w:t xml:space="preserve">paper </w:t>
      </w:r>
      <w:r w:rsidRPr="00E6167F">
        <w:rPr>
          <w:rFonts w:eastAsia="Times New Roman" w:cstheme="minorHAnsi"/>
          <w:color w:val="000000"/>
        </w:rPr>
        <w:t xml:space="preserve">provides a </w:t>
      </w:r>
      <w:r>
        <w:rPr>
          <w:rFonts w:eastAsia="Times New Roman" w:cstheme="minorHAnsi"/>
          <w:color w:val="000000"/>
        </w:rPr>
        <w:t xml:space="preserve">critical </w:t>
      </w:r>
      <w:r w:rsidRPr="00E6167F">
        <w:rPr>
          <w:rFonts w:eastAsia="Times New Roman" w:cstheme="minorHAnsi"/>
          <w:color w:val="000000"/>
        </w:rPr>
        <w:t xml:space="preserve">review of the health benefit package </w:t>
      </w:r>
      <w:r w:rsidR="001D7B48">
        <w:rPr>
          <w:rFonts w:eastAsia="Times New Roman" w:cstheme="minorHAnsi"/>
          <w:color w:val="000000"/>
        </w:rPr>
        <w:t xml:space="preserve">in the Kyrgyz Republic </w:t>
      </w:r>
      <w:r w:rsidRPr="00E6167F">
        <w:rPr>
          <w:rFonts w:eastAsia="Times New Roman" w:cstheme="minorHAnsi"/>
          <w:color w:val="000000"/>
        </w:rPr>
        <w:t xml:space="preserve">and offers </w:t>
      </w:r>
      <w:r w:rsidR="0024518D">
        <w:rPr>
          <w:rFonts w:eastAsia="Times New Roman" w:cstheme="minorHAnsi"/>
          <w:color w:val="000000"/>
        </w:rPr>
        <w:t xml:space="preserve">several </w:t>
      </w:r>
      <w:r>
        <w:rPr>
          <w:rFonts w:eastAsia="Times New Roman" w:cstheme="minorHAnsi"/>
          <w:color w:val="000000"/>
        </w:rPr>
        <w:t xml:space="preserve">directions for </w:t>
      </w:r>
      <w:r w:rsidRPr="00E6167F">
        <w:rPr>
          <w:rFonts w:eastAsia="Times New Roman" w:cstheme="minorHAnsi"/>
          <w:color w:val="000000"/>
        </w:rPr>
        <w:t xml:space="preserve">its revision. </w:t>
      </w:r>
      <w:r w:rsidR="0083423A">
        <w:rPr>
          <w:rFonts w:eastAsia="Times New Roman" w:cstheme="minorHAnsi"/>
          <w:color w:val="000000"/>
        </w:rPr>
        <w:t xml:space="preserve">It represents a significant addition to the existing literature in </w:t>
      </w:r>
      <w:r w:rsidR="003F7015">
        <w:rPr>
          <w:rFonts w:eastAsia="Times New Roman" w:cstheme="minorHAnsi"/>
          <w:color w:val="000000"/>
        </w:rPr>
        <w:t>several ways</w:t>
      </w:r>
      <w:r w:rsidR="002F5749">
        <w:rPr>
          <w:rFonts w:eastAsia="Times New Roman" w:cstheme="minorHAnsi"/>
          <w:color w:val="000000"/>
        </w:rPr>
        <w:t xml:space="preserve">. First, </w:t>
      </w:r>
      <w:r w:rsidR="00F605F4">
        <w:rPr>
          <w:rFonts w:eastAsia="Times New Roman" w:cstheme="minorHAnsi"/>
          <w:color w:val="000000"/>
        </w:rPr>
        <w:t xml:space="preserve">it highlights </w:t>
      </w:r>
      <w:r w:rsidR="0083423A">
        <w:rPr>
          <w:rFonts w:eastAsia="Times New Roman" w:cstheme="minorHAnsi"/>
          <w:color w:val="000000"/>
        </w:rPr>
        <w:t xml:space="preserve">the key bottlenecks </w:t>
      </w:r>
      <w:r w:rsidR="0058612F">
        <w:rPr>
          <w:rFonts w:eastAsia="Times New Roman" w:cstheme="minorHAnsi"/>
          <w:color w:val="000000"/>
        </w:rPr>
        <w:t xml:space="preserve">limiting </w:t>
      </w:r>
      <w:r w:rsidR="0083423A">
        <w:rPr>
          <w:rFonts w:eastAsia="Times New Roman" w:cstheme="minorHAnsi"/>
          <w:color w:val="000000"/>
        </w:rPr>
        <w:t>the SGBP</w:t>
      </w:r>
      <w:r w:rsidR="0058612F">
        <w:rPr>
          <w:rFonts w:eastAsia="Times New Roman" w:cstheme="minorHAnsi"/>
          <w:color w:val="000000"/>
        </w:rPr>
        <w:t xml:space="preserve">’s ability to serve as an </w:t>
      </w:r>
      <w:r w:rsidR="0083423A">
        <w:rPr>
          <w:rFonts w:eastAsia="Times New Roman" w:cstheme="minorHAnsi"/>
          <w:color w:val="000000"/>
        </w:rPr>
        <w:t xml:space="preserve">instrument </w:t>
      </w:r>
      <w:r w:rsidR="0058612F">
        <w:rPr>
          <w:rFonts w:eastAsia="Times New Roman" w:cstheme="minorHAnsi"/>
          <w:color w:val="000000"/>
        </w:rPr>
        <w:t xml:space="preserve">for achieving </w:t>
      </w:r>
      <w:r w:rsidR="0083423A">
        <w:rPr>
          <w:rFonts w:eastAsia="Times New Roman" w:cstheme="minorHAnsi"/>
          <w:color w:val="000000"/>
        </w:rPr>
        <w:t>effective universal health coverage</w:t>
      </w:r>
      <w:r w:rsidR="00F839A9">
        <w:rPr>
          <w:rFonts w:eastAsia="Times New Roman" w:cstheme="minorHAnsi"/>
          <w:color w:val="000000"/>
        </w:rPr>
        <w:t>.</w:t>
      </w:r>
      <w:r w:rsidR="0058612F">
        <w:rPr>
          <w:rFonts w:eastAsia="Times New Roman" w:cstheme="minorHAnsi"/>
          <w:color w:val="000000"/>
        </w:rPr>
        <w:t xml:space="preserve"> </w:t>
      </w:r>
      <w:r w:rsidR="00F839A9">
        <w:rPr>
          <w:rFonts w:eastAsia="Times New Roman" w:cstheme="minorHAnsi"/>
          <w:color w:val="000000"/>
        </w:rPr>
        <w:t>I</w:t>
      </w:r>
      <w:r w:rsidR="0083423A">
        <w:rPr>
          <w:rFonts w:eastAsia="Times New Roman" w:cstheme="minorHAnsi"/>
          <w:color w:val="000000"/>
        </w:rPr>
        <w:t xml:space="preserve">t </w:t>
      </w:r>
      <w:r w:rsidR="00F839A9">
        <w:rPr>
          <w:rFonts w:eastAsia="Times New Roman" w:cstheme="minorHAnsi"/>
          <w:color w:val="000000"/>
        </w:rPr>
        <w:t xml:space="preserve">then </w:t>
      </w:r>
      <w:r w:rsidR="0083423A">
        <w:rPr>
          <w:rFonts w:eastAsia="Times New Roman" w:cstheme="minorHAnsi"/>
          <w:color w:val="000000"/>
        </w:rPr>
        <w:t xml:space="preserve">offers practical recommendations </w:t>
      </w:r>
      <w:r w:rsidR="00D7545A">
        <w:rPr>
          <w:rFonts w:eastAsia="Times New Roman" w:cstheme="minorHAnsi"/>
          <w:color w:val="000000"/>
        </w:rPr>
        <w:t>to gui</w:t>
      </w:r>
      <w:r w:rsidR="006D4A30">
        <w:rPr>
          <w:rFonts w:eastAsia="Times New Roman" w:cstheme="minorHAnsi"/>
          <w:color w:val="000000"/>
        </w:rPr>
        <w:t>de the revisions of the SGBP</w:t>
      </w:r>
      <w:r w:rsidR="00D667DF">
        <w:rPr>
          <w:rFonts w:eastAsia="Times New Roman" w:cstheme="minorHAnsi"/>
          <w:color w:val="000000"/>
        </w:rPr>
        <w:t xml:space="preserve">. </w:t>
      </w:r>
      <w:r w:rsidR="006912E2" w:rsidRPr="00E6167F">
        <w:rPr>
          <w:rFonts w:eastAsia="Times New Roman" w:cstheme="minorHAnsi"/>
          <w:color w:val="000000"/>
        </w:rPr>
        <w:t>The primary audience of this paper is key health sector stakeholders in the Kyrgyz Republic</w:t>
      </w:r>
      <w:r w:rsidR="00D667DF">
        <w:rPr>
          <w:rFonts w:eastAsia="Times New Roman" w:cstheme="minorHAnsi"/>
          <w:color w:val="000000"/>
        </w:rPr>
        <w:t xml:space="preserve">, </w:t>
      </w:r>
      <w:r w:rsidR="006435EE">
        <w:rPr>
          <w:rFonts w:eastAsia="Times New Roman" w:cstheme="minorHAnsi"/>
          <w:color w:val="000000"/>
        </w:rPr>
        <w:t xml:space="preserve">in particular </w:t>
      </w:r>
      <w:r w:rsidR="00D667DF">
        <w:rPr>
          <w:rFonts w:eastAsia="Times New Roman" w:cstheme="minorHAnsi"/>
          <w:color w:val="000000"/>
        </w:rPr>
        <w:t xml:space="preserve">the </w:t>
      </w:r>
      <w:r w:rsidR="006435EE">
        <w:rPr>
          <w:rFonts w:eastAsia="Times New Roman" w:cstheme="minorHAnsi"/>
          <w:color w:val="000000"/>
        </w:rPr>
        <w:t>Ministry of Health (</w:t>
      </w:r>
      <w:proofErr w:type="spellStart"/>
      <w:r w:rsidR="006435EE">
        <w:rPr>
          <w:rFonts w:eastAsia="Times New Roman" w:cstheme="minorHAnsi"/>
          <w:color w:val="000000"/>
        </w:rPr>
        <w:t>M</w:t>
      </w:r>
      <w:r w:rsidR="00B121D5">
        <w:rPr>
          <w:rFonts w:eastAsia="Times New Roman" w:cstheme="minorHAnsi"/>
          <w:color w:val="000000"/>
        </w:rPr>
        <w:t>o</w:t>
      </w:r>
      <w:r w:rsidR="006435EE">
        <w:rPr>
          <w:rFonts w:eastAsia="Times New Roman" w:cstheme="minorHAnsi"/>
          <w:color w:val="000000"/>
        </w:rPr>
        <w:t>H</w:t>
      </w:r>
      <w:proofErr w:type="spellEnd"/>
      <w:r w:rsidR="006435EE">
        <w:rPr>
          <w:rFonts w:eastAsia="Times New Roman" w:cstheme="minorHAnsi"/>
          <w:color w:val="000000"/>
        </w:rPr>
        <w:t>), MHIF, Ministry of Finance (</w:t>
      </w:r>
      <w:proofErr w:type="spellStart"/>
      <w:r w:rsidR="006435EE">
        <w:rPr>
          <w:rFonts w:eastAsia="Times New Roman" w:cstheme="minorHAnsi"/>
          <w:color w:val="000000"/>
        </w:rPr>
        <w:t>MoF</w:t>
      </w:r>
      <w:proofErr w:type="spellEnd"/>
      <w:r w:rsidR="006435EE">
        <w:rPr>
          <w:rFonts w:eastAsia="Times New Roman" w:cstheme="minorHAnsi"/>
          <w:color w:val="000000"/>
        </w:rPr>
        <w:t xml:space="preserve">), and Ministry of Labor and Social Development </w:t>
      </w:r>
      <w:r w:rsidR="00975DA5">
        <w:rPr>
          <w:rFonts w:eastAsia="Times New Roman" w:cstheme="minorHAnsi"/>
          <w:color w:val="000000"/>
        </w:rPr>
        <w:t>(</w:t>
      </w:r>
      <w:proofErr w:type="spellStart"/>
      <w:r w:rsidR="006435EE">
        <w:rPr>
          <w:rFonts w:eastAsia="Times New Roman" w:cstheme="minorHAnsi"/>
          <w:color w:val="000000"/>
        </w:rPr>
        <w:t>MoLSD</w:t>
      </w:r>
      <w:proofErr w:type="spellEnd"/>
      <w:r w:rsidR="006435EE">
        <w:rPr>
          <w:rFonts w:eastAsia="Times New Roman" w:cstheme="minorHAnsi"/>
          <w:color w:val="000000"/>
        </w:rPr>
        <w:t>)</w:t>
      </w:r>
      <w:r w:rsidR="006912E2" w:rsidRPr="00E6167F">
        <w:rPr>
          <w:rFonts w:eastAsia="Times New Roman" w:cstheme="minorHAnsi"/>
          <w:color w:val="000000"/>
        </w:rPr>
        <w:t xml:space="preserve">. </w:t>
      </w:r>
      <w:r w:rsidR="00F839A9">
        <w:rPr>
          <w:rFonts w:eastAsia="Times New Roman" w:cstheme="minorHAnsi"/>
          <w:color w:val="000000"/>
        </w:rPr>
        <w:t xml:space="preserve">As the country </w:t>
      </w:r>
      <w:r w:rsidR="00605B65">
        <w:rPr>
          <w:rFonts w:eastAsia="Times New Roman" w:cstheme="minorHAnsi"/>
          <w:color w:val="000000"/>
        </w:rPr>
        <w:t>determines</w:t>
      </w:r>
      <w:r w:rsidR="00F839A9">
        <w:rPr>
          <w:rFonts w:eastAsia="Times New Roman" w:cstheme="minorHAnsi"/>
          <w:color w:val="000000"/>
        </w:rPr>
        <w:t xml:space="preserve"> to take </w:t>
      </w:r>
      <w:r w:rsidR="00677B60">
        <w:rPr>
          <w:rFonts w:eastAsia="Times New Roman" w:cstheme="minorHAnsi"/>
          <w:color w:val="000000"/>
        </w:rPr>
        <w:t xml:space="preserve">systematic steps in revising the SGBP in the coming years, </w:t>
      </w:r>
      <w:r w:rsidR="00610BB3">
        <w:rPr>
          <w:rFonts w:eastAsia="Times New Roman" w:cstheme="minorHAnsi"/>
          <w:color w:val="000000"/>
        </w:rPr>
        <w:t>th</w:t>
      </w:r>
      <w:r w:rsidR="00A74FA2">
        <w:rPr>
          <w:rFonts w:eastAsia="Times New Roman" w:cstheme="minorHAnsi"/>
          <w:color w:val="000000"/>
        </w:rPr>
        <w:t>is</w:t>
      </w:r>
      <w:r w:rsidR="00610BB3">
        <w:rPr>
          <w:rFonts w:eastAsia="Times New Roman" w:cstheme="minorHAnsi"/>
          <w:color w:val="000000"/>
        </w:rPr>
        <w:t xml:space="preserve"> paper will </w:t>
      </w:r>
      <w:r w:rsidR="005077CF">
        <w:rPr>
          <w:rFonts w:eastAsia="Times New Roman" w:cstheme="minorHAnsi"/>
          <w:color w:val="000000"/>
        </w:rPr>
        <w:t xml:space="preserve">provide </w:t>
      </w:r>
      <w:r w:rsidR="00610BB3">
        <w:rPr>
          <w:rFonts w:eastAsia="Times New Roman" w:cstheme="minorHAnsi"/>
          <w:color w:val="000000"/>
        </w:rPr>
        <w:t xml:space="preserve">a useful framework to guide such </w:t>
      </w:r>
      <w:r w:rsidR="00AD30B5">
        <w:rPr>
          <w:rFonts w:eastAsia="Times New Roman" w:cstheme="minorHAnsi"/>
          <w:color w:val="000000"/>
        </w:rPr>
        <w:t>efforts</w:t>
      </w:r>
      <w:r w:rsidR="00610BB3">
        <w:rPr>
          <w:rFonts w:eastAsia="Times New Roman" w:cstheme="minorHAnsi"/>
          <w:color w:val="000000"/>
        </w:rPr>
        <w:t xml:space="preserve">. </w:t>
      </w:r>
      <w:r w:rsidR="00066F62" w:rsidRPr="00E6167F">
        <w:rPr>
          <w:rFonts w:eastAsia="Times New Roman" w:cstheme="minorHAnsi"/>
          <w:color w:val="000000"/>
        </w:rPr>
        <w:t xml:space="preserve">In addition, </w:t>
      </w:r>
      <w:r w:rsidR="00665E88">
        <w:rPr>
          <w:rFonts w:eastAsia="Times New Roman" w:cstheme="minorHAnsi"/>
          <w:color w:val="000000"/>
        </w:rPr>
        <w:t xml:space="preserve">by sharing the </w:t>
      </w:r>
      <w:r w:rsidR="00066F62" w:rsidRPr="00E6167F">
        <w:rPr>
          <w:rFonts w:eastAsia="Times New Roman" w:cstheme="minorHAnsi"/>
          <w:color w:val="000000"/>
        </w:rPr>
        <w:t>Kyrgyz experience</w:t>
      </w:r>
      <w:r w:rsidR="00665E88">
        <w:rPr>
          <w:rFonts w:eastAsia="Times New Roman" w:cstheme="minorHAnsi"/>
          <w:color w:val="000000"/>
        </w:rPr>
        <w:t>,</w:t>
      </w:r>
      <w:r w:rsidR="00066F62" w:rsidRPr="00E6167F">
        <w:rPr>
          <w:rFonts w:eastAsia="Times New Roman" w:cstheme="minorHAnsi"/>
          <w:color w:val="000000"/>
        </w:rPr>
        <w:t xml:space="preserve"> </w:t>
      </w:r>
      <w:r w:rsidR="007560CC">
        <w:rPr>
          <w:rFonts w:eastAsia="Times New Roman" w:cstheme="minorHAnsi"/>
          <w:color w:val="000000"/>
        </w:rPr>
        <w:t xml:space="preserve">the paper contributes to the international </w:t>
      </w:r>
      <w:r w:rsidR="00CD4A0B">
        <w:rPr>
          <w:rFonts w:eastAsia="Times New Roman" w:cstheme="minorHAnsi"/>
          <w:color w:val="000000"/>
        </w:rPr>
        <w:t>literature</w:t>
      </w:r>
      <w:r w:rsidR="00A93E1F">
        <w:rPr>
          <w:rFonts w:eastAsia="Times New Roman" w:cstheme="minorHAnsi"/>
          <w:color w:val="000000"/>
        </w:rPr>
        <w:t>,</w:t>
      </w:r>
      <w:r w:rsidR="005661FF">
        <w:rPr>
          <w:rFonts w:eastAsia="Times New Roman" w:cstheme="minorHAnsi"/>
          <w:color w:val="000000"/>
        </w:rPr>
        <w:t xml:space="preserve"> which so far mainly </w:t>
      </w:r>
      <w:r w:rsidR="00C81DB9">
        <w:rPr>
          <w:rFonts w:eastAsia="Times New Roman" w:cstheme="minorHAnsi"/>
          <w:color w:val="000000"/>
        </w:rPr>
        <w:t xml:space="preserve">touches upon broad </w:t>
      </w:r>
      <w:r w:rsidR="008D0BE4">
        <w:rPr>
          <w:rFonts w:eastAsia="Times New Roman" w:cstheme="minorHAnsi"/>
          <w:color w:val="000000"/>
        </w:rPr>
        <w:t xml:space="preserve">level </w:t>
      </w:r>
      <w:r w:rsidR="00D62C21" w:rsidRPr="00E6167F">
        <w:rPr>
          <w:rFonts w:eastAsia="Times New Roman" w:cstheme="minorHAnsi"/>
          <w:color w:val="000000"/>
        </w:rPr>
        <w:t xml:space="preserve">principles </w:t>
      </w:r>
      <w:r w:rsidR="005661FF">
        <w:rPr>
          <w:rFonts w:eastAsia="Times New Roman" w:cstheme="minorHAnsi"/>
          <w:color w:val="000000"/>
        </w:rPr>
        <w:t>of health benefit package</w:t>
      </w:r>
      <w:r w:rsidR="00A93E1F">
        <w:rPr>
          <w:rFonts w:eastAsia="Times New Roman" w:cstheme="minorHAnsi"/>
          <w:color w:val="000000"/>
        </w:rPr>
        <w:t>s</w:t>
      </w:r>
      <w:r w:rsidR="00635A9B">
        <w:rPr>
          <w:rFonts w:eastAsia="Times New Roman" w:cstheme="minorHAnsi"/>
          <w:color w:val="000000"/>
        </w:rPr>
        <w:t xml:space="preserve">. As more and more countries </w:t>
      </w:r>
      <w:r w:rsidR="0052122D">
        <w:rPr>
          <w:rFonts w:eastAsia="Times New Roman" w:cstheme="minorHAnsi"/>
          <w:color w:val="000000"/>
        </w:rPr>
        <w:t xml:space="preserve">are </w:t>
      </w:r>
      <w:r w:rsidR="007560CC">
        <w:rPr>
          <w:rFonts w:eastAsia="Times New Roman" w:cstheme="minorHAnsi"/>
          <w:color w:val="000000"/>
        </w:rPr>
        <w:t xml:space="preserve">struggling to </w:t>
      </w:r>
      <w:r w:rsidR="0004120E">
        <w:rPr>
          <w:rFonts w:eastAsia="Times New Roman" w:cstheme="minorHAnsi"/>
          <w:color w:val="000000"/>
        </w:rPr>
        <w:t xml:space="preserve">balance </w:t>
      </w:r>
      <w:r w:rsidR="003F0A78">
        <w:rPr>
          <w:rFonts w:eastAsia="Times New Roman" w:cstheme="minorHAnsi"/>
          <w:color w:val="000000"/>
        </w:rPr>
        <w:t xml:space="preserve">between </w:t>
      </w:r>
      <w:r w:rsidR="0004120E">
        <w:rPr>
          <w:rFonts w:eastAsia="Times New Roman" w:cstheme="minorHAnsi"/>
          <w:color w:val="000000"/>
        </w:rPr>
        <w:t>ambitions and constrain</w:t>
      </w:r>
      <w:r w:rsidR="00D73313">
        <w:rPr>
          <w:rFonts w:eastAsia="Times New Roman" w:cstheme="minorHAnsi"/>
          <w:color w:val="000000"/>
        </w:rPr>
        <w:t>t</w:t>
      </w:r>
      <w:r w:rsidR="0004120E">
        <w:rPr>
          <w:rFonts w:eastAsia="Times New Roman" w:cstheme="minorHAnsi"/>
          <w:color w:val="000000"/>
        </w:rPr>
        <w:t xml:space="preserve">s </w:t>
      </w:r>
      <w:r w:rsidR="00EE5689">
        <w:rPr>
          <w:rFonts w:eastAsia="Times New Roman" w:cstheme="minorHAnsi"/>
          <w:color w:val="000000"/>
        </w:rPr>
        <w:t xml:space="preserve">in defining and revising </w:t>
      </w:r>
      <w:r w:rsidR="00680CEC">
        <w:rPr>
          <w:rFonts w:eastAsia="Times New Roman" w:cstheme="minorHAnsi"/>
          <w:color w:val="000000"/>
        </w:rPr>
        <w:t>their health benefit package</w:t>
      </w:r>
      <w:r w:rsidR="005A2966">
        <w:rPr>
          <w:rFonts w:eastAsia="Times New Roman" w:cstheme="minorHAnsi"/>
          <w:color w:val="000000"/>
        </w:rPr>
        <w:t xml:space="preserve">, the lessons from the Kyrgyz Republic will be useful for them </w:t>
      </w:r>
      <w:r w:rsidR="00680CEC">
        <w:rPr>
          <w:rFonts w:eastAsia="Times New Roman" w:cstheme="minorHAnsi"/>
          <w:color w:val="000000"/>
        </w:rPr>
        <w:t>in developing</w:t>
      </w:r>
      <w:r w:rsidR="00A94069">
        <w:rPr>
          <w:rFonts w:eastAsia="Times New Roman" w:cstheme="minorHAnsi"/>
          <w:color w:val="000000"/>
        </w:rPr>
        <w:t xml:space="preserve"> their own</w:t>
      </w:r>
      <w:r w:rsidR="00680CEC">
        <w:rPr>
          <w:rFonts w:eastAsia="Times New Roman" w:cstheme="minorHAnsi"/>
          <w:color w:val="000000"/>
        </w:rPr>
        <w:t xml:space="preserve"> </w:t>
      </w:r>
      <w:r w:rsidR="007560CC">
        <w:rPr>
          <w:rFonts w:eastAsia="Times New Roman" w:cstheme="minorHAnsi"/>
          <w:color w:val="000000"/>
        </w:rPr>
        <w:t xml:space="preserve">practical solutions. </w:t>
      </w:r>
    </w:p>
    <w:p w14:paraId="4DDA331F" w14:textId="61AA6A1C" w:rsidR="009A2E42" w:rsidRDefault="009A2E42" w:rsidP="00363D34">
      <w:pPr>
        <w:spacing w:line="240" w:lineRule="auto"/>
        <w:jc w:val="both"/>
        <w:rPr>
          <w:rFonts w:eastAsia="Times New Roman" w:cstheme="minorHAnsi"/>
        </w:rPr>
      </w:pPr>
      <w:r w:rsidRPr="00BC1EA0">
        <w:rPr>
          <w:rFonts w:eastAsia="Times New Roman" w:cstheme="minorHAnsi"/>
        </w:rPr>
        <w:t xml:space="preserve">In the followings, section 2 </w:t>
      </w:r>
      <w:r w:rsidR="00BC6F94" w:rsidRPr="00BC1EA0">
        <w:rPr>
          <w:rFonts w:eastAsia="Times New Roman" w:cstheme="minorHAnsi"/>
        </w:rPr>
        <w:t xml:space="preserve">sets the stage with </w:t>
      </w:r>
      <w:r w:rsidR="003458AF" w:rsidRPr="00BC1EA0">
        <w:rPr>
          <w:rFonts w:eastAsia="Times New Roman" w:cstheme="minorHAnsi"/>
        </w:rPr>
        <w:t xml:space="preserve">a brief review of </w:t>
      </w:r>
      <w:r w:rsidR="009F20C6" w:rsidRPr="00BC1EA0">
        <w:rPr>
          <w:rFonts w:eastAsia="Times New Roman" w:cstheme="minorHAnsi"/>
        </w:rPr>
        <w:t xml:space="preserve">common </w:t>
      </w:r>
      <w:r w:rsidR="003458AF" w:rsidRPr="00BC1EA0">
        <w:rPr>
          <w:rFonts w:eastAsia="Times New Roman" w:cstheme="minorHAnsi"/>
        </w:rPr>
        <w:t>approaches in defin</w:t>
      </w:r>
      <w:r w:rsidR="009F20C6" w:rsidRPr="00BC1EA0">
        <w:rPr>
          <w:rFonts w:eastAsia="Times New Roman" w:cstheme="minorHAnsi"/>
        </w:rPr>
        <w:t>ing health benefit package</w:t>
      </w:r>
      <w:r w:rsidR="002F7BB0">
        <w:rPr>
          <w:rFonts w:eastAsia="Times New Roman" w:cstheme="minorHAnsi"/>
        </w:rPr>
        <w:t>s</w:t>
      </w:r>
      <w:r w:rsidR="009F20C6" w:rsidRPr="00BC1EA0">
        <w:rPr>
          <w:rFonts w:eastAsia="Times New Roman" w:cstheme="minorHAnsi"/>
        </w:rPr>
        <w:t xml:space="preserve">. </w:t>
      </w:r>
      <w:r w:rsidR="00BC5470" w:rsidRPr="00BC1EA0">
        <w:rPr>
          <w:rFonts w:eastAsia="Times New Roman" w:cstheme="minorHAnsi"/>
        </w:rPr>
        <w:t xml:space="preserve">Section 3 starts with </w:t>
      </w:r>
      <w:r w:rsidRPr="00BC1EA0">
        <w:rPr>
          <w:rFonts w:eastAsia="Times New Roman" w:cstheme="minorHAnsi"/>
        </w:rPr>
        <w:t xml:space="preserve">a description of the </w:t>
      </w:r>
      <w:r w:rsidR="00EF62F3" w:rsidRPr="00BC1EA0">
        <w:rPr>
          <w:rFonts w:eastAsia="Times New Roman" w:cstheme="minorHAnsi"/>
        </w:rPr>
        <w:t xml:space="preserve">“statutory benefit package” </w:t>
      </w:r>
      <w:r w:rsidR="00E93413" w:rsidRPr="00BC1EA0">
        <w:rPr>
          <w:rFonts w:eastAsia="Times New Roman" w:cstheme="minorHAnsi"/>
        </w:rPr>
        <w:t xml:space="preserve">in the Kyrgyz Republic </w:t>
      </w:r>
      <w:r w:rsidR="00EF62F3" w:rsidRPr="00BC1EA0">
        <w:rPr>
          <w:rFonts w:eastAsia="Times New Roman" w:cstheme="minorHAnsi"/>
        </w:rPr>
        <w:t xml:space="preserve">– the </w:t>
      </w:r>
      <w:r w:rsidRPr="00BC1EA0">
        <w:rPr>
          <w:rFonts w:eastAsia="Times New Roman" w:cstheme="minorHAnsi"/>
        </w:rPr>
        <w:t xml:space="preserve">SGBP as </w:t>
      </w:r>
      <w:r w:rsidR="00961149" w:rsidRPr="00BC1EA0">
        <w:rPr>
          <w:rFonts w:eastAsia="Times New Roman" w:cstheme="minorHAnsi"/>
        </w:rPr>
        <w:t xml:space="preserve">it </w:t>
      </w:r>
      <w:r w:rsidR="00EF62F3" w:rsidRPr="00BC1EA0">
        <w:rPr>
          <w:rFonts w:eastAsia="Times New Roman" w:cstheme="minorHAnsi"/>
        </w:rPr>
        <w:t xml:space="preserve">is specified in </w:t>
      </w:r>
      <w:r w:rsidR="008425F7">
        <w:rPr>
          <w:rFonts w:eastAsia="Times New Roman" w:cstheme="minorHAnsi"/>
        </w:rPr>
        <w:t xml:space="preserve">the </w:t>
      </w:r>
      <w:r w:rsidR="00C3310C" w:rsidRPr="00BC1EA0">
        <w:rPr>
          <w:rFonts w:eastAsia="Times New Roman" w:cstheme="minorHAnsi"/>
        </w:rPr>
        <w:t>legal documents</w:t>
      </w:r>
      <w:r w:rsidR="00A20F6E" w:rsidRPr="00BC1EA0">
        <w:rPr>
          <w:rFonts w:eastAsia="Times New Roman" w:cstheme="minorHAnsi"/>
        </w:rPr>
        <w:t xml:space="preserve"> – and provides a critical assessment of </w:t>
      </w:r>
      <w:r w:rsidR="00592666" w:rsidRPr="00BC1EA0">
        <w:rPr>
          <w:rFonts w:eastAsia="Times New Roman" w:cstheme="minorHAnsi"/>
        </w:rPr>
        <w:t xml:space="preserve">its </w:t>
      </w:r>
      <w:r w:rsidR="00267408">
        <w:rPr>
          <w:rFonts w:eastAsia="Times New Roman" w:cstheme="minorHAnsi"/>
        </w:rPr>
        <w:lastRenderedPageBreak/>
        <w:t xml:space="preserve">actual </w:t>
      </w:r>
      <w:r w:rsidR="00592666" w:rsidRPr="00BC1EA0">
        <w:rPr>
          <w:rFonts w:eastAsia="Times New Roman" w:cstheme="minorHAnsi"/>
        </w:rPr>
        <w:t xml:space="preserve">performance. As a </w:t>
      </w:r>
      <w:r w:rsidR="004721C2" w:rsidRPr="00BC1EA0">
        <w:rPr>
          <w:rFonts w:eastAsia="Times New Roman" w:cstheme="minorHAnsi"/>
        </w:rPr>
        <w:t>pre</w:t>
      </w:r>
      <w:r w:rsidR="00592666" w:rsidRPr="00BC1EA0">
        <w:rPr>
          <w:rFonts w:eastAsia="Times New Roman" w:cstheme="minorHAnsi"/>
        </w:rPr>
        <w:t xml:space="preserve">view, </w:t>
      </w:r>
      <w:r w:rsidR="004721C2" w:rsidRPr="00BC1EA0">
        <w:rPr>
          <w:rFonts w:eastAsia="Times New Roman" w:cstheme="minorHAnsi"/>
        </w:rPr>
        <w:t>challenges facing the “</w:t>
      </w:r>
      <w:r w:rsidR="00592666" w:rsidRPr="00BC1EA0">
        <w:rPr>
          <w:rFonts w:eastAsia="Times New Roman" w:cstheme="minorHAnsi"/>
        </w:rPr>
        <w:t>de facto</w:t>
      </w:r>
      <w:r w:rsidR="004721C2" w:rsidRPr="00BC1EA0">
        <w:rPr>
          <w:rFonts w:eastAsia="Times New Roman" w:cstheme="minorHAnsi"/>
        </w:rPr>
        <w:t>”</w:t>
      </w:r>
      <w:r w:rsidR="00592666" w:rsidRPr="00BC1EA0">
        <w:rPr>
          <w:rFonts w:eastAsia="Times New Roman" w:cstheme="minorHAnsi"/>
        </w:rPr>
        <w:t xml:space="preserve"> </w:t>
      </w:r>
      <w:r w:rsidR="00E93413" w:rsidRPr="00BC1EA0">
        <w:rPr>
          <w:rFonts w:eastAsia="Times New Roman" w:cstheme="minorHAnsi"/>
        </w:rPr>
        <w:t xml:space="preserve">SGBP </w:t>
      </w:r>
      <w:r w:rsidR="00057256" w:rsidRPr="00BC1EA0">
        <w:rPr>
          <w:rFonts w:eastAsia="Times New Roman" w:cstheme="minorHAnsi"/>
        </w:rPr>
        <w:t xml:space="preserve">do not only rest in the </w:t>
      </w:r>
      <w:r w:rsidR="000977BE" w:rsidRPr="00BC1EA0">
        <w:rPr>
          <w:rFonts w:eastAsia="Times New Roman" w:cstheme="minorHAnsi"/>
        </w:rPr>
        <w:t xml:space="preserve">funding </w:t>
      </w:r>
      <w:r w:rsidR="00057256" w:rsidRPr="00BC1EA0">
        <w:rPr>
          <w:rFonts w:eastAsia="Times New Roman" w:cstheme="minorHAnsi"/>
        </w:rPr>
        <w:t xml:space="preserve">shortage, </w:t>
      </w:r>
      <w:r w:rsidR="000977BE" w:rsidRPr="00BC1EA0">
        <w:rPr>
          <w:rFonts w:eastAsia="Times New Roman" w:cstheme="minorHAnsi"/>
        </w:rPr>
        <w:t xml:space="preserve">although this certainly is a major </w:t>
      </w:r>
      <w:r w:rsidR="00DB0812">
        <w:rPr>
          <w:rFonts w:eastAsia="Times New Roman" w:cstheme="minorHAnsi"/>
        </w:rPr>
        <w:t>issue</w:t>
      </w:r>
      <w:r w:rsidR="000977BE" w:rsidRPr="00BC1EA0">
        <w:rPr>
          <w:rFonts w:eastAsia="Times New Roman" w:cstheme="minorHAnsi"/>
        </w:rPr>
        <w:t xml:space="preserve">. </w:t>
      </w:r>
      <w:r w:rsidR="0060382E" w:rsidRPr="00BC1EA0">
        <w:rPr>
          <w:rFonts w:eastAsia="Times New Roman" w:cstheme="minorHAnsi"/>
        </w:rPr>
        <w:t xml:space="preserve">The de facto SGBP </w:t>
      </w:r>
      <w:r w:rsidR="002133E1" w:rsidRPr="00BC1EA0">
        <w:rPr>
          <w:rFonts w:eastAsia="Times New Roman" w:cstheme="minorHAnsi"/>
        </w:rPr>
        <w:t xml:space="preserve">also </w:t>
      </w:r>
      <w:r w:rsidR="0060382E" w:rsidRPr="00BC1EA0">
        <w:rPr>
          <w:rFonts w:eastAsia="Times New Roman" w:cstheme="minorHAnsi"/>
        </w:rPr>
        <w:t xml:space="preserve">falls short in the lack of </w:t>
      </w:r>
      <w:r w:rsidR="004206D2" w:rsidRPr="00BC1EA0">
        <w:rPr>
          <w:rFonts w:eastAsia="Times New Roman" w:cstheme="minorHAnsi"/>
        </w:rPr>
        <w:t xml:space="preserve">clarity and transparency, </w:t>
      </w:r>
      <w:r w:rsidR="00A76B55">
        <w:rPr>
          <w:rFonts w:eastAsia="Times New Roman" w:cstheme="minorHAnsi"/>
        </w:rPr>
        <w:t xml:space="preserve">in </w:t>
      </w:r>
      <w:r w:rsidR="00FA579C">
        <w:rPr>
          <w:rFonts w:eastAsia="Times New Roman" w:cstheme="minorHAnsi"/>
        </w:rPr>
        <w:t xml:space="preserve">the overwhelming size of the population entitled to free services given </w:t>
      </w:r>
      <w:r w:rsidR="001F2DF8">
        <w:rPr>
          <w:rFonts w:eastAsia="Times New Roman" w:cstheme="minorHAnsi"/>
        </w:rPr>
        <w:t xml:space="preserve">the government’s limited ability to fulfil such promise, </w:t>
      </w:r>
      <w:r w:rsidR="008A645C">
        <w:rPr>
          <w:rFonts w:eastAsia="Times New Roman" w:cstheme="minorHAnsi"/>
        </w:rPr>
        <w:t>lack of a</w:t>
      </w:r>
      <w:r w:rsidR="00DB0812">
        <w:rPr>
          <w:rFonts w:eastAsia="Times New Roman" w:cstheme="minorHAnsi"/>
        </w:rPr>
        <w:t>n effective</w:t>
      </w:r>
      <w:r w:rsidR="008A645C">
        <w:rPr>
          <w:rFonts w:eastAsia="Times New Roman" w:cstheme="minorHAnsi"/>
        </w:rPr>
        <w:t xml:space="preserve"> </w:t>
      </w:r>
      <w:r w:rsidR="00250FC4">
        <w:rPr>
          <w:rFonts w:eastAsia="Times New Roman" w:cstheme="minorHAnsi"/>
        </w:rPr>
        <w:t xml:space="preserve">poverty targeting mechanism, </w:t>
      </w:r>
      <w:r w:rsidR="009E437A">
        <w:rPr>
          <w:rFonts w:eastAsia="Times New Roman" w:cstheme="minorHAnsi"/>
        </w:rPr>
        <w:t>weak information base for monitoring</w:t>
      </w:r>
      <w:r w:rsidR="004D12BE">
        <w:rPr>
          <w:rFonts w:eastAsia="Times New Roman" w:cstheme="minorHAnsi"/>
        </w:rPr>
        <w:t xml:space="preserve"> and management</w:t>
      </w:r>
      <w:r w:rsidR="009E437A">
        <w:rPr>
          <w:rFonts w:eastAsia="Times New Roman" w:cstheme="minorHAnsi"/>
        </w:rPr>
        <w:t xml:space="preserve">, and most importantly, lack of a systematic </w:t>
      </w:r>
      <w:r w:rsidR="00EF55B0">
        <w:rPr>
          <w:rFonts w:eastAsia="Times New Roman" w:cstheme="minorHAnsi"/>
        </w:rPr>
        <w:t xml:space="preserve">methodology and mechanism for its revision. </w:t>
      </w:r>
      <w:r w:rsidR="008A16EC">
        <w:rPr>
          <w:rFonts w:eastAsia="Times New Roman" w:cstheme="minorHAnsi"/>
        </w:rPr>
        <w:t xml:space="preserve">Recommendations to address some of the challenges are provided in </w:t>
      </w:r>
      <w:r w:rsidR="00C977CA" w:rsidRPr="00BC1EA0">
        <w:rPr>
          <w:rFonts w:eastAsia="Times New Roman" w:cstheme="minorHAnsi"/>
        </w:rPr>
        <w:t xml:space="preserve">Section 4 </w:t>
      </w:r>
      <w:r w:rsidR="00CF45CD">
        <w:rPr>
          <w:rFonts w:eastAsia="Times New Roman" w:cstheme="minorHAnsi"/>
        </w:rPr>
        <w:t xml:space="preserve">and Section 5 concludes. </w:t>
      </w:r>
    </w:p>
    <w:p w14:paraId="38C1AC55" w14:textId="1F7C2977" w:rsidR="00A93861" w:rsidRPr="00B55BD6" w:rsidRDefault="00402FB2" w:rsidP="00363D34">
      <w:pPr>
        <w:pStyle w:val="Heading1"/>
        <w:numPr>
          <w:ilvl w:val="0"/>
          <w:numId w:val="29"/>
        </w:numPr>
        <w:rPr>
          <w:rFonts w:ascii="Calibri" w:hAnsi="Calibri" w:cs="Calibri"/>
          <w:color w:val="1F4E79" w:themeColor="accent1" w:themeShade="80"/>
        </w:rPr>
      </w:pPr>
      <w:bookmarkStart w:id="5" w:name="_Toc10477890"/>
      <w:r>
        <w:rPr>
          <w:rFonts w:ascii="Calibri" w:hAnsi="Calibri" w:cs="Calibri"/>
          <w:color w:val="1F4E79" w:themeColor="accent1" w:themeShade="80"/>
        </w:rPr>
        <w:t>A</w:t>
      </w:r>
      <w:r w:rsidR="00A93861" w:rsidRPr="00B55BD6">
        <w:rPr>
          <w:rFonts w:ascii="Calibri" w:hAnsi="Calibri" w:cs="Calibri"/>
          <w:color w:val="1F4E79" w:themeColor="accent1" w:themeShade="80"/>
        </w:rPr>
        <w:t>pproaches in defining</w:t>
      </w:r>
      <w:r w:rsidR="009F20C6" w:rsidRPr="00B55BD6">
        <w:rPr>
          <w:rFonts w:ascii="Calibri" w:hAnsi="Calibri" w:cs="Calibri"/>
          <w:color w:val="1F4E79" w:themeColor="accent1" w:themeShade="80"/>
        </w:rPr>
        <w:t xml:space="preserve"> </w:t>
      </w:r>
      <w:r w:rsidR="00A93861" w:rsidRPr="00B55BD6">
        <w:rPr>
          <w:rFonts w:ascii="Calibri" w:hAnsi="Calibri" w:cs="Calibri"/>
          <w:color w:val="1F4E79" w:themeColor="accent1" w:themeShade="80"/>
        </w:rPr>
        <w:t>health benefit package</w:t>
      </w:r>
      <w:r w:rsidR="000717C7" w:rsidRPr="00B55BD6">
        <w:rPr>
          <w:rFonts w:ascii="Calibri" w:hAnsi="Calibri" w:cs="Calibri"/>
          <w:color w:val="1F4E79" w:themeColor="accent1" w:themeShade="80"/>
        </w:rPr>
        <w:t>s</w:t>
      </w:r>
      <w:bookmarkEnd w:id="5"/>
      <w:r w:rsidR="00A93861" w:rsidRPr="00B55BD6">
        <w:rPr>
          <w:rFonts w:ascii="Calibri" w:hAnsi="Calibri" w:cs="Calibri"/>
          <w:color w:val="1F4E79" w:themeColor="accent1" w:themeShade="80"/>
        </w:rPr>
        <w:t xml:space="preserve"> </w:t>
      </w:r>
    </w:p>
    <w:p w14:paraId="7C147478" w14:textId="18BDE24D" w:rsidR="006E115B" w:rsidRPr="00E6167F" w:rsidRDefault="00F95269" w:rsidP="00363D34">
      <w:pPr>
        <w:spacing w:after="120" w:line="240" w:lineRule="auto"/>
        <w:jc w:val="both"/>
        <w:rPr>
          <w:rFonts w:eastAsia="Times New Roman" w:cstheme="minorHAnsi"/>
          <w:color w:val="000000"/>
        </w:rPr>
      </w:pPr>
      <w:r w:rsidRPr="00E6167F">
        <w:rPr>
          <w:rFonts w:eastAsia="Times New Roman" w:cstheme="minorHAnsi"/>
          <w:color w:val="000000"/>
        </w:rPr>
        <w:t xml:space="preserve">Health </w:t>
      </w:r>
      <w:r w:rsidR="006619F2" w:rsidRPr="00E6167F">
        <w:rPr>
          <w:rFonts w:eastAsia="Times New Roman" w:cstheme="minorHAnsi"/>
          <w:color w:val="000000"/>
        </w:rPr>
        <w:t>benefit packages</w:t>
      </w:r>
      <w:r w:rsidRPr="00E6167F">
        <w:rPr>
          <w:rFonts w:eastAsia="Times New Roman" w:cstheme="minorHAnsi"/>
          <w:color w:val="000000"/>
        </w:rPr>
        <w:t xml:space="preserve"> </w:t>
      </w:r>
      <w:r w:rsidR="006619F2" w:rsidRPr="00E6167F">
        <w:rPr>
          <w:rFonts w:eastAsia="Times New Roman" w:cstheme="minorHAnsi"/>
          <w:color w:val="000000"/>
        </w:rPr>
        <w:t xml:space="preserve">can be described in </w:t>
      </w:r>
      <w:r w:rsidRPr="00E6167F">
        <w:rPr>
          <w:rFonts w:eastAsia="Times New Roman" w:cstheme="minorHAnsi"/>
          <w:color w:val="000000"/>
        </w:rPr>
        <w:t xml:space="preserve">different </w:t>
      </w:r>
      <w:r w:rsidR="006619F2" w:rsidRPr="00E6167F">
        <w:rPr>
          <w:rFonts w:eastAsia="Times New Roman" w:cstheme="minorHAnsi"/>
          <w:color w:val="000000"/>
        </w:rPr>
        <w:t xml:space="preserve">ways: </w:t>
      </w:r>
      <w:r w:rsidR="005C032E" w:rsidRPr="00E6167F">
        <w:rPr>
          <w:rFonts w:eastAsia="Times New Roman" w:cstheme="minorHAnsi"/>
          <w:color w:val="000000"/>
        </w:rPr>
        <w:t xml:space="preserve">by </w:t>
      </w:r>
      <w:r w:rsidR="006619F2" w:rsidRPr="00E6167F">
        <w:rPr>
          <w:rFonts w:eastAsia="Times New Roman" w:cstheme="minorHAnsi"/>
          <w:color w:val="000000"/>
        </w:rPr>
        <w:t>level of care (primary, secondary, or tertiary care</w:t>
      </w:r>
      <w:r w:rsidR="0033210B" w:rsidRPr="00E6167F">
        <w:rPr>
          <w:rFonts w:eastAsia="Times New Roman" w:cstheme="minorHAnsi"/>
          <w:color w:val="000000"/>
        </w:rPr>
        <w:t>)</w:t>
      </w:r>
      <w:r w:rsidR="006619F2" w:rsidRPr="00E6167F">
        <w:rPr>
          <w:rFonts w:eastAsia="Times New Roman" w:cstheme="minorHAnsi"/>
          <w:color w:val="000000"/>
        </w:rPr>
        <w:t xml:space="preserve">, by </w:t>
      </w:r>
      <w:r w:rsidR="0075486F" w:rsidRPr="00E6167F">
        <w:rPr>
          <w:rFonts w:eastAsia="Times New Roman" w:cstheme="minorHAnsi"/>
          <w:color w:val="000000"/>
        </w:rPr>
        <w:t xml:space="preserve">health conditions </w:t>
      </w:r>
      <w:r w:rsidR="006619F2" w:rsidRPr="00E6167F">
        <w:rPr>
          <w:rFonts w:eastAsia="Times New Roman" w:cstheme="minorHAnsi"/>
          <w:color w:val="000000"/>
        </w:rPr>
        <w:t>(maternal</w:t>
      </w:r>
      <w:r w:rsidR="0033210B" w:rsidRPr="00E6167F">
        <w:rPr>
          <w:rFonts w:eastAsia="Times New Roman" w:cstheme="minorHAnsi"/>
          <w:color w:val="000000"/>
        </w:rPr>
        <w:t xml:space="preserve"> </w:t>
      </w:r>
      <w:r w:rsidR="006619F2" w:rsidRPr="00E6167F">
        <w:rPr>
          <w:rFonts w:eastAsia="Times New Roman" w:cstheme="minorHAnsi"/>
          <w:color w:val="000000"/>
        </w:rPr>
        <w:t>and child health, family planning</w:t>
      </w:r>
      <w:r w:rsidR="00D055EB" w:rsidRPr="00E6167F">
        <w:rPr>
          <w:rFonts w:eastAsia="Times New Roman" w:cstheme="minorHAnsi"/>
          <w:color w:val="000000"/>
        </w:rPr>
        <w:t xml:space="preserve">, cardiovascular, etc.), or </w:t>
      </w:r>
      <w:r w:rsidR="00D71D2F" w:rsidRPr="00E6167F">
        <w:rPr>
          <w:rFonts w:eastAsia="Times New Roman" w:cstheme="minorHAnsi"/>
          <w:color w:val="000000"/>
        </w:rPr>
        <w:t>by a specific list of</w:t>
      </w:r>
      <w:r w:rsidR="002F0EA3" w:rsidRPr="00E6167F">
        <w:rPr>
          <w:rFonts w:eastAsia="Times New Roman" w:cstheme="minorHAnsi"/>
          <w:color w:val="000000"/>
        </w:rPr>
        <w:t xml:space="preserve"> </w:t>
      </w:r>
      <w:r w:rsidR="000141C7" w:rsidRPr="00E6167F">
        <w:rPr>
          <w:rFonts w:eastAsia="Times New Roman" w:cstheme="minorHAnsi"/>
          <w:color w:val="000000"/>
        </w:rPr>
        <w:t xml:space="preserve">services </w:t>
      </w:r>
      <w:r w:rsidR="002F0EA3" w:rsidRPr="00E6167F">
        <w:rPr>
          <w:rFonts w:eastAsia="Times New Roman" w:cstheme="minorHAnsi"/>
          <w:color w:val="000000"/>
        </w:rPr>
        <w:t>covered</w:t>
      </w:r>
      <w:r w:rsidR="002A5E6F" w:rsidRPr="00E6167F">
        <w:rPr>
          <w:rFonts w:eastAsia="Times New Roman" w:cstheme="minorHAnsi"/>
          <w:color w:val="000000"/>
        </w:rPr>
        <w:t xml:space="preserve"> </w:t>
      </w:r>
      <w:r w:rsidR="000141C7" w:rsidRPr="00E6167F">
        <w:rPr>
          <w:rFonts w:eastAsia="Times New Roman" w:cstheme="minorHAnsi"/>
          <w:color w:val="000000"/>
        </w:rPr>
        <w:t>(</w:t>
      </w:r>
      <w:r w:rsidR="002A5E6F" w:rsidRPr="00E6167F">
        <w:rPr>
          <w:rFonts w:eastAsia="Times New Roman" w:cstheme="minorHAnsi"/>
          <w:color w:val="000000"/>
        </w:rPr>
        <w:t>or not covered</w:t>
      </w:r>
      <w:r w:rsidR="000141C7" w:rsidRPr="00E6167F">
        <w:rPr>
          <w:rFonts w:eastAsia="Times New Roman" w:cstheme="minorHAnsi"/>
          <w:color w:val="000000"/>
        </w:rPr>
        <w:t>)</w:t>
      </w:r>
      <w:r w:rsidR="003264F4">
        <w:rPr>
          <w:rFonts w:eastAsia="Times New Roman" w:cstheme="minorHAnsi"/>
          <w:color w:val="000000"/>
        </w:rPr>
        <w:t xml:space="preserve"> (</w:t>
      </w:r>
      <w:r w:rsidR="00A357CA">
        <w:rPr>
          <w:rFonts w:eastAsia="Times New Roman" w:cstheme="minorHAnsi"/>
          <w:color w:val="000000"/>
        </w:rPr>
        <w:t>Cotlear et al., 2015</w:t>
      </w:r>
      <w:r w:rsidR="003264F4">
        <w:rPr>
          <w:rFonts w:eastAsia="Times New Roman" w:cstheme="minorHAnsi"/>
          <w:color w:val="000000"/>
        </w:rPr>
        <w:t>)</w:t>
      </w:r>
      <w:r w:rsidR="002A5E6F" w:rsidRPr="00E6167F">
        <w:rPr>
          <w:rFonts w:eastAsia="Times New Roman" w:cstheme="minorHAnsi"/>
          <w:color w:val="000000"/>
        </w:rPr>
        <w:t xml:space="preserve">. The last example </w:t>
      </w:r>
      <w:r w:rsidR="00306F45" w:rsidRPr="00E6167F">
        <w:rPr>
          <w:rFonts w:eastAsia="Times New Roman" w:cstheme="minorHAnsi"/>
          <w:color w:val="000000"/>
        </w:rPr>
        <w:t xml:space="preserve">demonstrates an “explicit” benefit package, </w:t>
      </w:r>
      <w:r w:rsidR="00DE7AE8" w:rsidRPr="00E6167F">
        <w:rPr>
          <w:rFonts w:eastAsia="Times New Roman" w:cstheme="minorHAnsi"/>
          <w:color w:val="000000"/>
        </w:rPr>
        <w:t xml:space="preserve">which is described in a positive </w:t>
      </w:r>
      <w:r w:rsidR="00C56351">
        <w:rPr>
          <w:rFonts w:eastAsia="Times New Roman" w:cstheme="minorHAnsi"/>
          <w:color w:val="000000"/>
        </w:rPr>
        <w:t xml:space="preserve">(and/or negative) </w:t>
      </w:r>
      <w:r w:rsidR="00DE7AE8" w:rsidRPr="00E6167F">
        <w:rPr>
          <w:rFonts w:eastAsia="Times New Roman" w:cstheme="minorHAnsi"/>
          <w:color w:val="000000"/>
        </w:rPr>
        <w:t xml:space="preserve">list, </w:t>
      </w:r>
      <w:r w:rsidR="00306F45" w:rsidRPr="00E6167F">
        <w:rPr>
          <w:rFonts w:eastAsia="Times New Roman" w:cstheme="minorHAnsi"/>
          <w:color w:val="000000"/>
        </w:rPr>
        <w:t>as opposed to an</w:t>
      </w:r>
      <w:r w:rsidR="00A93861" w:rsidRPr="00E6167F">
        <w:rPr>
          <w:rFonts w:eastAsia="Times New Roman" w:cstheme="minorHAnsi"/>
          <w:color w:val="000000"/>
        </w:rPr>
        <w:t xml:space="preserve"> “implicit” definition, </w:t>
      </w:r>
      <w:r w:rsidR="007409EE" w:rsidRPr="00E6167F">
        <w:rPr>
          <w:rFonts w:eastAsia="Times New Roman" w:cstheme="minorHAnsi"/>
          <w:color w:val="000000"/>
        </w:rPr>
        <w:t xml:space="preserve">which </w:t>
      </w:r>
      <w:r w:rsidR="00A93861" w:rsidRPr="00E6167F">
        <w:rPr>
          <w:rFonts w:eastAsia="Times New Roman" w:cstheme="minorHAnsi"/>
          <w:color w:val="000000"/>
        </w:rPr>
        <w:t>refer</w:t>
      </w:r>
      <w:r w:rsidR="007409EE" w:rsidRPr="00E6167F">
        <w:rPr>
          <w:rFonts w:eastAsia="Times New Roman" w:cstheme="minorHAnsi"/>
          <w:color w:val="000000"/>
        </w:rPr>
        <w:t xml:space="preserve">s </w:t>
      </w:r>
      <w:r w:rsidR="008F5958">
        <w:rPr>
          <w:rFonts w:eastAsia="Times New Roman" w:cstheme="minorHAnsi"/>
          <w:color w:val="000000"/>
        </w:rPr>
        <w:t xml:space="preserve">to </w:t>
      </w:r>
      <w:r w:rsidR="00A93861" w:rsidRPr="00E6167F">
        <w:rPr>
          <w:rFonts w:eastAsia="Times New Roman" w:cstheme="minorHAnsi"/>
          <w:color w:val="000000"/>
        </w:rPr>
        <w:t>broad categor</w:t>
      </w:r>
      <w:r w:rsidR="008E4FF6">
        <w:rPr>
          <w:rFonts w:eastAsia="Times New Roman" w:cstheme="minorHAnsi"/>
          <w:color w:val="000000"/>
        </w:rPr>
        <w:t>ies</w:t>
      </w:r>
      <w:r w:rsidR="00A93861" w:rsidRPr="00E6167F">
        <w:rPr>
          <w:rFonts w:eastAsia="Times New Roman" w:cstheme="minorHAnsi"/>
          <w:color w:val="000000"/>
        </w:rPr>
        <w:t xml:space="preserve"> of services</w:t>
      </w:r>
      <w:r w:rsidR="007409EE" w:rsidRPr="00E6167F">
        <w:rPr>
          <w:rFonts w:eastAsia="Times New Roman" w:cstheme="minorHAnsi"/>
          <w:color w:val="000000"/>
        </w:rPr>
        <w:t>.</w:t>
      </w:r>
      <w:r w:rsidR="00A93861" w:rsidRPr="00E6167F">
        <w:rPr>
          <w:rFonts w:eastAsia="Times New Roman" w:cstheme="minorHAnsi"/>
          <w:color w:val="000000"/>
        </w:rPr>
        <w:t xml:space="preserve"> </w:t>
      </w:r>
    </w:p>
    <w:p w14:paraId="095F65F0" w14:textId="2124CECA" w:rsidR="00A93861" w:rsidRPr="00E6167F" w:rsidRDefault="00B12992" w:rsidP="00363D34">
      <w:pPr>
        <w:spacing w:after="120" w:line="240" w:lineRule="auto"/>
        <w:jc w:val="both"/>
        <w:rPr>
          <w:rFonts w:eastAsia="Times New Roman" w:cstheme="minorHAnsi"/>
          <w:color w:val="000000"/>
        </w:rPr>
      </w:pPr>
      <w:r w:rsidRPr="00E6167F">
        <w:rPr>
          <w:rFonts w:eastAsia="Times New Roman" w:cstheme="minorHAnsi"/>
          <w:color w:val="000000"/>
        </w:rPr>
        <w:t xml:space="preserve">In principle, the </w:t>
      </w:r>
      <w:r w:rsidR="00274254" w:rsidRPr="00E6167F">
        <w:rPr>
          <w:rFonts w:eastAsia="Times New Roman" w:cstheme="minorHAnsi"/>
          <w:color w:val="000000"/>
        </w:rPr>
        <w:t xml:space="preserve">implicit and explicit benefit package definition each has pros and </w:t>
      </w:r>
      <w:r w:rsidR="00A93861" w:rsidRPr="00E6167F">
        <w:rPr>
          <w:rFonts w:eastAsia="Times New Roman" w:cstheme="minorHAnsi"/>
          <w:color w:val="000000"/>
        </w:rPr>
        <w:t xml:space="preserve">cons. The implicit definition gives more flexibility to healthcare providers and patients. </w:t>
      </w:r>
      <w:r w:rsidR="00031FB3">
        <w:rPr>
          <w:rFonts w:eastAsia="Times New Roman" w:cstheme="minorHAnsi"/>
          <w:color w:val="000000"/>
        </w:rPr>
        <w:t>A</w:t>
      </w:r>
      <w:r w:rsidR="00A93861" w:rsidRPr="00E6167F">
        <w:rPr>
          <w:rFonts w:eastAsia="Times New Roman" w:cstheme="minorHAnsi"/>
          <w:color w:val="000000"/>
        </w:rPr>
        <w:t>dopti</w:t>
      </w:r>
      <w:r w:rsidR="00031FB3">
        <w:rPr>
          <w:rFonts w:eastAsia="Times New Roman" w:cstheme="minorHAnsi"/>
          <w:color w:val="000000"/>
        </w:rPr>
        <w:t xml:space="preserve">ng </w:t>
      </w:r>
      <w:r w:rsidR="00A93861" w:rsidRPr="00E6167F">
        <w:rPr>
          <w:rFonts w:eastAsia="Times New Roman" w:cstheme="minorHAnsi"/>
          <w:color w:val="000000"/>
        </w:rPr>
        <w:t xml:space="preserve">new technologies may be easier without having to be constrained by regulatory delays. Implicit rationing </w:t>
      </w:r>
      <w:r w:rsidR="00F076D9">
        <w:rPr>
          <w:rFonts w:eastAsia="Times New Roman" w:cstheme="minorHAnsi"/>
          <w:color w:val="000000"/>
        </w:rPr>
        <w:t xml:space="preserve">can </w:t>
      </w:r>
      <w:r w:rsidR="00A93861" w:rsidRPr="00E6167F">
        <w:rPr>
          <w:rFonts w:eastAsia="Times New Roman" w:cstheme="minorHAnsi"/>
          <w:color w:val="000000"/>
        </w:rPr>
        <w:t>coexist with proactive strategies for priority setting, review of evidence, and evaluation of health care services cost effectiveness, as in the case of the United Kingdom. The explicit definition</w:t>
      </w:r>
      <w:r w:rsidR="00DF515B">
        <w:rPr>
          <w:rFonts w:eastAsia="Times New Roman" w:cstheme="minorHAnsi"/>
          <w:color w:val="000000"/>
        </w:rPr>
        <w:t>, on the other hand,</w:t>
      </w:r>
      <w:r w:rsidR="00A93861" w:rsidRPr="00E6167F">
        <w:rPr>
          <w:rFonts w:eastAsia="Times New Roman" w:cstheme="minorHAnsi"/>
          <w:color w:val="000000"/>
        </w:rPr>
        <w:t xml:space="preserve"> allow</w:t>
      </w:r>
      <w:r w:rsidR="00FF6918" w:rsidRPr="00E6167F">
        <w:rPr>
          <w:rFonts w:eastAsia="Times New Roman" w:cstheme="minorHAnsi"/>
          <w:color w:val="000000"/>
        </w:rPr>
        <w:t>s</w:t>
      </w:r>
      <w:r w:rsidR="00A93861" w:rsidRPr="00E6167F">
        <w:rPr>
          <w:rFonts w:eastAsia="Times New Roman" w:cstheme="minorHAnsi"/>
          <w:color w:val="000000"/>
        </w:rPr>
        <w:t xml:space="preserve"> for a better allocation of resources </w:t>
      </w:r>
      <w:r w:rsidR="00F73E96">
        <w:rPr>
          <w:rFonts w:eastAsia="Times New Roman" w:cstheme="minorHAnsi"/>
          <w:color w:val="000000"/>
        </w:rPr>
        <w:t xml:space="preserve">to </w:t>
      </w:r>
      <w:r w:rsidR="00A93861" w:rsidRPr="00E6167F">
        <w:rPr>
          <w:rFonts w:eastAsia="Times New Roman" w:cstheme="minorHAnsi"/>
          <w:color w:val="000000"/>
        </w:rPr>
        <w:t>cost-effective healthcare interventions.</w:t>
      </w:r>
      <w:r w:rsidR="008521A0">
        <w:rPr>
          <w:rFonts w:eastAsia="Times New Roman" w:cstheme="minorHAnsi"/>
          <w:color w:val="000000"/>
        </w:rPr>
        <w:t xml:space="preserve"> </w:t>
      </w:r>
      <w:r w:rsidR="00DF515B">
        <w:rPr>
          <w:rFonts w:eastAsia="Times New Roman" w:cstheme="minorHAnsi"/>
          <w:color w:val="000000"/>
        </w:rPr>
        <w:t>However</w:t>
      </w:r>
      <w:r w:rsidR="00A93861" w:rsidRPr="00E6167F">
        <w:rPr>
          <w:rFonts w:eastAsia="Times New Roman" w:cstheme="minorHAnsi"/>
          <w:color w:val="000000"/>
        </w:rPr>
        <w:t>, countries following this route may risk delaying the adoption of new and useful technologies.</w:t>
      </w:r>
    </w:p>
    <w:p w14:paraId="42651855" w14:textId="243AE9F7" w:rsidR="002537B7" w:rsidRDefault="006A03D4" w:rsidP="00363D34">
      <w:pPr>
        <w:spacing w:after="120" w:line="240" w:lineRule="auto"/>
        <w:jc w:val="both"/>
        <w:rPr>
          <w:rFonts w:eastAsia="Times New Roman" w:cstheme="minorHAnsi"/>
          <w:color w:val="000000"/>
        </w:rPr>
      </w:pPr>
      <w:r w:rsidRPr="00E6167F">
        <w:rPr>
          <w:rFonts w:eastAsia="Times New Roman" w:cstheme="minorHAnsi"/>
          <w:color w:val="000000"/>
        </w:rPr>
        <w:t xml:space="preserve">According to </w:t>
      </w:r>
      <w:r w:rsidR="00AF1F41" w:rsidRPr="00E6167F">
        <w:rPr>
          <w:rFonts w:eastAsia="Times New Roman" w:cstheme="minorHAnsi"/>
          <w:color w:val="000000"/>
        </w:rPr>
        <w:t xml:space="preserve">Glassman, Giedion, </w:t>
      </w:r>
      <w:r w:rsidR="00FC207C" w:rsidRPr="00E6167F">
        <w:rPr>
          <w:rFonts w:eastAsia="Times New Roman" w:cstheme="minorHAnsi"/>
          <w:color w:val="000000"/>
        </w:rPr>
        <w:t xml:space="preserve">and </w:t>
      </w:r>
      <w:r w:rsidR="00AF1F41" w:rsidRPr="00E6167F">
        <w:rPr>
          <w:rFonts w:eastAsia="Times New Roman" w:cstheme="minorHAnsi"/>
          <w:color w:val="000000"/>
        </w:rPr>
        <w:t>Smith</w:t>
      </w:r>
      <w:r w:rsidRPr="00E6167F">
        <w:rPr>
          <w:rFonts w:eastAsia="Times New Roman" w:cstheme="minorHAnsi"/>
          <w:color w:val="000000"/>
        </w:rPr>
        <w:t xml:space="preserve"> (</w:t>
      </w:r>
      <w:r w:rsidR="00FC207C" w:rsidRPr="00E6167F">
        <w:rPr>
          <w:rFonts w:eastAsia="Times New Roman" w:cstheme="minorHAnsi"/>
          <w:color w:val="000000"/>
        </w:rPr>
        <w:t>2017)</w:t>
      </w:r>
      <w:r w:rsidRPr="00E6167F">
        <w:rPr>
          <w:rFonts w:eastAsia="Times New Roman" w:cstheme="minorHAnsi"/>
          <w:color w:val="000000"/>
        </w:rPr>
        <w:t>, a</w:t>
      </w:r>
      <w:r w:rsidR="001714AF" w:rsidRPr="00E6167F">
        <w:rPr>
          <w:rFonts w:eastAsia="Times New Roman" w:cstheme="minorHAnsi"/>
          <w:color w:val="000000"/>
        </w:rPr>
        <w:t>n explicit benefit package is preferred for a number of reasons</w:t>
      </w:r>
      <w:r w:rsidR="00092088" w:rsidRPr="00E6167F">
        <w:rPr>
          <w:rFonts w:eastAsia="Times New Roman" w:cstheme="minorHAnsi"/>
          <w:color w:val="000000"/>
        </w:rPr>
        <w:t>.</w:t>
      </w:r>
      <w:r w:rsidR="001714AF" w:rsidRPr="00E6167F">
        <w:rPr>
          <w:rFonts w:eastAsia="Times New Roman" w:cstheme="minorHAnsi"/>
          <w:color w:val="000000"/>
        </w:rPr>
        <w:t xml:space="preserve"> Most importantly</w:t>
      </w:r>
      <w:r w:rsidR="0096630A">
        <w:rPr>
          <w:rFonts w:eastAsia="Times New Roman" w:cstheme="minorHAnsi"/>
          <w:color w:val="000000"/>
        </w:rPr>
        <w:t>: (i)</w:t>
      </w:r>
      <w:r w:rsidR="001714AF" w:rsidRPr="00E6167F">
        <w:rPr>
          <w:rFonts w:eastAsia="Times New Roman" w:cstheme="minorHAnsi"/>
          <w:color w:val="000000"/>
        </w:rPr>
        <w:t xml:space="preserve"> </w:t>
      </w:r>
      <w:r w:rsidR="009E58B2" w:rsidRPr="00E6167F">
        <w:rPr>
          <w:rFonts w:eastAsia="Times New Roman" w:cstheme="minorHAnsi"/>
          <w:color w:val="000000"/>
        </w:rPr>
        <w:t xml:space="preserve">by creating </w:t>
      </w:r>
      <w:r w:rsidR="00E0429F" w:rsidRPr="00E6167F">
        <w:rPr>
          <w:rFonts w:eastAsia="Times New Roman" w:cstheme="minorHAnsi"/>
          <w:color w:val="000000"/>
        </w:rPr>
        <w:t>explicit entitlements for</w:t>
      </w:r>
      <w:r w:rsidR="004F61DB" w:rsidRPr="00E6167F">
        <w:rPr>
          <w:rFonts w:eastAsia="Times New Roman" w:cstheme="minorHAnsi"/>
          <w:color w:val="000000"/>
        </w:rPr>
        <w:t xml:space="preserve"> the popul</w:t>
      </w:r>
      <w:r w:rsidR="003E2D40" w:rsidRPr="00E6167F">
        <w:rPr>
          <w:rFonts w:eastAsia="Times New Roman" w:cstheme="minorHAnsi"/>
          <w:color w:val="000000"/>
        </w:rPr>
        <w:t>a</w:t>
      </w:r>
      <w:r w:rsidR="004F61DB" w:rsidRPr="00E6167F">
        <w:rPr>
          <w:rFonts w:eastAsia="Times New Roman" w:cstheme="minorHAnsi"/>
          <w:color w:val="000000"/>
        </w:rPr>
        <w:t>tion</w:t>
      </w:r>
      <w:r w:rsidR="009E58B2" w:rsidRPr="00E6167F">
        <w:rPr>
          <w:rFonts w:eastAsia="Times New Roman" w:cstheme="minorHAnsi"/>
          <w:color w:val="000000"/>
        </w:rPr>
        <w:t xml:space="preserve">, it </w:t>
      </w:r>
      <w:r w:rsidR="00187AA9" w:rsidRPr="00E6167F">
        <w:rPr>
          <w:rFonts w:eastAsia="Times New Roman" w:cstheme="minorHAnsi"/>
          <w:color w:val="000000"/>
        </w:rPr>
        <w:t>e</w:t>
      </w:r>
      <w:r w:rsidR="003E2D40" w:rsidRPr="00E6167F">
        <w:rPr>
          <w:rFonts w:eastAsia="Times New Roman" w:cstheme="minorHAnsi"/>
          <w:color w:val="000000"/>
        </w:rPr>
        <w:t>mpower</w:t>
      </w:r>
      <w:r w:rsidR="00DF7A6C" w:rsidRPr="00E6167F">
        <w:rPr>
          <w:rFonts w:eastAsia="Times New Roman" w:cstheme="minorHAnsi"/>
          <w:color w:val="000000"/>
        </w:rPr>
        <w:t>s</w:t>
      </w:r>
      <w:r w:rsidR="003E2D40" w:rsidRPr="00E6167F">
        <w:rPr>
          <w:rFonts w:eastAsia="Times New Roman" w:cstheme="minorHAnsi"/>
          <w:color w:val="000000"/>
        </w:rPr>
        <w:t xml:space="preserve"> poor and marginalized groups, who </w:t>
      </w:r>
      <w:r w:rsidR="00187AA9" w:rsidRPr="00E6167F">
        <w:rPr>
          <w:rFonts w:eastAsia="Times New Roman" w:cstheme="minorHAnsi"/>
          <w:color w:val="000000"/>
        </w:rPr>
        <w:t xml:space="preserve">otherwise would not be </w:t>
      </w:r>
      <w:r w:rsidR="003E2D40" w:rsidRPr="00E6167F">
        <w:rPr>
          <w:rFonts w:eastAsia="Times New Roman" w:cstheme="minorHAnsi"/>
          <w:color w:val="000000"/>
        </w:rPr>
        <w:t>aware of any specific entitlement</w:t>
      </w:r>
      <w:r w:rsidR="005A6AAA">
        <w:rPr>
          <w:rFonts w:eastAsia="Times New Roman" w:cstheme="minorHAnsi"/>
          <w:color w:val="000000"/>
        </w:rPr>
        <w:t xml:space="preserve">; </w:t>
      </w:r>
      <w:r w:rsidR="0096630A">
        <w:rPr>
          <w:rFonts w:eastAsia="Times New Roman" w:cstheme="minorHAnsi"/>
          <w:color w:val="000000"/>
        </w:rPr>
        <w:t xml:space="preserve">(ii) </w:t>
      </w:r>
      <w:r w:rsidR="005A6AAA">
        <w:rPr>
          <w:rFonts w:eastAsia="Times New Roman" w:cstheme="minorHAnsi"/>
          <w:color w:val="000000"/>
        </w:rPr>
        <w:t>it</w:t>
      </w:r>
      <w:r w:rsidR="00B4292A" w:rsidRPr="00E6167F">
        <w:rPr>
          <w:rFonts w:eastAsia="Times New Roman" w:cstheme="minorHAnsi"/>
          <w:color w:val="000000"/>
        </w:rPr>
        <w:t xml:space="preserve"> increases transparency and helps reduce </w:t>
      </w:r>
      <w:r w:rsidR="007751CD" w:rsidRPr="00E6167F">
        <w:rPr>
          <w:rFonts w:eastAsia="Times New Roman" w:cstheme="minorHAnsi"/>
          <w:color w:val="000000"/>
        </w:rPr>
        <w:t>informal payment; (iii)</w:t>
      </w:r>
      <w:r w:rsidR="0096630A">
        <w:rPr>
          <w:rFonts w:eastAsia="Times New Roman" w:cstheme="minorHAnsi"/>
          <w:color w:val="000000"/>
        </w:rPr>
        <w:t xml:space="preserve"> it</w:t>
      </w:r>
      <w:r w:rsidR="007751CD" w:rsidRPr="00E6167F">
        <w:rPr>
          <w:rFonts w:eastAsia="Times New Roman" w:cstheme="minorHAnsi"/>
          <w:color w:val="000000"/>
        </w:rPr>
        <w:t xml:space="preserve"> </w:t>
      </w:r>
      <w:r w:rsidR="001106AE" w:rsidRPr="00E6167F">
        <w:rPr>
          <w:rFonts w:eastAsia="Times New Roman" w:cstheme="minorHAnsi"/>
          <w:color w:val="000000"/>
        </w:rPr>
        <w:t>allows for proper costing</w:t>
      </w:r>
      <w:r w:rsidR="00CB5814" w:rsidRPr="00E6167F">
        <w:rPr>
          <w:rFonts w:eastAsia="Times New Roman" w:cstheme="minorHAnsi"/>
          <w:color w:val="000000"/>
        </w:rPr>
        <w:t xml:space="preserve"> of services committed to the population</w:t>
      </w:r>
      <w:r w:rsidR="001106AE" w:rsidRPr="00E6167F">
        <w:rPr>
          <w:rFonts w:eastAsia="Times New Roman" w:cstheme="minorHAnsi"/>
          <w:color w:val="000000"/>
        </w:rPr>
        <w:t>,</w:t>
      </w:r>
      <w:r w:rsidR="004A26B9" w:rsidRPr="00E6167F">
        <w:rPr>
          <w:rFonts w:eastAsia="Times New Roman" w:cstheme="minorHAnsi"/>
          <w:color w:val="000000"/>
        </w:rPr>
        <w:t xml:space="preserve"> facilitates </w:t>
      </w:r>
      <w:r w:rsidR="001106AE" w:rsidRPr="00E6167F">
        <w:rPr>
          <w:rFonts w:eastAsia="Times New Roman" w:cstheme="minorHAnsi"/>
          <w:color w:val="000000"/>
        </w:rPr>
        <w:t xml:space="preserve">planning </w:t>
      </w:r>
      <w:r w:rsidR="00E0429F" w:rsidRPr="00E6167F">
        <w:rPr>
          <w:rFonts w:eastAsia="Times New Roman" w:cstheme="minorHAnsi"/>
          <w:color w:val="000000"/>
        </w:rPr>
        <w:t>of service delivery</w:t>
      </w:r>
      <w:r w:rsidR="001752FB">
        <w:rPr>
          <w:rFonts w:eastAsia="Times New Roman" w:cstheme="minorHAnsi"/>
          <w:color w:val="000000"/>
        </w:rPr>
        <w:t xml:space="preserve"> and </w:t>
      </w:r>
      <w:r w:rsidR="003F633E" w:rsidRPr="00E6167F">
        <w:rPr>
          <w:rFonts w:eastAsia="Times New Roman" w:cstheme="minorHAnsi"/>
          <w:color w:val="000000"/>
        </w:rPr>
        <w:t>resource allocation</w:t>
      </w:r>
      <w:r w:rsidR="004A26B9" w:rsidRPr="00E6167F">
        <w:rPr>
          <w:rFonts w:eastAsia="Times New Roman" w:cstheme="minorHAnsi"/>
          <w:color w:val="000000"/>
        </w:rPr>
        <w:t xml:space="preserve">; and (iv) </w:t>
      </w:r>
      <w:r w:rsidR="001752FB">
        <w:rPr>
          <w:rFonts w:eastAsia="Times New Roman" w:cstheme="minorHAnsi"/>
          <w:color w:val="000000"/>
        </w:rPr>
        <w:t xml:space="preserve">it </w:t>
      </w:r>
      <w:r w:rsidR="003D7BE1" w:rsidRPr="00E6167F">
        <w:rPr>
          <w:rFonts w:eastAsia="Times New Roman" w:cstheme="minorHAnsi"/>
          <w:color w:val="000000"/>
        </w:rPr>
        <w:t xml:space="preserve">helps to </w:t>
      </w:r>
      <w:r w:rsidR="001752FB">
        <w:rPr>
          <w:rFonts w:eastAsia="Times New Roman" w:cstheme="minorHAnsi"/>
          <w:color w:val="000000"/>
        </w:rPr>
        <w:t xml:space="preserve">decide </w:t>
      </w:r>
      <w:r w:rsidR="003D7BE1" w:rsidRPr="00E6167F">
        <w:rPr>
          <w:rFonts w:eastAsia="Times New Roman" w:cstheme="minorHAnsi"/>
          <w:color w:val="000000"/>
        </w:rPr>
        <w:t>whether funds are being spent wisely</w:t>
      </w:r>
      <w:r w:rsidR="001752FB">
        <w:rPr>
          <w:rFonts w:eastAsia="Times New Roman" w:cstheme="minorHAnsi"/>
          <w:color w:val="000000"/>
        </w:rPr>
        <w:t xml:space="preserve"> and </w:t>
      </w:r>
      <w:r w:rsidR="003D7BE1" w:rsidRPr="00E6167F">
        <w:rPr>
          <w:rFonts w:eastAsia="Times New Roman" w:cstheme="minorHAnsi"/>
          <w:color w:val="000000"/>
        </w:rPr>
        <w:t>on services that create maximum benefit</w:t>
      </w:r>
      <w:r w:rsidR="00C45EA5">
        <w:rPr>
          <w:rFonts w:eastAsia="Times New Roman" w:cstheme="minorHAnsi"/>
          <w:color w:val="000000"/>
        </w:rPr>
        <w:t>s</w:t>
      </w:r>
      <w:r w:rsidR="003D7BE1" w:rsidRPr="00E6167F">
        <w:rPr>
          <w:rFonts w:eastAsia="Times New Roman" w:cstheme="minorHAnsi"/>
          <w:color w:val="000000"/>
        </w:rPr>
        <w:t xml:space="preserve"> for </w:t>
      </w:r>
      <w:r w:rsidR="001752FB">
        <w:rPr>
          <w:rFonts w:eastAsia="Times New Roman" w:cstheme="minorHAnsi"/>
          <w:color w:val="000000"/>
        </w:rPr>
        <w:t xml:space="preserve">the </w:t>
      </w:r>
      <w:r w:rsidR="003D7BE1" w:rsidRPr="00E6167F">
        <w:rPr>
          <w:rFonts w:eastAsia="Times New Roman" w:cstheme="minorHAnsi"/>
          <w:color w:val="000000"/>
        </w:rPr>
        <w:t>society.</w:t>
      </w:r>
      <w:r w:rsidR="001F7ACE" w:rsidRPr="00E6167F">
        <w:rPr>
          <w:rFonts w:eastAsia="Times New Roman" w:cstheme="minorHAnsi"/>
          <w:color w:val="000000"/>
        </w:rPr>
        <w:t xml:space="preserve"> </w:t>
      </w:r>
    </w:p>
    <w:p w14:paraId="7E577D79" w14:textId="481920DB" w:rsidR="0058292A" w:rsidRPr="00B83D4D" w:rsidRDefault="004C6F17" w:rsidP="00B83D4D">
      <w:pPr>
        <w:spacing w:after="120" w:line="240" w:lineRule="auto"/>
        <w:jc w:val="both"/>
        <w:rPr>
          <w:rFonts w:eastAsia="Times New Roman" w:cstheme="minorHAnsi"/>
          <w:color w:val="000000"/>
        </w:rPr>
      </w:pPr>
      <w:r>
        <w:rPr>
          <w:rFonts w:eastAsia="Times New Roman" w:cstheme="minorHAnsi"/>
          <w:color w:val="000000"/>
        </w:rPr>
        <w:t xml:space="preserve">With the heightened global attention to </w:t>
      </w:r>
      <w:r w:rsidR="00257D1F">
        <w:rPr>
          <w:rFonts w:eastAsia="Times New Roman" w:cstheme="minorHAnsi"/>
          <w:color w:val="000000"/>
        </w:rPr>
        <w:t>UHC</w:t>
      </w:r>
      <w:r>
        <w:rPr>
          <w:rFonts w:eastAsia="Times New Roman" w:cstheme="minorHAnsi"/>
          <w:color w:val="000000"/>
        </w:rPr>
        <w:t xml:space="preserve">, </w:t>
      </w:r>
      <w:r w:rsidR="00257D1F">
        <w:rPr>
          <w:rFonts w:eastAsia="Times New Roman" w:cstheme="minorHAnsi"/>
          <w:color w:val="000000"/>
        </w:rPr>
        <w:t xml:space="preserve">a general movement toward </w:t>
      </w:r>
      <w:r w:rsidR="00F438CE" w:rsidRPr="00E6167F">
        <w:rPr>
          <w:rFonts w:eastAsia="Times New Roman" w:cstheme="minorHAnsi"/>
          <w:color w:val="000000"/>
        </w:rPr>
        <w:t>explicit benefit package</w:t>
      </w:r>
      <w:r w:rsidR="005D5C5C">
        <w:rPr>
          <w:rFonts w:eastAsia="Times New Roman" w:cstheme="minorHAnsi"/>
          <w:color w:val="000000"/>
        </w:rPr>
        <w:t>s</w:t>
      </w:r>
      <w:r w:rsidR="00257D1F">
        <w:rPr>
          <w:rFonts w:eastAsia="Times New Roman" w:cstheme="minorHAnsi"/>
          <w:color w:val="000000"/>
        </w:rPr>
        <w:t xml:space="preserve"> has been observed in many countries</w:t>
      </w:r>
      <w:r w:rsidR="00F438CE" w:rsidRPr="00E6167F">
        <w:rPr>
          <w:rFonts w:eastAsia="Times New Roman" w:cstheme="minorHAnsi"/>
          <w:color w:val="000000"/>
        </w:rPr>
        <w:t xml:space="preserve">. </w:t>
      </w:r>
      <w:r w:rsidR="00365868">
        <w:rPr>
          <w:rFonts w:eastAsia="Times New Roman" w:cstheme="minorHAnsi"/>
          <w:color w:val="000000"/>
        </w:rPr>
        <w:t xml:space="preserve">Specifically, among </w:t>
      </w:r>
      <w:r w:rsidR="00F30218">
        <w:rPr>
          <w:rFonts w:eastAsia="Times New Roman" w:cstheme="minorHAnsi"/>
          <w:color w:val="000000"/>
        </w:rPr>
        <w:t>24</w:t>
      </w:r>
      <w:r w:rsidR="00365868">
        <w:rPr>
          <w:rFonts w:eastAsia="Times New Roman" w:cstheme="minorHAnsi"/>
          <w:color w:val="000000"/>
        </w:rPr>
        <w:t xml:space="preserve"> </w:t>
      </w:r>
      <w:r w:rsidR="00257D1F">
        <w:rPr>
          <w:rFonts w:eastAsia="Times New Roman" w:cstheme="minorHAnsi"/>
          <w:color w:val="000000"/>
        </w:rPr>
        <w:t xml:space="preserve">UHC </w:t>
      </w:r>
      <w:r w:rsidR="00365868">
        <w:rPr>
          <w:rFonts w:eastAsia="Times New Roman" w:cstheme="minorHAnsi"/>
          <w:color w:val="000000"/>
        </w:rPr>
        <w:t xml:space="preserve">programs </w:t>
      </w:r>
      <w:r w:rsidR="001E7BD6">
        <w:rPr>
          <w:rFonts w:eastAsia="Times New Roman" w:cstheme="minorHAnsi"/>
          <w:color w:val="000000"/>
        </w:rPr>
        <w:t xml:space="preserve">recently </w:t>
      </w:r>
      <w:r w:rsidR="00365868">
        <w:rPr>
          <w:rFonts w:eastAsia="Times New Roman" w:cstheme="minorHAnsi"/>
          <w:color w:val="000000"/>
        </w:rPr>
        <w:t>reviewed</w:t>
      </w:r>
      <w:r w:rsidR="0086514A">
        <w:rPr>
          <w:rFonts w:eastAsia="Times New Roman" w:cstheme="minorHAnsi"/>
          <w:color w:val="000000"/>
        </w:rPr>
        <w:t xml:space="preserve"> by the World Bank</w:t>
      </w:r>
      <w:r w:rsidR="00365868">
        <w:rPr>
          <w:rFonts w:eastAsia="Times New Roman" w:cstheme="minorHAnsi"/>
          <w:color w:val="000000"/>
        </w:rPr>
        <w:t xml:space="preserve">, </w:t>
      </w:r>
      <w:r w:rsidR="00D00DBE">
        <w:rPr>
          <w:rFonts w:eastAsia="Times New Roman" w:cstheme="minorHAnsi"/>
          <w:color w:val="000000"/>
        </w:rPr>
        <w:t xml:space="preserve">all but three </w:t>
      </w:r>
      <w:r w:rsidR="001F7ACE" w:rsidRPr="00E6167F">
        <w:rPr>
          <w:rFonts w:eastAsia="Times New Roman" w:cstheme="minorHAnsi"/>
          <w:color w:val="000000"/>
        </w:rPr>
        <w:t>adopt</w:t>
      </w:r>
      <w:r w:rsidR="00B12944">
        <w:rPr>
          <w:rFonts w:eastAsia="Times New Roman" w:cstheme="minorHAnsi"/>
          <w:color w:val="000000"/>
        </w:rPr>
        <w:t>ed</w:t>
      </w:r>
      <w:r w:rsidR="001F7ACE" w:rsidRPr="00E6167F">
        <w:rPr>
          <w:rFonts w:eastAsia="Times New Roman" w:cstheme="minorHAnsi"/>
          <w:color w:val="000000"/>
        </w:rPr>
        <w:t xml:space="preserve"> an explicit package and us</w:t>
      </w:r>
      <w:r w:rsidR="003220AA">
        <w:rPr>
          <w:rFonts w:eastAsia="Times New Roman" w:cstheme="minorHAnsi"/>
          <w:color w:val="000000"/>
        </w:rPr>
        <w:t>ed</w:t>
      </w:r>
      <w:r w:rsidR="001F7ACE" w:rsidRPr="00E6167F">
        <w:rPr>
          <w:rFonts w:eastAsia="Times New Roman" w:cstheme="minorHAnsi"/>
          <w:color w:val="000000"/>
        </w:rPr>
        <w:t xml:space="preserve"> complex mechanisms in setting priorities for these packages (</w:t>
      </w:r>
      <w:r w:rsidR="00F30218">
        <w:rPr>
          <w:rFonts w:eastAsia="Times New Roman" w:cstheme="minorHAnsi"/>
          <w:color w:val="000000"/>
        </w:rPr>
        <w:t xml:space="preserve">Cotlear et al., </w:t>
      </w:r>
      <w:r w:rsidR="001F7ACE" w:rsidRPr="00E6167F">
        <w:rPr>
          <w:rFonts w:eastAsia="Times New Roman" w:cstheme="minorHAnsi"/>
          <w:color w:val="000000"/>
        </w:rPr>
        <w:t xml:space="preserve">2015). </w:t>
      </w:r>
      <w:r w:rsidR="00AD7B63">
        <w:rPr>
          <w:rFonts w:eastAsia="Times New Roman" w:cstheme="minorHAnsi"/>
          <w:color w:val="000000"/>
        </w:rPr>
        <w:t xml:space="preserve">For example, in </w:t>
      </w:r>
      <w:r w:rsidR="002537B7" w:rsidRPr="00C11FE7">
        <w:rPr>
          <w:rFonts w:eastAsia="Times New Roman" w:cstheme="minorHAnsi"/>
          <w:color w:val="000000"/>
        </w:rPr>
        <w:t>Thailand</w:t>
      </w:r>
      <w:r w:rsidR="00AD7B63" w:rsidRPr="00C11FE7">
        <w:rPr>
          <w:rFonts w:eastAsia="Times New Roman" w:cstheme="minorHAnsi"/>
          <w:color w:val="000000"/>
        </w:rPr>
        <w:t>, the b</w:t>
      </w:r>
      <w:r w:rsidR="002537B7" w:rsidRPr="00C11FE7">
        <w:rPr>
          <w:rFonts w:eastAsia="Times New Roman" w:cstheme="minorHAnsi"/>
          <w:color w:val="000000"/>
        </w:rPr>
        <w:t>enefit package is defined by positive and negative lists</w:t>
      </w:r>
      <w:r w:rsidR="00EF339F">
        <w:rPr>
          <w:rFonts w:eastAsia="Times New Roman" w:cstheme="minorHAnsi"/>
          <w:color w:val="000000"/>
        </w:rPr>
        <w:t xml:space="preserve">, consisting of </w:t>
      </w:r>
      <w:r w:rsidR="002537B7" w:rsidRPr="00C11FE7">
        <w:rPr>
          <w:rFonts w:eastAsia="Times New Roman" w:cstheme="minorHAnsi"/>
          <w:color w:val="000000"/>
        </w:rPr>
        <w:t>health conditions, clinical procedures, and other detailed categories.</w:t>
      </w:r>
      <w:r w:rsidR="0019126E" w:rsidRPr="00C11FE7">
        <w:rPr>
          <w:rFonts w:eastAsia="Times New Roman" w:cstheme="minorHAnsi"/>
          <w:color w:val="000000"/>
        </w:rPr>
        <w:t xml:space="preserve"> In Estonia, </w:t>
      </w:r>
      <w:r w:rsidR="0058292A" w:rsidRPr="00C11FE7">
        <w:rPr>
          <w:rFonts w:eastAsia="Times New Roman" w:cstheme="minorHAnsi"/>
          <w:color w:val="000000"/>
        </w:rPr>
        <w:t>t</w:t>
      </w:r>
      <w:r w:rsidR="002537B7" w:rsidRPr="00C11FE7">
        <w:rPr>
          <w:rFonts w:eastAsia="Times New Roman" w:cstheme="minorHAnsi"/>
          <w:color w:val="000000"/>
        </w:rPr>
        <w:t xml:space="preserve">he benefit package is defined by </w:t>
      </w:r>
      <w:r w:rsidR="008D40A3">
        <w:rPr>
          <w:rFonts w:eastAsia="Times New Roman" w:cstheme="minorHAnsi"/>
          <w:color w:val="000000"/>
        </w:rPr>
        <w:t xml:space="preserve">the so-called </w:t>
      </w:r>
      <w:r w:rsidR="00C84058">
        <w:rPr>
          <w:rFonts w:eastAsia="Times New Roman" w:cstheme="minorHAnsi"/>
          <w:color w:val="000000"/>
        </w:rPr>
        <w:t>“</w:t>
      </w:r>
      <w:r w:rsidR="002537B7" w:rsidRPr="00C11FE7">
        <w:rPr>
          <w:rFonts w:eastAsia="Times New Roman" w:cstheme="minorHAnsi"/>
          <w:color w:val="000000"/>
        </w:rPr>
        <w:t>List of Health Services</w:t>
      </w:r>
      <w:r w:rsidR="00C84058">
        <w:rPr>
          <w:rFonts w:eastAsia="Times New Roman" w:cstheme="minorHAnsi"/>
          <w:color w:val="000000"/>
        </w:rPr>
        <w:t>”</w:t>
      </w:r>
      <w:r w:rsidR="008D40A3">
        <w:rPr>
          <w:rFonts w:eastAsia="Times New Roman" w:cstheme="minorHAnsi"/>
          <w:color w:val="000000"/>
        </w:rPr>
        <w:t xml:space="preserve"> (based on government decision)</w:t>
      </w:r>
      <w:r w:rsidR="002537B7" w:rsidRPr="00C11FE7">
        <w:rPr>
          <w:rFonts w:eastAsia="Times New Roman" w:cstheme="minorHAnsi"/>
          <w:color w:val="000000"/>
        </w:rPr>
        <w:t xml:space="preserve">. It has an explicitly defined benefit package structured as an inclusion list. </w:t>
      </w:r>
      <w:r w:rsidR="00FD352A" w:rsidRPr="00C11FE7">
        <w:rPr>
          <w:rFonts w:eastAsia="Times New Roman" w:cstheme="minorHAnsi"/>
          <w:color w:val="000000"/>
        </w:rPr>
        <w:t xml:space="preserve">In Mexico, </w:t>
      </w:r>
      <w:r w:rsidR="006C139B" w:rsidRPr="00C11FE7">
        <w:rPr>
          <w:rFonts w:eastAsia="Times New Roman" w:cstheme="minorHAnsi"/>
          <w:color w:val="000000"/>
        </w:rPr>
        <w:t xml:space="preserve">program </w:t>
      </w:r>
      <w:r w:rsidR="00A3503B" w:rsidRPr="00C11FE7">
        <w:rPr>
          <w:rFonts w:eastAsia="Times New Roman" w:cstheme="minorHAnsi"/>
          <w:color w:val="000000"/>
        </w:rPr>
        <w:t xml:space="preserve">Seguro Popular </w:t>
      </w:r>
      <w:r w:rsidR="006C139B" w:rsidRPr="00C11FE7">
        <w:rPr>
          <w:rFonts w:eastAsia="Times New Roman" w:cstheme="minorHAnsi"/>
          <w:color w:val="000000"/>
        </w:rPr>
        <w:t xml:space="preserve">administers </w:t>
      </w:r>
      <w:r w:rsidR="00A3503B" w:rsidRPr="00C11FE7">
        <w:rPr>
          <w:rFonts w:eastAsia="Times New Roman" w:cstheme="minorHAnsi"/>
          <w:color w:val="000000"/>
        </w:rPr>
        <w:t>two explicit healthcare packages: a set of mainstream primary care and general hospitalization services</w:t>
      </w:r>
      <w:r w:rsidR="00C11FE7" w:rsidRPr="00C11FE7">
        <w:rPr>
          <w:rFonts w:eastAsia="Times New Roman" w:cstheme="minorHAnsi"/>
          <w:color w:val="000000"/>
        </w:rPr>
        <w:t xml:space="preserve"> that includes 284 interventions and</w:t>
      </w:r>
      <w:r w:rsidR="00A3503B" w:rsidRPr="00C11FE7">
        <w:rPr>
          <w:rFonts w:eastAsia="Times New Roman" w:cstheme="minorHAnsi"/>
          <w:color w:val="000000"/>
        </w:rPr>
        <w:t xml:space="preserve"> a set of high-cost/high-complexity </w:t>
      </w:r>
      <w:r w:rsidR="00C319D0">
        <w:rPr>
          <w:rFonts w:eastAsia="Times New Roman" w:cstheme="minorHAnsi"/>
          <w:color w:val="000000"/>
        </w:rPr>
        <w:t xml:space="preserve">services that includes 61 </w:t>
      </w:r>
      <w:r w:rsidR="00A3503B" w:rsidRPr="00C11FE7">
        <w:rPr>
          <w:rFonts w:eastAsia="Times New Roman" w:cstheme="minorHAnsi"/>
          <w:color w:val="000000"/>
        </w:rPr>
        <w:t>interventions</w:t>
      </w:r>
      <w:r w:rsidR="00C319D0">
        <w:rPr>
          <w:rFonts w:eastAsia="Times New Roman" w:cstheme="minorHAnsi"/>
          <w:color w:val="000000"/>
        </w:rPr>
        <w:t xml:space="preserve">. </w:t>
      </w:r>
      <w:r w:rsidR="004F7DE3">
        <w:rPr>
          <w:rFonts w:eastAsia="Times New Roman" w:cstheme="minorHAnsi"/>
          <w:color w:val="000000"/>
        </w:rPr>
        <w:t>The two explicit benefit packages were</w:t>
      </w:r>
      <w:r w:rsidR="004051F2">
        <w:rPr>
          <w:rFonts w:eastAsia="Times New Roman" w:cstheme="minorHAnsi"/>
          <w:color w:val="000000"/>
        </w:rPr>
        <w:t xml:space="preserve"> </w:t>
      </w:r>
      <w:r w:rsidR="00BE6BCB">
        <w:rPr>
          <w:rFonts w:eastAsia="Times New Roman" w:cstheme="minorHAnsi"/>
          <w:color w:val="000000"/>
        </w:rPr>
        <w:t xml:space="preserve">deemed </w:t>
      </w:r>
      <w:r w:rsidR="004051F2">
        <w:rPr>
          <w:rFonts w:eastAsia="Times New Roman" w:cstheme="minorHAnsi"/>
          <w:color w:val="000000"/>
        </w:rPr>
        <w:t>effective tool</w:t>
      </w:r>
      <w:r w:rsidR="00BE6BCB">
        <w:rPr>
          <w:rFonts w:eastAsia="Times New Roman" w:cstheme="minorHAnsi"/>
          <w:color w:val="000000"/>
        </w:rPr>
        <w:t>s</w:t>
      </w:r>
      <w:r w:rsidR="004051F2">
        <w:rPr>
          <w:rFonts w:eastAsia="Times New Roman" w:cstheme="minorHAnsi"/>
          <w:color w:val="000000"/>
        </w:rPr>
        <w:t xml:space="preserve"> </w:t>
      </w:r>
      <w:r w:rsidR="00243E61">
        <w:rPr>
          <w:rFonts w:eastAsia="Times New Roman" w:cstheme="minorHAnsi"/>
          <w:color w:val="000000"/>
        </w:rPr>
        <w:t xml:space="preserve">for </w:t>
      </w:r>
      <w:r w:rsidR="004051F2">
        <w:rPr>
          <w:rFonts w:eastAsia="Times New Roman" w:cstheme="minorHAnsi"/>
          <w:color w:val="000000"/>
        </w:rPr>
        <w:t xml:space="preserve">achieving </w:t>
      </w:r>
      <w:r w:rsidR="00243E61">
        <w:rPr>
          <w:rFonts w:eastAsia="Times New Roman" w:cstheme="minorHAnsi"/>
          <w:color w:val="000000"/>
        </w:rPr>
        <w:t xml:space="preserve">UHC </w:t>
      </w:r>
      <w:r w:rsidR="00BE6BCB">
        <w:rPr>
          <w:rFonts w:eastAsia="Times New Roman" w:cstheme="minorHAnsi"/>
          <w:color w:val="000000"/>
        </w:rPr>
        <w:t xml:space="preserve">in the country </w:t>
      </w:r>
      <w:r w:rsidR="00C11FE7" w:rsidRPr="00C11FE7">
        <w:rPr>
          <w:rFonts w:eastAsia="Times New Roman" w:cstheme="minorHAnsi"/>
          <w:color w:val="000000"/>
        </w:rPr>
        <w:t>(</w:t>
      </w:r>
      <w:r w:rsidR="006C139B" w:rsidRPr="00C11FE7">
        <w:rPr>
          <w:rFonts w:eastAsia="Times New Roman" w:cstheme="minorHAnsi"/>
          <w:color w:val="000000"/>
        </w:rPr>
        <w:t>González-Pier</w:t>
      </w:r>
      <w:r w:rsidR="00C11FE7" w:rsidRPr="00C11FE7">
        <w:rPr>
          <w:rFonts w:eastAsia="Times New Roman" w:cstheme="minorHAnsi"/>
          <w:color w:val="000000"/>
        </w:rPr>
        <w:t>, 2017).</w:t>
      </w:r>
      <w:r w:rsidR="00562CFA">
        <w:rPr>
          <w:rFonts w:eastAsia="Times New Roman" w:cstheme="minorHAnsi"/>
          <w:color w:val="000000"/>
        </w:rPr>
        <w:t xml:space="preserve"> </w:t>
      </w:r>
      <w:r w:rsidR="008B3DA2">
        <w:rPr>
          <w:rFonts w:eastAsia="Times New Roman" w:cstheme="minorHAnsi"/>
          <w:color w:val="000000"/>
        </w:rPr>
        <w:t xml:space="preserve">Across countries in </w:t>
      </w:r>
      <w:r w:rsidR="008B3DA2" w:rsidRPr="00B83D4D">
        <w:rPr>
          <w:rFonts w:eastAsia="Times New Roman" w:cstheme="minorHAnsi"/>
          <w:color w:val="000000"/>
        </w:rPr>
        <w:t>Latin America and the Caribbean</w:t>
      </w:r>
      <w:r w:rsidR="00625683">
        <w:rPr>
          <w:rFonts w:eastAsia="Times New Roman" w:cstheme="minorHAnsi"/>
          <w:color w:val="000000"/>
        </w:rPr>
        <w:t>, a</w:t>
      </w:r>
      <w:r w:rsidR="0010751B">
        <w:rPr>
          <w:rFonts w:eastAsia="Times New Roman" w:cstheme="minorHAnsi"/>
          <w:color w:val="000000"/>
        </w:rPr>
        <w:t xml:space="preserve">dopting explicit benefit plans to cover the entire population or target groups </w:t>
      </w:r>
      <w:r w:rsidR="00625683">
        <w:rPr>
          <w:rFonts w:eastAsia="Times New Roman" w:cstheme="minorHAnsi"/>
          <w:color w:val="000000"/>
        </w:rPr>
        <w:t xml:space="preserve">has become </w:t>
      </w:r>
      <w:r w:rsidR="00F70B02">
        <w:rPr>
          <w:rFonts w:eastAsia="Times New Roman" w:cstheme="minorHAnsi"/>
          <w:color w:val="000000"/>
        </w:rPr>
        <w:t xml:space="preserve">a </w:t>
      </w:r>
      <w:r w:rsidR="00625683">
        <w:rPr>
          <w:rFonts w:eastAsia="Times New Roman" w:cstheme="minorHAnsi"/>
          <w:color w:val="000000"/>
        </w:rPr>
        <w:t xml:space="preserve">popular </w:t>
      </w:r>
      <w:r w:rsidR="00F70B02">
        <w:rPr>
          <w:rFonts w:eastAsia="Times New Roman" w:cstheme="minorHAnsi"/>
          <w:color w:val="000000"/>
        </w:rPr>
        <w:t xml:space="preserve">pattern </w:t>
      </w:r>
      <w:r w:rsidR="00446A46" w:rsidRPr="00B83D4D">
        <w:rPr>
          <w:rFonts w:eastAsia="Times New Roman" w:cstheme="minorHAnsi"/>
          <w:color w:val="000000"/>
        </w:rPr>
        <w:t>(G</w:t>
      </w:r>
      <w:r w:rsidR="00B83D4D" w:rsidRPr="00B83D4D">
        <w:rPr>
          <w:rFonts w:eastAsia="Times New Roman" w:cstheme="minorHAnsi"/>
          <w:color w:val="000000"/>
        </w:rPr>
        <w:t>i</w:t>
      </w:r>
      <w:r w:rsidR="00446A46" w:rsidRPr="00B83D4D">
        <w:rPr>
          <w:rFonts w:eastAsia="Times New Roman" w:cstheme="minorHAnsi"/>
          <w:color w:val="000000"/>
        </w:rPr>
        <w:t>edion et al., 2013).</w:t>
      </w:r>
    </w:p>
    <w:p w14:paraId="6D7A69AA" w14:textId="79AC2D4F" w:rsidR="00647662" w:rsidRPr="00E6167F" w:rsidRDefault="00F57653" w:rsidP="00363D34">
      <w:pPr>
        <w:spacing w:after="120" w:line="240" w:lineRule="auto"/>
        <w:jc w:val="both"/>
        <w:rPr>
          <w:rFonts w:eastAsia="Times New Roman" w:cstheme="minorHAnsi"/>
          <w:color w:val="000000"/>
        </w:rPr>
      </w:pPr>
      <w:r>
        <w:rPr>
          <w:rFonts w:eastAsia="Times New Roman" w:cstheme="minorHAnsi"/>
          <w:color w:val="000000"/>
        </w:rPr>
        <w:t>O</w:t>
      </w:r>
      <w:r w:rsidR="00647662" w:rsidRPr="00E6167F">
        <w:rPr>
          <w:rFonts w:eastAsia="Times New Roman" w:cstheme="minorHAnsi"/>
          <w:color w:val="000000"/>
        </w:rPr>
        <w:t xml:space="preserve">ther noteworthy patterns emerged from the </w:t>
      </w:r>
      <w:r w:rsidR="00105D66">
        <w:rPr>
          <w:rFonts w:eastAsia="Times New Roman" w:cstheme="minorHAnsi"/>
          <w:color w:val="000000"/>
        </w:rPr>
        <w:t xml:space="preserve">World Bank’s </w:t>
      </w:r>
      <w:r w:rsidR="00647662" w:rsidRPr="00E6167F">
        <w:rPr>
          <w:rFonts w:eastAsia="Times New Roman" w:cstheme="minorHAnsi"/>
          <w:color w:val="000000"/>
        </w:rPr>
        <w:t xml:space="preserve">review </w:t>
      </w:r>
      <w:r w:rsidR="00105D66">
        <w:rPr>
          <w:rFonts w:eastAsia="Times New Roman" w:cstheme="minorHAnsi"/>
          <w:color w:val="000000"/>
        </w:rPr>
        <w:t xml:space="preserve">of 24 programs </w:t>
      </w:r>
      <w:r w:rsidR="00647662" w:rsidRPr="00E6167F">
        <w:rPr>
          <w:rFonts w:eastAsia="Times New Roman" w:cstheme="minorHAnsi"/>
          <w:color w:val="000000"/>
        </w:rPr>
        <w:t>pertain to the practical implementation and targeting issue</w:t>
      </w:r>
      <w:r w:rsidR="0090013E">
        <w:rPr>
          <w:rFonts w:eastAsia="Times New Roman" w:cstheme="minorHAnsi"/>
          <w:color w:val="000000"/>
        </w:rPr>
        <w:t>s</w:t>
      </w:r>
      <w:r w:rsidR="00647662" w:rsidRPr="00E6167F">
        <w:rPr>
          <w:rFonts w:eastAsia="Times New Roman" w:cstheme="minorHAnsi"/>
          <w:color w:val="000000"/>
        </w:rPr>
        <w:t xml:space="preserve"> of the </w:t>
      </w:r>
      <w:r w:rsidR="00BB2644">
        <w:rPr>
          <w:rFonts w:eastAsia="Times New Roman" w:cstheme="minorHAnsi"/>
          <w:color w:val="000000"/>
        </w:rPr>
        <w:t>benefit package</w:t>
      </w:r>
      <w:r>
        <w:rPr>
          <w:rFonts w:eastAsia="Times New Roman" w:cstheme="minorHAnsi"/>
          <w:color w:val="000000"/>
        </w:rPr>
        <w:t xml:space="preserve">. For example, </w:t>
      </w:r>
      <w:r w:rsidR="0090013E">
        <w:rPr>
          <w:rFonts w:eastAsia="Times New Roman" w:cstheme="minorHAnsi"/>
          <w:color w:val="000000"/>
        </w:rPr>
        <w:t xml:space="preserve">it was revealed that </w:t>
      </w:r>
      <w:r w:rsidR="00D119B8">
        <w:rPr>
          <w:rFonts w:eastAsia="Times New Roman" w:cstheme="minorHAnsi"/>
          <w:color w:val="000000"/>
        </w:rPr>
        <w:t xml:space="preserve">de facto </w:t>
      </w:r>
      <w:r w:rsidR="00D119B8" w:rsidRPr="00E6167F">
        <w:rPr>
          <w:rFonts w:eastAsia="Times New Roman" w:cstheme="minorHAnsi"/>
          <w:color w:val="000000"/>
        </w:rPr>
        <w:t xml:space="preserve">benefit packages </w:t>
      </w:r>
      <w:r w:rsidR="001C1C31">
        <w:rPr>
          <w:rFonts w:eastAsia="Times New Roman" w:cstheme="minorHAnsi"/>
          <w:color w:val="000000"/>
        </w:rPr>
        <w:t xml:space="preserve">in most countries are </w:t>
      </w:r>
      <w:r w:rsidR="00D119B8" w:rsidRPr="00E6167F">
        <w:rPr>
          <w:rFonts w:eastAsia="Times New Roman" w:cstheme="minorHAnsi"/>
          <w:color w:val="000000"/>
        </w:rPr>
        <w:t xml:space="preserve">smaller than </w:t>
      </w:r>
      <w:r w:rsidR="001C1C31">
        <w:rPr>
          <w:rFonts w:eastAsia="Times New Roman" w:cstheme="minorHAnsi"/>
          <w:color w:val="000000"/>
        </w:rPr>
        <w:t xml:space="preserve">what is </w:t>
      </w:r>
      <w:r w:rsidR="00D119B8" w:rsidRPr="00E6167F">
        <w:rPr>
          <w:rFonts w:eastAsia="Times New Roman" w:cstheme="minorHAnsi"/>
          <w:color w:val="000000"/>
        </w:rPr>
        <w:t>promised</w:t>
      </w:r>
      <w:r w:rsidR="00647662" w:rsidRPr="00E6167F">
        <w:rPr>
          <w:rFonts w:eastAsia="Times New Roman" w:cstheme="minorHAnsi"/>
          <w:color w:val="000000"/>
        </w:rPr>
        <w:t>, which points to the need to look beyond statutory benefit</w:t>
      </w:r>
      <w:r w:rsidR="00DA1793">
        <w:rPr>
          <w:rFonts w:eastAsia="Times New Roman" w:cstheme="minorHAnsi"/>
          <w:color w:val="000000"/>
        </w:rPr>
        <w:t>s</w:t>
      </w:r>
      <w:r w:rsidR="00647662" w:rsidRPr="00E6167F">
        <w:rPr>
          <w:rFonts w:eastAsia="Times New Roman" w:cstheme="minorHAnsi"/>
          <w:color w:val="000000"/>
        </w:rPr>
        <w:t xml:space="preserve"> to see how much </w:t>
      </w:r>
      <w:r w:rsidR="00D83398">
        <w:rPr>
          <w:rFonts w:eastAsia="Times New Roman" w:cstheme="minorHAnsi"/>
          <w:color w:val="000000"/>
        </w:rPr>
        <w:t xml:space="preserve">is actually delivered to the </w:t>
      </w:r>
      <w:r w:rsidR="00647662" w:rsidRPr="00E6167F">
        <w:rPr>
          <w:rFonts w:eastAsia="Times New Roman" w:cstheme="minorHAnsi"/>
          <w:color w:val="000000"/>
        </w:rPr>
        <w:t>population</w:t>
      </w:r>
      <w:r w:rsidR="00105D66">
        <w:rPr>
          <w:rFonts w:eastAsia="Times New Roman" w:cstheme="minorHAnsi"/>
          <w:color w:val="000000"/>
        </w:rPr>
        <w:t xml:space="preserve"> (Cotlear et al., 2015).</w:t>
      </w:r>
    </w:p>
    <w:p w14:paraId="17FAEB97" w14:textId="5AAC654D" w:rsidR="001F7ACE" w:rsidRDefault="00F57653" w:rsidP="00363D34">
      <w:pPr>
        <w:spacing w:after="120" w:line="240" w:lineRule="auto"/>
        <w:jc w:val="both"/>
        <w:rPr>
          <w:rFonts w:eastAsia="Times New Roman" w:cstheme="minorHAnsi"/>
          <w:color w:val="000000"/>
        </w:rPr>
      </w:pPr>
      <w:r w:rsidRPr="00E6167F">
        <w:rPr>
          <w:rFonts w:eastAsia="Times New Roman" w:cstheme="minorHAnsi"/>
          <w:color w:val="000000"/>
        </w:rPr>
        <w:lastRenderedPageBreak/>
        <w:t xml:space="preserve">The </w:t>
      </w:r>
      <w:r w:rsidR="002C422B">
        <w:rPr>
          <w:rFonts w:eastAsia="Times New Roman" w:cstheme="minorHAnsi"/>
          <w:color w:val="000000"/>
        </w:rPr>
        <w:t xml:space="preserve">benefit package </w:t>
      </w:r>
      <w:r w:rsidRPr="00E6167F">
        <w:rPr>
          <w:rFonts w:eastAsia="Times New Roman" w:cstheme="minorHAnsi"/>
          <w:color w:val="000000"/>
        </w:rPr>
        <w:t>discussions go way beyond “what’s in, what’s out</w:t>
      </w:r>
      <w:r>
        <w:rPr>
          <w:rFonts w:eastAsia="Times New Roman" w:cstheme="minorHAnsi"/>
          <w:color w:val="000000"/>
        </w:rPr>
        <w:t>.</w:t>
      </w:r>
      <w:r w:rsidRPr="00E6167F">
        <w:rPr>
          <w:rFonts w:eastAsia="Times New Roman" w:cstheme="minorHAnsi"/>
          <w:color w:val="000000"/>
        </w:rPr>
        <w:t xml:space="preserve">” </w:t>
      </w:r>
      <w:r w:rsidR="00553E0B">
        <w:rPr>
          <w:rFonts w:eastAsia="Times New Roman" w:cstheme="minorHAnsi"/>
          <w:color w:val="000000"/>
        </w:rPr>
        <w:t xml:space="preserve">Intrinsically related to the </w:t>
      </w:r>
      <w:r w:rsidR="0060001C">
        <w:rPr>
          <w:rFonts w:eastAsia="Times New Roman" w:cstheme="minorHAnsi"/>
          <w:color w:val="000000"/>
        </w:rPr>
        <w:t xml:space="preserve">package of services are issues </w:t>
      </w:r>
      <w:r w:rsidR="00B778A1">
        <w:rPr>
          <w:rFonts w:eastAsia="Times New Roman" w:cstheme="minorHAnsi"/>
          <w:color w:val="000000"/>
        </w:rPr>
        <w:t xml:space="preserve">such </w:t>
      </w:r>
      <w:r w:rsidR="0060001C">
        <w:rPr>
          <w:rFonts w:eastAsia="Times New Roman" w:cstheme="minorHAnsi"/>
          <w:color w:val="000000"/>
        </w:rPr>
        <w:t xml:space="preserve">as cost-sharing process, </w:t>
      </w:r>
      <w:r w:rsidR="009D45A9" w:rsidRPr="00E6167F">
        <w:rPr>
          <w:rFonts w:eastAsia="Times New Roman" w:cstheme="minorHAnsi"/>
          <w:color w:val="000000"/>
        </w:rPr>
        <w:t xml:space="preserve">how benefits are administered, </w:t>
      </w:r>
      <w:r w:rsidR="00974E61">
        <w:rPr>
          <w:rFonts w:eastAsia="Times New Roman" w:cstheme="minorHAnsi"/>
          <w:color w:val="000000"/>
        </w:rPr>
        <w:t xml:space="preserve">incentive and care delivery options, </w:t>
      </w:r>
      <w:r w:rsidR="009D45A9" w:rsidRPr="00E6167F">
        <w:rPr>
          <w:rFonts w:eastAsia="Times New Roman" w:cstheme="minorHAnsi"/>
          <w:color w:val="000000"/>
        </w:rPr>
        <w:t xml:space="preserve">complaint review process, among others. </w:t>
      </w:r>
      <w:r w:rsidR="009C5B85">
        <w:rPr>
          <w:rFonts w:eastAsia="Times New Roman" w:cstheme="minorHAnsi"/>
          <w:color w:val="000000"/>
        </w:rPr>
        <w:t xml:space="preserve">For the example, </w:t>
      </w:r>
      <w:r w:rsidR="000562A1">
        <w:rPr>
          <w:rFonts w:eastAsia="Times New Roman" w:cstheme="minorHAnsi"/>
          <w:color w:val="000000"/>
        </w:rPr>
        <w:t xml:space="preserve">some of the key features of a health benefit package recommended </w:t>
      </w:r>
      <w:r w:rsidR="009C5B85">
        <w:rPr>
          <w:rFonts w:eastAsia="Times New Roman" w:cstheme="minorHAnsi"/>
          <w:color w:val="000000"/>
        </w:rPr>
        <w:t>by the Institute of Medicine to</w:t>
      </w:r>
      <w:r w:rsidR="00720B0F">
        <w:rPr>
          <w:rFonts w:eastAsia="Times New Roman" w:cstheme="minorHAnsi"/>
          <w:color w:val="000000"/>
        </w:rPr>
        <w:t xml:space="preserve"> health</w:t>
      </w:r>
      <w:r w:rsidR="009C5B85">
        <w:rPr>
          <w:rFonts w:eastAsia="Times New Roman" w:cstheme="minorHAnsi"/>
          <w:color w:val="000000"/>
        </w:rPr>
        <w:t xml:space="preserve"> plans </w:t>
      </w:r>
      <w:r w:rsidR="00F35DDA">
        <w:rPr>
          <w:rFonts w:eastAsia="Times New Roman" w:cstheme="minorHAnsi"/>
          <w:color w:val="000000"/>
        </w:rPr>
        <w:t xml:space="preserve">participating in the “Obama Care” </w:t>
      </w:r>
      <w:r w:rsidR="00155E68">
        <w:rPr>
          <w:rFonts w:eastAsia="Times New Roman" w:cstheme="minorHAnsi"/>
          <w:color w:val="000000"/>
        </w:rPr>
        <w:t xml:space="preserve">in the United States </w:t>
      </w:r>
      <w:r w:rsidR="00612DA2">
        <w:rPr>
          <w:rFonts w:eastAsia="Times New Roman" w:cstheme="minorHAnsi"/>
          <w:color w:val="000000"/>
        </w:rPr>
        <w:t>are listed below</w:t>
      </w:r>
      <w:r w:rsidR="00166D26">
        <w:rPr>
          <w:rFonts w:eastAsia="Times New Roman" w:cstheme="minorHAnsi"/>
          <w:color w:val="000000"/>
        </w:rPr>
        <w:t xml:space="preserve"> </w:t>
      </w:r>
      <w:r w:rsidR="00784137">
        <w:rPr>
          <w:rFonts w:eastAsia="Times New Roman" w:cstheme="minorHAnsi"/>
          <w:color w:val="000000"/>
        </w:rPr>
        <w:t>(Box 1).</w:t>
      </w:r>
    </w:p>
    <w:p w14:paraId="14E7D9CD" w14:textId="797F54B1" w:rsidR="006D6BE2" w:rsidRPr="00E6167F" w:rsidRDefault="002B52F7" w:rsidP="00363D34">
      <w:pPr>
        <w:spacing w:line="240" w:lineRule="auto"/>
        <w:jc w:val="both"/>
        <w:rPr>
          <w:rFonts w:eastAsia="Times New Roman" w:cstheme="minorHAnsi"/>
        </w:rPr>
      </w:pPr>
      <w:r>
        <w:rPr>
          <w:noProof/>
        </w:rPr>
        <mc:AlternateContent>
          <mc:Choice Requires="wps">
            <w:drawing>
              <wp:anchor distT="0" distB="0" distL="114300" distR="114300" simplePos="0" relativeHeight="251661312" behindDoc="0" locked="0" layoutInCell="1" allowOverlap="1" wp14:anchorId="24E11166" wp14:editId="6B47C16A">
                <wp:simplePos x="0" y="0"/>
                <wp:positionH relativeFrom="column">
                  <wp:posOffset>0</wp:posOffset>
                </wp:positionH>
                <wp:positionV relativeFrom="paragraph">
                  <wp:posOffset>0</wp:posOffset>
                </wp:positionV>
                <wp:extent cx="1828800" cy="1828800"/>
                <wp:effectExtent l="0" t="0" r="21590" b="2159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wps:spPr>
                      <wps:txbx>
                        <w:txbxContent>
                          <w:p w14:paraId="0A6FBA09" w14:textId="6014A861" w:rsidR="006E2D13" w:rsidRPr="00D35B6C" w:rsidRDefault="006E2D13" w:rsidP="002B52F7">
                            <w:pPr>
                              <w:spacing w:after="120" w:line="240" w:lineRule="auto"/>
                              <w:jc w:val="both"/>
                              <w:rPr>
                                <w:rFonts w:eastAsia="Times New Roman" w:cstheme="minorHAnsi"/>
                                <w:b/>
                                <w:color w:val="000000"/>
                              </w:rPr>
                            </w:pPr>
                            <w:r w:rsidRPr="00D35B6C">
                              <w:rPr>
                                <w:rFonts w:eastAsia="Times New Roman" w:cstheme="minorHAnsi"/>
                                <w:b/>
                                <w:color w:val="000000"/>
                              </w:rPr>
                              <w:t xml:space="preserve">Box 1. </w:t>
                            </w:r>
                            <w:r w:rsidR="00612DA2">
                              <w:rPr>
                                <w:rFonts w:eastAsia="Times New Roman" w:cstheme="minorHAnsi"/>
                                <w:b/>
                                <w:color w:val="000000"/>
                              </w:rPr>
                              <w:t>B</w:t>
                            </w:r>
                            <w:r w:rsidRPr="00D35B6C">
                              <w:rPr>
                                <w:rFonts w:eastAsia="Times New Roman" w:cstheme="minorHAnsi"/>
                                <w:b/>
                                <w:color w:val="000000"/>
                              </w:rPr>
                              <w:t>enefit package</w:t>
                            </w:r>
                            <w:r w:rsidR="00345645">
                              <w:rPr>
                                <w:rFonts w:eastAsia="Times New Roman" w:cstheme="minorHAnsi"/>
                                <w:b/>
                                <w:color w:val="000000"/>
                              </w:rPr>
                              <w:t xml:space="preserve"> de</w:t>
                            </w:r>
                            <w:r w:rsidR="00612DA2">
                              <w:rPr>
                                <w:rFonts w:eastAsia="Times New Roman" w:cstheme="minorHAnsi"/>
                                <w:b/>
                                <w:color w:val="000000"/>
                              </w:rPr>
                              <w:t xml:space="preserve">sign includes </w:t>
                            </w:r>
                          </w:p>
                          <w:p w14:paraId="7B40AF87" w14:textId="77777777" w:rsidR="006E2D13" w:rsidRDefault="006E2D13" w:rsidP="007D1BE5">
                            <w:pPr>
                              <w:pStyle w:val="ListParagraph"/>
                              <w:numPr>
                                <w:ilvl w:val="0"/>
                                <w:numId w:val="28"/>
                              </w:numPr>
                              <w:spacing w:line="259" w:lineRule="auto"/>
                            </w:pPr>
                            <w:r>
                              <w:t>A description of the covered benefits: services, drugs, devices</w:t>
                            </w:r>
                          </w:p>
                          <w:p w14:paraId="7B9ABA16" w14:textId="77777777" w:rsidR="006E2D13" w:rsidRDefault="006E2D13" w:rsidP="007D1BE5">
                            <w:pPr>
                              <w:pStyle w:val="ListParagraph"/>
                              <w:numPr>
                                <w:ilvl w:val="0"/>
                                <w:numId w:val="28"/>
                              </w:numPr>
                              <w:spacing w:line="259" w:lineRule="auto"/>
                            </w:pPr>
                            <w:r>
                              <w:t>A description of the cost sharing process</w:t>
                            </w:r>
                          </w:p>
                          <w:p w14:paraId="79E1DB7E" w14:textId="77777777" w:rsidR="006E2D13" w:rsidRDefault="006E2D13" w:rsidP="007D1BE5">
                            <w:pPr>
                              <w:pStyle w:val="ListParagraph"/>
                              <w:numPr>
                                <w:ilvl w:val="0"/>
                                <w:numId w:val="28"/>
                              </w:numPr>
                              <w:spacing w:line="259" w:lineRule="auto"/>
                            </w:pPr>
                            <w:r>
                              <w:t>A list of coverage exclusions</w:t>
                            </w:r>
                          </w:p>
                          <w:p w14:paraId="1FF1A50A" w14:textId="77777777" w:rsidR="006E2D13" w:rsidRDefault="006E2D13" w:rsidP="007D1BE5">
                            <w:pPr>
                              <w:pStyle w:val="ListParagraph"/>
                              <w:numPr>
                                <w:ilvl w:val="0"/>
                                <w:numId w:val="28"/>
                              </w:numPr>
                              <w:spacing w:line="259" w:lineRule="auto"/>
                            </w:pPr>
                            <w:r>
                              <w:t>Identification of provider networks, incentives, and care delivery options</w:t>
                            </w:r>
                          </w:p>
                          <w:p w14:paraId="5F806FD7" w14:textId="2EF86A14" w:rsidR="006E2D13" w:rsidRDefault="006E2D13" w:rsidP="007D1BE5">
                            <w:pPr>
                              <w:pStyle w:val="ListParagraph"/>
                              <w:numPr>
                                <w:ilvl w:val="0"/>
                                <w:numId w:val="28"/>
                              </w:numPr>
                              <w:spacing w:line="259" w:lineRule="auto"/>
                            </w:pPr>
                            <w:r>
                              <w:t>Medical management and/or utilization management programs (e.g., when prior authorization is required for specific services; site of service, level of care, or preferred providers)</w:t>
                            </w:r>
                          </w:p>
                          <w:p w14:paraId="4995AD66" w14:textId="77777777" w:rsidR="006E2D13" w:rsidRDefault="006E2D13" w:rsidP="006E694B">
                            <w:pPr>
                              <w:pStyle w:val="ListParagraph"/>
                              <w:numPr>
                                <w:ilvl w:val="0"/>
                                <w:numId w:val="28"/>
                              </w:numPr>
                            </w:pPr>
                            <w:r>
                              <w:t>Payment policies that affect coverage or cost-sharing</w:t>
                            </w:r>
                          </w:p>
                          <w:p w14:paraId="0CEEF033" w14:textId="105C79DD" w:rsidR="00612DA2" w:rsidRDefault="006E2D13" w:rsidP="00A563DE">
                            <w:pPr>
                              <w:pStyle w:val="ListParagraph"/>
                              <w:numPr>
                                <w:ilvl w:val="0"/>
                                <w:numId w:val="28"/>
                              </w:numPr>
                            </w:pPr>
                            <w:r>
                              <w:t>Overall description of how benefits are administered, including description of the complaint, request for review, and appeals processes</w:t>
                            </w:r>
                          </w:p>
                          <w:p w14:paraId="46BBD539" w14:textId="6FCC9C79" w:rsidR="00784137" w:rsidRDefault="00784137" w:rsidP="00A563DE">
                            <w:pPr>
                              <w:pStyle w:val="ListParagraph"/>
                              <w:numPr>
                                <w:ilvl w:val="0"/>
                                <w:numId w:val="28"/>
                              </w:numPr>
                            </w:pPr>
                            <w:r>
                              <w:t>…</w:t>
                            </w:r>
                          </w:p>
                          <w:p w14:paraId="5D4F8756" w14:textId="73EAF34C" w:rsidR="006E2D13" w:rsidRPr="001B0064" w:rsidRDefault="006E2D13" w:rsidP="006E2D13">
                            <w:pPr>
                              <w:spacing w:after="120" w:line="240" w:lineRule="auto"/>
                              <w:jc w:val="both"/>
                              <w:rPr>
                                <w:rFonts w:eastAsia="Times New Roman" w:cstheme="minorHAnsi"/>
                                <w:color w:val="000000"/>
                                <w:sz w:val="20"/>
                                <w:szCs w:val="20"/>
                              </w:rPr>
                            </w:pPr>
                            <w:r w:rsidRPr="001B0064">
                              <w:rPr>
                                <w:rFonts w:eastAsia="Times New Roman" w:cstheme="minorHAnsi"/>
                                <w:color w:val="000000"/>
                                <w:sz w:val="20"/>
                                <w:szCs w:val="20"/>
                              </w:rPr>
                              <w:t xml:space="preserve">Source: </w:t>
                            </w:r>
                            <w:r w:rsidR="00DE7B75">
                              <w:rPr>
                                <w:rFonts w:eastAsia="Times New Roman" w:cstheme="minorHAnsi"/>
                                <w:color w:val="000000"/>
                                <w:sz w:val="20"/>
                                <w:szCs w:val="20"/>
                              </w:rPr>
                              <w:t>reproduced</w:t>
                            </w:r>
                            <w:r w:rsidR="000903CE">
                              <w:rPr>
                                <w:rFonts w:eastAsia="Times New Roman" w:cstheme="minorHAnsi"/>
                                <w:color w:val="000000"/>
                                <w:sz w:val="20"/>
                                <w:szCs w:val="20"/>
                              </w:rPr>
                              <w:t xml:space="preserve"> with simplification from the </w:t>
                            </w:r>
                            <w:r w:rsidRPr="001B0064">
                              <w:rPr>
                                <w:rFonts w:eastAsia="Times New Roman" w:cstheme="minorHAnsi"/>
                                <w:color w:val="000000"/>
                                <w:sz w:val="20"/>
                                <w:szCs w:val="20"/>
                              </w:rPr>
                              <w:t xml:space="preserve">Institute of Medicine (2012).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4E11166"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38QVQIAAMQEAAAOAAAAZHJzL2Uyb0RvYy54bWysVFFv2jAQfp+0/2D5fSQw6CgiVIyKaVLX&#10;VoKpz8ZxSDTbZ9mGhP36nZ0EaLunaS/G57t8d/fdd8zvGiXJUVhXgc7ocJBSIjSHvNL7jP7crj9N&#10;KXGe6ZxJ0CKjJ+Ho3eLjh3ltZmIEJchcWIIg2s1qk9HSezNLEsdLoZgbgBEanQVYxTyadp/kltWI&#10;rmQyStObpAabGwtcOIev962TLiJ+UQjun4rCCU9kRrE2H08bz104k8WczfaWmbLiXRnsH6pQrNKY&#10;9Ax1zzwjB1u9g1IVt+Cg8AMOKoGiqLiIPWA3w/RNN5uSGRF7QXKcOdPk/h8sfzw+W1LlODtKNFM4&#10;oq1oPPkKDRkGdmrjZhi0MRjmG3wOkd27w8fQdFNYFX6xHYJ+5Pl05jaA8fDRdDSdpuji6OsNxEku&#10;nxvr/DcBioRLRi0OL3LKjg/Ot6F9SMjmQFb5upIyGkEwYiUtOTIc9W4/jJ/Kg/oBeft2O0kxf4sT&#10;9RXCYwGvkKQmdUZvPk/SiPDKF9JfckjGf/V4l1qwIakRNhDXEhRuvtk1HWs7yE9IpoVWjM7wdYW4&#10;D8z5Z2ZRfUgSbpR/wqOQgMVAd6OkBPv7b+8hHkWBXkpqVHNGNa4bJfK7RrHcDsfjIP5ojCdfRmjY&#10;a8/u2qMPagXIIQoCa4vXEO9lfy0sqBdcu2XIiS6mOWbOqO+vK99uGK4tF8tlDEK5G+Yf9MbwAB1m&#10;FtjcNi/Mmm7iHsXyCL3q2ezN4NvYOG2zPHhYV1EVgd6W0451XJU41m6twy5e2zHq8uez+AMAAP//&#10;AwBQSwMEFAAGAAgAAAAhADZUTwHZAAAABQEAAA8AAABkcnMvZG93bnJldi54bWxMj0FLw0AQhe9C&#10;/8Myghexm/ZQQsymaKCXgoJV9LrJTrPR7GzIbtv13zstgl6GebzhzffKdXKDOOIUek8KFvMMBFLr&#10;TU+dgrfXzV0OIkRNRg+eUME3BlhXs6tSF8af6AWPu9gJDqFQaAU2xrGQMrQWnQ5zPyKxt/eT05Hl&#10;1Ekz6ROHu0Eus2wlne6JP1g9Ym2x/dodnIKI9dP+MX2kvP68XfnnZmO37wulbq7Twz2IiCn+HcMZ&#10;n9GhYqbGH8gEMSjgIvEy2VvmOcvmd5FVKf/TVz8AAAD//wMAUEsBAi0AFAAGAAgAAAAhALaDOJL+&#10;AAAA4QEAABMAAAAAAAAAAAAAAAAAAAAAAFtDb250ZW50X1R5cGVzXS54bWxQSwECLQAUAAYACAAA&#10;ACEAOP0h/9YAAACUAQAACwAAAAAAAAAAAAAAAAAvAQAAX3JlbHMvLnJlbHNQSwECLQAUAAYACAAA&#10;ACEAtmd/EFUCAADEBAAADgAAAAAAAAAAAAAAAAAuAgAAZHJzL2Uyb0RvYy54bWxQSwECLQAUAAYA&#10;CAAAACEANlRPAdkAAAAFAQAADwAAAAAAAAAAAAAAAACvBAAAZHJzL2Rvd25yZXYueG1sUEsFBgAA&#10;AAAEAAQA8wAAALUFAAAAAA==&#10;" fillcolor="#f2f2f2 [3052]" strokeweight=".5pt">
                <v:textbox style="mso-fit-shape-to-text:t">
                  <w:txbxContent>
                    <w:p w14:paraId="0A6FBA09" w14:textId="6014A861" w:rsidR="006E2D13" w:rsidRPr="00D35B6C" w:rsidRDefault="006E2D13" w:rsidP="002B52F7">
                      <w:pPr>
                        <w:spacing w:after="120" w:line="240" w:lineRule="auto"/>
                        <w:jc w:val="both"/>
                        <w:rPr>
                          <w:rFonts w:eastAsia="Times New Roman" w:cstheme="minorHAnsi"/>
                          <w:b/>
                          <w:color w:val="000000"/>
                        </w:rPr>
                      </w:pPr>
                      <w:r w:rsidRPr="00D35B6C">
                        <w:rPr>
                          <w:rFonts w:eastAsia="Times New Roman" w:cstheme="minorHAnsi"/>
                          <w:b/>
                          <w:color w:val="000000"/>
                        </w:rPr>
                        <w:t xml:space="preserve">Box 1. </w:t>
                      </w:r>
                      <w:r w:rsidR="00612DA2">
                        <w:rPr>
                          <w:rFonts w:eastAsia="Times New Roman" w:cstheme="minorHAnsi"/>
                          <w:b/>
                          <w:color w:val="000000"/>
                        </w:rPr>
                        <w:t>B</w:t>
                      </w:r>
                      <w:r w:rsidRPr="00D35B6C">
                        <w:rPr>
                          <w:rFonts w:eastAsia="Times New Roman" w:cstheme="minorHAnsi"/>
                          <w:b/>
                          <w:color w:val="000000"/>
                        </w:rPr>
                        <w:t>enefit package</w:t>
                      </w:r>
                      <w:r w:rsidR="00345645">
                        <w:rPr>
                          <w:rFonts w:eastAsia="Times New Roman" w:cstheme="minorHAnsi"/>
                          <w:b/>
                          <w:color w:val="000000"/>
                        </w:rPr>
                        <w:t xml:space="preserve"> de</w:t>
                      </w:r>
                      <w:r w:rsidR="00612DA2">
                        <w:rPr>
                          <w:rFonts w:eastAsia="Times New Roman" w:cstheme="minorHAnsi"/>
                          <w:b/>
                          <w:color w:val="000000"/>
                        </w:rPr>
                        <w:t xml:space="preserve">sign includes </w:t>
                      </w:r>
                    </w:p>
                    <w:p w14:paraId="7B40AF87" w14:textId="77777777" w:rsidR="006E2D13" w:rsidRDefault="006E2D13" w:rsidP="007D1BE5">
                      <w:pPr>
                        <w:pStyle w:val="ListParagraph"/>
                        <w:numPr>
                          <w:ilvl w:val="0"/>
                          <w:numId w:val="28"/>
                        </w:numPr>
                        <w:spacing w:line="259" w:lineRule="auto"/>
                      </w:pPr>
                      <w:r>
                        <w:t>A description of the covered benefits: services, drugs, devices</w:t>
                      </w:r>
                    </w:p>
                    <w:p w14:paraId="7B9ABA16" w14:textId="77777777" w:rsidR="006E2D13" w:rsidRDefault="006E2D13" w:rsidP="007D1BE5">
                      <w:pPr>
                        <w:pStyle w:val="ListParagraph"/>
                        <w:numPr>
                          <w:ilvl w:val="0"/>
                          <w:numId w:val="28"/>
                        </w:numPr>
                        <w:spacing w:line="259" w:lineRule="auto"/>
                      </w:pPr>
                      <w:r>
                        <w:t>A description of the cost sharing process</w:t>
                      </w:r>
                    </w:p>
                    <w:p w14:paraId="79E1DB7E" w14:textId="77777777" w:rsidR="006E2D13" w:rsidRDefault="006E2D13" w:rsidP="007D1BE5">
                      <w:pPr>
                        <w:pStyle w:val="ListParagraph"/>
                        <w:numPr>
                          <w:ilvl w:val="0"/>
                          <w:numId w:val="28"/>
                        </w:numPr>
                        <w:spacing w:line="259" w:lineRule="auto"/>
                      </w:pPr>
                      <w:r>
                        <w:t>A list of coverage exclusions</w:t>
                      </w:r>
                    </w:p>
                    <w:p w14:paraId="1FF1A50A" w14:textId="77777777" w:rsidR="006E2D13" w:rsidRDefault="006E2D13" w:rsidP="007D1BE5">
                      <w:pPr>
                        <w:pStyle w:val="ListParagraph"/>
                        <w:numPr>
                          <w:ilvl w:val="0"/>
                          <w:numId w:val="28"/>
                        </w:numPr>
                        <w:spacing w:line="259" w:lineRule="auto"/>
                      </w:pPr>
                      <w:r>
                        <w:t>Identification of provider networks, incentives, and care delivery options</w:t>
                      </w:r>
                    </w:p>
                    <w:p w14:paraId="5F806FD7" w14:textId="2EF86A14" w:rsidR="006E2D13" w:rsidRDefault="006E2D13" w:rsidP="007D1BE5">
                      <w:pPr>
                        <w:pStyle w:val="ListParagraph"/>
                        <w:numPr>
                          <w:ilvl w:val="0"/>
                          <w:numId w:val="28"/>
                        </w:numPr>
                        <w:spacing w:line="259" w:lineRule="auto"/>
                      </w:pPr>
                      <w:r>
                        <w:t>Medical management and/or utilization management programs (e.g., when prior authorization is required for specific services; site of service, level of care, or preferred providers)</w:t>
                      </w:r>
                    </w:p>
                    <w:p w14:paraId="4995AD66" w14:textId="77777777" w:rsidR="006E2D13" w:rsidRDefault="006E2D13" w:rsidP="006E694B">
                      <w:pPr>
                        <w:pStyle w:val="ListParagraph"/>
                        <w:numPr>
                          <w:ilvl w:val="0"/>
                          <w:numId w:val="28"/>
                        </w:numPr>
                      </w:pPr>
                      <w:r>
                        <w:t>Payment policies that affect coverage or cost-sharing</w:t>
                      </w:r>
                    </w:p>
                    <w:p w14:paraId="0CEEF033" w14:textId="105C79DD" w:rsidR="00612DA2" w:rsidRDefault="006E2D13" w:rsidP="00A563DE">
                      <w:pPr>
                        <w:pStyle w:val="ListParagraph"/>
                        <w:numPr>
                          <w:ilvl w:val="0"/>
                          <w:numId w:val="28"/>
                        </w:numPr>
                      </w:pPr>
                      <w:r>
                        <w:t>Overall description of how benefits are administered, including description of the complaint, request for review, and appeals processes</w:t>
                      </w:r>
                    </w:p>
                    <w:p w14:paraId="46BBD539" w14:textId="6FCC9C79" w:rsidR="00784137" w:rsidRDefault="00784137" w:rsidP="00A563DE">
                      <w:pPr>
                        <w:pStyle w:val="ListParagraph"/>
                        <w:numPr>
                          <w:ilvl w:val="0"/>
                          <w:numId w:val="28"/>
                        </w:numPr>
                      </w:pPr>
                      <w:r>
                        <w:t>…</w:t>
                      </w:r>
                    </w:p>
                    <w:p w14:paraId="5D4F8756" w14:textId="73EAF34C" w:rsidR="006E2D13" w:rsidRPr="001B0064" w:rsidRDefault="006E2D13" w:rsidP="006E2D13">
                      <w:pPr>
                        <w:spacing w:after="120" w:line="240" w:lineRule="auto"/>
                        <w:jc w:val="both"/>
                        <w:rPr>
                          <w:rFonts w:eastAsia="Times New Roman" w:cstheme="minorHAnsi"/>
                          <w:color w:val="000000"/>
                          <w:sz w:val="20"/>
                          <w:szCs w:val="20"/>
                        </w:rPr>
                      </w:pPr>
                      <w:r w:rsidRPr="001B0064">
                        <w:rPr>
                          <w:rFonts w:eastAsia="Times New Roman" w:cstheme="minorHAnsi"/>
                          <w:color w:val="000000"/>
                          <w:sz w:val="20"/>
                          <w:szCs w:val="20"/>
                        </w:rPr>
                        <w:t xml:space="preserve">Source: </w:t>
                      </w:r>
                      <w:r w:rsidR="00DE7B75">
                        <w:rPr>
                          <w:rFonts w:eastAsia="Times New Roman" w:cstheme="minorHAnsi"/>
                          <w:color w:val="000000"/>
                          <w:sz w:val="20"/>
                          <w:szCs w:val="20"/>
                        </w:rPr>
                        <w:t>reproduced</w:t>
                      </w:r>
                      <w:r w:rsidR="000903CE">
                        <w:rPr>
                          <w:rFonts w:eastAsia="Times New Roman" w:cstheme="minorHAnsi"/>
                          <w:color w:val="000000"/>
                          <w:sz w:val="20"/>
                          <w:szCs w:val="20"/>
                        </w:rPr>
                        <w:t xml:space="preserve"> with simplification from the </w:t>
                      </w:r>
                      <w:r w:rsidRPr="001B0064">
                        <w:rPr>
                          <w:rFonts w:eastAsia="Times New Roman" w:cstheme="minorHAnsi"/>
                          <w:color w:val="000000"/>
                          <w:sz w:val="20"/>
                          <w:szCs w:val="20"/>
                        </w:rPr>
                        <w:t xml:space="preserve">Institute of Medicine (2012). </w:t>
                      </w:r>
                    </w:p>
                  </w:txbxContent>
                </v:textbox>
                <w10:wrap type="square"/>
              </v:shape>
            </w:pict>
          </mc:Fallback>
        </mc:AlternateContent>
      </w:r>
    </w:p>
    <w:p w14:paraId="2CE5D0CA" w14:textId="623711AE" w:rsidR="00547708" w:rsidRDefault="008059F9" w:rsidP="00363D34">
      <w:pPr>
        <w:spacing w:after="120" w:line="240" w:lineRule="auto"/>
        <w:jc w:val="both"/>
        <w:rPr>
          <w:rFonts w:eastAsia="Times New Roman" w:cstheme="minorHAnsi"/>
          <w:color w:val="000000"/>
        </w:rPr>
      </w:pPr>
      <w:r>
        <w:rPr>
          <w:rFonts w:eastAsia="Times New Roman" w:cstheme="minorHAnsi"/>
          <w:color w:val="000000"/>
        </w:rPr>
        <w:t xml:space="preserve">Box 1 provides an useful </w:t>
      </w:r>
      <w:r w:rsidR="00B86F27" w:rsidRPr="00E6167F">
        <w:rPr>
          <w:rFonts w:eastAsia="Times New Roman" w:cstheme="minorHAnsi"/>
          <w:color w:val="000000"/>
        </w:rPr>
        <w:t xml:space="preserve">framework for </w:t>
      </w:r>
      <w:r w:rsidR="00E75857">
        <w:rPr>
          <w:rFonts w:eastAsia="Times New Roman" w:cstheme="minorHAnsi"/>
          <w:color w:val="000000"/>
        </w:rPr>
        <w:t xml:space="preserve">comprehensively </w:t>
      </w:r>
      <w:r w:rsidR="00B86F27" w:rsidRPr="00E6167F">
        <w:rPr>
          <w:rFonts w:eastAsia="Times New Roman" w:cstheme="minorHAnsi"/>
          <w:color w:val="000000"/>
        </w:rPr>
        <w:t xml:space="preserve">approaching the issues of the </w:t>
      </w:r>
      <w:r w:rsidR="00191D55">
        <w:rPr>
          <w:rFonts w:eastAsia="Times New Roman" w:cstheme="minorHAnsi"/>
          <w:color w:val="000000"/>
        </w:rPr>
        <w:t>benefit package</w:t>
      </w:r>
      <w:r w:rsidR="00E75857">
        <w:rPr>
          <w:rFonts w:eastAsia="Times New Roman" w:cstheme="minorHAnsi"/>
          <w:color w:val="000000"/>
        </w:rPr>
        <w:t>. However</w:t>
      </w:r>
      <w:r w:rsidR="005D619E">
        <w:rPr>
          <w:rFonts w:eastAsia="Times New Roman" w:cstheme="minorHAnsi"/>
          <w:color w:val="000000"/>
        </w:rPr>
        <w:t xml:space="preserve">, its full application </w:t>
      </w:r>
      <w:r w:rsidR="00191D55">
        <w:rPr>
          <w:rFonts w:eastAsia="Times New Roman" w:cstheme="minorHAnsi"/>
          <w:color w:val="000000"/>
        </w:rPr>
        <w:t xml:space="preserve">could be </w:t>
      </w:r>
      <w:r w:rsidR="005D619E">
        <w:rPr>
          <w:rFonts w:eastAsia="Times New Roman" w:cstheme="minorHAnsi"/>
          <w:color w:val="000000"/>
        </w:rPr>
        <w:t>constrained in less developed health systems</w:t>
      </w:r>
      <w:r w:rsidR="00B86F27" w:rsidRPr="00E6167F">
        <w:rPr>
          <w:rFonts w:eastAsia="Times New Roman" w:cstheme="minorHAnsi"/>
          <w:color w:val="000000"/>
        </w:rPr>
        <w:t xml:space="preserve">. </w:t>
      </w:r>
      <w:r w:rsidR="00535395">
        <w:rPr>
          <w:rFonts w:eastAsia="Times New Roman" w:cstheme="minorHAnsi"/>
          <w:color w:val="000000"/>
        </w:rPr>
        <w:t xml:space="preserve">Countries are usually faced with technical and political </w:t>
      </w:r>
      <w:r w:rsidR="003235D5" w:rsidRPr="00E6167F">
        <w:rPr>
          <w:rFonts w:eastAsia="Times New Roman" w:cstheme="minorHAnsi"/>
          <w:color w:val="000000"/>
        </w:rPr>
        <w:t>challenges</w:t>
      </w:r>
      <w:r w:rsidR="001B0805">
        <w:rPr>
          <w:rFonts w:eastAsia="Times New Roman" w:cstheme="minorHAnsi"/>
          <w:color w:val="000000"/>
        </w:rPr>
        <w:t xml:space="preserve"> - </w:t>
      </w:r>
      <w:r w:rsidR="001B7C72">
        <w:rPr>
          <w:rFonts w:eastAsia="Times New Roman" w:cstheme="minorHAnsi"/>
          <w:color w:val="000000"/>
        </w:rPr>
        <w:t xml:space="preserve">in </w:t>
      </w:r>
      <w:r w:rsidR="003235D5" w:rsidRPr="00E6167F">
        <w:rPr>
          <w:rFonts w:eastAsia="Times New Roman" w:cstheme="minorHAnsi"/>
          <w:color w:val="000000"/>
        </w:rPr>
        <w:t>data</w:t>
      </w:r>
      <w:r w:rsidR="00191D55">
        <w:rPr>
          <w:rFonts w:eastAsia="Times New Roman" w:cstheme="minorHAnsi"/>
          <w:color w:val="000000"/>
        </w:rPr>
        <w:t xml:space="preserve"> availability and </w:t>
      </w:r>
      <w:r w:rsidR="008D745D">
        <w:rPr>
          <w:rFonts w:eastAsia="Times New Roman" w:cstheme="minorHAnsi"/>
          <w:color w:val="000000"/>
        </w:rPr>
        <w:t>quality</w:t>
      </w:r>
      <w:r w:rsidR="003235D5" w:rsidRPr="00E6167F">
        <w:rPr>
          <w:rFonts w:eastAsia="Times New Roman" w:cstheme="minorHAnsi"/>
          <w:color w:val="000000"/>
        </w:rPr>
        <w:t xml:space="preserve">, </w:t>
      </w:r>
      <w:r w:rsidR="001B7C72">
        <w:rPr>
          <w:rFonts w:eastAsia="Times New Roman" w:cstheme="minorHAnsi"/>
          <w:color w:val="000000"/>
        </w:rPr>
        <w:t xml:space="preserve">analytical </w:t>
      </w:r>
      <w:r w:rsidR="003235D5" w:rsidRPr="00E6167F">
        <w:rPr>
          <w:rFonts w:eastAsia="Times New Roman" w:cstheme="minorHAnsi"/>
          <w:color w:val="000000"/>
        </w:rPr>
        <w:t xml:space="preserve">capacity, </w:t>
      </w:r>
      <w:r w:rsidR="001B7C72">
        <w:rPr>
          <w:rFonts w:eastAsia="Times New Roman" w:cstheme="minorHAnsi"/>
          <w:color w:val="000000"/>
        </w:rPr>
        <w:t xml:space="preserve">and the ability to </w:t>
      </w:r>
      <w:r w:rsidR="008D745D">
        <w:rPr>
          <w:rFonts w:eastAsia="Times New Roman" w:cstheme="minorHAnsi"/>
          <w:color w:val="000000"/>
        </w:rPr>
        <w:t xml:space="preserve">balance among </w:t>
      </w:r>
      <w:r w:rsidR="00085D2D">
        <w:rPr>
          <w:rFonts w:eastAsia="Times New Roman" w:cstheme="minorHAnsi"/>
          <w:color w:val="000000"/>
        </w:rPr>
        <w:t>various interest</w:t>
      </w:r>
      <w:r w:rsidR="00CE6532">
        <w:rPr>
          <w:rFonts w:eastAsia="Times New Roman" w:cstheme="minorHAnsi"/>
          <w:color w:val="000000"/>
        </w:rPr>
        <w:t>s</w:t>
      </w:r>
      <w:r w:rsidR="003235D5" w:rsidRPr="00E6167F">
        <w:rPr>
          <w:rFonts w:eastAsia="Times New Roman" w:cstheme="minorHAnsi"/>
          <w:color w:val="000000"/>
        </w:rPr>
        <w:t xml:space="preserve">. </w:t>
      </w:r>
      <w:r w:rsidR="00C661D8">
        <w:rPr>
          <w:rFonts w:eastAsia="Times New Roman" w:cstheme="minorHAnsi"/>
          <w:color w:val="000000"/>
        </w:rPr>
        <w:t xml:space="preserve">Some of the more relevant issues for Kyrgyzstan will be reviewed in detail in the </w:t>
      </w:r>
      <w:r w:rsidR="008475A3">
        <w:rPr>
          <w:rFonts w:eastAsia="Times New Roman" w:cstheme="minorHAnsi"/>
          <w:color w:val="000000"/>
        </w:rPr>
        <w:t>later sections of this paper.</w:t>
      </w:r>
    </w:p>
    <w:p w14:paraId="47165707" w14:textId="759AE083" w:rsidR="00B95FB5" w:rsidRDefault="00ED5D24" w:rsidP="00363D34">
      <w:pPr>
        <w:pStyle w:val="Heading1"/>
        <w:numPr>
          <w:ilvl w:val="0"/>
          <w:numId w:val="29"/>
        </w:numPr>
        <w:rPr>
          <w:rFonts w:ascii="Calibri" w:hAnsi="Calibri" w:cs="Calibri"/>
          <w:color w:val="1F4E79" w:themeColor="accent1" w:themeShade="80"/>
        </w:rPr>
      </w:pPr>
      <w:bookmarkStart w:id="6" w:name="_Toc10477891"/>
      <w:r w:rsidRPr="00B55BD6">
        <w:rPr>
          <w:rFonts w:ascii="Calibri" w:hAnsi="Calibri" w:cs="Calibri"/>
          <w:color w:val="1F4E79" w:themeColor="accent1" w:themeShade="80"/>
        </w:rPr>
        <w:t>The State Guaranteed Benefit Package in the Kyrgyz Republic</w:t>
      </w:r>
      <w:bookmarkEnd w:id="6"/>
    </w:p>
    <w:p w14:paraId="58FAA80C" w14:textId="2EC1AC6C" w:rsidR="00ED5D24" w:rsidRPr="00B95FB5" w:rsidRDefault="00065EAC" w:rsidP="00D92F7A">
      <w:pPr>
        <w:pStyle w:val="Subheading1"/>
      </w:pPr>
      <w:bookmarkStart w:id="7" w:name="_Toc10477892"/>
      <w:r w:rsidRPr="00B95FB5">
        <w:t>Regulatory framework and institutional arrangement for the SGBP</w:t>
      </w:r>
      <w:bookmarkEnd w:id="7"/>
    </w:p>
    <w:p w14:paraId="7B34B913" w14:textId="096AF911" w:rsidR="00587E1E" w:rsidRDefault="00403C7F" w:rsidP="00363D34">
      <w:pPr>
        <w:spacing w:after="0" w:line="240" w:lineRule="auto"/>
        <w:jc w:val="both"/>
        <w:rPr>
          <w:rFonts w:cstheme="minorHAnsi"/>
        </w:rPr>
      </w:pPr>
      <w:r w:rsidRPr="00E6167F">
        <w:rPr>
          <w:rFonts w:cstheme="minorHAnsi"/>
        </w:rPr>
        <w:t xml:space="preserve">The </w:t>
      </w:r>
      <w:r w:rsidR="004D7514">
        <w:rPr>
          <w:rFonts w:cstheme="minorHAnsi"/>
        </w:rPr>
        <w:t>SGBP</w:t>
      </w:r>
      <w:r w:rsidRPr="00E6167F">
        <w:rPr>
          <w:rFonts w:cstheme="minorHAnsi"/>
        </w:rPr>
        <w:t xml:space="preserve"> is administered through the program of the state guarantees to ensure </w:t>
      </w:r>
      <w:r w:rsidR="005275EF" w:rsidRPr="00E6167F">
        <w:rPr>
          <w:rFonts w:cstheme="minorHAnsi"/>
        </w:rPr>
        <w:t xml:space="preserve">a </w:t>
      </w:r>
      <w:r w:rsidRPr="00E6167F">
        <w:rPr>
          <w:rFonts w:cstheme="minorHAnsi"/>
        </w:rPr>
        <w:t>volume, types and conditions of provision of medical care to the people, ensuring the realization of their rights to health care in accordance with Kyrgyz legislation</w:t>
      </w:r>
      <w:r w:rsidR="003E419D">
        <w:rPr>
          <w:rFonts w:cstheme="minorHAnsi"/>
        </w:rPr>
        <w:t>s</w:t>
      </w:r>
      <w:r w:rsidRPr="00E6167F">
        <w:rPr>
          <w:rFonts w:cstheme="minorHAnsi"/>
        </w:rPr>
        <w:t>.</w:t>
      </w:r>
      <w:r w:rsidR="002424C9" w:rsidRPr="00E6167F">
        <w:rPr>
          <w:rFonts w:cstheme="minorHAnsi"/>
        </w:rPr>
        <w:t xml:space="preserve"> </w:t>
      </w:r>
      <w:r w:rsidR="00253BE2" w:rsidRPr="00E6167F">
        <w:rPr>
          <w:rFonts w:cstheme="minorHAnsi"/>
        </w:rPr>
        <w:t>According to the Health Care Law</w:t>
      </w:r>
      <w:r w:rsidR="002424C9" w:rsidRPr="00E6167F">
        <w:rPr>
          <w:rFonts w:cstheme="minorHAnsi"/>
        </w:rPr>
        <w:t>,</w:t>
      </w:r>
      <w:r w:rsidR="00253BE2" w:rsidRPr="00E6167F">
        <w:rPr>
          <w:rFonts w:cstheme="minorHAnsi"/>
        </w:rPr>
        <w:t xml:space="preserve"> </w:t>
      </w:r>
      <w:r w:rsidR="00414BDF" w:rsidRPr="00E6167F">
        <w:rPr>
          <w:rFonts w:cstheme="minorHAnsi"/>
        </w:rPr>
        <w:t xml:space="preserve">the </w:t>
      </w:r>
      <w:proofErr w:type="spellStart"/>
      <w:r w:rsidR="008475A3">
        <w:rPr>
          <w:rFonts w:cstheme="minorHAnsi"/>
        </w:rPr>
        <w:t>MoH</w:t>
      </w:r>
      <w:proofErr w:type="spellEnd"/>
      <w:r w:rsidR="008475A3">
        <w:rPr>
          <w:rFonts w:cstheme="minorHAnsi"/>
        </w:rPr>
        <w:t xml:space="preserve"> </w:t>
      </w:r>
      <w:r w:rsidR="00253BE2" w:rsidRPr="00E6167F">
        <w:rPr>
          <w:rFonts w:cstheme="minorHAnsi"/>
        </w:rPr>
        <w:t>is responsible for the development of the SGBP</w:t>
      </w:r>
      <w:r w:rsidR="00414BDF" w:rsidRPr="00E6167F">
        <w:rPr>
          <w:rFonts w:cstheme="minorHAnsi"/>
        </w:rPr>
        <w:t xml:space="preserve"> while </w:t>
      </w:r>
      <w:r w:rsidR="00652AFD">
        <w:rPr>
          <w:rFonts w:cstheme="minorHAnsi"/>
        </w:rPr>
        <w:t xml:space="preserve">the </w:t>
      </w:r>
      <w:r w:rsidR="00414BDF" w:rsidRPr="00E6167F">
        <w:rPr>
          <w:rFonts w:cstheme="minorHAnsi"/>
        </w:rPr>
        <w:t xml:space="preserve">MHIF is responsible for its administration. However, decisions regarding the SGBP go way beyond the </w:t>
      </w:r>
      <w:r w:rsidR="00587E1E" w:rsidRPr="00E6167F">
        <w:rPr>
          <w:rFonts w:cstheme="minorHAnsi"/>
        </w:rPr>
        <w:t xml:space="preserve">health sector stakeholders. </w:t>
      </w:r>
    </w:p>
    <w:p w14:paraId="67E1C356" w14:textId="77777777" w:rsidR="006D6BC4" w:rsidRPr="00E6167F" w:rsidRDefault="006D6BC4" w:rsidP="00363D34">
      <w:pPr>
        <w:spacing w:after="0" w:line="240" w:lineRule="auto"/>
        <w:jc w:val="both"/>
        <w:rPr>
          <w:rFonts w:cstheme="minorHAnsi"/>
        </w:rPr>
      </w:pPr>
    </w:p>
    <w:p w14:paraId="30AD0DA8" w14:textId="70DDBE8B" w:rsidR="00253BE2" w:rsidRPr="00E6167F" w:rsidRDefault="00253BE2" w:rsidP="00363D34">
      <w:pPr>
        <w:spacing w:after="0" w:line="240" w:lineRule="auto"/>
        <w:jc w:val="both"/>
        <w:rPr>
          <w:rFonts w:cstheme="minorHAnsi"/>
        </w:rPr>
      </w:pPr>
      <w:r w:rsidRPr="00E6167F">
        <w:rPr>
          <w:rFonts w:cstheme="minorHAnsi"/>
        </w:rPr>
        <w:t>Responsibilities of different stakeholders related to the SGBP are described below</w:t>
      </w:r>
      <w:r w:rsidR="005376A9">
        <w:rPr>
          <w:rFonts w:cstheme="minorHAnsi"/>
        </w:rPr>
        <w:t>:</w:t>
      </w:r>
    </w:p>
    <w:p w14:paraId="6AB3FA3F" w14:textId="67C38BC1" w:rsidR="00271EA0" w:rsidRPr="00E6167F" w:rsidRDefault="00271EA0" w:rsidP="00363D34">
      <w:pPr>
        <w:spacing w:after="0" w:line="240" w:lineRule="auto"/>
        <w:jc w:val="both"/>
        <w:rPr>
          <w:rFonts w:cstheme="minorHAnsi"/>
        </w:rPr>
      </w:pPr>
    </w:p>
    <w:p w14:paraId="3B0D506C" w14:textId="01E8E7EB" w:rsidR="00587E1E" w:rsidRPr="00E6167F" w:rsidRDefault="00030148" w:rsidP="00363D34">
      <w:pPr>
        <w:pStyle w:val="ListParagraph"/>
        <w:numPr>
          <w:ilvl w:val="0"/>
          <w:numId w:val="21"/>
        </w:numPr>
        <w:spacing w:after="0" w:line="240" w:lineRule="auto"/>
        <w:contextualSpacing w:val="0"/>
        <w:jc w:val="both"/>
        <w:rPr>
          <w:rFonts w:cstheme="minorHAnsi"/>
        </w:rPr>
      </w:pPr>
      <w:r w:rsidRPr="00E6167F">
        <w:rPr>
          <w:rFonts w:cstheme="minorHAnsi"/>
        </w:rPr>
        <w:t xml:space="preserve">The </w:t>
      </w:r>
      <w:proofErr w:type="spellStart"/>
      <w:r w:rsidRPr="00E6167F">
        <w:rPr>
          <w:rFonts w:cstheme="minorHAnsi"/>
        </w:rPr>
        <w:t>MoH</w:t>
      </w:r>
      <w:proofErr w:type="spellEnd"/>
      <w:r w:rsidRPr="00E6167F">
        <w:rPr>
          <w:rFonts w:cstheme="minorHAnsi"/>
        </w:rPr>
        <w:t xml:space="preserve">: is responsible for </w:t>
      </w:r>
      <w:r w:rsidR="000D238A" w:rsidRPr="00E6167F">
        <w:rPr>
          <w:rFonts w:cstheme="minorHAnsi"/>
        </w:rPr>
        <w:t>defining and revising the SGBP, often in collaboration with the MHIF</w:t>
      </w:r>
      <w:r w:rsidR="00F333F8">
        <w:rPr>
          <w:rFonts w:cstheme="minorHAnsi"/>
        </w:rPr>
        <w:t>;</w:t>
      </w:r>
    </w:p>
    <w:p w14:paraId="53D55AE8" w14:textId="13A8337E" w:rsidR="00587E1E" w:rsidRPr="00E6167F" w:rsidRDefault="000D238A" w:rsidP="00363D34">
      <w:pPr>
        <w:pStyle w:val="ListParagraph"/>
        <w:numPr>
          <w:ilvl w:val="0"/>
          <w:numId w:val="21"/>
        </w:numPr>
        <w:spacing w:after="0" w:line="240" w:lineRule="auto"/>
        <w:contextualSpacing w:val="0"/>
        <w:jc w:val="both"/>
        <w:rPr>
          <w:rFonts w:cstheme="minorHAnsi"/>
        </w:rPr>
      </w:pPr>
      <w:r w:rsidRPr="00E6167F">
        <w:rPr>
          <w:rFonts w:cstheme="minorHAnsi"/>
        </w:rPr>
        <w:t xml:space="preserve">The </w:t>
      </w:r>
      <w:r w:rsidR="00587E1E" w:rsidRPr="00E6167F">
        <w:rPr>
          <w:rFonts w:cstheme="minorHAnsi"/>
        </w:rPr>
        <w:t>MHIF</w:t>
      </w:r>
      <w:r w:rsidRPr="00E6167F">
        <w:rPr>
          <w:rFonts w:cstheme="minorHAnsi"/>
        </w:rPr>
        <w:t>:</w:t>
      </w:r>
      <w:r w:rsidR="00587E1E" w:rsidRPr="00E6167F">
        <w:rPr>
          <w:rFonts w:cstheme="minorHAnsi"/>
        </w:rPr>
        <w:t xml:space="preserve"> takes part in the development of SGBP and </w:t>
      </w:r>
      <w:r w:rsidR="004703BE" w:rsidRPr="00E6167F">
        <w:rPr>
          <w:rFonts w:cstheme="minorHAnsi"/>
        </w:rPr>
        <w:t xml:space="preserve">acts as a Single Purchaser </w:t>
      </w:r>
      <w:r w:rsidR="008674CE" w:rsidRPr="00E6167F">
        <w:rPr>
          <w:rFonts w:cstheme="minorHAnsi"/>
        </w:rPr>
        <w:t xml:space="preserve">of the </w:t>
      </w:r>
      <w:r w:rsidR="00587E1E" w:rsidRPr="00E6167F">
        <w:rPr>
          <w:rFonts w:cstheme="minorHAnsi"/>
        </w:rPr>
        <w:t>SGBP. In case of the financial shortfalls</w:t>
      </w:r>
      <w:r w:rsidR="004365CD">
        <w:rPr>
          <w:rFonts w:cstheme="minorHAnsi"/>
        </w:rPr>
        <w:t>,</w:t>
      </w:r>
      <w:r w:rsidR="00587E1E" w:rsidRPr="00E6167F">
        <w:rPr>
          <w:rFonts w:cstheme="minorHAnsi"/>
        </w:rPr>
        <w:t xml:space="preserve"> MHIF can </w:t>
      </w:r>
      <w:r w:rsidR="008F6361">
        <w:rPr>
          <w:rFonts w:cstheme="minorHAnsi"/>
        </w:rPr>
        <w:t xml:space="preserve">initiate </w:t>
      </w:r>
      <w:r w:rsidR="00587E1E" w:rsidRPr="00E6167F">
        <w:rPr>
          <w:rFonts w:cstheme="minorHAnsi"/>
        </w:rPr>
        <w:t>proposals on the revision of SGBP</w:t>
      </w:r>
      <w:r w:rsidR="00F333F8">
        <w:rPr>
          <w:rFonts w:cstheme="minorHAnsi"/>
        </w:rPr>
        <w:t>;</w:t>
      </w:r>
    </w:p>
    <w:p w14:paraId="7088E16F" w14:textId="1DF3E12A" w:rsidR="00271EA0" w:rsidRPr="00E6167F" w:rsidRDefault="00846A9C" w:rsidP="00363D34">
      <w:pPr>
        <w:pStyle w:val="ListParagraph"/>
        <w:numPr>
          <w:ilvl w:val="0"/>
          <w:numId w:val="21"/>
        </w:numPr>
        <w:spacing w:after="0" w:line="240" w:lineRule="auto"/>
        <w:contextualSpacing w:val="0"/>
        <w:jc w:val="both"/>
        <w:rPr>
          <w:rFonts w:cstheme="minorHAnsi"/>
        </w:rPr>
      </w:pPr>
      <w:r w:rsidRPr="00E6167F">
        <w:rPr>
          <w:rFonts w:cstheme="minorHAnsi"/>
        </w:rPr>
        <w:t xml:space="preserve">The </w:t>
      </w:r>
      <w:proofErr w:type="spellStart"/>
      <w:r w:rsidR="007D4DE3" w:rsidRPr="00E6167F">
        <w:rPr>
          <w:rFonts w:cstheme="minorHAnsi"/>
        </w:rPr>
        <w:t>M</w:t>
      </w:r>
      <w:r w:rsidR="009A09B8">
        <w:rPr>
          <w:rFonts w:cstheme="minorHAnsi"/>
        </w:rPr>
        <w:t>o</w:t>
      </w:r>
      <w:r w:rsidR="007D4DE3" w:rsidRPr="00E6167F">
        <w:rPr>
          <w:rFonts w:cstheme="minorHAnsi"/>
        </w:rPr>
        <w:t>LSD</w:t>
      </w:r>
      <w:proofErr w:type="spellEnd"/>
      <w:r w:rsidRPr="00E6167F">
        <w:rPr>
          <w:rFonts w:cstheme="minorHAnsi"/>
        </w:rPr>
        <w:t xml:space="preserve">: </w:t>
      </w:r>
      <w:r w:rsidR="00AD2F52" w:rsidRPr="00E6167F">
        <w:rPr>
          <w:rFonts w:cstheme="minorHAnsi"/>
        </w:rPr>
        <w:t>i</w:t>
      </w:r>
      <w:r w:rsidR="00FA6F4A">
        <w:rPr>
          <w:rFonts w:cstheme="minorHAnsi"/>
        </w:rPr>
        <w:t>s</w:t>
      </w:r>
      <w:r w:rsidR="00AD2F52" w:rsidRPr="00E6167F">
        <w:rPr>
          <w:rFonts w:cstheme="minorHAnsi"/>
        </w:rPr>
        <w:t xml:space="preserve"> task</w:t>
      </w:r>
      <w:r w:rsidR="00FA6F4A">
        <w:rPr>
          <w:rFonts w:cstheme="minorHAnsi"/>
        </w:rPr>
        <w:t xml:space="preserve">ed </w:t>
      </w:r>
      <w:r w:rsidR="00AD2F52" w:rsidRPr="00E6167F">
        <w:rPr>
          <w:rFonts w:cstheme="minorHAnsi"/>
        </w:rPr>
        <w:t xml:space="preserve">with </w:t>
      </w:r>
      <w:r w:rsidR="00FA6F4A">
        <w:rPr>
          <w:rFonts w:cstheme="minorHAnsi"/>
        </w:rPr>
        <w:t xml:space="preserve">developing policies and </w:t>
      </w:r>
      <w:r w:rsidR="00221DF0">
        <w:rPr>
          <w:rFonts w:cstheme="minorHAnsi"/>
        </w:rPr>
        <w:t>administering various social support programs that have direct implications on the beneficiary population of the SGBP. Specifically, it</w:t>
      </w:r>
      <w:r w:rsidR="00FA6F4A">
        <w:rPr>
          <w:rFonts w:cstheme="minorHAnsi"/>
        </w:rPr>
        <w:t xml:space="preserve"> administers </w:t>
      </w:r>
      <w:r w:rsidR="00AD2F52" w:rsidRPr="00E6167F">
        <w:rPr>
          <w:rFonts w:cstheme="minorHAnsi"/>
        </w:rPr>
        <w:t xml:space="preserve">the categories of the population who are </w:t>
      </w:r>
      <w:r w:rsidR="00275E7A">
        <w:rPr>
          <w:rFonts w:cstheme="minorHAnsi"/>
        </w:rPr>
        <w:t>eligible for free or subsidized services based on their social status</w:t>
      </w:r>
      <w:r w:rsidR="00AD2F52" w:rsidRPr="00E6167F">
        <w:rPr>
          <w:rFonts w:cstheme="minorHAnsi"/>
        </w:rPr>
        <w:t xml:space="preserve"> (social categories). </w:t>
      </w:r>
      <w:r w:rsidR="001607BF" w:rsidRPr="00E6167F">
        <w:rPr>
          <w:rFonts w:cstheme="minorHAnsi"/>
        </w:rPr>
        <w:t>A</w:t>
      </w:r>
      <w:r w:rsidR="00F164F7">
        <w:rPr>
          <w:rFonts w:cstheme="minorHAnsi"/>
        </w:rPr>
        <w:t>t present, there are 30 such categories</w:t>
      </w:r>
      <w:r w:rsidR="007D4DE3" w:rsidRPr="00E6167F">
        <w:rPr>
          <w:rFonts w:cstheme="minorHAnsi"/>
        </w:rPr>
        <w:t xml:space="preserve">. The </w:t>
      </w:r>
      <w:proofErr w:type="spellStart"/>
      <w:r w:rsidR="003637CB" w:rsidRPr="00E6167F">
        <w:rPr>
          <w:rFonts w:cstheme="minorHAnsi"/>
        </w:rPr>
        <w:t>M</w:t>
      </w:r>
      <w:r w:rsidR="0001509B">
        <w:rPr>
          <w:rFonts w:cstheme="minorHAnsi"/>
        </w:rPr>
        <w:t>o</w:t>
      </w:r>
      <w:r w:rsidR="003637CB" w:rsidRPr="00E6167F">
        <w:rPr>
          <w:rFonts w:cstheme="minorHAnsi"/>
        </w:rPr>
        <w:t>LSD</w:t>
      </w:r>
      <w:proofErr w:type="spellEnd"/>
      <w:r w:rsidR="003637CB" w:rsidRPr="00E6167F">
        <w:rPr>
          <w:rFonts w:cstheme="minorHAnsi"/>
        </w:rPr>
        <w:t xml:space="preserve"> is also in </w:t>
      </w:r>
      <w:r w:rsidR="003637CB" w:rsidRPr="00E6167F">
        <w:rPr>
          <w:rFonts w:cstheme="minorHAnsi"/>
        </w:rPr>
        <w:lastRenderedPageBreak/>
        <w:t xml:space="preserve">charge of </w:t>
      </w:r>
      <w:r w:rsidR="003B3175">
        <w:rPr>
          <w:rFonts w:cstheme="minorHAnsi"/>
        </w:rPr>
        <w:t xml:space="preserve">identifying and </w:t>
      </w:r>
      <w:r w:rsidR="003637CB" w:rsidRPr="00E6167F">
        <w:rPr>
          <w:rFonts w:cstheme="minorHAnsi"/>
        </w:rPr>
        <w:t xml:space="preserve">certifying the poor, </w:t>
      </w:r>
      <w:r w:rsidR="009C1BA3">
        <w:rPr>
          <w:rFonts w:cstheme="minorHAnsi"/>
        </w:rPr>
        <w:t xml:space="preserve">some of them </w:t>
      </w:r>
      <w:r w:rsidR="00241654" w:rsidRPr="00E6167F">
        <w:rPr>
          <w:rFonts w:cstheme="minorHAnsi"/>
        </w:rPr>
        <w:t xml:space="preserve">are included among the </w:t>
      </w:r>
      <w:r w:rsidR="0001509B">
        <w:rPr>
          <w:rFonts w:cstheme="minorHAnsi"/>
        </w:rPr>
        <w:t xml:space="preserve">30 </w:t>
      </w:r>
      <w:r w:rsidR="00241654" w:rsidRPr="00E6167F">
        <w:rPr>
          <w:rFonts w:cstheme="minorHAnsi"/>
        </w:rPr>
        <w:t xml:space="preserve">“social categories” </w:t>
      </w:r>
      <w:r w:rsidR="009613B2">
        <w:rPr>
          <w:rFonts w:cstheme="minorHAnsi"/>
        </w:rPr>
        <w:t xml:space="preserve">of </w:t>
      </w:r>
      <w:r w:rsidR="004703BE" w:rsidRPr="00E6167F">
        <w:rPr>
          <w:rFonts w:cstheme="minorHAnsi"/>
        </w:rPr>
        <w:t>the SGBP</w:t>
      </w:r>
      <w:r w:rsidR="009613B2">
        <w:rPr>
          <w:rFonts w:cstheme="minorHAnsi"/>
        </w:rPr>
        <w:t>;</w:t>
      </w:r>
      <w:r w:rsidR="004703BE" w:rsidRPr="00E6167F">
        <w:rPr>
          <w:rFonts w:cstheme="minorHAnsi"/>
        </w:rPr>
        <w:t xml:space="preserve"> </w:t>
      </w:r>
    </w:p>
    <w:p w14:paraId="2023D1DA" w14:textId="2B92EE79" w:rsidR="004703BE" w:rsidRPr="00E6167F" w:rsidRDefault="004C6B7F" w:rsidP="00363D34">
      <w:pPr>
        <w:pStyle w:val="ListParagraph"/>
        <w:numPr>
          <w:ilvl w:val="0"/>
          <w:numId w:val="21"/>
        </w:numPr>
        <w:spacing w:after="0" w:line="240" w:lineRule="auto"/>
        <w:contextualSpacing w:val="0"/>
        <w:jc w:val="both"/>
        <w:rPr>
          <w:rFonts w:cstheme="minorHAnsi"/>
        </w:rPr>
      </w:pPr>
      <w:r w:rsidRPr="00E6167F">
        <w:rPr>
          <w:rFonts w:cstheme="minorHAnsi"/>
        </w:rPr>
        <w:t xml:space="preserve">The Government: approves the SGBP proposed by the </w:t>
      </w:r>
      <w:proofErr w:type="spellStart"/>
      <w:r w:rsidRPr="00E6167F">
        <w:rPr>
          <w:rFonts w:cstheme="minorHAnsi"/>
        </w:rPr>
        <w:t>MoH</w:t>
      </w:r>
      <w:proofErr w:type="spellEnd"/>
      <w:r w:rsidR="005376A9">
        <w:rPr>
          <w:rFonts w:cstheme="minorHAnsi"/>
        </w:rPr>
        <w:t>;</w:t>
      </w:r>
    </w:p>
    <w:p w14:paraId="0C81885E" w14:textId="02513CD7" w:rsidR="004C6B7F" w:rsidRPr="00E6167F" w:rsidRDefault="00A06F24" w:rsidP="00363D34">
      <w:pPr>
        <w:pStyle w:val="ListParagraph"/>
        <w:numPr>
          <w:ilvl w:val="0"/>
          <w:numId w:val="21"/>
        </w:numPr>
        <w:spacing w:after="0" w:line="240" w:lineRule="auto"/>
        <w:contextualSpacing w:val="0"/>
        <w:jc w:val="both"/>
        <w:rPr>
          <w:rFonts w:cstheme="minorHAnsi"/>
        </w:rPr>
      </w:pPr>
      <w:r>
        <w:rPr>
          <w:rFonts w:cstheme="minorHAnsi"/>
        </w:rPr>
        <w:t xml:space="preserve">The </w:t>
      </w:r>
      <w:proofErr w:type="spellStart"/>
      <w:r>
        <w:rPr>
          <w:rFonts w:cstheme="minorHAnsi"/>
        </w:rPr>
        <w:t>MoF</w:t>
      </w:r>
      <w:proofErr w:type="spellEnd"/>
      <w:r w:rsidR="004C6B7F" w:rsidRPr="00E6167F">
        <w:rPr>
          <w:rFonts w:cstheme="minorHAnsi"/>
        </w:rPr>
        <w:t xml:space="preserve">: examines </w:t>
      </w:r>
      <w:r>
        <w:rPr>
          <w:rFonts w:cstheme="minorHAnsi"/>
        </w:rPr>
        <w:t xml:space="preserve">and approves </w:t>
      </w:r>
      <w:r w:rsidR="004C6B7F" w:rsidRPr="00E6167F">
        <w:rPr>
          <w:rFonts w:cstheme="minorHAnsi"/>
        </w:rPr>
        <w:t>the state budget proposals for health</w:t>
      </w:r>
      <w:r w:rsidR="001E6836">
        <w:rPr>
          <w:rFonts w:cstheme="minorHAnsi"/>
        </w:rPr>
        <w:t xml:space="preserve">, with SGBP comprising </w:t>
      </w:r>
      <w:r w:rsidR="00DE658C">
        <w:rPr>
          <w:rFonts w:cstheme="minorHAnsi"/>
        </w:rPr>
        <w:t xml:space="preserve">nearly </w:t>
      </w:r>
      <w:r w:rsidR="001E6836">
        <w:rPr>
          <w:rFonts w:cstheme="minorHAnsi"/>
        </w:rPr>
        <w:t>80% of the total</w:t>
      </w:r>
      <w:r w:rsidR="007930BC">
        <w:rPr>
          <w:rFonts w:cstheme="minorHAnsi"/>
        </w:rPr>
        <w:t xml:space="preserve">; </w:t>
      </w:r>
      <w:r w:rsidR="004C6B7F" w:rsidRPr="00E6167F">
        <w:rPr>
          <w:rFonts w:cstheme="minorHAnsi"/>
        </w:rPr>
        <w:t xml:space="preserve"> </w:t>
      </w:r>
    </w:p>
    <w:p w14:paraId="14D9956F" w14:textId="05E3DB14" w:rsidR="004C6B7F" w:rsidRPr="00E6167F" w:rsidRDefault="004C6B7F" w:rsidP="00363D34">
      <w:pPr>
        <w:pStyle w:val="ListParagraph"/>
        <w:numPr>
          <w:ilvl w:val="0"/>
          <w:numId w:val="21"/>
        </w:numPr>
        <w:spacing w:after="0" w:line="240" w:lineRule="auto"/>
        <w:contextualSpacing w:val="0"/>
        <w:jc w:val="both"/>
        <w:rPr>
          <w:rFonts w:cstheme="minorHAnsi"/>
        </w:rPr>
      </w:pPr>
      <w:r w:rsidRPr="00E6167F">
        <w:rPr>
          <w:rFonts w:cstheme="minorHAnsi"/>
        </w:rPr>
        <w:t>The Parliament</w:t>
      </w:r>
      <w:r w:rsidR="005376A9">
        <w:rPr>
          <w:rFonts w:cstheme="minorHAnsi"/>
        </w:rPr>
        <w:t>:</w:t>
      </w:r>
      <w:r w:rsidRPr="00E6167F">
        <w:rPr>
          <w:rFonts w:cstheme="minorHAnsi"/>
        </w:rPr>
        <w:t xml:space="preserve"> approves financial parameters for the respective year for the SGBP</w:t>
      </w:r>
      <w:r w:rsidR="005376A9">
        <w:rPr>
          <w:rFonts w:cstheme="minorHAnsi"/>
        </w:rPr>
        <w:t>.</w:t>
      </w:r>
    </w:p>
    <w:p w14:paraId="028B67DC" w14:textId="77777777" w:rsidR="00466984" w:rsidRDefault="00466984" w:rsidP="00363D34">
      <w:pPr>
        <w:spacing w:after="0" w:line="240" w:lineRule="auto"/>
        <w:jc w:val="both"/>
        <w:rPr>
          <w:rFonts w:cstheme="minorHAnsi"/>
        </w:rPr>
      </w:pPr>
    </w:p>
    <w:p w14:paraId="13D87471" w14:textId="68398F97" w:rsidR="0032120C" w:rsidRDefault="00407017" w:rsidP="00363D34">
      <w:pPr>
        <w:spacing w:after="0" w:line="240" w:lineRule="auto"/>
        <w:jc w:val="both"/>
        <w:rPr>
          <w:rFonts w:cstheme="minorHAnsi"/>
        </w:rPr>
      </w:pPr>
      <w:r>
        <w:rPr>
          <w:rFonts w:cstheme="minorHAnsi"/>
        </w:rPr>
        <w:t xml:space="preserve">Before 2015, the Health Care Law </w:t>
      </w:r>
      <w:r w:rsidR="00686AC0">
        <w:rPr>
          <w:rFonts w:cstheme="minorHAnsi"/>
        </w:rPr>
        <w:t xml:space="preserve">required </w:t>
      </w:r>
      <w:r w:rsidR="00D7298A">
        <w:rPr>
          <w:rFonts w:cstheme="minorHAnsi"/>
        </w:rPr>
        <w:t xml:space="preserve">a revision to the </w:t>
      </w:r>
      <w:r>
        <w:rPr>
          <w:rFonts w:cstheme="minorHAnsi"/>
        </w:rPr>
        <w:t xml:space="preserve">SGBP every year. </w:t>
      </w:r>
      <w:r w:rsidR="00D7298A">
        <w:rPr>
          <w:rFonts w:cstheme="minorHAnsi"/>
        </w:rPr>
        <w:t>The Law, h</w:t>
      </w:r>
      <w:r w:rsidR="00465550">
        <w:rPr>
          <w:rFonts w:cstheme="minorHAnsi"/>
        </w:rPr>
        <w:t>owever, d</w:t>
      </w:r>
      <w:r w:rsidR="00AB65C4">
        <w:rPr>
          <w:rFonts w:cstheme="minorHAnsi"/>
        </w:rPr>
        <w:t>id</w:t>
      </w:r>
      <w:r w:rsidR="00465550">
        <w:rPr>
          <w:rFonts w:cstheme="minorHAnsi"/>
        </w:rPr>
        <w:t xml:space="preserve"> not </w:t>
      </w:r>
      <w:r w:rsidR="004539B6" w:rsidRPr="00E6167F">
        <w:rPr>
          <w:rFonts w:cstheme="minorHAnsi"/>
        </w:rPr>
        <w:t xml:space="preserve">describe </w:t>
      </w:r>
      <w:r w:rsidR="00465550">
        <w:rPr>
          <w:rFonts w:cstheme="minorHAnsi"/>
        </w:rPr>
        <w:t xml:space="preserve">a </w:t>
      </w:r>
      <w:r w:rsidR="004539B6" w:rsidRPr="00E6167F">
        <w:rPr>
          <w:rFonts w:cstheme="minorHAnsi"/>
        </w:rPr>
        <w:t xml:space="preserve">process </w:t>
      </w:r>
      <w:r w:rsidR="00465550">
        <w:rPr>
          <w:rFonts w:cstheme="minorHAnsi"/>
        </w:rPr>
        <w:t xml:space="preserve">for </w:t>
      </w:r>
      <w:r w:rsidR="004539B6" w:rsidRPr="00E6167F">
        <w:rPr>
          <w:rFonts w:cstheme="minorHAnsi"/>
        </w:rPr>
        <w:t xml:space="preserve">the SGBP </w:t>
      </w:r>
      <w:r w:rsidR="00465550">
        <w:rPr>
          <w:rFonts w:cstheme="minorHAnsi"/>
        </w:rPr>
        <w:t>revision</w:t>
      </w:r>
      <w:r w:rsidR="00442EBF">
        <w:rPr>
          <w:rFonts w:cstheme="minorHAnsi"/>
        </w:rPr>
        <w:t>, and there</w:t>
      </w:r>
      <w:r w:rsidR="004539B6">
        <w:rPr>
          <w:rFonts w:cstheme="minorHAnsi"/>
        </w:rPr>
        <w:t xml:space="preserve"> </w:t>
      </w:r>
      <w:r w:rsidR="00AB65C4">
        <w:rPr>
          <w:rFonts w:cstheme="minorHAnsi"/>
        </w:rPr>
        <w:t xml:space="preserve">was </w:t>
      </w:r>
      <w:r w:rsidR="004539B6">
        <w:rPr>
          <w:rFonts w:cstheme="minorHAnsi"/>
        </w:rPr>
        <w:t>no protocol or guideline on how the revision c</w:t>
      </w:r>
      <w:r w:rsidR="00DE658C">
        <w:rPr>
          <w:rFonts w:cstheme="minorHAnsi"/>
        </w:rPr>
        <w:t>ould</w:t>
      </w:r>
      <w:r w:rsidR="004539B6">
        <w:rPr>
          <w:rFonts w:cstheme="minorHAnsi"/>
        </w:rPr>
        <w:t xml:space="preserve"> be done. </w:t>
      </w:r>
      <w:r w:rsidR="00090D14">
        <w:rPr>
          <w:rFonts w:cstheme="minorHAnsi"/>
        </w:rPr>
        <w:t>Often</w:t>
      </w:r>
      <w:r w:rsidR="00442EBF">
        <w:rPr>
          <w:rFonts w:cstheme="minorHAnsi"/>
        </w:rPr>
        <w:t>,</w:t>
      </w:r>
      <w:r w:rsidR="00090D14">
        <w:rPr>
          <w:rFonts w:cstheme="minorHAnsi"/>
        </w:rPr>
        <w:t xml:space="preserve"> the process of </w:t>
      </w:r>
      <w:r w:rsidR="00442EBF">
        <w:rPr>
          <w:rFonts w:cstheme="minorHAnsi"/>
        </w:rPr>
        <w:t xml:space="preserve">the SGBP </w:t>
      </w:r>
      <w:r w:rsidR="00090D14">
        <w:rPr>
          <w:rFonts w:cstheme="minorHAnsi"/>
        </w:rPr>
        <w:t xml:space="preserve">revision is as followed: the Minister of Health </w:t>
      </w:r>
      <w:r w:rsidR="007930BC">
        <w:rPr>
          <w:rFonts w:cstheme="minorHAnsi"/>
        </w:rPr>
        <w:t xml:space="preserve">would </w:t>
      </w:r>
      <w:r w:rsidR="00090D14">
        <w:rPr>
          <w:rFonts w:cstheme="minorHAnsi"/>
        </w:rPr>
        <w:t>issue an order to establish a working group</w:t>
      </w:r>
      <w:r w:rsidR="00AB65C4">
        <w:rPr>
          <w:rFonts w:cstheme="minorHAnsi"/>
        </w:rPr>
        <w:t xml:space="preserve"> tasked with </w:t>
      </w:r>
      <w:r w:rsidR="008706EA">
        <w:rPr>
          <w:rFonts w:cstheme="minorHAnsi"/>
        </w:rPr>
        <w:t>develop</w:t>
      </w:r>
      <w:r w:rsidR="00AB65C4">
        <w:rPr>
          <w:rFonts w:cstheme="minorHAnsi"/>
        </w:rPr>
        <w:t>ing</w:t>
      </w:r>
      <w:r w:rsidR="008706EA">
        <w:rPr>
          <w:rFonts w:cstheme="minorHAnsi"/>
        </w:rPr>
        <w:t xml:space="preserve"> a draft revised SGBP. The working group </w:t>
      </w:r>
      <w:r w:rsidR="00737D41">
        <w:rPr>
          <w:rFonts w:cstheme="minorHAnsi"/>
        </w:rPr>
        <w:t xml:space="preserve">typically </w:t>
      </w:r>
      <w:r w:rsidR="008706EA">
        <w:rPr>
          <w:rFonts w:cstheme="minorHAnsi"/>
        </w:rPr>
        <w:t>consist</w:t>
      </w:r>
      <w:r w:rsidR="00D47371">
        <w:rPr>
          <w:rFonts w:cstheme="minorHAnsi"/>
        </w:rPr>
        <w:t>ed</w:t>
      </w:r>
      <w:r w:rsidR="005A39FF">
        <w:rPr>
          <w:rFonts w:cstheme="minorHAnsi"/>
        </w:rPr>
        <w:t xml:space="preserve"> </w:t>
      </w:r>
      <w:r w:rsidR="008706EA">
        <w:rPr>
          <w:rFonts w:cstheme="minorHAnsi"/>
        </w:rPr>
        <w:t xml:space="preserve">of representatives from the </w:t>
      </w:r>
      <w:proofErr w:type="spellStart"/>
      <w:r w:rsidR="008706EA">
        <w:rPr>
          <w:rFonts w:cstheme="minorHAnsi"/>
        </w:rPr>
        <w:t>M</w:t>
      </w:r>
      <w:r w:rsidR="00AD6C64">
        <w:rPr>
          <w:rFonts w:cstheme="minorHAnsi"/>
        </w:rPr>
        <w:t>o</w:t>
      </w:r>
      <w:r w:rsidR="008706EA">
        <w:rPr>
          <w:rFonts w:cstheme="minorHAnsi"/>
        </w:rPr>
        <w:t>H</w:t>
      </w:r>
      <w:proofErr w:type="spellEnd"/>
      <w:r w:rsidR="008706EA">
        <w:rPr>
          <w:rFonts w:cstheme="minorHAnsi"/>
        </w:rPr>
        <w:t xml:space="preserve">, MHIF, </w:t>
      </w:r>
      <w:proofErr w:type="spellStart"/>
      <w:r w:rsidR="008706EA">
        <w:rPr>
          <w:rFonts w:cstheme="minorHAnsi"/>
        </w:rPr>
        <w:t>M</w:t>
      </w:r>
      <w:r w:rsidR="00AD6C64">
        <w:rPr>
          <w:rFonts w:cstheme="minorHAnsi"/>
        </w:rPr>
        <w:t>o</w:t>
      </w:r>
      <w:r w:rsidR="008706EA">
        <w:rPr>
          <w:rFonts w:cstheme="minorHAnsi"/>
        </w:rPr>
        <w:t>LSD</w:t>
      </w:r>
      <w:proofErr w:type="spellEnd"/>
      <w:r w:rsidR="008706EA">
        <w:rPr>
          <w:rFonts w:cstheme="minorHAnsi"/>
        </w:rPr>
        <w:t xml:space="preserve">, and </w:t>
      </w:r>
      <w:proofErr w:type="spellStart"/>
      <w:r w:rsidR="008706EA">
        <w:rPr>
          <w:rFonts w:cstheme="minorHAnsi"/>
        </w:rPr>
        <w:t>M</w:t>
      </w:r>
      <w:r w:rsidR="00AD6C64">
        <w:rPr>
          <w:rFonts w:cstheme="minorHAnsi"/>
        </w:rPr>
        <w:t>o</w:t>
      </w:r>
      <w:r w:rsidR="008706EA">
        <w:rPr>
          <w:rFonts w:cstheme="minorHAnsi"/>
        </w:rPr>
        <w:t>F</w:t>
      </w:r>
      <w:proofErr w:type="spellEnd"/>
      <w:r w:rsidR="008706EA">
        <w:rPr>
          <w:rFonts w:cstheme="minorHAnsi"/>
        </w:rPr>
        <w:t xml:space="preserve">. </w:t>
      </w:r>
      <w:r w:rsidR="00B34776">
        <w:rPr>
          <w:rFonts w:cstheme="minorHAnsi"/>
        </w:rPr>
        <w:t>After the working group develop</w:t>
      </w:r>
      <w:r w:rsidR="00DD1AF9">
        <w:rPr>
          <w:rFonts w:cstheme="minorHAnsi"/>
        </w:rPr>
        <w:t>ed</w:t>
      </w:r>
      <w:r w:rsidR="00B34776">
        <w:rPr>
          <w:rFonts w:cstheme="minorHAnsi"/>
        </w:rPr>
        <w:t xml:space="preserve"> a draft SGBP, </w:t>
      </w:r>
      <w:r w:rsidR="00FF2E2A">
        <w:rPr>
          <w:rFonts w:cstheme="minorHAnsi"/>
        </w:rPr>
        <w:t xml:space="preserve">it </w:t>
      </w:r>
      <w:r w:rsidR="00AD6C64">
        <w:rPr>
          <w:rFonts w:cstheme="minorHAnsi"/>
        </w:rPr>
        <w:t xml:space="preserve">would </w:t>
      </w:r>
      <w:r w:rsidR="005A39FF">
        <w:rPr>
          <w:rFonts w:cstheme="minorHAnsi"/>
        </w:rPr>
        <w:t>submit</w:t>
      </w:r>
      <w:r w:rsidR="00E566DF">
        <w:rPr>
          <w:rFonts w:cstheme="minorHAnsi"/>
        </w:rPr>
        <w:t xml:space="preserve"> </w:t>
      </w:r>
      <w:r w:rsidR="00FF2E2A">
        <w:rPr>
          <w:rFonts w:cstheme="minorHAnsi"/>
        </w:rPr>
        <w:t xml:space="preserve">the draft </w:t>
      </w:r>
      <w:r w:rsidR="00DA28A3">
        <w:rPr>
          <w:rFonts w:cstheme="minorHAnsi"/>
        </w:rPr>
        <w:t>to the Minister</w:t>
      </w:r>
      <w:r w:rsidR="004F1345">
        <w:rPr>
          <w:rFonts w:cstheme="minorHAnsi"/>
        </w:rPr>
        <w:t xml:space="preserve"> of Health</w:t>
      </w:r>
      <w:r w:rsidR="00DA28A3">
        <w:rPr>
          <w:rFonts w:cstheme="minorHAnsi"/>
        </w:rPr>
        <w:t xml:space="preserve">. </w:t>
      </w:r>
      <w:r w:rsidR="000A00A3">
        <w:rPr>
          <w:rFonts w:cstheme="minorHAnsi"/>
        </w:rPr>
        <w:t xml:space="preserve">Subsequently, </w:t>
      </w:r>
      <w:r w:rsidR="00834505">
        <w:rPr>
          <w:rFonts w:cstheme="minorHAnsi"/>
        </w:rPr>
        <w:t xml:space="preserve">the </w:t>
      </w:r>
      <w:r w:rsidR="00DA28A3">
        <w:rPr>
          <w:rFonts w:cstheme="minorHAnsi"/>
        </w:rPr>
        <w:t xml:space="preserve">draft </w:t>
      </w:r>
      <w:r w:rsidR="000A00A3">
        <w:rPr>
          <w:rFonts w:cstheme="minorHAnsi"/>
        </w:rPr>
        <w:t xml:space="preserve">would be </w:t>
      </w:r>
      <w:r w:rsidR="00DA28A3">
        <w:rPr>
          <w:rFonts w:cstheme="minorHAnsi"/>
        </w:rPr>
        <w:t>circulated among all ministries</w:t>
      </w:r>
      <w:r w:rsidR="002E0482">
        <w:rPr>
          <w:rFonts w:cstheme="minorHAnsi"/>
        </w:rPr>
        <w:t xml:space="preserve"> for concurrence before going to the </w:t>
      </w:r>
      <w:r w:rsidR="00A21A0D">
        <w:rPr>
          <w:rFonts w:cstheme="minorHAnsi"/>
        </w:rPr>
        <w:t xml:space="preserve">Prime Minister office. The final version of the SGBP is approved by the Prime Minister through a resolution. </w:t>
      </w:r>
    </w:p>
    <w:p w14:paraId="23F236F2" w14:textId="77777777" w:rsidR="000A6177" w:rsidRDefault="000A6177" w:rsidP="00363D34">
      <w:pPr>
        <w:spacing w:after="0" w:line="240" w:lineRule="auto"/>
        <w:jc w:val="both"/>
        <w:rPr>
          <w:rFonts w:cstheme="minorHAnsi"/>
        </w:rPr>
      </w:pPr>
    </w:p>
    <w:p w14:paraId="4C87868D" w14:textId="69D51DE6" w:rsidR="0032120C" w:rsidRDefault="000A6177" w:rsidP="00363D34">
      <w:pPr>
        <w:spacing w:line="240" w:lineRule="auto"/>
        <w:jc w:val="both"/>
        <w:rPr>
          <w:rFonts w:cstheme="minorHAnsi"/>
        </w:rPr>
      </w:pPr>
      <w:r>
        <w:rPr>
          <w:rFonts w:cstheme="minorHAnsi"/>
        </w:rPr>
        <w:t>As can be see</w:t>
      </w:r>
      <w:r w:rsidR="004E07FF">
        <w:rPr>
          <w:rFonts w:cstheme="minorHAnsi"/>
        </w:rPr>
        <w:t>n</w:t>
      </w:r>
      <w:r>
        <w:rPr>
          <w:rFonts w:cstheme="minorHAnsi"/>
        </w:rPr>
        <w:t xml:space="preserve">, the process of revising the SGBP </w:t>
      </w:r>
      <w:r w:rsidR="0077528A">
        <w:rPr>
          <w:rFonts w:cstheme="minorHAnsi"/>
        </w:rPr>
        <w:t>involve</w:t>
      </w:r>
      <w:r w:rsidR="002909B2">
        <w:rPr>
          <w:rFonts w:cstheme="minorHAnsi"/>
        </w:rPr>
        <w:t>d</w:t>
      </w:r>
      <w:r w:rsidR="0077528A">
        <w:rPr>
          <w:rFonts w:cstheme="minorHAnsi"/>
        </w:rPr>
        <w:t xml:space="preserve"> many steps</w:t>
      </w:r>
      <w:r w:rsidR="00D8392A">
        <w:rPr>
          <w:rFonts w:cstheme="minorHAnsi"/>
        </w:rPr>
        <w:t xml:space="preserve"> and</w:t>
      </w:r>
      <w:r w:rsidR="0077528A">
        <w:rPr>
          <w:rFonts w:cstheme="minorHAnsi"/>
        </w:rPr>
        <w:t xml:space="preserve"> multiple </w:t>
      </w:r>
      <w:r>
        <w:rPr>
          <w:rFonts w:cstheme="minorHAnsi"/>
        </w:rPr>
        <w:t>stakeholders</w:t>
      </w:r>
      <w:r w:rsidR="000D7D9E">
        <w:rPr>
          <w:rFonts w:cstheme="minorHAnsi"/>
        </w:rPr>
        <w:t xml:space="preserve">, </w:t>
      </w:r>
      <w:r w:rsidR="00BB019E">
        <w:rPr>
          <w:rFonts w:cstheme="minorHAnsi"/>
        </w:rPr>
        <w:t xml:space="preserve">which </w:t>
      </w:r>
      <w:r w:rsidR="00FF7360">
        <w:rPr>
          <w:rFonts w:cstheme="minorHAnsi"/>
        </w:rPr>
        <w:t xml:space="preserve">typically </w:t>
      </w:r>
      <w:r w:rsidR="000D7D9E">
        <w:rPr>
          <w:rFonts w:cstheme="minorHAnsi"/>
        </w:rPr>
        <w:t xml:space="preserve">lead to </w:t>
      </w:r>
      <w:r w:rsidR="007919FA">
        <w:rPr>
          <w:rFonts w:cstheme="minorHAnsi"/>
        </w:rPr>
        <w:t xml:space="preserve">a </w:t>
      </w:r>
      <w:r w:rsidR="000D7D9E">
        <w:rPr>
          <w:rFonts w:cstheme="minorHAnsi"/>
        </w:rPr>
        <w:t>delay in the approval of the package.</w:t>
      </w:r>
      <w:r w:rsidR="00305D55">
        <w:rPr>
          <w:rFonts w:cstheme="minorHAnsi"/>
        </w:rPr>
        <w:t xml:space="preserve"> For example, in 2015</w:t>
      </w:r>
      <w:r w:rsidR="000D7D9E">
        <w:rPr>
          <w:rFonts w:cstheme="minorHAnsi"/>
        </w:rPr>
        <w:t xml:space="preserve"> </w:t>
      </w:r>
      <w:r w:rsidR="00E62E95">
        <w:rPr>
          <w:rFonts w:cstheme="minorHAnsi"/>
        </w:rPr>
        <w:t xml:space="preserve">the SGBP was </w:t>
      </w:r>
      <w:r w:rsidR="000D7D9E">
        <w:rPr>
          <w:rFonts w:cstheme="minorHAnsi"/>
        </w:rPr>
        <w:t xml:space="preserve">not </w:t>
      </w:r>
      <w:r w:rsidR="00E62E95">
        <w:rPr>
          <w:rFonts w:cstheme="minorHAnsi"/>
        </w:rPr>
        <w:t xml:space="preserve">approved </w:t>
      </w:r>
      <w:r w:rsidR="000D7D9E">
        <w:rPr>
          <w:rFonts w:cstheme="minorHAnsi"/>
        </w:rPr>
        <w:t xml:space="preserve">until </w:t>
      </w:r>
      <w:r w:rsidR="00E62E95">
        <w:rPr>
          <w:rFonts w:cstheme="minorHAnsi"/>
        </w:rPr>
        <w:t xml:space="preserve">November. </w:t>
      </w:r>
      <w:r w:rsidR="00F165F6">
        <w:rPr>
          <w:rFonts w:cstheme="minorHAnsi"/>
        </w:rPr>
        <w:t xml:space="preserve">Due to </w:t>
      </w:r>
      <w:r w:rsidR="00200164">
        <w:rPr>
          <w:rFonts w:cstheme="minorHAnsi"/>
        </w:rPr>
        <w:t>the challenges in the annual revision of the SGBP,</w:t>
      </w:r>
      <w:r w:rsidR="001D58F1">
        <w:rPr>
          <w:rFonts w:cstheme="minorHAnsi"/>
        </w:rPr>
        <w:t xml:space="preserve"> </w:t>
      </w:r>
      <w:r w:rsidR="002D755E">
        <w:rPr>
          <w:rFonts w:cstheme="minorHAnsi"/>
        </w:rPr>
        <w:t xml:space="preserve">after </w:t>
      </w:r>
      <w:r w:rsidR="00EC32A6">
        <w:rPr>
          <w:rFonts w:cstheme="minorHAnsi"/>
        </w:rPr>
        <w:t xml:space="preserve">2015, </w:t>
      </w:r>
      <w:r w:rsidR="00200164">
        <w:rPr>
          <w:rFonts w:cstheme="minorHAnsi"/>
        </w:rPr>
        <w:t xml:space="preserve">it was </w:t>
      </w:r>
      <w:r w:rsidR="002D755E">
        <w:rPr>
          <w:rFonts w:cstheme="minorHAnsi"/>
        </w:rPr>
        <w:t xml:space="preserve">decided </w:t>
      </w:r>
      <w:r w:rsidR="00200164">
        <w:rPr>
          <w:rFonts w:cstheme="minorHAnsi"/>
        </w:rPr>
        <w:t xml:space="preserve">that </w:t>
      </w:r>
      <w:r w:rsidR="00EC32A6">
        <w:rPr>
          <w:rFonts w:cstheme="minorHAnsi"/>
        </w:rPr>
        <w:t xml:space="preserve">the SGBP </w:t>
      </w:r>
      <w:r w:rsidR="00200164">
        <w:rPr>
          <w:rFonts w:cstheme="minorHAnsi"/>
        </w:rPr>
        <w:t>would only be revised “</w:t>
      </w:r>
      <w:r w:rsidR="00EC32A6">
        <w:rPr>
          <w:rFonts w:cstheme="minorHAnsi"/>
        </w:rPr>
        <w:t>when needed</w:t>
      </w:r>
      <w:r w:rsidR="00200164">
        <w:rPr>
          <w:rFonts w:cstheme="minorHAnsi"/>
        </w:rPr>
        <w:t>”</w:t>
      </w:r>
      <w:r w:rsidR="00EC32A6">
        <w:rPr>
          <w:rFonts w:cstheme="minorHAnsi"/>
        </w:rPr>
        <w:t xml:space="preserve"> </w:t>
      </w:r>
      <w:r w:rsidR="001D58F1">
        <w:rPr>
          <w:rFonts w:cstheme="minorHAnsi"/>
        </w:rPr>
        <w:t>and there has been no major revision since</w:t>
      </w:r>
      <w:r w:rsidR="002D755E">
        <w:rPr>
          <w:rFonts w:cstheme="minorHAnsi"/>
        </w:rPr>
        <w:t xml:space="preserve"> then</w:t>
      </w:r>
      <w:r w:rsidR="001D58F1">
        <w:rPr>
          <w:rFonts w:cstheme="minorHAnsi"/>
        </w:rPr>
        <w:t xml:space="preserve">. </w:t>
      </w:r>
    </w:p>
    <w:p w14:paraId="0FDC2863" w14:textId="4168E7F0" w:rsidR="00AA1AC5" w:rsidRPr="00C9342F" w:rsidRDefault="00AA1AC5" w:rsidP="00D92F7A">
      <w:pPr>
        <w:pStyle w:val="Subheading1"/>
      </w:pPr>
      <w:bookmarkStart w:id="8" w:name="_Toc10477893"/>
      <w:r w:rsidRPr="00C9342F">
        <w:t xml:space="preserve">The </w:t>
      </w:r>
      <w:r w:rsidR="00065EAC" w:rsidRPr="00C9342F">
        <w:t>s</w:t>
      </w:r>
      <w:r w:rsidRPr="00C9342F">
        <w:t xml:space="preserve">tatutory </w:t>
      </w:r>
      <w:r w:rsidR="00065EAC" w:rsidRPr="00C9342F">
        <w:t>b</w:t>
      </w:r>
      <w:r w:rsidRPr="00C9342F">
        <w:t xml:space="preserve">enefit </w:t>
      </w:r>
      <w:r w:rsidR="00065EAC" w:rsidRPr="00C9342F">
        <w:t>p</w:t>
      </w:r>
      <w:r w:rsidRPr="00C9342F">
        <w:t>ackage</w:t>
      </w:r>
      <w:bookmarkEnd w:id="8"/>
      <w:r w:rsidRPr="00C9342F">
        <w:t xml:space="preserve"> </w:t>
      </w:r>
    </w:p>
    <w:p w14:paraId="7908DF70" w14:textId="3C970498" w:rsidR="006E6312" w:rsidRDefault="007A223B" w:rsidP="00363D34">
      <w:pPr>
        <w:spacing w:line="240" w:lineRule="auto"/>
        <w:jc w:val="both"/>
        <w:rPr>
          <w:rFonts w:cstheme="minorHAnsi"/>
        </w:rPr>
      </w:pPr>
      <w:r w:rsidRPr="00E6167F">
        <w:rPr>
          <w:rFonts w:eastAsia="Times New Roman" w:cstheme="minorHAnsi"/>
        </w:rPr>
        <w:t xml:space="preserve">The </w:t>
      </w:r>
      <w:r w:rsidR="00255F3A" w:rsidRPr="00E6167F">
        <w:rPr>
          <w:rFonts w:eastAsia="Times New Roman" w:cstheme="minorHAnsi"/>
        </w:rPr>
        <w:t xml:space="preserve">latest </w:t>
      </w:r>
      <w:r w:rsidRPr="00E6167F">
        <w:rPr>
          <w:rFonts w:eastAsia="Times New Roman" w:cstheme="minorHAnsi"/>
        </w:rPr>
        <w:t xml:space="preserve">version of the </w:t>
      </w:r>
      <w:r w:rsidR="009732EC" w:rsidRPr="00E6167F">
        <w:rPr>
          <w:rFonts w:cstheme="minorHAnsi"/>
        </w:rPr>
        <w:t>SGBP was a</w:t>
      </w:r>
      <w:r w:rsidR="002D7565" w:rsidRPr="00E6167F">
        <w:rPr>
          <w:rFonts w:cstheme="minorHAnsi"/>
        </w:rPr>
        <w:t>pproved by the Go</w:t>
      </w:r>
      <w:r w:rsidR="009732EC" w:rsidRPr="00E6167F">
        <w:rPr>
          <w:rFonts w:cstheme="minorHAnsi"/>
        </w:rPr>
        <w:t xml:space="preserve">vernment of the Kyrgyz Republic </w:t>
      </w:r>
      <w:r w:rsidR="002D7565" w:rsidRPr="00E6167F">
        <w:rPr>
          <w:rFonts w:cstheme="minorHAnsi"/>
        </w:rPr>
        <w:t xml:space="preserve">on November 20, 2015 </w:t>
      </w:r>
      <w:r w:rsidR="009732EC" w:rsidRPr="00E6167F">
        <w:rPr>
          <w:rFonts w:cstheme="minorHAnsi"/>
        </w:rPr>
        <w:t xml:space="preserve">(Order </w:t>
      </w:r>
      <w:r w:rsidR="002D7565" w:rsidRPr="00E6167F">
        <w:rPr>
          <w:rFonts w:cstheme="minorHAnsi"/>
        </w:rPr>
        <w:t>№ 790</w:t>
      </w:r>
      <w:r w:rsidR="009732EC" w:rsidRPr="00E6167F">
        <w:rPr>
          <w:rFonts w:cstheme="minorHAnsi"/>
        </w:rPr>
        <w:t>)</w:t>
      </w:r>
      <w:r w:rsidR="00255F3A" w:rsidRPr="00E6167F">
        <w:rPr>
          <w:rFonts w:cstheme="minorHAnsi"/>
        </w:rPr>
        <w:t xml:space="preserve"> and </w:t>
      </w:r>
      <w:r w:rsidR="00985D9A">
        <w:rPr>
          <w:rFonts w:cstheme="minorHAnsi"/>
        </w:rPr>
        <w:t xml:space="preserve">slightly </w:t>
      </w:r>
      <w:r w:rsidR="00255F3A" w:rsidRPr="00E6167F">
        <w:rPr>
          <w:rFonts w:cstheme="minorHAnsi"/>
        </w:rPr>
        <w:t xml:space="preserve">amended </w:t>
      </w:r>
      <w:r w:rsidR="00254441">
        <w:rPr>
          <w:rFonts w:cstheme="minorHAnsi"/>
        </w:rPr>
        <w:t>several times since then</w:t>
      </w:r>
      <w:r w:rsidR="009732EC" w:rsidRPr="00E6167F">
        <w:rPr>
          <w:rFonts w:cstheme="minorHAnsi"/>
        </w:rPr>
        <w:t xml:space="preserve">. </w:t>
      </w:r>
      <w:r w:rsidR="00C727F8">
        <w:rPr>
          <w:rFonts w:cstheme="minorHAnsi"/>
        </w:rPr>
        <w:t>With some exceptions, t</w:t>
      </w:r>
      <w:r w:rsidR="00335E58" w:rsidRPr="00E6167F">
        <w:rPr>
          <w:rFonts w:cstheme="minorHAnsi"/>
        </w:rPr>
        <w:t xml:space="preserve">he SGBP </w:t>
      </w:r>
      <w:r w:rsidR="002E68FA" w:rsidRPr="00E6167F">
        <w:rPr>
          <w:rFonts w:cstheme="minorHAnsi"/>
        </w:rPr>
        <w:t>is largely an implicit package</w:t>
      </w:r>
      <w:r w:rsidR="00254441">
        <w:rPr>
          <w:rFonts w:cstheme="minorHAnsi"/>
        </w:rPr>
        <w:t xml:space="preserve"> - </w:t>
      </w:r>
      <w:r w:rsidR="002E68FA" w:rsidRPr="00E6167F">
        <w:rPr>
          <w:rFonts w:cstheme="minorHAnsi"/>
        </w:rPr>
        <w:t xml:space="preserve">it </w:t>
      </w:r>
      <w:r w:rsidR="00335E58" w:rsidRPr="00E6167F">
        <w:rPr>
          <w:rFonts w:cstheme="minorHAnsi"/>
        </w:rPr>
        <w:t xml:space="preserve">defines </w:t>
      </w:r>
      <w:r w:rsidR="00CD23CD" w:rsidRPr="00E6167F">
        <w:rPr>
          <w:rFonts w:cstheme="minorHAnsi"/>
        </w:rPr>
        <w:t xml:space="preserve">general </w:t>
      </w:r>
      <w:r w:rsidR="00335E58" w:rsidRPr="00E6167F">
        <w:rPr>
          <w:rFonts w:cstheme="minorHAnsi"/>
        </w:rPr>
        <w:t>conditions for health care provision for each level and type</w:t>
      </w:r>
      <w:r w:rsidR="00183B4A" w:rsidRPr="00E6167F">
        <w:rPr>
          <w:rFonts w:cstheme="minorHAnsi"/>
        </w:rPr>
        <w:t xml:space="preserve"> of care</w:t>
      </w:r>
      <w:r w:rsidR="00335E58" w:rsidRPr="00E6167F">
        <w:rPr>
          <w:rFonts w:cstheme="minorHAnsi"/>
        </w:rPr>
        <w:t xml:space="preserve">, a list of laboratory tests, and </w:t>
      </w:r>
      <w:r w:rsidR="00BB1EF2" w:rsidRPr="00E6167F">
        <w:rPr>
          <w:rFonts w:cstheme="minorHAnsi"/>
        </w:rPr>
        <w:t xml:space="preserve">categories of citizens entitled to </w:t>
      </w:r>
      <w:r w:rsidR="00F50B7F" w:rsidRPr="00E6167F">
        <w:rPr>
          <w:rFonts w:cstheme="minorHAnsi"/>
        </w:rPr>
        <w:t>co-payment reduction and exemption</w:t>
      </w:r>
      <w:r w:rsidR="00BB1EF2" w:rsidRPr="00E6167F">
        <w:rPr>
          <w:rFonts w:cstheme="minorHAnsi"/>
        </w:rPr>
        <w:t xml:space="preserve">. </w:t>
      </w:r>
      <w:r w:rsidR="00F50B7F" w:rsidRPr="00E6167F">
        <w:rPr>
          <w:rFonts w:cstheme="minorHAnsi"/>
        </w:rPr>
        <w:t xml:space="preserve">In addition, </w:t>
      </w:r>
      <w:r w:rsidR="00B660BA" w:rsidRPr="00E6167F">
        <w:rPr>
          <w:rFonts w:cstheme="minorHAnsi"/>
        </w:rPr>
        <w:t>limited outpatient drug benefit</w:t>
      </w:r>
      <w:r w:rsidR="001F26E4">
        <w:rPr>
          <w:rFonts w:cstheme="minorHAnsi"/>
        </w:rPr>
        <w:t>s</w:t>
      </w:r>
      <w:r w:rsidR="00B660BA" w:rsidRPr="00E6167F">
        <w:rPr>
          <w:rFonts w:cstheme="minorHAnsi"/>
        </w:rPr>
        <w:t xml:space="preserve"> </w:t>
      </w:r>
      <w:r w:rsidR="001F26E4">
        <w:rPr>
          <w:rFonts w:cstheme="minorHAnsi"/>
        </w:rPr>
        <w:t>are</w:t>
      </w:r>
      <w:r w:rsidR="00B660BA" w:rsidRPr="00E6167F">
        <w:rPr>
          <w:rFonts w:cstheme="minorHAnsi"/>
        </w:rPr>
        <w:t xml:space="preserve"> </w:t>
      </w:r>
      <w:r w:rsidR="00DA3DEB" w:rsidRPr="00E6167F">
        <w:rPr>
          <w:rFonts w:cstheme="minorHAnsi"/>
        </w:rPr>
        <w:t xml:space="preserve">available to </w:t>
      </w:r>
      <w:r w:rsidR="00CC2ED7" w:rsidRPr="00E6167F">
        <w:rPr>
          <w:rFonts w:cstheme="minorHAnsi"/>
        </w:rPr>
        <w:t xml:space="preserve">people with certain </w:t>
      </w:r>
      <w:r w:rsidR="00CC2ED7" w:rsidRPr="000E6F4C">
        <w:rPr>
          <w:rFonts w:cstheme="minorHAnsi"/>
        </w:rPr>
        <w:t xml:space="preserve">diseases </w:t>
      </w:r>
      <w:r w:rsidR="00DA3DEB" w:rsidRPr="000E6F4C">
        <w:rPr>
          <w:rFonts w:cstheme="minorHAnsi"/>
        </w:rPr>
        <w:t xml:space="preserve">and </w:t>
      </w:r>
      <w:r w:rsidR="001F26E4">
        <w:rPr>
          <w:rFonts w:cstheme="minorHAnsi"/>
        </w:rPr>
        <w:t xml:space="preserve">insured </w:t>
      </w:r>
      <w:r w:rsidR="0074598B" w:rsidRPr="000E6F4C">
        <w:rPr>
          <w:rFonts w:cstheme="minorHAnsi"/>
        </w:rPr>
        <w:t>people</w:t>
      </w:r>
      <w:r w:rsidR="00335E58" w:rsidRPr="000E6F4C">
        <w:rPr>
          <w:rFonts w:cstheme="minorHAnsi"/>
        </w:rPr>
        <w:t xml:space="preserve">. </w:t>
      </w:r>
      <w:r w:rsidR="00EE2625" w:rsidRPr="000E6F4C">
        <w:rPr>
          <w:rFonts w:cstheme="minorHAnsi"/>
        </w:rPr>
        <w:t xml:space="preserve">From 2016, MHIF also started administering </w:t>
      </w:r>
      <w:r w:rsidR="00DD4549">
        <w:rPr>
          <w:rFonts w:cstheme="minorHAnsi"/>
        </w:rPr>
        <w:t xml:space="preserve">some costly </w:t>
      </w:r>
      <w:r w:rsidR="00EE2625" w:rsidRPr="000E6F4C">
        <w:rPr>
          <w:rFonts w:cstheme="minorHAnsi"/>
        </w:rPr>
        <w:t>specialized services (</w:t>
      </w:r>
      <w:r w:rsidR="00A2551E" w:rsidRPr="000E6F4C">
        <w:rPr>
          <w:rFonts w:cstheme="minorHAnsi"/>
        </w:rPr>
        <w:t>oncology, hematology, cardio-surgery, and psychiatry).</w:t>
      </w:r>
      <w:r w:rsidR="008F44E9" w:rsidRPr="000E6F4C">
        <w:rPr>
          <w:rFonts w:cstheme="minorHAnsi"/>
        </w:rPr>
        <w:t xml:space="preserve"> </w:t>
      </w:r>
    </w:p>
    <w:p w14:paraId="57A9719D" w14:textId="77777777" w:rsidR="006E6312" w:rsidRPr="00E6167F" w:rsidRDefault="006E6312" w:rsidP="00363D34">
      <w:pPr>
        <w:spacing w:after="0" w:line="240" w:lineRule="auto"/>
        <w:jc w:val="both"/>
        <w:rPr>
          <w:rFonts w:cstheme="minorHAnsi"/>
        </w:rPr>
      </w:pPr>
      <w:r>
        <w:rPr>
          <w:rFonts w:cstheme="minorHAnsi"/>
        </w:rPr>
        <w:t>As per the Law, t</w:t>
      </w:r>
      <w:r w:rsidRPr="00E6167F">
        <w:rPr>
          <w:rFonts w:cstheme="minorHAnsi"/>
        </w:rPr>
        <w:t>he state guarantees program provides the following types of medical services:</w:t>
      </w:r>
    </w:p>
    <w:p w14:paraId="1A787239" w14:textId="77777777" w:rsidR="006E6312" w:rsidRPr="007C3394" w:rsidRDefault="006E6312" w:rsidP="00363D34">
      <w:pPr>
        <w:pStyle w:val="ListParagraph"/>
        <w:numPr>
          <w:ilvl w:val="0"/>
          <w:numId w:val="15"/>
        </w:numPr>
        <w:spacing w:after="0" w:line="240" w:lineRule="auto"/>
        <w:jc w:val="both"/>
        <w:rPr>
          <w:rFonts w:cstheme="minorHAnsi"/>
        </w:rPr>
      </w:pPr>
      <w:r w:rsidRPr="007C3394">
        <w:rPr>
          <w:rFonts w:cstheme="minorHAnsi"/>
        </w:rPr>
        <w:t>Primary health care;</w:t>
      </w:r>
    </w:p>
    <w:p w14:paraId="19C2B48C" w14:textId="77777777" w:rsidR="006E6312" w:rsidRPr="007C3394" w:rsidRDefault="006E6312" w:rsidP="00363D34">
      <w:pPr>
        <w:pStyle w:val="ListParagraph"/>
        <w:numPr>
          <w:ilvl w:val="0"/>
          <w:numId w:val="15"/>
        </w:numPr>
        <w:spacing w:after="0" w:line="240" w:lineRule="auto"/>
        <w:jc w:val="both"/>
        <w:rPr>
          <w:rFonts w:cstheme="minorHAnsi"/>
        </w:rPr>
      </w:pPr>
      <w:r w:rsidRPr="007C3394">
        <w:rPr>
          <w:rFonts w:cstheme="minorHAnsi"/>
        </w:rPr>
        <w:t>Emergency medical care at the outpatient level;</w:t>
      </w:r>
    </w:p>
    <w:p w14:paraId="5D952F68" w14:textId="77777777" w:rsidR="006E6312" w:rsidRPr="007C3394" w:rsidRDefault="006E6312" w:rsidP="00363D34">
      <w:pPr>
        <w:pStyle w:val="ListParagraph"/>
        <w:numPr>
          <w:ilvl w:val="0"/>
          <w:numId w:val="15"/>
        </w:numPr>
        <w:spacing w:after="0" w:line="240" w:lineRule="auto"/>
        <w:jc w:val="both"/>
        <w:rPr>
          <w:rFonts w:cstheme="minorHAnsi"/>
        </w:rPr>
      </w:pPr>
      <w:r w:rsidRPr="007C3394">
        <w:rPr>
          <w:rFonts w:cstheme="minorHAnsi"/>
        </w:rPr>
        <w:t>Emergency medical consultative care (air medical services);</w:t>
      </w:r>
    </w:p>
    <w:p w14:paraId="3F488CBC" w14:textId="77777777" w:rsidR="006E6312" w:rsidRPr="007C3394" w:rsidRDefault="006E6312" w:rsidP="00363D34">
      <w:pPr>
        <w:pStyle w:val="ListParagraph"/>
        <w:numPr>
          <w:ilvl w:val="0"/>
          <w:numId w:val="15"/>
        </w:numPr>
        <w:spacing w:after="0" w:line="240" w:lineRule="auto"/>
        <w:jc w:val="both"/>
        <w:rPr>
          <w:rFonts w:cstheme="minorHAnsi"/>
        </w:rPr>
      </w:pPr>
      <w:r w:rsidRPr="007C3394">
        <w:rPr>
          <w:rFonts w:cstheme="minorHAnsi"/>
        </w:rPr>
        <w:t>Specialized medical care at the outpatient level;</w:t>
      </w:r>
    </w:p>
    <w:p w14:paraId="5D4BEDF9" w14:textId="77777777" w:rsidR="006E6312" w:rsidRPr="007C3394" w:rsidRDefault="006E6312" w:rsidP="00363D34">
      <w:pPr>
        <w:pStyle w:val="ListParagraph"/>
        <w:numPr>
          <w:ilvl w:val="0"/>
          <w:numId w:val="15"/>
        </w:numPr>
        <w:spacing w:after="0" w:line="240" w:lineRule="auto"/>
        <w:jc w:val="both"/>
        <w:rPr>
          <w:rFonts w:cstheme="minorHAnsi"/>
        </w:rPr>
      </w:pPr>
      <w:r w:rsidRPr="007C3394">
        <w:rPr>
          <w:rFonts w:cstheme="minorHAnsi"/>
        </w:rPr>
        <w:t>Inpatient care;</w:t>
      </w:r>
    </w:p>
    <w:p w14:paraId="44F555F4" w14:textId="77777777" w:rsidR="006E6312" w:rsidRPr="007C3394" w:rsidRDefault="006E6312" w:rsidP="00363D34">
      <w:pPr>
        <w:pStyle w:val="ListParagraph"/>
        <w:numPr>
          <w:ilvl w:val="0"/>
          <w:numId w:val="15"/>
        </w:numPr>
        <w:spacing w:after="0" w:line="240" w:lineRule="auto"/>
        <w:jc w:val="both"/>
        <w:rPr>
          <w:rFonts w:cstheme="minorHAnsi"/>
        </w:rPr>
      </w:pPr>
      <w:r w:rsidRPr="007C3394">
        <w:rPr>
          <w:rFonts w:cstheme="minorHAnsi"/>
        </w:rPr>
        <w:t>Medical aid provided by the Fund for the high-tech (expensive) types of medical care;</w:t>
      </w:r>
    </w:p>
    <w:p w14:paraId="12EF4C15" w14:textId="77777777" w:rsidR="006E6312" w:rsidRPr="007C3394" w:rsidRDefault="006E6312" w:rsidP="00363D34">
      <w:pPr>
        <w:pStyle w:val="ListParagraph"/>
        <w:numPr>
          <w:ilvl w:val="0"/>
          <w:numId w:val="15"/>
        </w:numPr>
        <w:spacing w:after="0" w:line="240" w:lineRule="auto"/>
        <w:jc w:val="both"/>
        <w:rPr>
          <w:rFonts w:cstheme="minorHAnsi"/>
        </w:rPr>
      </w:pPr>
      <w:r w:rsidRPr="007C3394">
        <w:rPr>
          <w:rFonts w:cstheme="minorHAnsi"/>
        </w:rPr>
        <w:t>Dental care;</w:t>
      </w:r>
    </w:p>
    <w:p w14:paraId="01467E53" w14:textId="77777777" w:rsidR="006E6312" w:rsidRPr="007C3394" w:rsidRDefault="006E6312" w:rsidP="00363D34">
      <w:pPr>
        <w:pStyle w:val="ListParagraph"/>
        <w:numPr>
          <w:ilvl w:val="0"/>
          <w:numId w:val="15"/>
        </w:numPr>
        <w:spacing w:after="0" w:line="240" w:lineRule="auto"/>
        <w:jc w:val="both"/>
        <w:rPr>
          <w:rFonts w:cstheme="minorHAnsi"/>
        </w:rPr>
      </w:pPr>
      <w:r w:rsidRPr="007C3394">
        <w:rPr>
          <w:rFonts w:cstheme="minorHAnsi"/>
        </w:rPr>
        <w:t>Drug and vaccine supply;</w:t>
      </w:r>
    </w:p>
    <w:p w14:paraId="0868EE94" w14:textId="77777777" w:rsidR="006E6312" w:rsidRPr="007C3394" w:rsidRDefault="006E6312" w:rsidP="00363D34">
      <w:pPr>
        <w:pStyle w:val="ListParagraph"/>
        <w:numPr>
          <w:ilvl w:val="0"/>
          <w:numId w:val="15"/>
        </w:numPr>
        <w:spacing w:after="0" w:line="240" w:lineRule="auto"/>
        <w:jc w:val="both"/>
        <w:rPr>
          <w:rFonts w:cstheme="minorHAnsi"/>
        </w:rPr>
      </w:pPr>
      <w:proofErr w:type="spellStart"/>
      <w:r w:rsidRPr="007C3394">
        <w:rPr>
          <w:rFonts w:cstheme="minorHAnsi"/>
        </w:rPr>
        <w:t>Immunoprophylaxis</w:t>
      </w:r>
      <w:proofErr w:type="spellEnd"/>
      <w:r w:rsidRPr="007C3394">
        <w:rPr>
          <w:rFonts w:cstheme="minorHAnsi"/>
        </w:rPr>
        <w:t xml:space="preserve">. </w:t>
      </w:r>
    </w:p>
    <w:p w14:paraId="00FAD67F" w14:textId="77777777" w:rsidR="000733D7" w:rsidRDefault="000733D7" w:rsidP="00363D34">
      <w:pPr>
        <w:spacing w:line="240" w:lineRule="auto"/>
        <w:jc w:val="both"/>
        <w:rPr>
          <w:rFonts w:cstheme="minorHAnsi"/>
        </w:rPr>
      </w:pPr>
    </w:p>
    <w:p w14:paraId="49348FEA" w14:textId="3EBA2FA5" w:rsidR="00575DE8" w:rsidRDefault="008F44E9" w:rsidP="00575DE8">
      <w:pPr>
        <w:spacing w:line="240" w:lineRule="auto"/>
        <w:jc w:val="both"/>
        <w:rPr>
          <w:rFonts w:cstheme="minorHAnsi"/>
        </w:rPr>
      </w:pPr>
      <w:r w:rsidRPr="000E6F4C">
        <w:rPr>
          <w:rFonts w:cstheme="minorHAnsi"/>
        </w:rPr>
        <w:t>A pictorial presentation of the SGBP</w:t>
      </w:r>
      <w:r w:rsidRPr="00E6167F">
        <w:rPr>
          <w:rFonts w:cstheme="minorHAnsi"/>
        </w:rPr>
        <w:t xml:space="preserve"> </w:t>
      </w:r>
      <w:r w:rsidR="004A1CFD" w:rsidRPr="00E6167F">
        <w:rPr>
          <w:rFonts w:cstheme="minorHAnsi"/>
        </w:rPr>
        <w:t>is below</w:t>
      </w:r>
      <w:r w:rsidR="00BF6B8B">
        <w:rPr>
          <w:rFonts w:cstheme="minorHAnsi"/>
        </w:rPr>
        <w:t xml:space="preserve"> (figure 1)</w:t>
      </w:r>
      <w:r w:rsidR="00C92412">
        <w:rPr>
          <w:rFonts w:cstheme="minorHAnsi"/>
        </w:rPr>
        <w:t xml:space="preserve">. </w:t>
      </w:r>
      <w:r w:rsidR="00575DE8">
        <w:rPr>
          <w:rFonts w:cstheme="minorHAnsi"/>
        </w:rPr>
        <w:t xml:space="preserve">As shown, basic services, which include health promotion, prevention and some basic lab tests at the PHC level, are made available for free to 100% of the population regardless of insurance status. For people having social health insurance, coverage is higher and co-payment for non-free services is lower. Certain population groups enjoy 100% or partial benefits, which are usually higher than the benefits for insured people (the </w:t>
      </w:r>
      <w:r w:rsidR="00B53951">
        <w:rPr>
          <w:rFonts w:cstheme="minorHAnsi"/>
        </w:rPr>
        <w:t>so</w:t>
      </w:r>
      <w:r w:rsidR="00575DE8">
        <w:rPr>
          <w:rFonts w:cstheme="minorHAnsi"/>
        </w:rPr>
        <w:t xml:space="preserve">-called “population who have 100% or partial benefits” in the diagram). Currently, there are 30 groups for whom benefits are granted based </w:t>
      </w:r>
      <w:r w:rsidR="00575DE8">
        <w:rPr>
          <w:rFonts w:cstheme="minorHAnsi"/>
        </w:rPr>
        <w:lastRenderedPageBreak/>
        <w:t xml:space="preserve">on their social status and 16 groups for whom benefits are granted based on their underlying medical conditions. The architecture of the SGBP remains unchanged since its inception. </w:t>
      </w:r>
    </w:p>
    <w:p w14:paraId="3D20E7F6" w14:textId="03966F97" w:rsidR="00FE1229" w:rsidRPr="00D35B6C" w:rsidRDefault="00D35B6C" w:rsidP="00EB4E59">
      <w:pPr>
        <w:spacing w:line="240" w:lineRule="auto"/>
        <w:ind w:left="1440" w:firstLine="720"/>
        <w:rPr>
          <w:rFonts w:cstheme="minorHAnsi"/>
          <w:b/>
        </w:rPr>
      </w:pPr>
      <w:r w:rsidRPr="00D35B6C">
        <w:rPr>
          <w:rFonts w:cstheme="minorHAnsi"/>
          <w:b/>
        </w:rPr>
        <w:t>F</w:t>
      </w:r>
      <w:r w:rsidR="00FE1229" w:rsidRPr="00D35B6C">
        <w:rPr>
          <w:rFonts w:cstheme="minorHAnsi"/>
          <w:b/>
        </w:rPr>
        <w:t xml:space="preserve">igure 1. A pictorial presentation </w:t>
      </w:r>
      <w:r w:rsidR="005E1058" w:rsidRPr="00D35B6C">
        <w:rPr>
          <w:rFonts w:cstheme="minorHAnsi"/>
          <w:b/>
        </w:rPr>
        <w:t>of the SGBP</w:t>
      </w:r>
    </w:p>
    <w:p w14:paraId="6C36C638" w14:textId="1D0D3D22" w:rsidR="00FE1229" w:rsidRDefault="00FE1229" w:rsidP="00363D34">
      <w:pPr>
        <w:spacing w:line="240" w:lineRule="auto"/>
        <w:jc w:val="center"/>
        <w:rPr>
          <w:rFonts w:cstheme="minorHAnsi"/>
        </w:rPr>
      </w:pPr>
      <w:r>
        <w:rPr>
          <w:noProof/>
        </w:rPr>
        <w:drawing>
          <wp:inline distT="0" distB="0" distL="0" distR="0" wp14:anchorId="4A5D190C" wp14:editId="5509B25B">
            <wp:extent cx="3276600" cy="218917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10683" cy="2211941"/>
                    </a:xfrm>
                    <a:prstGeom prst="rect">
                      <a:avLst/>
                    </a:prstGeom>
                  </pic:spPr>
                </pic:pic>
              </a:graphicData>
            </a:graphic>
          </wp:inline>
        </w:drawing>
      </w:r>
    </w:p>
    <w:p w14:paraId="1FEEF594" w14:textId="634CD641" w:rsidR="005E1058" w:rsidRPr="001B0064" w:rsidRDefault="005E1058" w:rsidP="00132B20">
      <w:pPr>
        <w:spacing w:line="240" w:lineRule="auto"/>
        <w:ind w:left="1440" w:firstLine="720"/>
        <w:rPr>
          <w:rFonts w:cstheme="minorHAnsi"/>
          <w:sz w:val="20"/>
          <w:szCs w:val="20"/>
        </w:rPr>
      </w:pPr>
      <w:r w:rsidRPr="001B0064">
        <w:rPr>
          <w:rFonts w:cstheme="minorHAnsi"/>
          <w:sz w:val="20"/>
          <w:szCs w:val="20"/>
        </w:rPr>
        <w:t xml:space="preserve">Source: </w:t>
      </w:r>
      <w:r w:rsidR="00BC10F2">
        <w:rPr>
          <w:rFonts w:cstheme="minorHAnsi"/>
          <w:sz w:val="20"/>
          <w:szCs w:val="20"/>
        </w:rPr>
        <w:t xml:space="preserve">Reproduced from </w:t>
      </w:r>
      <w:proofErr w:type="spellStart"/>
      <w:r w:rsidRPr="001B0064">
        <w:rPr>
          <w:rFonts w:cstheme="minorHAnsi"/>
          <w:sz w:val="20"/>
          <w:szCs w:val="20"/>
        </w:rPr>
        <w:t>Ku</w:t>
      </w:r>
      <w:r w:rsidR="00C9298D" w:rsidRPr="001B0064">
        <w:rPr>
          <w:rFonts w:cstheme="minorHAnsi"/>
          <w:sz w:val="20"/>
          <w:szCs w:val="20"/>
        </w:rPr>
        <w:t>t</w:t>
      </w:r>
      <w:r w:rsidRPr="001B0064">
        <w:rPr>
          <w:rFonts w:cstheme="minorHAnsi"/>
          <w:sz w:val="20"/>
          <w:szCs w:val="20"/>
        </w:rPr>
        <w:t>zin</w:t>
      </w:r>
      <w:proofErr w:type="spellEnd"/>
      <w:r w:rsidRPr="001B0064">
        <w:rPr>
          <w:rFonts w:cstheme="minorHAnsi"/>
          <w:sz w:val="20"/>
          <w:szCs w:val="20"/>
        </w:rPr>
        <w:t xml:space="preserve"> </w:t>
      </w:r>
      <w:r w:rsidR="00C9298D" w:rsidRPr="001B0064">
        <w:rPr>
          <w:rFonts w:cstheme="minorHAnsi"/>
          <w:sz w:val="20"/>
          <w:szCs w:val="20"/>
        </w:rPr>
        <w:t>et</w:t>
      </w:r>
      <w:r w:rsidR="007D2887" w:rsidRPr="001B0064">
        <w:rPr>
          <w:rFonts w:cstheme="minorHAnsi"/>
          <w:sz w:val="20"/>
          <w:szCs w:val="20"/>
        </w:rPr>
        <w:t xml:space="preserve"> al. </w:t>
      </w:r>
      <w:r w:rsidRPr="001B0064">
        <w:rPr>
          <w:rFonts w:cstheme="minorHAnsi"/>
          <w:sz w:val="20"/>
          <w:szCs w:val="20"/>
        </w:rPr>
        <w:t>(20</w:t>
      </w:r>
      <w:r w:rsidR="007D2887" w:rsidRPr="001B0064">
        <w:rPr>
          <w:rFonts w:cstheme="minorHAnsi"/>
          <w:sz w:val="20"/>
          <w:szCs w:val="20"/>
        </w:rPr>
        <w:t>0</w:t>
      </w:r>
      <w:r w:rsidRPr="001B0064">
        <w:rPr>
          <w:rFonts w:cstheme="minorHAnsi"/>
          <w:sz w:val="20"/>
          <w:szCs w:val="20"/>
        </w:rPr>
        <w:t>2)</w:t>
      </w:r>
    </w:p>
    <w:p w14:paraId="1B94D072" w14:textId="4DAB0ECF" w:rsidR="00061E0A" w:rsidRDefault="00061E0A" w:rsidP="00363D34">
      <w:pPr>
        <w:spacing w:after="0" w:line="240" w:lineRule="auto"/>
        <w:jc w:val="both"/>
        <w:rPr>
          <w:rFonts w:cstheme="minorHAnsi"/>
        </w:rPr>
      </w:pPr>
    </w:p>
    <w:p w14:paraId="5825B955" w14:textId="78A99F2E" w:rsidR="00061E0A" w:rsidRDefault="0083079B" w:rsidP="00363D34">
      <w:pPr>
        <w:spacing w:after="0" w:line="240" w:lineRule="auto"/>
        <w:jc w:val="both"/>
        <w:rPr>
          <w:rFonts w:cstheme="minorHAnsi"/>
        </w:rPr>
      </w:pPr>
      <w:r>
        <w:rPr>
          <w:rFonts w:cstheme="minorHAnsi"/>
        </w:rPr>
        <w:t xml:space="preserve">Funding for purchasing the SGBP is exclusively managed by the MHIF, which </w:t>
      </w:r>
      <w:r w:rsidR="000D7FC2">
        <w:rPr>
          <w:rFonts w:cstheme="minorHAnsi"/>
        </w:rPr>
        <w:t>absorbs 80% of the central government spending on health</w:t>
      </w:r>
      <w:r w:rsidR="001A7737">
        <w:rPr>
          <w:rFonts w:cstheme="minorHAnsi"/>
        </w:rPr>
        <w:t xml:space="preserve">, not including </w:t>
      </w:r>
      <w:r w:rsidR="00506485">
        <w:rPr>
          <w:rFonts w:cstheme="minorHAnsi"/>
        </w:rPr>
        <w:t xml:space="preserve">capital construction. Table 1 below shows the amount </w:t>
      </w:r>
      <w:r w:rsidR="00BB2D3C">
        <w:rPr>
          <w:rFonts w:cstheme="minorHAnsi"/>
        </w:rPr>
        <w:t xml:space="preserve">and relative share of MHIF’s funds going to purchasing the SGBP at the </w:t>
      </w:r>
      <w:r w:rsidR="00A62E98">
        <w:rPr>
          <w:rFonts w:cstheme="minorHAnsi"/>
        </w:rPr>
        <w:t>primary care and hospital levels</w:t>
      </w:r>
      <w:r w:rsidR="008935BC">
        <w:rPr>
          <w:rFonts w:cstheme="minorHAnsi"/>
        </w:rPr>
        <w:t xml:space="preserve"> (shaded box)</w:t>
      </w:r>
      <w:r w:rsidR="00A62E98">
        <w:rPr>
          <w:rFonts w:cstheme="minorHAnsi"/>
        </w:rPr>
        <w:t xml:space="preserve">. As shown, ninety seven percent of MHIF’s funding (all but </w:t>
      </w:r>
      <w:r w:rsidR="00777EAC">
        <w:rPr>
          <w:rFonts w:cstheme="minorHAnsi"/>
        </w:rPr>
        <w:t>expenditure for administration and hemodialysis) goes to the SGBP</w:t>
      </w:r>
      <w:r w:rsidR="009105B1">
        <w:rPr>
          <w:rFonts w:cstheme="minorHAnsi"/>
        </w:rPr>
        <w:t xml:space="preserve"> (32.5% </w:t>
      </w:r>
      <w:r w:rsidR="00C519FD">
        <w:rPr>
          <w:rFonts w:cstheme="minorHAnsi"/>
        </w:rPr>
        <w:t xml:space="preserve">for </w:t>
      </w:r>
      <w:r w:rsidR="009105B1">
        <w:rPr>
          <w:rFonts w:cstheme="minorHAnsi"/>
        </w:rPr>
        <w:t xml:space="preserve">PHC and 64.5% </w:t>
      </w:r>
      <w:r w:rsidR="00C519FD">
        <w:rPr>
          <w:rFonts w:cstheme="minorHAnsi"/>
        </w:rPr>
        <w:t xml:space="preserve">for </w:t>
      </w:r>
      <w:r w:rsidR="009105B1">
        <w:rPr>
          <w:rFonts w:cstheme="minorHAnsi"/>
        </w:rPr>
        <w:t xml:space="preserve">hospital </w:t>
      </w:r>
      <w:r w:rsidR="00C519FD">
        <w:rPr>
          <w:rFonts w:cstheme="minorHAnsi"/>
        </w:rPr>
        <w:t>services</w:t>
      </w:r>
      <w:r w:rsidR="00DC09B5">
        <w:rPr>
          <w:rFonts w:cstheme="minorHAnsi"/>
        </w:rPr>
        <w:t xml:space="preserve"> respectively</w:t>
      </w:r>
      <w:r w:rsidR="009105B1">
        <w:rPr>
          <w:rFonts w:cstheme="minorHAnsi"/>
        </w:rPr>
        <w:t xml:space="preserve">). </w:t>
      </w:r>
    </w:p>
    <w:p w14:paraId="03644637" w14:textId="38E64C0D" w:rsidR="00777EAC" w:rsidRDefault="00777EAC" w:rsidP="00363D34">
      <w:pPr>
        <w:spacing w:after="0" w:line="240" w:lineRule="auto"/>
        <w:jc w:val="both"/>
        <w:rPr>
          <w:rFonts w:cstheme="minorHAnsi"/>
        </w:rPr>
      </w:pPr>
    </w:p>
    <w:p w14:paraId="3663FEEE" w14:textId="5AE85C4D" w:rsidR="00061E0A" w:rsidRDefault="00777EAC" w:rsidP="00363D34">
      <w:pPr>
        <w:spacing w:after="0" w:line="240" w:lineRule="auto"/>
        <w:jc w:val="both"/>
        <w:rPr>
          <w:rFonts w:cstheme="minorHAnsi"/>
          <w:b/>
        </w:rPr>
      </w:pPr>
      <w:r w:rsidRPr="007777F0">
        <w:rPr>
          <w:rFonts w:cstheme="minorHAnsi"/>
          <w:b/>
        </w:rPr>
        <w:t xml:space="preserve">Table 1. </w:t>
      </w:r>
      <w:r w:rsidR="007777F0" w:rsidRPr="007777F0">
        <w:rPr>
          <w:rFonts w:cstheme="minorHAnsi"/>
          <w:b/>
        </w:rPr>
        <w:t>MHIF’s funding for purchasing the SGBP, 2018</w:t>
      </w:r>
    </w:p>
    <w:p w14:paraId="1F29DB94" w14:textId="77777777" w:rsidR="00FB11FD" w:rsidRPr="007777F0" w:rsidRDefault="00FB11FD" w:rsidP="00363D34">
      <w:pPr>
        <w:spacing w:after="0" w:line="240" w:lineRule="auto"/>
        <w:jc w:val="both"/>
        <w:rPr>
          <w:rFonts w:cstheme="minorHAnsi"/>
          <w:b/>
        </w:rPr>
      </w:pP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530"/>
        <w:gridCol w:w="4590"/>
        <w:gridCol w:w="2340"/>
        <w:gridCol w:w="946"/>
      </w:tblGrid>
      <w:tr w:rsidR="000B3D2A" w:rsidRPr="00F345D6" w14:paraId="54136BCC" w14:textId="77777777" w:rsidTr="00E11D00">
        <w:trPr>
          <w:trHeight w:val="288"/>
        </w:trPr>
        <w:tc>
          <w:tcPr>
            <w:tcW w:w="6120" w:type="dxa"/>
            <w:gridSpan w:val="2"/>
            <w:tcBorders>
              <w:top w:val="single" w:sz="4" w:space="0" w:color="auto"/>
              <w:bottom w:val="double" w:sz="4" w:space="0" w:color="auto"/>
            </w:tcBorders>
            <w:shd w:val="clear" w:color="auto" w:fill="FFFFFF" w:themeFill="background1"/>
            <w:noWrap/>
            <w:vAlign w:val="bottom"/>
            <w:hideMark/>
          </w:tcPr>
          <w:p w14:paraId="42D6E276" w14:textId="61AFB4E9" w:rsidR="000B3D2A" w:rsidRDefault="00062150" w:rsidP="00F345D6">
            <w:pPr>
              <w:spacing w:after="0" w:line="240" w:lineRule="auto"/>
              <w:rPr>
                <w:rFonts w:eastAsia="Times New Roman" w:cstheme="minorHAnsi"/>
                <w:b/>
              </w:rPr>
            </w:pPr>
            <w:r w:rsidRPr="00062150">
              <w:rPr>
                <w:rFonts w:eastAsia="Times New Roman" w:cstheme="minorHAnsi"/>
                <w:b/>
              </w:rPr>
              <w:t>Funding for</w:t>
            </w:r>
            <w:r w:rsidR="00CC6A8C">
              <w:rPr>
                <w:rFonts w:eastAsia="Times New Roman" w:cstheme="minorHAnsi"/>
                <w:b/>
              </w:rPr>
              <w:t xml:space="preserve"> purchasing </w:t>
            </w:r>
            <w:r w:rsidRPr="00062150">
              <w:rPr>
                <w:rFonts w:eastAsia="Times New Roman" w:cstheme="minorHAnsi"/>
                <w:b/>
              </w:rPr>
              <w:t>the SGBP by level of care</w:t>
            </w:r>
          </w:p>
          <w:p w14:paraId="2CBC499A" w14:textId="77777777" w:rsidR="0035356F" w:rsidRDefault="0035356F" w:rsidP="00F345D6">
            <w:pPr>
              <w:spacing w:after="0" w:line="240" w:lineRule="auto"/>
              <w:rPr>
                <w:rFonts w:eastAsia="Times New Roman" w:cstheme="minorHAnsi"/>
                <w:b/>
              </w:rPr>
            </w:pPr>
          </w:p>
          <w:p w14:paraId="136B7C7C" w14:textId="29D7474B" w:rsidR="00FB11FD" w:rsidRPr="00F345D6" w:rsidRDefault="00FB11FD" w:rsidP="00F345D6">
            <w:pPr>
              <w:spacing w:after="0" w:line="240" w:lineRule="auto"/>
              <w:rPr>
                <w:rFonts w:eastAsia="Times New Roman" w:cstheme="minorHAnsi"/>
                <w:b/>
              </w:rPr>
            </w:pPr>
          </w:p>
        </w:tc>
        <w:tc>
          <w:tcPr>
            <w:tcW w:w="2340" w:type="dxa"/>
            <w:tcBorders>
              <w:top w:val="single" w:sz="4" w:space="0" w:color="auto"/>
              <w:bottom w:val="double" w:sz="4" w:space="0" w:color="auto"/>
            </w:tcBorders>
            <w:shd w:val="clear" w:color="auto" w:fill="FFFFFF" w:themeFill="background1"/>
            <w:noWrap/>
            <w:vAlign w:val="bottom"/>
            <w:hideMark/>
          </w:tcPr>
          <w:p w14:paraId="0C0653A8" w14:textId="73098D1C" w:rsidR="000B3D2A" w:rsidRDefault="000B3D2A" w:rsidP="009D2A39">
            <w:pPr>
              <w:spacing w:after="0" w:line="240" w:lineRule="auto"/>
              <w:jc w:val="right"/>
              <w:rPr>
                <w:rFonts w:ascii="Calibri" w:eastAsia="Times New Roman" w:hAnsi="Calibri" w:cs="Calibri"/>
                <w:b/>
                <w:color w:val="000000"/>
              </w:rPr>
            </w:pPr>
            <w:r w:rsidRPr="000B3D2A">
              <w:rPr>
                <w:rFonts w:ascii="Calibri" w:eastAsia="Times New Roman" w:hAnsi="Calibri" w:cs="Calibri"/>
                <w:b/>
                <w:color w:val="000000"/>
              </w:rPr>
              <w:t xml:space="preserve">‘000 </w:t>
            </w:r>
            <w:r w:rsidRPr="00F345D6">
              <w:rPr>
                <w:rFonts w:ascii="Calibri" w:eastAsia="Times New Roman" w:hAnsi="Calibri" w:cs="Calibri"/>
                <w:b/>
                <w:color w:val="000000"/>
              </w:rPr>
              <w:t xml:space="preserve">Kyrgyz </w:t>
            </w:r>
            <w:proofErr w:type="spellStart"/>
            <w:r w:rsidRPr="00F345D6">
              <w:rPr>
                <w:rFonts w:ascii="Calibri" w:eastAsia="Times New Roman" w:hAnsi="Calibri" w:cs="Calibri"/>
                <w:b/>
                <w:color w:val="000000"/>
              </w:rPr>
              <w:t>Soms</w:t>
            </w:r>
            <w:proofErr w:type="spellEnd"/>
          </w:p>
          <w:p w14:paraId="50776B39" w14:textId="77777777" w:rsidR="00FB11FD" w:rsidRPr="000B3D2A" w:rsidRDefault="00FB11FD" w:rsidP="009D2A39">
            <w:pPr>
              <w:spacing w:after="0" w:line="240" w:lineRule="auto"/>
              <w:jc w:val="right"/>
              <w:rPr>
                <w:rFonts w:ascii="Calibri" w:eastAsia="Times New Roman" w:hAnsi="Calibri" w:cs="Calibri"/>
                <w:b/>
                <w:color w:val="000000"/>
              </w:rPr>
            </w:pPr>
          </w:p>
          <w:p w14:paraId="1D936948" w14:textId="298FC85D" w:rsidR="000B3D2A" w:rsidRPr="00F345D6" w:rsidRDefault="000B3D2A" w:rsidP="009D2A39">
            <w:pPr>
              <w:spacing w:after="0" w:line="240" w:lineRule="auto"/>
              <w:jc w:val="right"/>
              <w:rPr>
                <w:rFonts w:ascii="Calibri" w:eastAsia="Times New Roman" w:hAnsi="Calibri" w:cs="Calibri"/>
                <w:b/>
                <w:color w:val="000000"/>
              </w:rPr>
            </w:pPr>
          </w:p>
        </w:tc>
        <w:tc>
          <w:tcPr>
            <w:tcW w:w="946" w:type="dxa"/>
            <w:tcBorders>
              <w:top w:val="single" w:sz="4" w:space="0" w:color="auto"/>
              <w:bottom w:val="double" w:sz="4" w:space="0" w:color="auto"/>
            </w:tcBorders>
            <w:shd w:val="clear" w:color="auto" w:fill="FFFFFF" w:themeFill="background1"/>
            <w:noWrap/>
            <w:vAlign w:val="bottom"/>
            <w:hideMark/>
          </w:tcPr>
          <w:p w14:paraId="101C7666" w14:textId="4E60758E" w:rsidR="000B3D2A" w:rsidRDefault="000B3D2A" w:rsidP="009D2A39">
            <w:pPr>
              <w:spacing w:after="0" w:line="240" w:lineRule="auto"/>
              <w:jc w:val="right"/>
              <w:rPr>
                <w:rFonts w:ascii="Calibri" w:eastAsia="Times New Roman" w:hAnsi="Calibri" w:cs="Calibri"/>
                <w:b/>
                <w:color w:val="000000"/>
              </w:rPr>
            </w:pPr>
            <w:r w:rsidRPr="00F345D6">
              <w:rPr>
                <w:rFonts w:ascii="Calibri" w:eastAsia="Times New Roman" w:hAnsi="Calibri" w:cs="Calibri"/>
                <w:b/>
                <w:color w:val="000000"/>
              </w:rPr>
              <w:t>%</w:t>
            </w:r>
          </w:p>
          <w:p w14:paraId="658AB5E8" w14:textId="77777777" w:rsidR="0035356F" w:rsidRDefault="0035356F" w:rsidP="009D2A39">
            <w:pPr>
              <w:spacing w:after="0" w:line="240" w:lineRule="auto"/>
              <w:jc w:val="right"/>
              <w:rPr>
                <w:rFonts w:ascii="Calibri" w:eastAsia="Times New Roman" w:hAnsi="Calibri" w:cs="Calibri"/>
                <w:b/>
                <w:color w:val="000000"/>
              </w:rPr>
            </w:pPr>
          </w:p>
          <w:p w14:paraId="3B3AA687" w14:textId="628B2BCE" w:rsidR="00FB11FD" w:rsidRPr="00F345D6" w:rsidRDefault="00FB11FD" w:rsidP="009D2A39">
            <w:pPr>
              <w:spacing w:after="0" w:line="240" w:lineRule="auto"/>
              <w:jc w:val="right"/>
              <w:rPr>
                <w:rFonts w:ascii="Calibri" w:eastAsia="Times New Roman" w:hAnsi="Calibri" w:cs="Calibri"/>
                <w:b/>
                <w:color w:val="000000"/>
              </w:rPr>
            </w:pPr>
          </w:p>
        </w:tc>
      </w:tr>
      <w:tr w:rsidR="007828CC" w:rsidRPr="00F345D6" w14:paraId="2F119219" w14:textId="77777777" w:rsidTr="00E11D00">
        <w:trPr>
          <w:trHeight w:val="288"/>
        </w:trPr>
        <w:tc>
          <w:tcPr>
            <w:tcW w:w="6120" w:type="dxa"/>
            <w:gridSpan w:val="2"/>
            <w:tcBorders>
              <w:top w:val="double" w:sz="4" w:space="0" w:color="auto"/>
              <w:left w:val="double" w:sz="4" w:space="0" w:color="auto"/>
              <w:bottom w:val="nil"/>
            </w:tcBorders>
            <w:shd w:val="clear" w:color="auto" w:fill="E7E6E6" w:themeFill="background2"/>
            <w:noWrap/>
            <w:vAlign w:val="bottom"/>
            <w:hideMark/>
          </w:tcPr>
          <w:p w14:paraId="1C674350" w14:textId="13A6A9AD" w:rsidR="007828CC" w:rsidRPr="00F345D6" w:rsidRDefault="007828CC" w:rsidP="00F345D6">
            <w:pPr>
              <w:spacing w:after="0" w:line="240" w:lineRule="auto"/>
              <w:rPr>
                <w:rFonts w:ascii="Calibri" w:eastAsia="Times New Roman" w:hAnsi="Calibri" w:cs="Calibri"/>
                <w:color w:val="000000"/>
              </w:rPr>
            </w:pPr>
            <w:r>
              <w:rPr>
                <w:rFonts w:ascii="Calibri" w:eastAsia="Times New Roman" w:hAnsi="Calibri" w:cs="Calibri"/>
                <w:color w:val="000000"/>
              </w:rPr>
              <w:t xml:space="preserve">SGBP at </w:t>
            </w:r>
            <w:r w:rsidRPr="00F345D6">
              <w:rPr>
                <w:rFonts w:ascii="Calibri" w:eastAsia="Times New Roman" w:hAnsi="Calibri" w:cs="Calibri"/>
                <w:color w:val="000000"/>
              </w:rPr>
              <w:t>PHC level</w:t>
            </w:r>
          </w:p>
        </w:tc>
        <w:tc>
          <w:tcPr>
            <w:tcW w:w="2340" w:type="dxa"/>
            <w:tcBorders>
              <w:top w:val="double" w:sz="4" w:space="0" w:color="auto"/>
              <w:bottom w:val="nil"/>
            </w:tcBorders>
            <w:shd w:val="clear" w:color="auto" w:fill="E7E6E6" w:themeFill="background2"/>
            <w:noWrap/>
            <w:vAlign w:val="bottom"/>
            <w:hideMark/>
          </w:tcPr>
          <w:p w14:paraId="408E0225" w14:textId="77777777" w:rsidR="007828CC" w:rsidRPr="00F345D6" w:rsidRDefault="007828CC" w:rsidP="009D2A39">
            <w:pPr>
              <w:spacing w:after="0" w:line="240" w:lineRule="auto"/>
              <w:jc w:val="right"/>
              <w:rPr>
                <w:rFonts w:ascii="Calibri" w:eastAsia="Times New Roman" w:hAnsi="Calibri" w:cs="Calibri"/>
                <w:color w:val="000000"/>
              </w:rPr>
            </w:pPr>
            <w:r w:rsidRPr="00F345D6">
              <w:rPr>
                <w:rFonts w:ascii="Calibri" w:eastAsia="Times New Roman" w:hAnsi="Calibri" w:cs="Calibri"/>
                <w:color w:val="000000"/>
              </w:rPr>
              <w:t xml:space="preserve">          4,619,023 </w:t>
            </w:r>
          </w:p>
        </w:tc>
        <w:tc>
          <w:tcPr>
            <w:tcW w:w="946" w:type="dxa"/>
            <w:tcBorders>
              <w:top w:val="double" w:sz="4" w:space="0" w:color="auto"/>
              <w:bottom w:val="nil"/>
              <w:right w:val="double" w:sz="4" w:space="0" w:color="auto"/>
            </w:tcBorders>
            <w:shd w:val="clear" w:color="auto" w:fill="E7E6E6" w:themeFill="background2"/>
            <w:noWrap/>
            <w:vAlign w:val="bottom"/>
            <w:hideMark/>
          </w:tcPr>
          <w:p w14:paraId="22F5141E" w14:textId="440FA7E5" w:rsidR="007828CC" w:rsidRPr="00F345D6" w:rsidRDefault="007828CC" w:rsidP="00F345D6">
            <w:pPr>
              <w:spacing w:after="0" w:line="240" w:lineRule="auto"/>
              <w:jc w:val="right"/>
              <w:rPr>
                <w:rFonts w:ascii="Calibri" w:eastAsia="Times New Roman" w:hAnsi="Calibri" w:cs="Calibri"/>
                <w:color w:val="000000"/>
              </w:rPr>
            </w:pPr>
            <w:r w:rsidRPr="00F345D6">
              <w:rPr>
                <w:rFonts w:ascii="Calibri" w:eastAsia="Times New Roman" w:hAnsi="Calibri" w:cs="Calibri"/>
                <w:color w:val="000000"/>
              </w:rPr>
              <w:t>32</w:t>
            </w:r>
            <w:r w:rsidR="00D60865">
              <w:rPr>
                <w:rFonts w:ascii="Calibri" w:eastAsia="Times New Roman" w:hAnsi="Calibri" w:cs="Calibri"/>
                <w:color w:val="000000"/>
              </w:rPr>
              <w:t>.5</w:t>
            </w:r>
          </w:p>
        </w:tc>
      </w:tr>
      <w:tr w:rsidR="009D2A39" w:rsidRPr="00F345D6" w14:paraId="3C81BF43" w14:textId="77777777" w:rsidTr="00E11D00">
        <w:trPr>
          <w:trHeight w:val="288"/>
        </w:trPr>
        <w:tc>
          <w:tcPr>
            <w:tcW w:w="1530" w:type="dxa"/>
            <w:tcBorders>
              <w:top w:val="nil"/>
              <w:left w:val="double" w:sz="4" w:space="0" w:color="auto"/>
              <w:bottom w:val="nil"/>
            </w:tcBorders>
            <w:shd w:val="clear" w:color="auto" w:fill="E7E6E6" w:themeFill="background2"/>
            <w:noWrap/>
            <w:vAlign w:val="bottom"/>
            <w:hideMark/>
          </w:tcPr>
          <w:p w14:paraId="501EA2B2" w14:textId="77777777" w:rsidR="00F345D6" w:rsidRPr="00F345D6" w:rsidRDefault="00F345D6" w:rsidP="00F345D6">
            <w:pPr>
              <w:spacing w:after="0" w:line="240" w:lineRule="auto"/>
              <w:jc w:val="right"/>
              <w:rPr>
                <w:rFonts w:ascii="Calibri" w:eastAsia="Times New Roman" w:hAnsi="Calibri" w:cs="Calibri"/>
                <w:color w:val="000000"/>
              </w:rPr>
            </w:pPr>
          </w:p>
        </w:tc>
        <w:tc>
          <w:tcPr>
            <w:tcW w:w="4590" w:type="dxa"/>
            <w:tcBorders>
              <w:top w:val="nil"/>
              <w:bottom w:val="nil"/>
            </w:tcBorders>
            <w:shd w:val="clear" w:color="auto" w:fill="E7E6E6" w:themeFill="background2"/>
            <w:noWrap/>
            <w:vAlign w:val="bottom"/>
            <w:hideMark/>
          </w:tcPr>
          <w:p w14:paraId="425469CB" w14:textId="77777777" w:rsidR="00F345D6" w:rsidRPr="00F345D6" w:rsidRDefault="00F345D6" w:rsidP="00F345D6">
            <w:pPr>
              <w:spacing w:after="0" w:line="240" w:lineRule="auto"/>
              <w:rPr>
                <w:rFonts w:ascii="Calibri" w:eastAsia="Times New Roman" w:hAnsi="Calibri" w:cs="Calibri"/>
                <w:i/>
                <w:iCs/>
                <w:color w:val="000000"/>
              </w:rPr>
            </w:pPr>
            <w:r w:rsidRPr="00F345D6">
              <w:rPr>
                <w:rFonts w:ascii="Calibri" w:eastAsia="Times New Roman" w:hAnsi="Calibri" w:cs="Calibri"/>
                <w:i/>
                <w:iCs/>
                <w:color w:val="000000"/>
              </w:rPr>
              <w:t>PHC services</w:t>
            </w:r>
          </w:p>
        </w:tc>
        <w:tc>
          <w:tcPr>
            <w:tcW w:w="2340" w:type="dxa"/>
            <w:tcBorders>
              <w:top w:val="nil"/>
              <w:bottom w:val="nil"/>
            </w:tcBorders>
            <w:shd w:val="clear" w:color="auto" w:fill="E7E6E6" w:themeFill="background2"/>
            <w:noWrap/>
            <w:vAlign w:val="bottom"/>
            <w:hideMark/>
          </w:tcPr>
          <w:p w14:paraId="3B6B7680" w14:textId="77777777" w:rsidR="00F345D6" w:rsidRPr="00F345D6" w:rsidRDefault="00F345D6" w:rsidP="009D2A39">
            <w:pPr>
              <w:spacing w:after="0" w:line="240" w:lineRule="auto"/>
              <w:jc w:val="right"/>
              <w:rPr>
                <w:rFonts w:ascii="Calibri" w:eastAsia="Times New Roman" w:hAnsi="Calibri" w:cs="Calibri"/>
                <w:i/>
                <w:iCs/>
                <w:color w:val="000000"/>
              </w:rPr>
            </w:pPr>
            <w:r w:rsidRPr="00F345D6">
              <w:rPr>
                <w:rFonts w:ascii="Calibri" w:eastAsia="Times New Roman" w:hAnsi="Calibri" w:cs="Calibri"/>
                <w:i/>
                <w:iCs/>
                <w:color w:val="000000"/>
              </w:rPr>
              <w:t xml:space="preserve">         3,852,337 </w:t>
            </w:r>
          </w:p>
        </w:tc>
        <w:tc>
          <w:tcPr>
            <w:tcW w:w="946" w:type="dxa"/>
            <w:tcBorders>
              <w:top w:val="nil"/>
              <w:bottom w:val="nil"/>
              <w:right w:val="double" w:sz="4" w:space="0" w:color="auto"/>
            </w:tcBorders>
            <w:shd w:val="clear" w:color="auto" w:fill="E7E6E6" w:themeFill="background2"/>
            <w:noWrap/>
            <w:vAlign w:val="bottom"/>
            <w:hideMark/>
          </w:tcPr>
          <w:p w14:paraId="24ADD99A" w14:textId="4CDA0811" w:rsidR="00F345D6" w:rsidRPr="00F345D6" w:rsidRDefault="00F345D6" w:rsidP="00F345D6">
            <w:pPr>
              <w:spacing w:after="0" w:line="240" w:lineRule="auto"/>
              <w:jc w:val="right"/>
              <w:rPr>
                <w:rFonts w:ascii="Calibri" w:eastAsia="Times New Roman" w:hAnsi="Calibri" w:cs="Calibri"/>
                <w:i/>
                <w:iCs/>
                <w:color w:val="000000"/>
              </w:rPr>
            </w:pPr>
            <w:r w:rsidRPr="00F345D6">
              <w:rPr>
                <w:rFonts w:ascii="Calibri" w:eastAsia="Times New Roman" w:hAnsi="Calibri" w:cs="Calibri"/>
                <w:i/>
                <w:iCs/>
                <w:color w:val="000000"/>
              </w:rPr>
              <w:t>27</w:t>
            </w:r>
            <w:r w:rsidR="00650FCC">
              <w:rPr>
                <w:rFonts w:ascii="Calibri" w:eastAsia="Times New Roman" w:hAnsi="Calibri" w:cs="Calibri"/>
                <w:i/>
                <w:iCs/>
                <w:color w:val="000000"/>
              </w:rPr>
              <w:t>.1</w:t>
            </w:r>
          </w:p>
        </w:tc>
      </w:tr>
      <w:tr w:rsidR="009D2A39" w:rsidRPr="00F345D6" w14:paraId="4F609C7C" w14:textId="77777777" w:rsidTr="00E11D00">
        <w:trPr>
          <w:trHeight w:val="288"/>
        </w:trPr>
        <w:tc>
          <w:tcPr>
            <w:tcW w:w="1530" w:type="dxa"/>
            <w:tcBorders>
              <w:top w:val="nil"/>
              <w:left w:val="double" w:sz="4" w:space="0" w:color="auto"/>
              <w:bottom w:val="nil"/>
            </w:tcBorders>
            <w:shd w:val="clear" w:color="auto" w:fill="E7E6E6" w:themeFill="background2"/>
            <w:noWrap/>
            <w:vAlign w:val="bottom"/>
            <w:hideMark/>
          </w:tcPr>
          <w:p w14:paraId="589350C5" w14:textId="77777777" w:rsidR="00F345D6" w:rsidRPr="00F345D6" w:rsidRDefault="00F345D6" w:rsidP="00F345D6">
            <w:pPr>
              <w:spacing w:after="0" w:line="240" w:lineRule="auto"/>
              <w:jc w:val="right"/>
              <w:rPr>
                <w:rFonts w:ascii="Calibri" w:eastAsia="Times New Roman" w:hAnsi="Calibri" w:cs="Calibri"/>
                <w:i/>
                <w:iCs/>
                <w:color w:val="000000"/>
              </w:rPr>
            </w:pPr>
          </w:p>
        </w:tc>
        <w:tc>
          <w:tcPr>
            <w:tcW w:w="4590" w:type="dxa"/>
            <w:tcBorders>
              <w:top w:val="nil"/>
              <w:bottom w:val="nil"/>
            </w:tcBorders>
            <w:shd w:val="clear" w:color="auto" w:fill="E7E6E6" w:themeFill="background2"/>
            <w:noWrap/>
            <w:vAlign w:val="bottom"/>
            <w:hideMark/>
          </w:tcPr>
          <w:p w14:paraId="268E70D5" w14:textId="77777777" w:rsidR="00F345D6" w:rsidRPr="00F345D6" w:rsidRDefault="00F345D6" w:rsidP="00F345D6">
            <w:pPr>
              <w:spacing w:after="0" w:line="240" w:lineRule="auto"/>
              <w:rPr>
                <w:rFonts w:ascii="Calibri" w:eastAsia="Times New Roman" w:hAnsi="Calibri" w:cs="Calibri"/>
                <w:i/>
                <w:iCs/>
                <w:color w:val="000000"/>
              </w:rPr>
            </w:pPr>
            <w:r w:rsidRPr="00F345D6">
              <w:rPr>
                <w:rFonts w:ascii="Calibri" w:eastAsia="Times New Roman" w:hAnsi="Calibri" w:cs="Calibri"/>
                <w:i/>
                <w:iCs/>
                <w:color w:val="000000"/>
              </w:rPr>
              <w:t>Ambulance services</w:t>
            </w:r>
          </w:p>
        </w:tc>
        <w:tc>
          <w:tcPr>
            <w:tcW w:w="2340" w:type="dxa"/>
            <w:tcBorders>
              <w:top w:val="nil"/>
              <w:bottom w:val="nil"/>
            </w:tcBorders>
            <w:shd w:val="clear" w:color="auto" w:fill="E7E6E6" w:themeFill="background2"/>
            <w:noWrap/>
            <w:vAlign w:val="bottom"/>
            <w:hideMark/>
          </w:tcPr>
          <w:p w14:paraId="418B57FF" w14:textId="77777777" w:rsidR="00F345D6" w:rsidRPr="00F345D6" w:rsidRDefault="00F345D6" w:rsidP="009D2A39">
            <w:pPr>
              <w:spacing w:after="0" w:line="240" w:lineRule="auto"/>
              <w:jc w:val="right"/>
              <w:rPr>
                <w:rFonts w:ascii="Calibri" w:eastAsia="Times New Roman" w:hAnsi="Calibri" w:cs="Calibri"/>
                <w:i/>
                <w:iCs/>
                <w:color w:val="000000"/>
              </w:rPr>
            </w:pPr>
            <w:r w:rsidRPr="00F345D6">
              <w:rPr>
                <w:rFonts w:ascii="Calibri" w:eastAsia="Times New Roman" w:hAnsi="Calibri" w:cs="Calibri"/>
                <w:i/>
                <w:iCs/>
                <w:color w:val="000000"/>
              </w:rPr>
              <w:t xml:space="preserve">            447,250 </w:t>
            </w:r>
          </w:p>
        </w:tc>
        <w:tc>
          <w:tcPr>
            <w:tcW w:w="946" w:type="dxa"/>
            <w:tcBorders>
              <w:top w:val="nil"/>
              <w:bottom w:val="nil"/>
              <w:right w:val="double" w:sz="4" w:space="0" w:color="auto"/>
            </w:tcBorders>
            <w:shd w:val="clear" w:color="auto" w:fill="E7E6E6" w:themeFill="background2"/>
            <w:noWrap/>
            <w:vAlign w:val="bottom"/>
            <w:hideMark/>
          </w:tcPr>
          <w:p w14:paraId="19BBA975" w14:textId="011B1308" w:rsidR="00F345D6" w:rsidRPr="00F345D6" w:rsidRDefault="00F345D6" w:rsidP="00F345D6">
            <w:pPr>
              <w:spacing w:after="0" w:line="240" w:lineRule="auto"/>
              <w:jc w:val="right"/>
              <w:rPr>
                <w:rFonts w:ascii="Calibri" w:eastAsia="Times New Roman" w:hAnsi="Calibri" w:cs="Calibri"/>
                <w:i/>
                <w:iCs/>
                <w:color w:val="000000"/>
              </w:rPr>
            </w:pPr>
            <w:r w:rsidRPr="00F345D6">
              <w:rPr>
                <w:rFonts w:ascii="Calibri" w:eastAsia="Times New Roman" w:hAnsi="Calibri" w:cs="Calibri"/>
                <w:i/>
                <w:iCs/>
                <w:color w:val="000000"/>
              </w:rPr>
              <w:t>3</w:t>
            </w:r>
            <w:r w:rsidR="00650FCC">
              <w:rPr>
                <w:rFonts w:ascii="Calibri" w:eastAsia="Times New Roman" w:hAnsi="Calibri" w:cs="Calibri"/>
                <w:i/>
                <w:iCs/>
                <w:color w:val="000000"/>
              </w:rPr>
              <w:t>.1</w:t>
            </w:r>
          </w:p>
        </w:tc>
      </w:tr>
      <w:tr w:rsidR="009D2A39" w:rsidRPr="00F345D6" w14:paraId="7DABA2FC" w14:textId="77777777" w:rsidTr="00E11D00">
        <w:trPr>
          <w:trHeight w:val="288"/>
        </w:trPr>
        <w:tc>
          <w:tcPr>
            <w:tcW w:w="1530" w:type="dxa"/>
            <w:tcBorders>
              <w:top w:val="nil"/>
              <w:left w:val="double" w:sz="4" w:space="0" w:color="auto"/>
              <w:bottom w:val="nil"/>
            </w:tcBorders>
            <w:shd w:val="clear" w:color="auto" w:fill="E7E6E6" w:themeFill="background2"/>
            <w:noWrap/>
            <w:vAlign w:val="bottom"/>
            <w:hideMark/>
          </w:tcPr>
          <w:p w14:paraId="4860169D" w14:textId="77777777" w:rsidR="00F345D6" w:rsidRPr="00F345D6" w:rsidRDefault="00F345D6" w:rsidP="00F345D6">
            <w:pPr>
              <w:spacing w:after="0" w:line="240" w:lineRule="auto"/>
              <w:jc w:val="right"/>
              <w:rPr>
                <w:rFonts w:ascii="Calibri" w:eastAsia="Times New Roman" w:hAnsi="Calibri" w:cs="Calibri"/>
                <w:i/>
                <w:iCs/>
                <w:color w:val="000000"/>
              </w:rPr>
            </w:pPr>
          </w:p>
        </w:tc>
        <w:tc>
          <w:tcPr>
            <w:tcW w:w="4590" w:type="dxa"/>
            <w:tcBorders>
              <w:top w:val="nil"/>
              <w:bottom w:val="nil"/>
            </w:tcBorders>
            <w:shd w:val="clear" w:color="auto" w:fill="E7E6E6" w:themeFill="background2"/>
            <w:noWrap/>
            <w:vAlign w:val="bottom"/>
            <w:hideMark/>
          </w:tcPr>
          <w:p w14:paraId="29506F83" w14:textId="552860CA" w:rsidR="00F345D6" w:rsidRPr="00F345D6" w:rsidRDefault="00F06758" w:rsidP="00F345D6">
            <w:pPr>
              <w:spacing w:after="0" w:line="240" w:lineRule="auto"/>
              <w:rPr>
                <w:rFonts w:ascii="Calibri" w:eastAsia="Times New Roman" w:hAnsi="Calibri" w:cs="Calibri"/>
                <w:i/>
                <w:iCs/>
                <w:color w:val="000000"/>
              </w:rPr>
            </w:pPr>
            <w:r>
              <w:rPr>
                <w:rFonts w:ascii="Calibri" w:eastAsia="Times New Roman" w:hAnsi="Calibri" w:cs="Calibri"/>
                <w:i/>
                <w:iCs/>
                <w:color w:val="000000"/>
              </w:rPr>
              <w:t>D</w:t>
            </w:r>
            <w:r w:rsidR="00F345D6" w:rsidRPr="00F345D6">
              <w:rPr>
                <w:rFonts w:ascii="Calibri" w:eastAsia="Times New Roman" w:hAnsi="Calibri" w:cs="Calibri"/>
                <w:i/>
                <w:iCs/>
                <w:color w:val="000000"/>
              </w:rPr>
              <w:t>rug</w:t>
            </w:r>
            <w:r>
              <w:rPr>
                <w:rFonts w:ascii="Calibri" w:eastAsia="Times New Roman" w:hAnsi="Calibri" w:cs="Calibri"/>
                <w:i/>
                <w:iCs/>
                <w:color w:val="000000"/>
              </w:rPr>
              <w:t xml:space="preserve"> benefits under State </w:t>
            </w:r>
            <w:r w:rsidR="00FD7CA8">
              <w:rPr>
                <w:rFonts w:ascii="Calibri" w:eastAsia="Times New Roman" w:hAnsi="Calibri" w:cs="Calibri"/>
                <w:i/>
                <w:iCs/>
                <w:color w:val="000000"/>
              </w:rPr>
              <w:t xml:space="preserve">program </w:t>
            </w:r>
          </w:p>
        </w:tc>
        <w:tc>
          <w:tcPr>
            <w:tcW w:w="2340" w:type="dxa"/>
            <w:tcBorders>
              <w:top w:val="nil"/>
              <w:bottom w:val="nil"/>
            </w:tcBorders>
            <w:shd w:val="clear" w:color="auto" w:fill="E7E6E6" w:themeFill="background2"/>
            <w:noWrap/>
            <w:vAlign w:val="bottom"/>
            <w:hideMark/>
          </w:tcPr>
          <w:p w14:paraId="0DD2AC57" w14:textId="77777777" w:rsidR="00F345D6" w:rsidRPr="00F345D6" w:rsidRDefault="00F345D6" w:rsidP="009D2A39">
            <w:pPr>
              <w:spacing w:after="0" w:line="240" w:lineRule="auto"/>
              <w:jc w:val="right"/>
              <w:rPr>
                <w:rFonts w:ascii="Calibri" w:eastAsia="Times New Roman" w:hAnsi="Calibri" w:cs="Calibri"/>
                <w:i/>
                <w:iCs/>
                <w:color w:val="000000"/>
              </w:rPr>
            </w:pPr>
            <w:r w:rsidRPr="00F345D6">
              <w:rPr>
                <w:rFonts w:ascii="Calibri" w:eastAsia="Times New Roman" w:hAnsi="Calibri" w:cs="Calibri"/>
                <w:i/>
                <w:iCs/>
                <w:color w:val="000000"/>
              </w:rPr>
              <w:t xml:space="preserve">               55,000 </w:t>
            </w:r>
          </w:p>
        </w:tc>
        <w:tc>
          <w:tcPr>
            <w:tcW w:w="946" w:type="dxa"/>
            <w:tcBorders>
              <w:top w:val="nil"/>
              <w:bottom w:val="nil"/>
              <w:right w:val="double" w:sz="4" w:space="0" w:color="auto"/>
            </w:tcBorders>
            <w:shd w:val="clear" w:color="auto" w:fill="E7E6E6" w:themeFill="background2"/>
            <w:noWrap/>
            <w:vAlign w:val="bottom"/>
            <w:hideMark/>
          </w:tcPr>
          <w:p w14:paraId="662A3E79" w14:textId="093007C9" w:rsidR="00F345D6" w:rsidRPr="00F345D6" w:rsidRDefault="00F345D6" w:rsidP="00F345D6">
            <w:pPr>
              <w:spacing w:after="0" w:line="240" w:lineRule="auto"/>
              <w:jc w:val="right"/>
              <w:rPr>
                <w:rFonts w:ascii="Calibri" w:eastAsia="Times New Roman" w:hAnsi="Calibri" w:cs="Calibri"/>
                <w:i/>
                <w:iCs/>
                <w:color w:val="000000"/>
              </w:rPr>
            </w:pPr>
            <w:r w:rsidRPr="00F345D6">
              <w:rPr>
                <w:rFonts w:ascii="Calibri" w:eastAsia="Times New Roman" w:hAnsi="Calibri" w:cs="Calibri"/>
                <w:i/>
                <w:iCs/>
                <w:color w:val="000000"/>
              </w:rPr>
              <w:t>0</w:t>
            </w:r>
            <w:r w:rsidR="00650FCC">
              <w:rPr>
                <w:rFonts w:ascii="Calibri" w:eastAsia="Times New Roman" w:hAnsi="Calibri" w:cs="Calibri"/>
                <w:i/>
                <w:iCs/>
                <w:color w:val="000000"/>
              </w:rPr>
              <w:t>.4</w:t>
            </w:r>
          </w:p>
        </w:tc>
      </w:tr>
      <w:tr w:rsidR="009D2A39" w:rsidRPr="00F345D6" w14:paraId="795F069E" w14:textId="77777777" w:rsidTr="00E11D00">
        <w:trPr>
          <w:trHeight w:val="288"/>
        </w:trPr>
        <w:tc>
          <w:tcPr>
            <w:tcW w:w="1530" w:type="dxa"/>
            <w:tcBorders>
              <w:top w:val="nil"/>
              <w:left w:val="double" w:sz="4" w:space="0" w:color="auto"/>
              <w:bottom w:val="nil"/>
            </w:tcBorders>
            <w:shd w:val="clear" w:color="auto" w:fill="E7E6E6" w:themeFill="background2"/>
            <w:noWrap/>
            <w:vAlign w:val="bottom"/>
            <w:hideMark/>
          </w:tcPr>
          <w:p w14:paraId="3C98A77E" w14:textId="77777777" w:rsidR="00F345D6" w:rsidRPr="00F345D6" w:rsidRDefault="00F345D6" w:rsidP="00F345D6">
            <w:pPr>
              <w:spacing w:after="0" w:line="240" w:lineRule="auto"/>
              <w:jc w:val="right"/>
              <w:rPr>
                <w:rFonts w:ascii="Calibri" w:eastAsia="Times New Roman" w:hAnsi="Calibri" w:cs="Calibri"/>
                <w:i/>
                <w:iCs/>
                <w:color w:val="000000"/>
              </w:rPr>
            </w:pPr>
          </w:p>
        </w:tc>
        <w:tc>
          <w:tcPr>
            <w:tcW w:w="4590" w:type="dxa"/>
            <w:tcBorders>
              <w:top w:val="nil"/>
              <w:bottom w:val="nil"/>
            </w:tcBorders>
            <w:shd w:val="clear" w:color="auto" w:fill="E7E6E6" w:themeFill="background2"/>
            <w:noWrap/>
            <w:vAlign w:val="bottom"/>
            <w:hideMark/>
          </w:tcPr>
          <w:p w14:paraId="475E4FAF" w14:textId="326580AA" w:rsidR="00F345D6" w:rsidRPr="00F345D6" w:rsidRDefault="00F345D6" w:rsidP="00F345D6">
            <w:pPr>
              <w:spacing w:after="0" w:line="240" w:lineRule="auto"/>
              <w:rPr>
                <w:rFonts w:ascii="Calibri" w:eastAsia="Times New Roman" w:hAnsi="Calibri" w:cs="Calibri"/>
                <w:i/>
                <w:iCs/>
                <w:color w:val="000000"/>
              </w:rPr>
            </w:pPr>
            <w:r w:rsidRPr="00F345D6">
              <w:rPr>
                <w:rFonts w:ascii="Calibri" w:eastAsia="Times New Roman" w:hAnsi="Calibri" w:cs="Calibri"/>
                <w:i/>
                <w:iCs/>
                <w:color w:val="000000"/>
              </w:rPr>
              <w:t>A</w:t>
            </w:r>
            <w:r w:rsidR="00A013FD">
              <w:rPr>
                <w:rFonts w:ascii="Calibri" w:eastAsia="Times New Roman" w:hAnsi="Calibri" w:cs="Calibri"/>
                <w:i/>
                <w:iCs/>
                <w:color w:val="000000"/>
              </w:rPr>
              <w:t xml:space="preserve">dditional Drugs Package </w:t>
            </w:r>
          </w:p>
        </w:tc>
        <w:tc>
          <w:tcPr>
            <w:tcW w:w="2340" w:type="dxa"/>
            <w:tcBorders>
              <w:top w:val="nil"/>
              <w:bottom w:val="nil"/>
            </w:tcBorders>
            <w:shd w:val="clear" w:color="auto" w:fill="E7E6E6" w:themeFill="background2"/>
            <w:noWrap/>
            <w:vAlign w:val="bottom"/>
            <w:hideMark/>
          </w:tcPr>
          <w:p w14:paraId="0823CE49" w14:textId="77777777" w:rsidR="00F345D6" w:rsidRPr="00F345D6" w:rsidRDefault="00F345D6" w:rsidP="009D2A39">
            <w:pPr>
              <w:spacing w:after="0" w:line="240" w:lineRule="auto"/>
              <w:jc w:val="right"/>
              <w:rPr>
                <w:rFonts w:ascii="Calibri" w:eastAsia="Times New Roman" w:hAnsi="Calibri" w:cs="Calibri"/>
                <w:i/>
                <w:iCs/>
                <w:color w:val="000000"/>
              </w:rPr>
            </w:pPr>
            <w:r w:rsidRPr="00F345D6">
              <w:rPr>
                <w:rFonts w:ascii="Calibri" w:eastAsia="Times New Roman" w:hAnsi="Calibri" w:cs="Calibri"/>
                <w:i/>
                <w:iCs/>
                <w:color w:val="000000"/>
              </w:rPr>
              <w:t xml:space="preserve">            264,435 </w:t>
            </w:r>
          </w:p>
        </w:tc>
        <w:tc>
          <w:tcPr>
            <w:tcW w:w="946" w:type="dxa"/>
            <w:tcBorders>
              <w:top w:val="nil"/>
              <w:bottom w:val="nil"/>
              <w:right w:val="double" w:sz="4" w:space="0" w:color="auto"/>
            </w:tcBorders>
            <w:shd w:val="clear" w:color="auto" w:fill="E7E6E6" w:themeFill="background2"/>
            <w:noWrap/>
            <w:vAlign w:val="bottom"/>
            <w:hideMark/>
          </w:tcPr>
          <w:p w14:paraId="60AD7499" w14:textId="5BE8C986" w:rsidR="00F345D6" w:rsidRPr="00F345D6" w:rsidRDefault="00650FCC" w:rsidP="00F345D6">
            <w:pPr>
              <w:spacing w:after="0" w:line="240" w:lineRule="auto"/>
              <w:jc w:val="right"/>
              <w:rPr>
                <w:rFonts w:ascii="Calibri" w:eastAsia="Times New Roman" w:hAnsi="Calibri" w:cs="Calibri"/>
                <w:i/>
                <w:iCs/>
                <w:color w:val="000000"/>
              </w:rPr>
            </w:pPr>
            <w:r>
              <w:rPr>
                <w:rFonts w:ascii="Calibri" w:eastAsia="Times New Roman" w:hAnsi="Calibri" w:cs="Calibri"/>
                <w:i/>
                <w:iCs/>
                <w:color w:val="000000"/>
              </w:rPr>
              <w:t>1.9</w:t>
            </w:r>
          </w:p>
        </w:tc>
      </w:tr>
      <w:tr w:rsidR="007828CC" w:rsidRPr="00F345D6" w14:paraId="0AD4673C" w14:textId="77777777" w:rsidTr="00E11D00">
        <w:trPr>
          <w:trHeight w:val="288"/>
        </w:trPr>
        <w:tc>
          <w:tcPr>
            <w:tcW w:w="6120" w:type="dxa"/>
            <w:gridSpan w:val="2"/>
            <w:tcBorders>
              <w:top w:val="nil"/>
              <w:left w:val="double" w:sz="4" w:space="0" w:color="auto"/>
              <w:bottom w:val="nil"/>
            </w:tcBorders>
            <w:shd w:val="clear" w:color="auto" w:fill="E7E6E6" w:themeFill="background2"/>
            <w:noWrap/>
            <w:vAlign w:val="bottom"/>
            <w:hideMark/>
          </w:tcPr>
          <w:p w14:paraId="5496470E" w14:textId="3636F474" w:rsidR="007828CC" w:rsidRPr="00F345D6" w:rsidRDefault="007828CC" w:rsidP="00F345D6">
            <w:pPr>
              <w:spacing w:after="0" w:line="240" w:lineRule="auto"/>
              <w:rPr>
                <w:rFonts w:ascii="Calibri" w:eastAsia="Times New Roman" w:hAnsi="Calibri" w:cs="Calibri"/>
                <w:color w:val="000000"/>
              </w:rPr>
            </w:pPr>
            <w:r>
              <w:rPr>
                <w:rFonts w:ascii="Calibri" w:eastAsia="Times New Roman" w:hAnsi="Calibri" w:cs="Calibri"/>
                <w:color w:val="000000"/>
              </w:rPr>
              <w:t xml:space="preserve">SGBP at </w:t>
            </w:r>
            <w:r w:rsidRPr="00F345D6">
              <w:rPr>
                <w:rFonts w:ascii="Calibri" w:eastAsia="Times New Roman" w:hAnsi="Calibri" w:cs="Calibri"/>
                <w:color w:val="000000"/>
              </w:rPr>
              <w:t>Hospital level</w:t>
            </w:r>
          </w:p>
        </w:tc>
        <w:tc>
          <w:tcPr>
            <w:tcW w:w="2340" w:type="dxa"/>
            <w:tcBorders>
              <w:top w:val="nil"/>
              <w:bottom w:val="nil"/>
            </w:tcBorders>
            <w:shd w:val="clear" w:color="auto" w:fill="E7E6E6" w:themeFill="background2"/>
            <w:noWrap/>
            <w:vAlign w:val="bottom"/>
            <w:hideMark/>
          </w:tcPr>
          <w:p w14:paraId="2430CE30" w14:textId="77777777" w:rsidR="007828CC" w:rsidRPr="00F345D6" w:rsidRDefault="007828CC" w:rsidP="009D2A39">
            <w:pPr>
              <w:spacing w:after="0" w:line="240" w:lineRule="auto"/>
              <w:jc w:val="right"/>
              <w:rPr>
                <w:rFonts w:ascii="Calibri" w:eastAsia="Times New Roman" w:hAnsi="Calibri" w:cs="Calibri"/>
                <w:color w:val="000000"/>
              </w:rPr>
            </w:pPr>
            <w:r w:rsidRPr="00F345D6">
              <w:rPr>
                <w:rFonts w:ascii="Calibri" w:eastAsia="Times New Roman" w:hAnsi="Calibri" w:cs="Calibri"/>
                <w:color w:val="000000"/>
              </w:rPr>
              <w:t xml:space="preserve">          9,181,303 </w:t>
            </w:r>
          </w:p>
        </w:tc>
        <w:tc>
          <w:tcPr>
            <w:tcW w:w="946" w:type="dxa"/>
            <w:tcBorders>
              <w:top w:val="nil"/>
              <w:bottom w:val="nil"/>
              <w:right w:val="double" w:sz="4" w:space="0" w:color="auto"/>
            </w:tcBorders>
            <w:shd w:val="clear" w:color="auto" w:fill="E7E6E6" w:themeFill="background2"/>
            <w:noWrap/>
            <w:vAlign w:val="bottom"/>
            <w:hideMark/>
          </w:tcPr>
          <w:p w14:paraId="7F62C2B4" w14:textId="5D6E9769" w:rsidR="007828CC" w:rsidRPr="00F345D6" w:rsidRDefault="007828CC" w:rsidP="00F345D6">
            <w:pPr>
              <w:spacing w:after="0" w:line="240" w:lineRule="auto"/>
              <w:jc w:val="right"/>
              <w:rPr>
                <w:rFonts w:ascii="Calibri" w:eastAsia="Times New Roman" w:hAnsi="Calibri" w:cs="Calibri"/>
                <w:color w:val="000000"/>
              </w:rPr>
            </w:pPr>
            <w:r w:rsidRPr="00F345D6">
              <w:rPr>
                <w:rFonts w:ascii="Calibri" w:eastAsia="Times New Roman" w:hAnsi="Calibri" w:cs="Calibri"/>
                <w:color w:val="000000"/>
              </w:rPr>
              <w:t>6</w:t>
            </w:r>
            <w:r w:rsidR="00650FCC">
              <w:rPr>
                <w:rFonts w:ascii="Calibri" w:eastAsia="Times New Roman" w:hAnsi="Calibri" w:cs="Calibri"/>
                <w:color w:val="000000"/>
              </w:rPr>
              <w:t>4.5</w:t>
            </w:r>
          </w:p>
        </w:tc>
      </w:tr>
      <w:tr w:rsidR="009D2A39" w:rsidRPr="00F345D6" w14:paraId="759727E5" w14:textId="77777777" w:rsidTr="00E11D00">
        <w:trPr>
          <w:trHeight w:val="288"/>
        </w:trPr>
        <w:tc>
          <w:tcPr>
            <w:tcW w:w="1530" w:type="dxa"/>
            <w:tcBorders>
              <w:top w:val="nil"/>
              <w:left w:val="double" w:sz="4" w:space="0" w:color="auto"/>
              <w:bottom w:val="nil"/>
            </w:tcBorders>
            <w:shd w:val="clear" w:color="auto" w:fill="E7E6E6" w:themeFill="background2"/>
            <w:noWrap/>
            <w:vAlign w:val="bottom"/>
            <w:hideMark/>
          </w:tcPr>
          <w:p w14:paraId="11891562" w14:textId="77777777" w:rsidR="00F345D6" w:rsidRPr="00F345D6" w:rsidRDefault="00F345D6" w:rsidP="00F345D6">
            <w:pPr>
              <w:spacing w:after="0" w:line="240" w:lineRule="auto"/>
              <w:jc w:val="right"/>
              <w:rPr>
                <w:rFonts w:ascii="Calibri" w:eastAsia="Times New Roman" w:hAnsi="Calibri" w:cs="Calibri"/>
                <w:color w:val="000000"/>
              </w:rPr>
            </w:pPr>
          </w:p>
        </w:tc>
        <w:tc>
          <w:tcPr>
            <w:tcW w:w="4590" w:type="dxa"/>
            <w:tcBorders>
              <w:top w:val="nil"/>
              <w:bottom w:val="nil"/>
            </w:tcBorders>
            <w:shd w:val="clear" w:color="auto" w:fill="E7E6E6" w:themeFill="background2"/>
            <w:noWrap/>
            <w:vAlign w:val="bottom"/>
            <w:hideMark/>
          </w:tcPr>
          <w:p w14:paraId="53060700" w14:textId="77777777" w:rsidR="00F345D6" w:rsidRPr="00F345D6" w:rsidRDefault="00F345D6" w:rsidP="00F345D6">
            <w:pPr>
              <w:spacing w:after="0" w:line="240" w:lineRule="auto"/>
              <w:rPr>
                <w:rFonts w:ascii="Calibri" w:eastAsia="Times New Roman" w:hAnsi="Calibri" w:cs="Calibri"/>
                <w:i/>
                <w:iCs/>
                <w:color w:val="000000"/>
              </w:rPr>
            </w:pPr>
            <w:r w:rsidRPr="00F345D6">
              <w:rPr>
                <w:rFonts w:ascii="Calibri" w:eastAsia="Times New Roman" w:hAnsi="Calibri" w:cs="Calibri"/>
                <w:i/>
                <w:iCs/>
                <w:color w:val="000000"/>
              </w:rPr>
              <w:t>General inpatient services</w:t>
            </w:r>
          </w:p>
        </w:tc>
        <w:tc>
          <w:tcPr>
            <w:tcW w:w="2340" w:type="dxa"/>
            <w:tcBorders>
              <w:top w:val="nil"/>
              <w:bottom w:val="nil"/>
            </w:tcBorders>
            <w:shd w:val="clear" w:color="auto" w:fill="E7E6E6" w:themeFill="background2"/>
            <w:noWrap/>
            <w:vAlign w:val="bottom"/>
            <w:hideMark/>
          </w:tcPr>
          <w:p w14:paraId="29475FE5" w14:textId="77777777" w:rsidR="00F345D6" w:rsidRPr="00F345D6" w:rsidRDefault="00F345D6" w:rsidP="009D2A39">
            <w:pPr>
              <w:spacing w:after="0" w:line="240" w:lineRule="auto"/>
              <w:jc w:val="right"/>
              <w:rPr>
                <w:rFonts w:ascii="Calibri" w:eastAsia="Times New Roman" w:hAnsi="Calibri" w:cs="Calibri"/>
                <w:i/>
                <w:iCs/>
                <w:color w:val="000000"/>
              </w:rPr>
            </w:pPr>
            <w:r w:rsidRPr="00F345D6">
              <w:rPr>
                <w:rFonts w:ascii="Calibri" w:eastAsia="Times New Roman" w:hAnsi="Calibri" w:cs="Calibri"/>
                <w:i/>
                <w:iCs/>
                <w:color w:val="000000"/>
              </w:rPr>
              <w:t xml:space="preserve">         8,644,698 </w:t>
            </w:r>
          </w:p>
        </w:tc>
        <w:tc>
          <w:tcPr>
            <w:tcW w:w="946" w:type="dxa"/>
            <w:tcBorders>
              <w:top w:val="nil"/>
              <w:bottom w:val="nil"/>
              <w:right w:val="double" w:sz="4" w:space="0" w:color="auto"/>
            </w:tcBorders>
            <w:shd w:val="clear" w:color="auto" w:fill="E7E6E6" w:themeFill="background2"/>
            <w:noWrap/>
            <w:vAlign w:val="bottom"/>
            <w:hideMark/>
          </w:tcPr>
          <w:p w14:paraId="3236A650" w14:textId="74990349" w:rsidR="00F345D6" w:rsidRPr="00F345D6" w:rsidRDefault="00F345D6" w:rsidP="00F345D6">
            <w:pPr>
              <w:spacing w:after="0" w:line="240" w:lineRule="auto"/>
              <w:jc w:val="right"/>
              <w:rPr>
                <w:rFonts w:ascii="Calibri" w:eastAsia="Times New Roman" w:hAnsi="Calibri" w:cs="Calibri"/>
                <w:i/>
                <w:iCs/>
                <w:color w:val="000000"/>
              </w:rPr>
            </w:pPr>
            <w:r w:rsidRPr="00F345D6">
              <w:rPr>
                <w:rFonts w:ascii="Calibri" w:eastAsia="Times New Roman" w:hAnsi="Calibri" w:cs="Calibri"/>
                <w:i/>
                <w:iCs/>
                <w:color w:val="000000"/>
              </w:rPr>
              <w:t>6</w:t>
            </w:r>
            <w:r w:rsidR="00650FCC">
              <w:rPr>
                <w:rFonts w:ascii="Calibri" w:eastAsia="Times New Roman" w:hAnsi="Calibri" w:cs="Calibri"/>
                <w:i/>
                <w:iCs/>
                <w:color w:val="000000"/>
              </w:rPr>
              <w:t>0.7</w:t>
            </w:r>
          </w:p>
        </w:tc>
      </w:tr>
      <w:tr w:rsidR="009D2A39" w:rsidRPr="00F345D6" w14:paraId="4BF7D799" w14:textId="77777777" w:rsidTr="00E11D00">
        <w:trPr>
          <w:trHeight w:val="288"/>
        </w:trPr>
        <w:tc>
          <w:tcPr>
            <w:tcW w:w="1530" w:type="dxa"/>
            <w:tcBorders>
              <w:top w:val="nil"/>
              <w:left w:val="double" w:sz="4" w:space="0" w:color="auto"/>
              <w:bottom w:val="double" w:sz="4" w:space="0" w:color="auto"/>
            </w:tcBorders>
            <w:shd w:val="clear" w:color="auto" w:fill="E7E6E6" w:themeFill="background2"/>
            <w:noWrap/>
            <w:vAlign w:val="bottom"/>
            <w:hideMark/>
          </w:tcPr>
          <w:p w14:paraId="42E27E6B" w14:textId="77777777" w:rsidR="00F345D6" w:rsidRPr="00F345D6" w:rsidRDefault="00F345D6" w:rsidP="00F345D6">
            <w:pPr>
              <w:spacing w:after="0" w:line="240" w:lineRule="auto"/>
              <w:jc w:val="right"/>
              <w:rPr>
                <w:rFonts w:ascii="Calibri" w:eastAsia="Times New Roman" w:hAnsi="Calibri" w:cs="Calibri"/>
                <w:i/>
                <w:iCs/>
                <w:color w:val="000000"/>
              </w:rPr>
            </w:pPr>
          </w:p>
        </w:tc>
        <w:tc>
          <w:tcPr>
            <w:tcW w:w="4590" w:type="dxa"/>
            <w:tcBorders>
              <w:top w:val="nil"/>
              <w:bottom w:val="double" w:sz="4" w:space="0" w:color="auto"/>
            </w:tcBorders>
            <w:shd w:val="clear" w:color="auto" w:fill="E7E6E6" w:themeFill="background2"/>
            <w:noWrap/>
            <w:vAlign w:val="bottom"/>
            <w:hideMark/>
          </w:tcPr>
          <w:p w14:paraId="06189D06" w14:textId="77777777" w:rsidR="00F345D6" w:rsidRPr="00F345D6" w:rsidRDefault="00F345D6" w:rsidP="00F345D6">
            <w:pPr>
              <w:spacing w:after="0" w:line="240" w:lineRule="auto"/>
              <w:rPr>
                <w:rFonts w:ascii="Calibri" w:eastAsia="Times New Roman" w:hAnsi="Calibri" w:cs="Calibri"/>
                <w:i/>
                <w:iCs/>
                <w:color w:val="000000"/>
              </w:rPr>
            </w:pPr>
            <w:r w:rsidRPr="00F345D6">
              <w:rPr>
                <w:rFonts w:ascii="Calibri" w:eastAsia="Times New Roman" w:hAnsi="Calibri" w:cs="Calibri"/>
                <w:i/>
                <w:iCs/>
                <w:color w:val="000000"/>
              </w:rPr>
              <w:t>Specialized services (oncology, psychology, hematology, cardio-surgery)</w:t>
            </w:r>
          </w:p>
        </w:tc>
        <w:tc>
          <w:tcPr>
            <w:tcW w:w="2340" w:type="dxa"/>
            <w:tcBorders>
              <w:top w:val="nil"/>
              <w:bottom w:val="double" w:sz="4" w:space="0" w:color="auto"/>
            </w:tcBorders>
            <w:shd w:val="clear" w:color="auto" w:fill="E7E6E6" w:themeFill="background2"/>
            <w:noWrap/>
            <w:vAlign w:val="bottom"/>
            <w:hideMark/>
          </w:tcPr>
          <w:p w14:paraId="794CB3F6" w14:textId="77777777" w:rsidR="00F345D6" w:rsidRPr="00F345D6" w:rsidRDefault="00F345D6" w:rsidP="009D2A39">
            <w:pPr>
              <w:spacing w:after="0" w:line="240" w:lineRule="auto"/>
              <w:jc w:val="right"/>
              <w:rPr>
                <w:rFonts w:ascii="Calibri" w:eastAsia="Times New Roman" w:hAnsi="Calibri" w:cs="Calibri"/>
                <w:i/>
                <w:iCs/>
                <w:color w:val="000000"/>
              </w:rPr>
            </w:pPr>
            <w:r w:rsidRPr="00F345D6">
              <w:rPr>
                <w:rFonts w:ascii="Calibri" w:eastAsia="Times New Roman" w:hAnsi="Calibri" w:cs="Calibri"/>
                <w:i/>
                <w:iCs/>
                <w:color w:val="000000"/>
              </w:rPr>
              <w:t xml:space="preserve">            536,605 </w:t>
            </w:r>
          </w:p>
        </w:tc>
        <w:tc>
          <w:tcPr>
            <w:tcW w:w="946" w:type="dxa"/>
            <w:tcBorders>
              <w:top w:val="nil"/>
              <w:bottom w:val="double" w:sz="4" w:space="0" w:color="auto"/>
              <w:right w:val="double" w:sz="4" w:space="0" w:color="auto"/>
            </w:tcBorders>
            <w:shd w:val="clear" w:color="auto" w:fill="E7E6E6" w:themeFill="background2"/>
            <w:noWrap/>
            <w:vAlign w:val="bottom"/>
            <w:hideMark/>
          </w:tcPr>
          <w:p w14:paraId="0EA0DAD5" w14:textId="0E83740D" w:rsidR="00F345D6" w:rsidRPr="00F345D6" w:rsidRDefault="004B7FBE" w:rsidP="00F345D6">
            <w:pPr>
              <w:spacing w:after="0" w:line="240" w:lineRule="auto"/>
              <w:jc w:val="right"/>
              <w:rPr>
                <w:rFonts w:ascii="Calibri" w:eastAsia="Times New Roman" w:hAnsi="Calibri" w:cs="Calibri"/>
                <w:i/>
                <w:iCs/>
                <w:color w:val="000000"/>
              </w:rPr>
            </w:pPr>
            <w:r>
              <w:rPr>
                <w:rFonts w:ascii="Calibri" w:eastAsia="Times New Roman" w:hAnsi="Calibri" w:cs="Calibri"/>
                <w:i/>
                <w:iCs/>
                <w:color w:val="000000"/>
              </w:rPr>
              <w:t>3.8</w:t>
            </w:r>
          </w:p>
        </w:tc>
      </w:tr>
      <w:tr w:rsidR="00D4565E" w:rsidRPr="00F345D6" w14:paraId="213D1360" w14:textId="77777777" w:rsidTr="00E11D00">
        <w:trPr>
          <w:trHeight w:val="288"/>
        </w:trPr>
        <w:tc>
          <w:tcPr>
            <w:tcW w:w="1530" w:type="dxa"/>
            <w:tcBorders>
              <w:top w:val="double" w:sz="4" w:space="0" w:color="auto"/>
            </w:tcBorders>
            <w:shd w:val="clear" w:color="auto" w:fill="FFFFFF" w:themeFill="background1"/>
            <w:noWrap/>
            <w:vAlign w:val="bottom"/>
            <w:hideMark/>
          </w:tcPr>
          <w:p w14:paraId="7E16E796" w14:textId="77777777" w:rsidR="00F345D6" w:rsidRPr="00F345D6" w:rsidRDefault="00F345D6" w:rsidP="00F345D6">
            <w:pPr>
              <w:spacing w:after="0" w:line="240" w:lineRule="auto"/>
              <w:rPr>
                <w:rFonts w:ascii="Calibri" w:eastAsia="Times New Roman" w:hAnsi="Calibri" w:cs="Calibri"/>
                <w:color w:val="000000"/>
              </w:rPr>
            </w:pPr>
            <w:r w:rsidRPr="00F345D6">
              <w:rPr>
                <w:rFonts w:ascii="Calibri" w:eastAsia="Times New Roman" w:hAnsi="Calibri" w:cs="Calibri"/>
                <w:color w:val="000000"/>
              </w:rPr>
              <w:t xml:space="preserve">Hemodialysis </w:t>
            </w:r>
          </w:p>
        </w:tc>
        <w:tc>
          <w:tcPr>
            <w:tcW w:w="4590" w:type="dxa"/>
            <w:tcBorders>
              <w:top w:val="double" w:sz="4" w:space="0" w:color="auto"/>
            </w:tcBorders>
            <w:shd w:val="clear" w:color="auto" w:fill="FFFFFF" w:themeFill="background1"/>
            <w:noWrap/>
            <w:vAlign w:val="bottom"/>
            <w:hideMark/>
          </w:tcPr>
          <w:p w14:paraId="4FBF71FB" w14:textId="77777777" w:rsidR="00F345D6" w:rsidRPr="00F345D6" w:rsidRDefault="00F345D6" w:rsidP="00F345D6">
            <w:pPr>
              <w:spacing w:after="0" w:line="240" w:lineRule="auto"/>
              <w:rPr>
                <w:rFonts w:ascii="Calibri" w:eastAsia="Times New Roman" w:hAnsi="Calibri" w:cs="Calibri"/>
                <w:color w:val="000000"/>
              </w:rPr>
            </w:pPr>
            <w:r w:rsidRPr="00F345D6">
              <w:rPr>
                <w:rFonts w:ascii="Calibri" w:eastAsia="Times New Roman" w:hAnsi="Calibri" w:cs="Calibri"/>
                <w:color w:val="000000"/>
              </w:rPr>
              <w:t> </w:t>
            </w:r>
          </w:p>
        </w:tc>
        <w:tc>
          <w:tcPr>
            <w:tcW w:w="2340" w:type="dxa"/>
            <w:tcBorders>
              <w:top w:val="double" w:sz="4" w:space="0" w:color="auto"/>
            </w:tcBorders>
            <w:shd w:val="clear" w:color="auto" w:fill="FFFFFF" w:themeFill="background1"/>
            <w:noWrap/>
            <w:vAlign w:val="bottom"/>
            <w:hideMark/>
          </w:tcPr>
          <w:p w14:paraId="7E849A33" w14:textId="77777777" w:rsidR="00F345D6" w:rsidRPr="00F345D6" w:rsidRDefault="00F345D6" w:rsidP="009D2A39">
            <w:pPr>
              <w:spacing w:after="0" w:line="240" w:lineRule="auto"/>
              <w:jc w:val="right"/>
              <w:rPr>
                <w:rFonts w:ascii="Calibri" w:eastAsia="Times New Roman" w:hAnsi="Calibri" w:cs="Calibri"/>
                <w:color w:val="000000"/>
              </w:rPr>
            </w:pPr>
            <w:r w:rsidRPr="00F345D6">
              <w:rPr>
                <w:rFonts w:ascii="Calibri" w:eastAsia="Times New Roman" w:hAnsi="Calibri" w:cs="Calibri"/>
                <w:color w:val="000000"/>
              </w:rPr>
              <w:t xml:space="preserve">             286,000 </w:t>
            </w:r>
          </w:p>
        </w:tc>
        <w:tc>
          <w:tcPr>
            <w:tcW w:w="946" w:type="dxa"/>
            <w:tcBorders>
              <w:top w:val="double" w:sz="4" w:space="0" w:color="auto"/>
            </w:tcBorders>
            <w:shd w:val="clear" w:color="auto" w:fill="FFFFFF" w:themeFill="background1"/>
            <w:noWrap/>
            <w:vAlign w:val="bottom"/>
            <w:hideMark/>
          </w:tcPr>
          <w:p w14:paraId="401C8592" w14:textId="1CEA156A" w:rsidR="00F345D6" w:rsidRPr="00F345D6" w:rsidRDefault="00F345D6" w:rsidP="00F345D6">
            <w:pPr>
              <w:spacing w:after="0" w:line="240" w:lineRule="auto"/>
              <w:jc w:val="right"/>
              <w:rPr>
                <w:rFonts w:ascii="Calibri" w:eastAsia="Times New Roman" w:hAnsi="Calibri" w:cs="Calibri"/>
                <w:color w:val="000000"/>
              </w:rPr>
            </w:pPr>
            <w:r w:rsidRPr="00F345D6">
              <w:rPr>
                <w:rFonts w:ascii="Calibri" w:eastAsia="Times New Roman" w:hAnsi="Calibri" w:cs="Calibri"/>
                <w:color w:val="000000"/>
              </w:rPr>
              <w:t>2</w:t>
            </w:r>
            <w:r w:rsidR="004B7FBE">
              <w:rPr>
                <w:rFonts w:ascii="Calibri" w:eastAsia="Times New Roman" w:hAnsi="Calibri" w:cs="Calibri"/>
                <w:color w:val="000000"/>
              </w:rPr>
              <w:t>.0</w:t>
            </w:r>
          </w:p>
        </w:tc>
      </w:tr>
      <w:tr w:rsidR="009D2A39" w:rsidRPr="00F345D6" w14:paraId="6E66A949" w14:textId="77777777" w:rsidTr="00E11D00">
        <w:trPr>
          <w:trHeight w:val="288"/>
        </w:trPr>
        <w:tc>
          <w:tcPr>
            <w:tcW w:w="6120" w:type="dxa"/>
            <w:gridSpan w:val="2"/>
            <w:shd w:val="clear" w:color="auto" w:fill="FFFFFF" w:themeFill="background1"/>
            <w:noWrap/>
            <w:vAlign w:val="bottom"/>
            <w:hideMark/>
          </w:tcPr>
          <w:p w14:paraId="3F1CFB7A" w14:textId="77777777" w:rsidR="00F345D6" w:rsidRPr="00F345D6" w:rsidRDefault="00F345D6" w:rsidP="00F345D6">
            <w:pPr>
              <w:spacing w:after="0" w:line="240" w:lineRule="auto"/>
              <w:rPr>
                <w:rFonts w:ascii="Calibri" w:eastAsia="Times New Roman" w:hAnsi="Calibri" w:cs="Calibri"/>
                <w:color w:val="000000"/>
              </w:rPr>
            </w:pPr>
            <w:r w:rsidRPr="00F345D6">
              <w:rPr>
                <w:rFonts w:ascii="Calibri" w:eastAsia="Times New Roman" w:hAnsi="Calibri" w:cs="Calibri"/>
                <w:color w:val="000000"/>
              </w:rPr>
              <w:t>Administration</w:t>
            </w:r>
          </w:p>
        </w:tc>
        <w:tc>
          <w:tcPr>
            <w:tcW w:w="2340" w:type="dxa"/>
            <w:shd w:val="clear" w:color="auto" w:fill="FFFFFF" w:themeFill="background1"/>
            <w:noWrap/>
            <w:vAlign w:val="bottom"/>
            <w:hideMark/>
          </w:tcPr>
          <w:p w14:paraId="55E85A99" w14:textId="77777777" w:rsidR="00F345D6" w:rsidRPr="00F345D6" w:rsidRDefault="00F345D6" w:rsidP="009D2A39">
            <w:pPr>
              <w:spacing w:after="0" w:line="240" w:lineRule="auto"/>
              <w:jc w:val="right"/>
              <w:rPr>
                <w:rFonts w:ascii="Calibri" w:eastAsia="Times New Roman" w:hAnsi="Calibri" w:cs="Calibri"/>
                <w:color w:val="000000"/>
              </w:rPr>
            </w:pPr>
            <w:r w:rsidRPr="00F345D6">
              <w:rPr>
                <w:rFonts w:ascii="Calibri" w:eastAsia="Times New Roman" w:hAnsi="Calibri" w:cs="Calibri"/>
                <w:color w:val="000000"/>
              </w:rPr>
              <w:t xml:space="preserve">             144,000 </w:t>
            </w:r>
          </w:p>
        </w:tc>
        <w:tc>
          <w:tcPr>
            <w:tcW w:w="946" w:type="dxa"/>
            <w:shd w:val="clear" w:color="auto" w:fill="FFFFFF" w:themeFill="background1"/>
            <w:noWrap/>
            <w:vAlign w:val="bottom"/>
            <w:hideMark/>
          </w:tcPr>
          <w:p w14:paraId="4DE89345" w14:textId="63854D23" w:rsidR="00F345D6" w:rsidRPr="00F345D6" w:rsidRDefault="00F345D6" w:rsidP="00F345D6">
            <w:pPr>
              <w:spacing w:after="0" w:line="240" w:lineRule="auto"/>
              <w:jc w:val="right"/>
              <w:rPr>
                <w:rFonts w:ascii="Calibri" w:eastAsia="Times New Roman" w:hAnsi="Calibri" w:cs="Calibri"/>
                <w:color w:val="000000"/>
              </w:rPr>
            </w:pPr>
            <w:r w:rsidRPr="00F345D6">
              <w:rPr>
                <w:rFonts w:ascii="Calibri" w:eastAsia="Times New Roman" w:hAnsi="Calibri" w:cs="Calibri"/>
                <w:color w:val="000000"/>
              </w:rPr>
              <w:t>1</w:t>
            </w:r>
            <w:r w:rsidR="004B7FBE">
              <w:rPr>
                <w:rFonts w:ascii="Calibri" w:eastAsia="Times New Roman" w:hAnsi="Calibri" w:cs="Calibri"/>
                <w:color w:val="000000"/>
              </w:rPr>
              <w:t>.0</w:t>
            </w:r>
          </w:p>
        </w:tc>
      </w:tr>
      <w:tr w:rsidR="009D2A39" w:rsidRPr="00F345D6" w14:paraId="2320A361" w14:textId="77777777" w:rsidTr="009D2A39">
        <w:trPr>
          <w:trHeight w:val="288"/>
        </w:trPr>
        <w:tc>
          <w:tcPr>
            <w:tcW w:w="1530" w:type="dxa"/>
            <w:shd w:val="clear" w:color="auto" w:fill="auto"/>
            <w:noWrap/>
            <w:vAlign w:val="bottom"/>
            <w:hideMark/>
          </w:tcPr>
          <w:p w14:paraId="737952F2" w14:textId="77777777" w:rsidR="00F345D6" w:rsidRPr="00F345D6" w:rsidRDefault="00F345D6" w:rsidP="00F345D6">
            <w:pPr>
              <w:spacing w:after="0" w:line="240" w:lineRule="auto"/>
              <w:rPr>
                <w:rFonts w:ascii="Calibri" w:eastAsia="Times New Roman" w:hAnsi="Calibri" w:cs="Calibri"/>
                <w:b/>
                <w:bCs/>
                <w:color w:val="000000"/>
              </w:rPr>
            </w:pPr>
            <w:r w:rsidRPr="00F345D6">
              <w:rPr>
                <w:rFonts w:ascii="Calibri" w:eastAsia="Times New Roman" w:hAnsi="Calibri" w:cs="Calibri"/>
                <w:b/>
                <w:bCs/>
                <w:color w:val="000000"/>
              </w:rPr>
              <w:t xml:space="preserve">Total </w:t>
            </w:r>
          </w:p>
        </w:tc>
        <w:tc>
          <w:tcPr>
            <w:tcW w:w="4590" w:type="dxa"/>
            <w:shd w:val="clear" w:color="auto" w:fill="auto"/>
            <w:noWrap/>
            <w:vAlign w:val="bottom"/>
            <w:hideMark/>
          </w:tcPr>
          <w:p w14:paraId="107010D1" w14:textId="77777777" w:rsidR="00F345D6" w:rsidRPr="00F345D6" w:rsidRDefault="00F345D6" w:rsidP="00F345D6">
            <w:pPr>
              <w:spacing w:after="0" w:line="240" w:lineRule="auto"/>
              <w:rPr>
                <w:rFonts w:ascii="Calibri" w:eastAsia="Times New Roman" w:hAnsi="Calibri" w:cs="Calibri"/>
                <w:b/>
                <w:bCs/>
                <w:color w:val="000000"/>
              </w:rPr>
            </w:pPr>
          </w:p>
        </w:tc>
        <w:tc>
          <w:tcPr>
            <w:tcW w:w="2340" w:type="dxa"/>
            <w:shd w:val="clear" w:color="auto" w:fill="auto"/>
            <w:noWrap/>
            <w:vAlign w:val="bottom"/>
            <w:hideMark/>
          </w:tcPr>
          <w:p w14:paraId="3641E1FE" w14:textId="77777777" w:rsidR="00F345D6" w:rsidRPr="00F345D6" w:rsidRDefault="00F345D6" w:rsidP="009D2A39">
            <w:pPr>
              <w:spacing w:after="0" w:line="240" w:lineRule="auto"/>
              <w:jc w:val="right"/>
              <w:rPr>
                <w:rFonts w:ascii="Calibri" w:eastAsia="Times New Roman" w:hAnsi="Calibri" w:cs="Calibri"/>
                <w:b/>
                <w:bCs/>
                <w:color w:val="000000"/>
              </w:rPr>
            </w:pPr>
            <w:r w:rsidRPr="00F345D6">
              <w:rPr>
                <w:rFonts w:ascii="Calibri" w:eastAsia="Times New Roman" w:hAnsi="Calibri" w:cs="Calibri"/>
                <w:b/>
                <w:bCs/>
                <w:color w:val="000000"/>
              </w:rPr>
              <w:t xml:space="preserve">       14,230,326 </w:t>
            </w:r>
          </w:p>
        </w:tc>
        <w:tc>
          <w:tcPr>
            <w:tcW w:w="946" w:type="dxa"/>
            <w:shd w:val="clear" w:color="auto" w:fill="auto"/>
            <w:noWrap/>
            <w:vAlign w:val="bottom"/>
            <w:hideMark/>
          </w:tcPr>
          <w:p w14:paraId="18878C5E" w14:textId="262DE80E" w:rsidR="00F345D6" w:rsidRPr="00F345D6" w:rsidRDefault="00F345D6" w:rsidP="00F345D6">
            <w:pPr>
              <w:spacing w:after="0" w:line="240" w:lineRule="auto"/>
              <w:jc w:val="right"/>
              <w:rPr>
                <w:rFonts w:ascii="Calibri" w:eastAsia="Times New Roman" w:hAnsi="Calibri" w:cs="Calibri"/>
                <w:b/>
                <w:bCs/>
                <w:color w:val="000000"/>
              </w:rPr>
            </w:pPr>
            <w:r w:rsidRPr="00F345D6">
              <w:rPr>
                <w:rFonts w:ascii="Calibri" w:eastAsia="Times New Roman" w:hAnsi="Calibri" w:cs="Calibri"/>
                <w:b/>
                <w:bCs/>
                <w:color w:val="000000"/>
              </w:rPr>
              <w:t>100</w:t>
            </w:r>
            <w:r w:rsidR="004B7FBE">
              <w:rPr>
                <w:rFonts w:ascii="Calibri" w:eastAsia="Times New Roman" w:hAnsi="Calibri" w:cs="Calibri"/>
                <w:b/>
                <w:bCs/>
                <w:color w:val="000000"/>
              </w:rPr>
              <w:t>.0</w:t>
            </w:r>
          </w:p>
        </w:tc>
      </w:tr>
    </w:tbl>
    <w:p w14:paraId="6CD6A4FB" w14:textId="0439E9B6" w:rsidR="008935BC" w:rsidRDefault="008935BC" w:rsidP="00363D34">
      <w:pPr>
        <w:spacing w:after="0" w:line="240" w:lineRule="auto"/>
        <w:jc w:val="both"/>
        <w:rPr>
          <w:rFonts w:cstheme="minorHAnsi"/>
          <w:sz w:val="20"/>
        </w:rPr>
      </w:pPr>
      <w:r>
        <w:rPr>
          <w:rFonts w:cstheme="minorHAnsi"/>
          <w:sz w:val="20"/>
        </w:rPr>
        <w:t>Source</w:t>
      </w:r>
      <w:r w:rsidR="00B723CE">
        <w:rPr>
          <w:rFonts w:cstheme="minorHAnsi"/>
          <w:sz w:val="20"/>
        </w:rPr>
        <w:t xml:space="preserve"> of data</w:t>
      </w:r>
      <w:r>
        <w:rPr>
          <w:rFonts w:cstheme="minorHAnsi"/>
          <w:sz w:val="20"/>
        </w:rPr>
        <w:t>: MHIF</w:t>
      </w:r>
      <w:r w:rsidR="00C74C51">
        <w:rPr>
          <w:rFonts w:cstheme="minorHAnsi"/>
          <w:sz w:val="20"/>
        </w:rPr>
        <w:t>, 2018</w:t>
      </w:r>
    </w:p>
    <w:p w14:paraId="7EF522DD" w14:textId="3A58D2C9" w:rsidR="00061E0A" w:rsidRDefault="007777F0" w:rsidP="00363D34">
      <w:pPr>
        <w:spacing w:after="0" w:line="240" w:lineRule="auto"/>
        <w:jc w:val="both"/>
        <w:rPr>
          <w:rFonts w:cstheme="minorHAnsi"/>
          <w:sz w:val="20"/>
        </w:rPr>
      </w:pPr>
      <w:r w:rsidRPr="00F06758">
        <w:rPr>
          <w:rFonts w:cstheme="minorHAnsi"/>
          <w:sz w:val="20"/>
        </w:rPr>
        <w:t xml:space="preserve">Note: exchange rate </w:t>
      </w:r>
      <w:r w:rsidR="00F06758" w:rsidRPr="00F06758">
        <w:rPr>
          <w:rFonts w:cstheme="minorHAnsi"/>
          <w:sz w:val="20"/>
        </w:rPr>
        <w:t xml:space="preserve">1 US$=70 Kyrgyz </w:t>
      </w:r>
      <w:proofErr w:type="spellStart"/>
      <w:r w:rsidR="00F06758" w:rsidRPr="00F06758">
        <w:rPr>
          <w:rFonts w:cstheme="minorHAnsi"/>
          <w:sz w:val="20"/>
        </w:rPr>
        <w:t>Soms</w:t>
      </w:r>
      <w:proofErr w:type="spellEnd"/>
      <w:r w:rsidR="00F06758" w:rsidRPr="00F06758">
        <w:rPr>
          <w:rFonts w:cstheme="minorHAnsi"/>
          <w:sz w:val="20"/>
        </w:rPr>
        <w:t xml:space="preserve"> </w:t>
      </w:r>
    </w:p>
    <w:p w14:paraId="7C9B494D" w14:textId="77777777" w:rsidR="00C74C51" w:rsidRPr="00F06758" w:rsidRDefault="00C74C51" w:rsidP="00363D34">
      <w:pPr>
        <w:spacing w:after="0" w:line="240" w:lineRule="auto"/>
        <w:jc w:val="both"/>
        <w:rPr>
          <w:rFonts w:cstheme="minorHAnsi"/>
          <w:sz w:val="20"/>
        </w:rPr>
      </w:pPr>
    </w:p>
    <w:p w14:paraId="5BD4FCE5" w14:textId="370D5585" w:rsidR="002D7565" w:rsidRDefault="00B844D7" w:rsidP="00363D34">
      <w:pPr>
        <w:spacing w:after="0" w:line="240" w:lineRule="auto"/>
        <w:jc w:val="both"/>
        <w:rPr>
          <w:rFonts w:cstheme="minorHAnsi"/>
        </w:rPr>
      </w:pPr>
      <w:r>
        <w:rPr>
          <w:rFonts w:cstheme="minorHAnsi"/>
        </w:rPr>
        <w:t xml:space="preserve">Details of the SGBP are provided below: </w:t>
      </w:r>
    </w:p>
    <w:p w14:paraId="7DCB68DC" w14:textId="2D6277BD" w:rsidR="003D65D7" w:rsidRPr="00B844D7" w:rsidRDefault="00B70BAA" w:rsidP="006E2D13">
      <w:pPr>
        <w:pStyle w:val="ListParagraph"/>
        <w:numPr>
          <w:ilvl w:val="0"/>
          <w:numId w:val="36"/>
        </w:numPr>
        <w:spacing w:before="240" w:after="120" w:line="240" w:lineRule="auto"/>
        <w:jc w:val="both"/>
        <w:rPr>
          <w:rFonts w:cstheme="minorHAnsi"/>
          <w:b/>
        </w:rPr>
      </w:pPr>
      <w:r w:rsidRPr="00B844D7">
        <w:rPr>
          <w:rFonts w:cstheme="minorHAnsi"/>
          <w:b/>
        </w:rPr>
        <w:lastRenderedPageBreak/>
        <w:t xml:space="preserve">Primary health care </w:t>
      </w:r>
    </w:p>
    <w:p w14:paraId="14F6C306" w14:textId="0BAD86B3" w:rsidR="00775BFE" w:rsidRDefault="00A721BC" w:rsidP="00363D34">
      <w:pPr>
        <w:spacing w:after="0" w:line="240" w:lineRule="auto"/>
        <w:jc w:val="both"/>
        <w:rPr>
          <w:rFonts w:cstheme="minorHAnsi"/>
        </w:rPr>
      </w:pPr>
      <w:r w:rsidRPr="00E6167F">
        <w:rPr>
          <w:rFonts w:cstheme="minorHAnsi"/>
        </w:rPr>
        <w:t>Prevention (protection and promotion of health and healthy lifestyle; immunization; anti-epidemic activities; training in self-control, self-help and mutual assistance), diagnostic procedures (b</w:t>
      </w:r>
      <w:r w:rsidR="002D7565" w:rsidRPr="00E6167F">
        <w:rPr>
          <w:rFonts w:cstheme="minorHAnsi"/>
        </w:rPr>
        <w:t>asic laboratory and diagnostic tests</w:t>
      </w:r>
      <w:r w:rsidRPr="00E6167F">
        <w:rPr>
          <w:rFonts w:cstheme="minorHAnsi"/>
        </w:rPr>
        <w:t>), and therapy (</w:t>
      </w:r>
      <w:r w:rsidR="002D7565" w:rsidRPr="00E6167F">
        <w:rPr>
          <w:rFonts w:cstheme="minorHAnsi"/>
        </w:rPr>
        <w:t>emergency medical assistance;</w:t>
      </w:r>
      <w:r w:rsidRPr="00E6167F">
        <w:rPr>
          <w:rFonts w:cstheme="minorHAnsi"/>
        </w:rPr>
        <w:t xml:space="preserve"> p</w:t>
      </w:r>
      <w:r w:rsidR="002D7565" w:rsidRPr="00E6167F">
        <w:rPr>
          <w:rFonts w:cstheme="minorHAnsi"/>
        </w:rPr>
        <w:t>rescription of medical treatment; m</w:t>
      </w:r>
      <w:r w:rsidRPr="00E6167F">
        <w:rPr>
          <w:rFonts w:cstheme="minorHAnsi"/>
        </w:rPr>
        <w:t>edical injections</w:t>
      </w:r>
      <w:r w:rsidR="00155238" w:rsidRPr="00E6167F">
        <w:rPr>
          <w:rFonts w:cstheme="minorHAnsi"/>
        </w:rPr>
        <w:t xml:space="preserve">; rehabilitation and physiotherapy) are provided at the </w:t>
      </w:r>
      <w:r w:rsidR="00675EA7">
        <w:rPr>
          <w:rFonts w:cstheme="minorHAnsi"/>
        </w:rPr>
        <w:t xml:space="preserve">PHC </w:t>
      </w:r>
      <w:r w:rsidR="00155238" w:rsidRPr="00E6167F">
        <w:rPr>
          <w:rFonts w:cstheme="minorHAnsi"/>
        </w:rPr>
        <w:t>level.</w:t>
      </w:r>
    </w:p>
    <w:p w14:paraId="6AE6C4CB" w14:textId="77777777" w:rsidR="00CA50F6" w:rsidRPr="00E6167F" w:rsidRDefault="00CA50F6" w:rsidP="00363D34">
      <w:pPr>
        <w:spacing w:after="0" w:line="240" w:lineRule="auto"/>
        <w:jc w:val="both"/>
        <w:rPr>
          <w:rFonts w:cstheme="minorHAnsi"/>
        </w:rPr>
      </w:pPr>
    </w:p>
    <w:p w14:paraId="563887FA" w14:textId="4B6AC8F2" w:rsidR="00AA6832" w:rsidRPr="00B70BAA" w:rsidRDefault="00AA6832" w:rsidP="00363D34">
      <w:pPr>
        <w:spacing w:after="0" w:line="240" w:lineRule="auto"/>
        <w:jc w:val="both"/>
        <w:rPr>
          <w:rFonts w:cstheme="minorHAnsi"/>
        </w:rPr>
      </w:pPr>
      <w:r w:rsidRPr="00B70BAA">
        <w:rPr>
          <w:rFonts w:cstheme="minorHAnsi"/>
        </w:rPr>
        <w:t xml:space="preserve">Basic laboratory tests </w:t>
      </w:r>
      <w:r w:rsidR="00B70BAA">
        <w:rPr>
          <w:rFonts w:cstheme="minorHAnsi"/>
        </w:rPr>
        <w:t xml:space="preserve">in PHC </w:t>
      </w:r>
      <w:r w:rsidRPr="00B70BAA">
        <w:rPr>
          <w:rFonts w:cstheme="minorHAnsi"/>
        </w:rPr>
        <w:t>included in SGBP are:</w:t>
      </w:r>
    </w:p>
    <w:p w14:paraId="4A729041" w14:textId="77777777" w:rsidR="00AA6832" w:rsidRPr="00CA50F6" w:rsidRDefault="00AA6832" w:rsidP="00363D34">
      <w:pPr>
        <w:pStyle w:val="ListParagraph"/>
        <w:numPr>
          <w:ilvl w:val="0"/>
          <w:numId w:val="15"/>
        </w:numPr>
        <w:spacing w:after="0" w:line="240" w:lineRule="auto"/>
        <w:jc w:val="both"/>
        <w:rPr>
          <w:rFonts w:cstheme="minorHAnsi"/>
        </w:rPr>
      </w:pPr>
      <w:r w:rsidRPr="00CA50F6">
        <w:rPr>
          <w:rFonts w:cstheme="minorHAnsi"/>
        </w:rPr>
        <w:t xml:space="preserve">complete blood count; </w:t>
      </w:r>
    </w:p>
    <w:p w14:paraId="4719A6A1" w14:textId="77777777" w:rsidR="00AA6832" w:rsidRPr="00CA50F6" w:rsidRDefault="00AA6832" w:rsidP="00363D34">
      <w:pPr>
        <w:pStyle w:val="ListParagraph"/>
        <w:numPr>
          <w:ilvl w:val="0"/>
          <w:numId w:val="15"/>
        </w:numPr>
        <w:spacing w:after="0" w:line="240" w:lineRule="auto"/>
        <w:jc w:val="both"/>
        <w:rPr>
          <w:rFonts w:cstheme="minorHAnsi"/>
        </w:rPr>
      </w:pPr>
      <w:r w:rsidRPr="00CA50F6">
        <w:rPr>
          <w:rFonts w:cstheme="minorHAnsi"/>
        </w:rPr>
        <w:t xml:space="preserve">urinalysis and the microscopic sediment examination; </w:t>
      </w:r>
    </w:p>
    <w:p w14:paraId="10C2F6C9" w14:textId="77777777" w:rsidR="00AA6832" w:rsidRPr="00CA50F6" w:rsidRDefault="00AA6832" w:rsidP="00363D34">
      <w:pPr>
        <w:pStyle w:val="ListParagraph"/>
        <w:numPr>
          <w:ilvl w:val="0"/>
          <w:numId w:val="15"/>
        </w:numPr>
        <w:spacing w:after="0" w:line="240" w:lineRule="auto"/>
        <w:jc w:val="both"/>
        <w:rPr>
          <w:rFonts w:cstheme="minorHAnsi"/>
        </w:rPr>
      </w:pPr>
      <w:r w:rsidRPr="00CA50F6">
        <w:rPr>
          <w:rFonts w:cstheme="minorHAnsi"/>
        </w:rPr>
        <w:t xml:space="preserve">urethral smear microscopic examination; </w:t>
      </w:r>
    </w:p>
    <w:p w14:paraId="7A3A4AE5" w14:textId="77777777" w:rsidR="00AA6832" w:rsidRPr="00CA50F6" w:rsidRDefault="00AA6832" w:rsidP="00363D34">
      <w:pPr>
        <w:pStyle w:val="ListParagraph"/>
        <w:numPr>
          <w:ilvl w:val="0"/>
          <w:numId w:val="15"/>
        </w:numPr>
        <w:spacing w:after="0" w:line="240" w:lineRule="auto"/>
        <w:jc w:val="both"/>
        <w:rPr>
          <w:rFonts w:cstheme="minorHAnsi"/>
        </w:rPr>
      </w:pPr>
      <w:r w:rsidRPr="00CA50F6">
        <w:rPr>
          <w:rFonts w:cstheme="minorHAnsi"/>
        </w:rPr>
        <w:t xml:space="preserve">vaginal swab microscopic examination; </w:t>
      </w:r>
    </w:p>
    <w:p w14:paraId="3987468B" w14:textId="77777777" w:rsidR="00AA6832" w:rsidRPr="00CA50F6" w:rsidRDefault="00AA6832" w:rsidP="00363D34">
      <w:pPr>
        <w:pStyle w:val="ListParagraph"/>
        <w:numPr>
          <w:ilvl w:val="0"/>
          <w:numId w:val="15"/>
        </w:numPr>
        <w:spacing w:after="0" w:line="240" w:lineRule="auto"/>
        <w:jc w:val="both"/>
        <w:rPr>
          <w:rFonts w:cstheme="minorHAnsi"/>
        </w:rPr>
      </w:pPr>
      <w:r w:rsidRPr="00CA50F6">
        <w:rPr>
          <w:rFonts w:cstheme="minorHAnsi"/>
        </w:rPr>
        <w:t xml:space="preserve">sputum microscopic examination; </w:t>
      </w:r>
    </w:p>
    <w:p w14:paraId="384A9538" w14:textId="77777777" w:rsidR="00AA6832" w:rsidRPr="00CA50F6" w:rsidRDefault="00AA6832" w:rsidP="00363D34">
      <w:pPr>
        <w:pStyle w:val="ListParagraph"/>
        <w:numPr>
          <w:ilvl w:val="0"/>
          <w:numId w:val="15"/>
        </w:numPr>
        <w:spacing w:after="0" w:line="240" w:lineRule="auto"/>
        <w:jc w:val="both"/>
        <w:rPr>
          <w:rFonts w:cstheme="minorHAnsi"/>
        </w:rPr>
      </w:pPr>
      <w:r w:rsidRPr="00CA50F6">
        <w:rPr>
          <w:rFonts w:cstheme="minorHAnsi"/>
        </w:rPr>
        <w:t xml:space="preserve">blood glucose; </w:t>
      </w:r>
    </w:p>
    <w:p w14:paraId="05B7C973" w14:textId="77777777" w:rsidR="00AA6832" w:rsidRPr="00CA50F6" w:rsidRDefault="00AA6832" w:rsidP="00363D34">
      <w:pPr>
        <w:pStyle w:val="ListParagraph"/>
        <w:numPr>
          <w:ilvl w:val="0"/>
          <w:numId w:val="15"/>
        </w:numPr>
        <w:spacing w:after="0" w:line="240" w:lineRule="auto"/>
        <w:jc w:val="both"/>
        <w:rPr>
          <w:rFonts w:cstheme="minorHAnsi"/>
        </w:rPr>
      </w:pPr>
      <w:r w:rsidRPr="00CA50F6">
        <w:rPr>
          <w:rFonts w:cstheme="minorHAnsi"/>
        </w:rPr>
        <w:t xml:space="preserve">urinary glucose; </w:t>
      </w:r>
    </w:p>
    <w:p w14:paraId="430118AA" w14:textId="1CE14F09" w:rsidR="00AA6832" w:rsidRDefault="00AA6832" w:rsidP="00363D34">
      <w:pPr>
        <w:pStyle w:val="ListParagraph"/>
        <w:numPr>
          <w:ilvl w:val="0"/>
          <w:numId w:val="15"/>
        </w:numPr>
        <w:spacing w:after="0" w:line="240" w:lineRule="auto"/>
        <w:jc w:val="both"/>
        <w:rPr>
          <w:rFonts w:cstheme="minorHAnsi"/>
        </w:rPr>
      </w:pPr>
      <w:r w:rsidRPr="00CA50F6">
        <w:rPr>
          <w:rFonts w:cstheme="minorHAnsi"/>
        </w:rPr>
        <w:t>blood cholesterol</w:t>
      </w:r>
    </w:p>
    <w:p w14:paraId="0AA1D747" w14:textId="77777777" w:rsidR="006E2D13" w:rsidRPr="00CA50F6" w:rsidRDefault="006E2D13" w:rsidP="006E2D13">
      <w:pPr>
        <w:pStyle w:val="ListParagraph"/>
        <w:spacing w:after="0" w:line="240" w:lineRule="auto"/>
        <w:jc w:val="both"/>
        <w:rPr>
          <w:rFonts w:cstheme="minorHAnsi"/>
        </w:rPr>
      </w:pPr>
    </w:p>
    <w:p w14:paraId="17069053" w14:textId="139EB4FA" w:rsidR="00B70BAA" w:rsidRPr="00BF60AC" w:rsidRDefault="00B70BAA" w:rsidP="006E2D13">
      <w:pPr>
        <w:pStyle w:val="ListParagraph"/>
        <w:numPr>
          <w:ilvl w:val="0"/>
          <w:numId w:val="36"/>
        </w:numPr>
        <w:spacing w:before="240" w:after="120" w:line="240" w:lineRule="auto"/>
        <w:jc w:val="both"/>
        <w:rPr>
          <w:rFonts w:cstheme="minorHAnsi"/>
          <w:b/>
        </w:rPr>
      </w:pPr>
      <w:r w:rsidRPr="00BF60AC">
        <w:rPr>
          <w:rFonts w:cstheme="minorHAnsi"/>
          <w:b/>
        </w:rPr>
        <w:t xml:space="preserve">Inpatient care </w:t>
      </w:r>
    </w:p>
    <w:p w14:paraId="13A558AA" w14:textId="005978FC" w:rsidR="00155238" w:rsidRDefault="00155238" w:rsidP="00363D34">
      <w:pPr>
        <w:spacing w:after="0" w:line="240" w:lineRule="auto"/>
        <w:jc w:val="both"/>
        <w:rPr>
          <w:rFonts w:cstheme="minorHAnsi"/>
        </w:rPr>
      </w:pPr>
      <w:r w:rsidRPr="00E6167F">
        <w:rPr>
          <w:rFonts w:cstheme="minorHAnsi"/>
        </w:rPr>
        <w:t xml:space="preserve">Inpatient care is free of charge for all citizens admitted to the hospitals for emergency </w:t>
      </w:r>
      <w:r w:rsidR="00F24834" w:rsidRPr="00E6167F">
        <w:rPr>
          <w:rFonts w:cstheme="minorHAnsi"/>
        </w:rPr>
        <w:t>medical care</w:t>
      </w:r>
      <w:r w:rsidRPr="00E6167F">
        <w:rPr>
          <w:rFonts w:cstheme="minorHAnsi"/>
        </w:rPr>
        <w:t xml:space="preserve"> until elimination of the life-threatening conditions and upon stabilization of hemodynamic and respiratory functions. Subsequently, the patients are treated on the terms of planned inpatient care.</w:t>
      </w:r>
      <w:r w:rsidR="00F24834" w:rsidRPr="00E6167F">
        <w:rPr>
          <w:rFonts w:cstheme="minorHAnsi"/>
        </w:rPr>
        <w:t xml:space="preserve"> </w:t>
      </w:r>
      <w:r w:rsidR="00EF37BB">
        <w:rPr>
          <w:rFonts w:cstheme="minorHAnsi"/>
        </w:rPr>
        <w:t>Payment for inpatient services depends on the patient’s status</w:t>
      </w:r>
      <w:r w:rsidR="00E34449">
        <w:rPr>
          <w:rFonts w:cstheme="minorHAnsi"/>
        </w:rPr>
        <w:t xml:space="preserve">. </w:t>
      </w:r>
      <w:r w:rsidR="00F24834" w:rsidRPr="00E6167F">
        <w:rPr>
          <w:rFonts w:cstheme="minorHAnsi"/>
        </w:rPr>
        <w:t xml:space="preserve">Services provided by hospitals under </w:t>
      </w:r>
      <w:r w:rsidR="005D6926">
        <w:rPr>
          <w:rFonts w:cstheme="minorHAnsi"/>
        </w:rPr>
        <w:t xml:space="preserve">the </w:t>
      </w:r>
      <w:r w:rsidR="00F24834" w:rsidRPr="00E6167F">
        <w:rPr>
          <w:rFonts w:cstheme="minorHAnsi"/>
        </w:rPr>
        <w:t>SGBP are not specified.</w:t>
      </w:r>
    </w:p>
    <w:p w14:paraId="4D8E2576" w14:textId="553AA642" w:rsidR="00B70BAA" w:rsidRPr="00BF60AC" w:rsidRDefault="00B70BAA" w:rsidP="006E2D13">
      <w:pPr>
        <w:pStyle w:val="ListParagraph"/>
        <w:numPr>
          <w:ilvl w:val="0"/>
          <w:numId w:val="36"/>
        </w:numPr>
        <w:spacing w:before="240" w:after="120" w:line="240" w:lineRule="auto"/>
        <w:jc w:val="both"/>
        <w:rPr>
          <w:rFonts w:cstheme="minorHAnsi"/>
          <w:b/>
        </w:rPr>
      </w:pPr>
      <w:r w:rsidRPr="00BF60AC">
        <w:rPr>
          <w:rFonts w:cstheme="minorHAnsi"/>
          <w:b/>
        </w:rPr>
        <w:t>Dental care</w:t>
      </w:r>
    </w:p>
    <w:p w14:paraId="2BEBB375" w14:textId="77777777" w:rsidR="00217B16" w:rsidRDefault="00217B16" w:rsidP="00217B16">
      <w:pPr>
        <w:pStyle w:val="ListParagraph"/>
        <w:spacing w:after="0" w:line="240" w:lineRule="auto"/>
        <w:contextualSpacing w:val="0"/>
        <w:rPr>
          <w:i/>
          <w:iCs/>
        </w:rPr>
      </w:pPr>
    </w:p>
    <w:p w14:paraId="697B511C" w14:textId="4F7DE5F4" w:rsidR="003B371E" w:rsidRPr="00217B16" w:rsidRDefault="003B371E" w:rsidP="00217B16">
      <w:pPr>
        <w:spacing w:after="0" w:line="240" w:lineRule="auto"/>
        <w:jc w:val="both"/>
        <w:rPr>
          <w:rFonts w:cstheme="minorHAnsi"/>
        </w:rPr>
      </w:pPr>
      <w:r w:rsidRPr="00217B16">
        <w:rPr>
          <w:rFonts w:cstheme="minorHAnsi"/>
        </w:rPr>
        <w:t xml:space="preserve">Dental examinations and cleaning are provided for free to the children up to 10 years old, pensioners aged 70 and older, and women registered as pregnant at the place of their actual residence. All citizens are entitled to free dental examinations and emergency </w:t>
      </w:r>
      <w:r w:rsidR="001A4FC0" w:rsidRPr="00217B16">
        <w:rPr>
          <w:rFonts w:cstheme="minorHAnsi"/>
        </w:rPr>
        <w:t xml:space="preserve">dental </w:t>
      </w:r>
      <w:r w:rsidRPr="00217B16">
        <w:rPr>
          <w:rFonts w:cstheme="minorHAnsi"/>
        </w:rPr>
        <w:t>care, including required medications.</w:t>
      </w:r>
    </w:p>
    <w:p w14:paraId="655ED3DA" w14:textId="77777777" w:rsidR="00B70BAA" w:rsidRPr="00BC4A66" w:rsidRDefault="00B84FC2" w:rsidP="006E2D13">
      <w:pPr>
        <w:pStyle w:val="ListParagraph"/>
        <w:numPr>
          <w:ilvl w:val="0"/>
          <w:numId w:val="36"/>
        </w:numPr>
        <w:spacing w:before="240" w:after="120" w:line="240" w:lineRule="auto"/>
        <w:jc w:val="both"/>
        <w:rPr>
          <w:rFonts w:cstheme="minorHAnsi"/>
          <w:b/>
        </w:rPr>
      </w:pPr>
      <w:r w:rsidRPr="00BC4A66">
        <w:rPr>
          <w:rFonts w:cstheme="minorHAnsi"/>
          <w:b/>
        </w:rPr>
        <w:t xml:space="preserve">Outpatient drug benefits </w:t>
      </w:r>
    </w:p>
    <w:p w14:paraId="2BEDC72F" w14:textId="51C43C5B" w:rsidR="004A60FE" w:rsidRPr="005D6926" w:rsidRDefault="00B70BAA" w:rsidP="00363D34">
      <w:pPr>
        <w:spacing w:after="0" w:line="240" w:lineRule="auto"/>
        <w:jc w:val="both"/>
      </w:pPr>
      <w:r>
        <w:rPr>
          <w:rFonts w:cstheme="minorHAnsi"/>
        </w:rPr>
        <w:t xml:space="preserve">The outpatient drug benefits </w:t>
      </w:r>
      <w:r w:rsidR="00E418CC">
        <w:rPr>
          <w:rFonts w:cstheme="minorHAnsi"/>
        </w:rPr>
        <w:t xml:space="preserve">are provided in two different </w:t>
      </w:r>
      <w:r w:rsidR="004A60FE" w:rsidRPr="00E6167F">
        <w:rPr>
          <w:rFonts w:cstheme="minorHAnsi"/>
        </w:rPr>
        <w:t>programs</w:t>
      </w:r>
      <w:r w:rsidR="009C218B">
        <w:rPr>
          <w:rFonts w:cstheme="minorHAnsi"/>
        </w:rPr>
        <w:t>: (i)</w:t>
      </w:r>
      <w:r w:rsidR="004A60FE" w:rsidRPr="00E6167F">
        <w:rPr>
          <w:rFonts w:cstheme="minorHAnsi"/>
        </w:rPr>
        <w:t xml:space="preserve"> drug supply to the insured citizens under the Additional </w:t>
      </w:r>
      <w:r w:rsidR="00701595">
        <w:rPr>
          <w:rFonts w:cstheme="minorHAnsi"/>
        </w:rPr>
        <w:t>Drugs Package (ADP)</w:t>
      </w:r>
      <w:r w:rsidR="009C218B">
        <w:rPr>
          <w:rFonts w:cstheme="minorHAnsi"/>
        </w:rPr>
        <w:t>;</w:t>
      </w:r>
      <w:r w:rsidR="004A60FE" w:rsidRPr="00E6167F">
        <w:rPr>
          <w:rFonts w:cstheme="minorHAnsi"/>
        </w:rPr>
        <w:t xml:space="preserve"> and </w:t>
      </w:r>
      <w:r w:rsidR="009C218B">
        <w:rPr>
          <w:rFonts w:cstheme="minorHAnsi"/>
        </w:rPr>
        <w:t xml:space="preserve">(ii) </w:t>
      </w:r>
      <w:r w:rsidR="004A60FE" w:rsidRPr="00E6167F">
        <w:rPr>
          <w:rFonts w:cstheme="minorHAnsi"/>
        </w:rPr>
        <w:t xml:space="preserve">drug supply to certain categories of patients (patients with bronchial asthma, epilepsy, paranoid schizophrenia, affective disorders, and cancer patients) under the Program </w:t>
      </w:r>
      <w:r w:rsidR="004A60FE" w:rsidRPr="005D6926">
        <w:t xml:space="preserve">of the state guarantees. Currently, the two program documents are combined into one Regulations approved by </w:t>
      </w:r>
      <w:r w:rsidR="006853C6">
        <w:t xml:space="preserve">a </w:t>
      </w:r>
      <w:r w:rsidR="004A60FE" w:rsidRPr="005D6926">
        <w:t>Decree of the Government of the Kyrgyz Republic as of January 12, 2012</w:t>
      </w:r>
      <w:r w:rsidR="00D74FA8">
        <w:t>.</w:t>
      </w:r>
    </w:p>
    <w:p w14:paraId="4C31C20A" w14:textId="33237650" w:rsidR="004A60FE" w:rsidRDefault="009B19CF" w:rsidP="00932AD2">
      <w:pPr>
        <w:spacing w:before="240" w:after="0" w:line="240" w:lineRule="auto"/>
        <w:jc w:val="both"/>
        <w:rPr>
          <w:rFonts w:cstheme="minorHAnsi"/>
        </w:rPr>
      </w:pPr>
      <w:r w:rsidRPr="00932AD2">
        <w:rPr>
          <w:rFonts w:cstheme="minorHAnsi"/>
        </w:rPr>
        <w:t>The list of dr</w:t>
      </w:r>
      <w:r w:rsidR="00B70BAA" w:rsidRPr="00932AD2">
        <w:rPr>
          <w:rFonts w:cstheme="minorHAnsi"/>
        </w:rPr>
        <w:t>u</w:t>
      </w:r>
      <w:r w:rsidRPr="00932AD2">
        <w:rPr>
          <w:rFonts w:cstheme="minorHAnsi"/>
        </w:rPr>
        <w:t xml:space="preserve">gs that are allowed to be prescribed and sold within the </w:t>
      </w:r>
      <w:r w:rsidR="003A3D63" w:rsidRPr="00932AD2">
        <w:rPr>
          <w:rFonts w:cstheme="minorHAnsi"/>
        </w:rPr>
        <w:t xml:space="preserve">two </w:t>
      </w:r>
      <w:r w:rsidRPr="00932AD2">
        <w:rPr>
          <w:rFonts w:cstheme="minorHAnsi"/>
        </w:rPr>
        <w:t xml:space="preserve">programs is included in the special "Directory of drugs reimbursed under the Additional </w:t>
      </w:r>
      <w:r w:rsidR="00A842D4" w:rsidRPr="00932AD2">
        <w:rPr>
          <w:rFonts w:cstheme="minorHAnsi"/>
        </w:rPr>
        <w:t xml:space="preserve">Mandatory Health Insurance </w:t>
      </w:r>
      <w:r w:rsidRPr="00932AD2">
        <w:rPr>
          <w:rFonts w:cstheme="minorHAnsi"/>
        </w:rPr>
        <w:t>Program and the Program of the state guarantees," which is available in every doctor’s office and pharmacy</w:t>
      </w:r>
      <w:r w:rsidR="00CD7D70" w:rsidRPr="00932AD2">
        <w:rPr>
          <w:rFonts w:cstheme="minorHAnsi"/>
        </w:rPr>
        <w:t xml:space="preserve">. </w:t>
      </w:r>
      <w:r w:rsidRPr="00932AD2">
        <w:rPr>
          <w:rFonts w:cstheme="minorHAnsi"/>
        </w:rPr>
        <w:t xml:space="preserve">The Directory of drugs contains more than 200 names of medicines and the reimbursement amount in </w:t>
      </w:r>
      <w:r w:rsidR="00956AD8" w:rsidRPr="00932AD2">
        <w:rPr>
          <w:rFonts w:cstheme="minorHAnsi"/>
        </w:rPr>
        <w:t xml:space="preserve">Kyrgyz </w:t>
      </w:r>
      <w:proofErr w:type="spellStart"/>
      <w:r w:rsidRPr="00932AD2">
        <w:rPr>
          <w:rFonts w:cstheme="minorHAnsi"/>
        </w:rPr>
        <w:t>soms</w:t>
      </w:r>
      <w:proofErr w:type="spellEnd"/>
      <w:r w:rsidRPr="00932AD2">
        <w:rPr>
          <w:rFonts w:cstheme="minorHAnsi"/>
        </w:rPr>
        <w:t xml:space="preserve"> per </w:t>
      </w:r>
      <w:r w:rsidR="00956AD8" w:rsidRPr="00932AD2">
        <w:rPr>
          <w:rFonts w:cstheme="minorHAnsi"/>
        </w:rPr>
        <w:t xml:space="preserve">one </w:t>
      </w:r>
      <w:r w:rsidRPr="00932AD2">
        <w:rPr>
          <w:rFonts w:cstheme="minorHAnsi"/>
        </w:rPr>
        <w:t>unit of dosage forms (a pill, a coated pill, an ampoule for injection, a</w:t>
      </w:r>
      <w:r w:rsidR="00932AD2" w:rsidRPr="00932AD2">
        <w:rPr>
          <w:rFonts w:cstheme="minorHAnsi"/>
        </w:rPr>
        <w:t>n extended-release pill</w:t>
      </w:r>
      <w:r w:rsidRPr="00932AD2">
        <w:rPr>
          <w:rFonts w:cstheme="minorHAnsi"/>
        </w:rPr>
        <w:t xml:space="preserve">, and a dose of aerosol, etc.). </w:t>
      </w:r>
    </w:p>
    <w:p w14:paraId="727E9F52" w14:textId="7EB2F8D5" w:rsidR="005F7768" w:rsidRDefault="005F7768" w:rsidP="00932AD2">
      <w:pPr>
        <w:spacing w:before="240" w:after="0" w:line="240" w:lineRule="auto"/>
        <w:jc w:val="both"/>
        <w:rPr>
          <w:rFonts w:cstheme="minorHAnsi"/>
        </w:rPr>
      </w:pPr>
    </w:p>
    <w:p w14:paraId="330100E3" w14:textId="77777777" w:rsidR="005F7768" w:rsidRPr="00932AD2" w:rsidRDefault="005F7768" w:rsidP="00932AD2">
      <w:pPr>
        <w:spacing w:before="240" w:after="0" w:line="240" w:lineRule="auto"/>
        <w:jc w:val="both"/>
        <w:rPr>
          <w:rFonts w:cstheme="minorHAnsi"/>
        </w:rPr>
      </w:pPr>
    </w:p>
    <w:p w14:paraId="5842AEFB" w14:textId="6BBFD604" w:rsidR="00C306B9" w:rsidRPr="00D35B6C" w:rsidRDefault="00100CF7" w:rsidP="00132B20">
      <w:pPr>
        <w:spacing w:before="240" w:after="120" w:line="240" w:lineRule="auto"/>
        <w:jc w:val="both"/>
        <w:rPr>
          <w:rFonts w:cstheme="minorHAnsi"/>
          <w:b/>
        </w:rPr>
      </w:pPr>
      <w:r w:rsidRPr="00D35B6C">
        <w:rPr>
          <w:rFonts w:cstheme="minorHAnsi"/>
          <w:b/>
        </w:rPr>
        <w:lastRenderedPageBreak/>
        <w:t>Table</w:t>
      </w:r>
      <w:r w:rsidR="0007417B" w:rsidRPr="00D35B6C">
        <w:rPr>
          <w:rFonts w:cstheme="minorHAnsi"/>
          <w:b/>
        </w:rPr>
        <w:t xml:space="preserve"> </w:t>
      </w:r>
      <w:r w:rsidR="00801401">
        <w:rPr>
          <w:rFonts w:cstheme="minorHAnsi"/>
          <w:b/>
        </w:rPr>
        <w:t>2</w:t>
      </w:r>
      <w:r w:rsidR="0007417B" w:rsidRPr="00D35B6C">
        <w:rPr>
          <w:rFonts w:cstheme="minorHAnsi"/>
          <w:b/>
        </w:rPr>
        <w:t>. B</w:t>
      </w:r>
      <w:r w:rsidRPr="00D35B6C">
        <w:rPr>
          <w:rFonts w:cstheme="minorHAnsi"/>
          <w:b/>
        </w:rPr>
        <w:t xml:space="preserve">eneficiary groups for </w:t>
      </w:r>
      <w:r w:rsidR="005C680D" w:rsidRPr="00D35B6C">
        <w:rPr>
          <w:rFonts w:cstheme="minorHAnsi"/>
          <w:b/>
        </w:rPr>
        <w:t xml:space="preserve">outpatient drugs under the </w:t>
      </w:r>
      <w:r w:rsidR="0007417B" w:rsidRPr="00D35B6C">
        <w:rPr>
          <w:rFonts w:cstheme="minorHAnsi"/>
          <w:b/>
        </w:rPr>
        <w:t xml:space="preserve">ADP </w:t>
      </w:r>
      <w:r w:rsidR="005C680D" w:rsidRPr="00D35B6C">
        <w:rPr>
          <w:rFonts w:cstheme="minorHAnsi"/>
          <w:b/>
        </w:rPr>
        <w:t>and the Program of state guarantees</w:t>
      </w:r>
    </w:p>
    <w:tbl>
      <w:tblPr>
        <w:tblW w:w="9570" w:type="dxa"/>
        <w:tblInd w:w="15" w:type="dxa"/>
        <w:tblBorders>
          <w:top w:val="single" w:sz="4" w:space="0" w:color="auto"/>
          <w:bottom w:val="single" w:sz="4" w:space="0" w:color="auto"/>
        </w:tblBorders>
        <w:tblCellMar>
          <w:top w:w="150" w:type="dxa"/>
          <w:left w:w="150" w:type="dxa"/>
          <w:bottom w:w="150" w:type="dxa"/>
          <w:right w:w="150" w:type="dxa"/>
        </w:tblCellMar>
        <w:tblLook w:val="04A0" w:firstRow="1" w:lastRow="0" w:firstColumn="1" w:lastColumn="0" w:noHBand="0" w:noVBand="1"/>
      </w:tblPr>
      <w:tblGrid>
        <w:gridCol w:w="4785"/>
        <w:gridCol w:w="4785"/>
      </w:tblGrid>
      <w:tr w:rsidR="00651D6F" w:rsidRPr="00E6167F" w14:paraId="21F96FC4" w14:textId="77777777" w:rsidTr="005806E5">
        <w:tc>
          <w:tcPr>
            <w:tcW w:w="4785" w:type="dxa"/>
            <w:tcBorders>
              <w:top w:val="single" w:sz="4" w:space="0" w:color="auto"/>
              <w:bottom w:val="single" w:sz="4" w:space="0" w:color="auto"/>
            </w:tcBorders>
            <w:shd w:val="clear" w:color="auto" w:fill="F2F2F2" w:themeFill="background1" w:themeFillShade="F2"/>
            <w:hideMark/>
          </w:tcPr>
          <w:p w14:paraId="71BAA69E" w14:textId="76C3A6F9" w:rsidR="00651D6F" w:rsidRPr="00E6167F" w:rsidRDefault="00F80F01" w:rsidP="00363D34">
            <w:pPr>
              <w:spacing w:after="0" w:line="240" w:lineRule="auto"/>
              <w:jc w:val="both"/>
              <w:rPr>
                <w:rFonts w:eastAsia="Times New Roman" w:cstheme="minorHAnsi"/>
                <w:lang w:eastAsia="ru-RU"/>
              </w:rPr>
            </w:pPr>
            <w:r>
              <w:rPr>
                <w:rFonts w:cstheme="minorHAnsi"/>
                <w:b/>
              </w:rPr>
              <w:t>ADP</w:t>
            </w:r>
            <w:r w:rsidR="00651D6F" w:rsidRPr="00E6167F">
              <w:rPr>
                <w:rFonts w:cstheme="minorHAnsi"/>
                <w:b/>
              </w:rPr>
              <w:t xml:space="preserve"> program</w:t>
            </w:r>
          </w:p>
        </w:tc>
        <w:tc>
          <w:tcPr>
            <w:tcW w:w="4785" w:type="dxa"/>
            <w:tcBorders>
              <w:top w:val="single" w:sz="4" w:space="0" w:color="auto"/>
              <w:bottom w:val="single" w:sz="4" w:space="0" w:color="auto"/>
            </w:tcBorders>
            <w:shd w:val="clear" w:color="auto" w:fill="F2F2F2" w:themeFill="background1" w:themeFillShade="F2"/>
            <w:hideMark/>
          </w:tcPr>
          <w:p w14:paraId="5B5333DC" w14:textId="77777777" w:rsidR="00651D6F" w:rsidRPr="00E6167F" w:rsidRDefault="00651D6F" w:rsidP="00363D34">
            <w:pPr>
              <w:spacing w:after="0" w:line="240" w:lineRule="auto"/>
              <w:jc w:val="both"/>
              <w:rPr>
                <w:rFonts w:eastAsia="Times New Roman" w:cstheme="minorHAnsi"/>
                <w:lang w:eastAsia="ru-RU"/>
              </w:rPr>
            </w:pPr>
            <w:r w:rsidRPr="00E6167F">
              <w:rPr>
                <w:rFonts w:cstheme="minorHAnsi"/>
                <w:b/>
              </w:rPr>
              <w:t>The program of state guarantees</w:t>
            </w:r>
          </w:p>
        </w:tc>
      </w:tr>
      <w:tr w:rsidR="00651D6F" w:rsidRPr="00E6167F" w14:paraId="7AD1DE61" w14:textId="77777777" w:rsidTr="00BD167E">
        <w:tc>
          <w:tcPr>
            <w:tcW w:w="4785" w:type="dxa"/>
            <w:tcBorders>
              <w:top w:val="single" w:sz="4" w:space="0" w:color="auto"/>
            </w:tcBorders>
            <w:shd w:val="clear" w:color="auto" w:fill="auto"/>
            <w:hideMark/>
          </w:tcPr>
          <w:p w14:paraId="60113169" w14:textId="248C80AE" w:rsidR="00651D6F" w:rsidRPr="005C680D" w:rsidRDefault="00651D6F" w:rsidP="00363D34">
            <w:pPr>
              <w:pStyle w:val="ListParagraph"/>
              <w:numPr>
                <w:ilvl w:val="0"/>
                <w:numId w:val="16"/>
              </w:numPr>
              <w:spacing w:after="0" w:line="240" w:lineRule="auto"/>
              <w:jc w:val="both"/>
              <w:rPr>
                <w:rFonts w:cstheme="minorHAnsi"/>
              </w:rPr>
            </w:pPr>
            <w:r w:rsidRPr="005C680D">
              <w:rPr>
                <w:rFonts w:cstheme="minorHAnsi"/>
              </w:rPr>
              <w:t>Workers for whom the employer makes contributions to the Social Insurance Fund,</w:t>
            </w:r>
          </w:p>
          <w:p w14:paraId="0EA17DA9" w14:textId="5F3F232D" w:rsidR="00651D6F" w:rsidRPr="005C680D" w:rsidRDefault="00651D6F" w:rsidP="00363D34">
            <w:pPr>
              <w:pStyle w:val="ListParagraph"/>
              <w:numPr>
                <w:ilvl w:val="0"/>
                <w:numId w:val="16"/>
              </w:numPr>
              <w:spacing w:after="0" w:line="240" w:lineRule="auto"/>
              <w:jc w:val="both"/>
              <w:rPr>
                <w:rFonts w:cstheme="minorHAnsi"/>
              </w:rPr>
            </w:pPr>
            <w:r w:rsidRPr="005C680D">
              <w:rPr>
                <w:rFonts w:cstheme="minorHAnsi"/>
              </w:rPr>
              <w:t>Pensioners,</w:t>
            </w:r>
          </w:p>
          <w:p w14:paraId="645E812D" w14:textId="6FC0CC04" w:rsidR="00651D6F" w:rsidRPr="005C680D" w:rsidRDefault="00651D6F" w:rsidP="00363D34">
            <w:pPr>
              <w:pStyle w:val="ListParagraph"/>
              <w:numPr>
                <w:ilvl w:val="0"/>
                <w:numId w:val="16"/>
              </w:numPr>
              <w:spacing w:after="0" w:line="240" w:lineRule="auto"/>
              <w:jc w:val="both"/>
              <w:rPr>
                <w:rFonts w:cstheme="minorHAnsi"/>
              </w:rPr>
            </w:pPr>
            <w:r w:rsidRPr="005C680D">
              <w:rPr>
                <w:rFonts w:cstheme="minorHAnsi"/>
              </w:rPr>
              <w:t>Persons receiving social benefits,</w:t>
            </w:r>
          </w:p>
          <w:p w14:paraId="188E91D0" w14:textId="6945E439" w:rsidR="00651D6F" w:rsidRPr="005C680D" w:rsidRDefault="00651D6F" w:rsidP="00363D34">
            <w:pPr>
              <w:pStyle w:val="ListParagraph"/>
              <w:numPr>
                <w:ilvl w:val="0"/>
                <w:numId w:val="16"/>
              </w:numPr>
              <w:spacing w:after="0" w:line="240" w:lineRule="auto"/>
              <w:jc w:val="both"/>
              <w:rPr>
                <w:rFonts w:cstheme="minorHAnsi"/>
              </w:rPr>
            </w:pPr>
            <w:r w:rsidRPr="005C680D">
              <w:rPr>
                <w:rFonts w:cstheme="minorHAnsi"/>
              </w:rPr>
              <w:t>Children under 16,</w:t>
            </w:r>
          </w:p>
          <w:p w14:paraId="307C92B5" w14:textId="5C1719C6" w:rsidR="00651D6F" w:rsidRPr="005C680D" w:rsidRDefault="00651D6F" w:rsidP="00363D34">
            <w:pPr>
              <w:pStyle w:val="ListParagraph"/>
              <w:numPr>
                <w:ilvl w:val="0"/>
                <w:numId w:val="16"/>
              </w:numPr>
              <w:spacing w:after="0" w:line="240" w:lineRule="auto"/>
              <w:jc w:val="both"/>
              <w:rPr>
                <w:rFonts w:cstheme="minorHAnsi"/>
              </w:rPr>
            </w:pPr>
            <w:r w:rsidRPr="005C680D">
              <w:rPr>
                <w:rFonts w:cstheme="minorHAnsi"/>
              </w:rPr>
              <w:t>Farmers and their family members who pay insurance contributions to the Social Fund</w:t>
            </w:r>
          </w:p>
          <w:p w14:paraId="361501CC" w14:textId="36067E90" w:rsidR="00651D6F" w:rsidRPr="005C680D" w:rsidRDefault="00651D6F" w:rsidP="00363D34">
            <w:pPr>
              <w:pStyle w:val="ListParagraph"/>
              <w:numPr>
                <w:ilvl w:val="0"/>
                <w:numId w:val="16"/>
              </w:numPr>
              <w:spacing w:after="0" w:line="240" w:lineRule="auto"/>
              <w:jc w:val="both"/>
              <w:rPr>
                <w:rFonts w:eastAsia="Times New Roman" w:cstheme="minorHAnsi"/>
                <w:lang w:eastAsia="ru-RU"/>
              </w:rPr>
            </w:pPr>
            <w:r w:rsidRPr="005C680D">
              <w:rPr>
                <w:rFonts w:cstheme="minorHAnsi"/>
              </w:rPr>
              <w:t xml:space="preserve">Persons with </w:t>
            </w:r>
            <w:r w:rsidR="00664B4C">
              <w:rPr>
                <w:rFonts w:cstheme="minorHAnsi"/>
              </w:rPr>
              <w:t>Medical Health Insurance</w:t>
            </w:r>
            <w:r w:rsidRPr="005C680D">
              <w:rPr>
                <w:rFonts w:cstheme="minorHAnsi"/>
              </w:rPr>
              <w:t xml:space="preserve"> policy </w:t>
            </w:r>
          </w:p>
        </w:tc>
        <w:tc>
          <w:tcPr>
            <w:tcW w:w="4785" w:type="dxa"/>
            <w:tcBorders>
              <w:top w:val="single" w:sz="4" w:space="0" w:color="auto"/>
            </w:tcBorders>
            <w:shd w:val="clear" w:color="auto" w:fill="auto"/>
            <w:hideMark/>
          </w:tcPr>
          <w:p w14:paraId="5EF2B2FE" w14:textId="773866B4" w:rsidR="00651D6F" w:rsidRPr="005C680D" w:rsidRDefault="00651D6F" w:rsidP="00363D34">
            <w:pPr>
              <w:pStyle w:val="ListParagraph"/>
              <w:numPr>
                <w:ilvl w:val="0"/>
                <w:numId w:val="17"/>
              </w:numPr>
              <w:spacing w:after="0" w:line="240" w:lineRule="auto"/>
              <w:jc w:val="both"/>
              <w:rPr>
                <w:rFonts w:cstheme="minorHAnsi"/>
              </w:rPr>
            </w:pPr>
            <w:r w:rsidRPr="005C680D">
              <w:rPr>
                <w:rFonts w:cstheme="minorHAnsi"/>
              </w:rPr>
              <w:t xml:space="preserve">Patients with </w:t>
            </w:r>
            <w:r w:rsidR="00056AB1">
              <w:rPr>
                <w:rFonts w:cstheme="minorHAnsi"/>
              </w:rPr>
              <w:t>e</w:t>
            </w:r>
            <w:r w:rsidRPr="005C680D">
              <w:rPr>
                <w:rFonts w:cstheme="minorHAnsi"/>
              </w:rPr>
              <w:t>pilepsy,</w:t>
            </w:r>
          </w:p>
          <w:p w14:paraId="1FC9A9D8" w14:textId="4EE61311" w:rsidR="00651D6F" w:rsidRPr="005C680D" w:rsidRDefault="00651D6F" w:rsidP="00363D34">
            <w:pPr>
              <w:pStyle w:val="ListParagraph"/>
              <w:numPr>
                <w:ilvl w:val="0"/>
                <w:numId w:val="17"/>
              </w:numPr>
              <w:spacing w:after="0" w:line="240" w:lineRule="auto"/>
              <w:jc w:val="both"/>
              <w:rPr>
                <w:rFonts w:cstheme="minorHAnsi"/>
              </w:rPr>
            </w:pPr>
            <w:r w:rsidRPr="005C680D">
              <w:rPr>
                <w:rFonts w:cstheme="minorHAnsi"/>
              </w:rPr>
              <w:t>Patients with bronchial asthma,</w:t>
            </w:r>
          </w:p>
          <w:p w14:paraId="168588B5" w14:textId="7F8D26D9" w:rsidR="00651D6F" w:rsidRPr="005C680D" w:rsidRDefault="00651D6F" w:rsidP="00363D34">
            <w:pPr>
              <w:pStyle w:val="ListParagraph"/>
              <w:numPr>
                <w:ilvl w:val="0"/>
                <w:numId w:val="17"/>
              </w:numPr>
              <w:spacing w:after="0" w:line="240" w:lineRule="auto"/>
              <w:jc w:val="both"/>
              <w:rPr>
                <w:rFonts w:cstheme="minorHAnsi"/>
              </w:rPr>
            </w:pPr>
            <w:r w:rsidRPr="005C680D">
              <w:rPr>
                <w:rFonts w:cstheme="minorHAnsi"/>
              </w:rPr>
              <w:t>Patients with paranoid schizophrenia,</w:t>
            </w:r>
          </w:p>
          <w:p w14:paraId="1BDA34F0" w14:textId="42E19B23" w:rsidR="00651D6F" w:rsidRPr="005C680D" w:rsidRDefault="00651D6F" w:rsidP="00363D34">
            <w:pPr>
              <w:pStyle w:val="ListParagraph"/>
              <w:numPr>
                <w:ilvl w:val="0"/>
                <w:numId w:val="17"/>
              </w:numPr>
              <w:spacing w:after="0" w:line="240" w:lineRule="auto"/>
              <w:jc w:val="both"/>
              <w:rPr>
                <w:rFonts w:cstheme="minorHAnsi"/>
              </w:rPr>
            </w:pPr>
            <w:r w:rsidRPr="005C680D">
              <w:rPr>
                <w:rFonts w:cstheme="minorHAnsi"/>
              </w:rPr>
              <w:t>Patients with affective disorders,</w:t>
            </w:r>
          </w:p>
          <w:p w14:paraId="1D2DA2F9" w14:textId="543B257C" w:rsidR="00651D6F" w:rsidRPr="005C680D" w:rsidRDefault="00651D6F" w:rsidP="00363D34">
            <w:pPr>
              <w:pStyle w:val="ListParagraph"/>
              <w:numPr>
                <w:ilvl w:val="0"/>
                <w:numId w:val="17"/>
              </w:numPr>
              <w:spacing w:after="0" w:line="240" w:lineRule="auto"/>
              <w:jc w:val="both"/>
              <w:rPr>
                <w:rFonts w:eastAsia="Times New Roman" w:cstheme="minorHAnsi"/>
                <w:lang w:eastAsia="ru-RU"/>
              </w:rPr>
            </w:pPr>
            <w:r w:rsidRPr="005C680D">
              <w:rPr>
                <w:rFonts w:cstheme="minorHAnsi"/>
              </w:rPr>
              <w:t>Cancer patients assigned to</w:t>
            </w:r>
            <w:r w:rsidR="00056AB1">
              <w:rPr>
                <w:rFonts w:cstheme="minorHAnsi"/>
              </w:rPr>
              <w:t xml:space="preserve"> family group practice </w:t>
            </w:r>
            <w:r w:rsidRPr="005C680D">
              <w:rPr>
                <w:rFonts w:cstheme="minorHAnsi"/>
              </w:rPr>
              <w:t>and subject to regular medical check-up</w:t>
            </w:r>
          </w:p>
        </w:tc>
      </w:tr>
    </w:tbl>
    <w:p w14:paraId="678182B9" w14:textId="77777777" w:rsidR="009645D0" w:rsidRPr="00E6167F" w:rsidRDefault="009645D0" w:rsidP="00363D34">
      <w:pPr>
        <w:spacing w:after="0" w:line="240" w:lineRule="auto"/>
        <w:jc w:val="both"/>
        <w:rPr>
          <w:rFonts w:cstheme="minorHAnsi"/>
        </w:rPr>
      </w:pPr>
    </w:p>
    <w:p w14:paraId="2FAE9449" w14:textId="107E743B" w:rsidR="009645D0" w:rsidRPr="00E6167F" w:rsidRDefault="009645D0" w:rsidP="00363D34">
      <w:pPr>
        <w:spacing w:line="240" w:lineRule="auto"/>
        <w:jc w:val="both"/>
        <w:rPr>
          <w:rFonts w:cstheme="minorHAnsi"/>
        </w:rPr>
      </w:pPr>
      <w:r w:rsidRPr="00E6167F">
        <w:rPr>
          <w:rFonts w:cstheme="minorHAnsi"/>
        </w:rPr>
        <w:t xml:space="preserve">Under the </w:t>
      </w:r>
      <w:r w:rsidR="00F80F01">
        <w:rPr>
          <w:rFonts w:cstheme="minorHAnsi"/>
        </w:rPr>
        <w:t xml:space="preserve">outpatient </w:t>
      </w:r>
      <w:r w:rsidRPr="00E6167F">
        <w:rPr>
          <w:rFonts w:cstheme="minorHAnsi"/>
        </w:rPr>
        <w:t xml:space="preserve">drug benefit programs, </w:t>
      </w:r>
      <w:r w:rsidR="00871177">
        <w:rPr>
          <w:rFonts w:cstheme="minorHAnsi"/>
        </w:rPr>
        <w:t xml:space="preserve">the MHIF has an agreement with participating </w:t>
      </w:r>
      <w:r w:rsidRPr="00E6167F">
        <w:rPr>
          <w:rFonts w:cstheme="minorHAnsi"/>
        </w:rPr>
        <w:t xml:space="preserve">pharmacies </w:t>
      </w:r>
      <w:r w:rsidR="000555E4">
        <w:rPr>
          <w:rFonts w:cstheme="minorHAnsi"/>
        </w:rPr>
        <w:t xml:space="preserve">so </w:t>
      </w:r>
      <w:r w:rsidR="00D13B08">
        <w:rPr>
          <w:rFonts w:cstheme="minorHAnsi"/>
        </w:rPr>
        <w:t xml:space="preserve">that </w:t>
      </w:r>
      <w:r w:rsidRPr="00E6167F">
        <w:rPr>
          <w:rFonts w:cstheme="minorHAnsi"/>
        </w:rPr>
        <w:t>patient</w:t>
      </w:r>
      <w:r w:rsidR="00D13B08">
        <w:rPr>
          <w:rFonts w:cstheme="minorHAnsi"/>
        </w:rPr>
        <w:t>s</w:t>
      </w:r>
      <w:r w:rsidRPr="00E6167F">
        <w:rPr>
          <w:rFonts w:cstheme="minorHAnsi"/>
        </w:rPr>
        <w:t xml:space="preserve"> </w:t>
      </w:r>
      <w:r w:rsidR="00D13B08">
        <w:rPr>
          <w:rFonts w:cstheme="minorHAnsi"/>
        </w:rPr>
        <w:t xml:space="preserve">only </w:t>
      </w:r>
      <w:r w:rsidRPr="00E6167F">
        <w:rPr>
          <w:rFonts w:cstheme="minorHAnsi"/>
        </w:rPr>
        <w:t>pay part of the cost of the purchased drug</w:t>
      </w:r>
      <w:r w:rsidR="001B0C50">
        <w:rPr>
          <w:rFonts w:cstheme="minorHAnsi"/>
        </w:rPr>
        <w:t>s</w:t>
      </w:r>
      <w:r w:rsidR="00DA4323">
        <w:rPr>
          <w:rFonts w:cstheme="minorHAnsi"/>
        </w:rPr>
        <w:t xml:space="preserve"> (with prescriptions)</w:t>
      </w:r>
      <w:r w:rsidRPr="00E6167F">
        <w:rPr>
          <w:rFonts w:cstheme="minorHAnsi"/>
        </w:rPr>
        <w:t xml:space="preserve">, </w:t>
      </w:r>
      <w:r w:rsidR="00EC17ED">
        <w:rPr>
          <w:rFonts w:cstheme="minorHAnsi"/>
        </w:rPr>
        <w:t xml:space="preserve">and </w:t>
      </w:r>
      <w:r w:rsidRPr="00E6167F">
        <w:rPr>
          <w:rFonts w:cstheme="minorHAnsi"/>
        </w:rPr>
        <w:t xml:space="preserve">a part of the cost is </w:t>
      </w:r>
      <w:r w:rsidR="00EC17ED">
        <w:rPr>
          <w:rFonts w:cstheme="minorHAnsi"/>
        </w:rPr>
        <w:t>paid</w:t>
      </w:r>
      <w:r w:rsidRPr="00E6167F">
        <w:rPr>
          <w:rFonts w:cstheme="minorHAnsi"/>
        </w:rPr>
        <w:t xml:space="preserve"> </w:t>
      </w:r>
      <w:r w:rsidR="00C2465D">
        <w:rPr>
          <w:rFonts w:cstheme="minorHAnsi"/>
        </w:rPr>
        <w:t xml:space="preserve">directly </w:t>
      </w:r>
      <w:r w:rsidRPr="00E6167F">
        <w:rPr>
          <w:rFonts w:cstheme="minorHAnsi"/>
        </w:rPr>
        <w:t>to the pharmac</w:t>
      </w:r>
      <w:r w:rsidR="00DA4323">
        <w:rPr>
          <w:rFonts w:cstheme="minorHAnsi"/>
        </w:rPr>
        <w:t>ies</w:t>
      </w:r>
      <w:r w:rsidRPr="00E6167F">
        <w:rPr>
          <w:rFonts w:cstheme="minorHAnsi"/>
        </w:rPr>
        <w:t xml:space="preserve"> </w:t>
      </w:r>
      <w:r w:rsidR="000035F8">
        <w:rPr>
          <w:rFonts w:cstheme="minorHAnsi"/>
        </w:rPr>
        <w:t xml:space="preserve">by </w:t>
      </w:r>
      <w:r w:rsidRPr="00E6167F">
        <w:rPr>
          <w:rFonts w:cstheme="minorHAnsi"/>
        </w:rPr>
        <w:t xml:space="preserve">the MHIF. The </w:t>
      </w:r>
      <w:r w:rsidR="005D5151">
        <w:rPr>
          <w:rFonts w:cstheme="minorHAnsi"/>
        </w:rPr>
        <w:t>l</w:t>
      </w:r>
      <w:r w:rsidRPr="00E6167F">
        <w:rPr>
          <w:rFonts w:cstheme="minorHAnsi"/>
        </w:rPr>
        <w:t xml:space="preserve">ist of pharmacies operating under the </w:t>
      </w:r>
      <w:r w:rsidR="00DA1859">
        <w:rPr>
          <w:rFonts w:cstheme="minorHAnsi"/>
        </w:rPr>
        <w:t xml:space="preserve">two </w:t>
      </w:r>
      <w:r w:rsidRPr="00E6167F">
        <w:rPr>
          <w:rFonts w:cstheme="minorHAnsi"/>
        </w:rPr>
        <w:t>programs with the</w:t>
      </w:r>
      <w:r w:rsidR="00DA1859">
        <w:rPr>
          <w:rFonts w:cstheme="minorHAnsi"/>
        </w:rPr>
        <w:t>ir</w:t>
      </w:r>
      <w:r w:rsidRPr="00E6167F">
        <w:rPr>
          <w:rFonts w:cstheme="minorHAnsi"/>
        </w:rPr>
        <w:t xml:space="preserve"> addresses is posted on the information board in each </w:t>
      </w:r>
      <w:r w:rsidR="005D5151">
        <w:rPr>
          <w:rFonts w:cstheme="minorHAnsi"/>
        </w:rPr>
        <w:t>c</w:t>
      </w:r>
      <w:r w:rsidRPr="00E6167F">
        <w:rPr>
          <w:rFonts w:cstheme="minorHAnsi"/>
        </w:rPr>
        <w:t xml:space="preserve">enter of family medicine and on MHIF website. Under the </w:t>
      </w:r>
      <w:r w:rsidR="00DA1859">
        <w:rPr>
          <w:rFonts w:cstheme="minorHAnsi"/>
        </w:rPr>
        <w:t>ADP</w:t>
      </w:r>
      <w:r w:rsidRPr="00E6167F">
        <w:rPr>
          <w:rFonts w:cstheme="minorHAnsi"/>
        </w:rPr>
        <w:t xml:space="preserve">, </w:t>
      </w:r>
      <w:r w:rsidR="00DA1859">
        <w:rPr>
          <w:rFonts w:cstheme="minorHAnsi"/>
        </w:rPr>
        <w:t xml:space="preserve">the </w:t>
      </w:r>
      <w:r w:rsidRPr="00E6167F">
        <w:rPr>
          <w:rFonts w:cstheme="minorHAnsi"/>
        </w:rPr>
        <w:t xml:space="preserve">MHIF set a rate to reimburse participating pharmacies at 50% of the median wholesale price. Patients pay the difference between the retail price of the drugs and the amount MHIF reimburses the pharmacies. A normative of 70 Kyrgyz </w:t>
      </w:r>
      <w:proofErr w:type="spellStart"/>
      <w:r w:rsidRPr="00E6167F">
        <w:rPr>
          <w:rFonts w:cstheme="minorHAnsi"/>
        </w:rPr>
        <w:t>soms</w:t>
      </w:r>
      <w:proofErr w:type="spellEnd"/>
      <w:r w:rsidRPr="00E6167F">
        <w:rPr>
          <w:rFonts w:cstheme="minorHAnsi"/>
        </w:rPr>
        <w:t xml:space="preserve"> (US$ 1) per person is set by MHIF as the basis for </w:t>
      </w:r>
      <w:r w:rsidR="007E3869">
        <w:rPr>
          <w:rFonts w:cstheme="minorHAnsi"/>
        </w:rPr>
        <w:t xml:space="preserve">the </w:t>
      </w:r>
      <w:r w:rsidRPr="00E6167F">
        <w:rPr>
          <w:rFonts w:cstheme="minorHAnsi"/>
        </w:rPr>
        <w:t xml:space="preserve">annual budgeting of the ADP. </w:t>
      </w:r>
    </w:p>
    <w:p w14:paraId="6A74BCC2" w14:textId="6A235570" w:rsidR="00155238" w:rsidRDefault="003554C4" w:rsidP="00363D34">
      <w:pPr>
        <w:spacing w:after="0" w:line="240" w:lineRule="auto"/>
        <w:jc w:val="both"/>
        <w:rPr>
          <w:rFonts w:cstheme="minorHAnsi"/>
        </w:rPr>
      </w:pPr>
      <w:r w:rsidRPr="00E6167F">
        <w:rPr>
          <w:rFonts w:cstheme="minorHAnsi"/>
        </w:rPr>
        <w:t xml:space="preserve">Under the </w:t>
      </w:r>
      <w:r w:rsidR="00EC6E79">
        <w:rPr>
          <w:rFonts w:cstheme="minorHAnsi"/>
        </w:rPr>
        <w:t>P</w:t>
      </w:r>
      <w:r w:rsidRPr="00E6167F">
        <w:rPr>
          <w:rFonts w:cstheme="minorHAnsi"/>
        </w:rPr>
        <w:t>rogram of state guarantees, o</w:t>
      </w:r>
      <w:r w:rsidR="00DD6CF6" w:rsidRPr="00E6167F">
        <w:rPr>
          <w:rFonts w:cstheme="minorHAnsi"/>
        </w:rPr>
        <w:t xml:space="preserve">utpatient drug benefit includes </w:t>
      </w:r>
      <w:r w:rsidR="009B3684">
        <w:rPr>
          <w:rFonts w:cstheme="minorHAnsi"/>
        </w:rPr>
        <w:t xml:space="preserve">a </w:t>
      </w:r>
      <w:r w:rsidR="00DD6CF6" w:rsidRPr="00E6167F">
        <w:rPr>
          <w:rFonts w:cstheme="minorHAnsi"/>
        </w:rPr>
        <w:t xml:space="preserve">free of charge </w:t>
      </w:r>
      <w:r w:rsidR="000F73D1" w:rsidRPr="00E6167F">
        <w:rPr>
          <w:rFonts w:cstheme="minorHAnsi"/>
        </w:rPr>
        <w:t xml:space="preserve">drugs list and </w:t>
      </w:r>
      <w:r w:rsidR="009B3684">
        <w:rPr>
          <w:rFonts w:cstheme="minorHAnsi"/>
        </w:rPr>
        <w:t xml:space="preserve">a </w:t>
      </w:r>
      <w:r w:rsidR="000F73D1" w:rsidRPr="00E6167F">
        <w:rPr>
          <w:rFonts w:cstheme="minorHAnsi"/>
        </w:rPr>
        <w:t>subsidized drugs list. Patients with</w:t>
      </w:r>
      <w:r w:rsidR="00DD6CF6" w:rsidRPr="00E6167F">
        <w:rPr>
          <w:rFonts w:cstheme="minorHAnsi"/>
        </w:rPr>
        <w:t xml:space="preserve"> i</w:t>
      </w:r>
      <w:r w:rsidR="00155238" w:rsidRPr="00E6167F">
        <w:rPr>
          <w:rFonts w:cstheme="minorHAnsi"/>
        </w:rPr>
        <w:t>nsu</w:t>
      </w:r>
      <w:r w:rsidR="000F73D1" w:rsidRPr="00E6167F">
        <w:rPr>
          <w:rFonts w:cstheme="minorHAnsi"/>
        </w:rPr>
        <w:t>lin-dependent diabetes mellitus,</w:t>
      </w:r>
      <w:r w:rsidR="00DD6CF6" w:rsidRPr="00E6167F">
        <w:rPr>
          <w:rFonts w:cstheme="minorHAnsi"/>
        </w:rPr>
        <w:t xml:space="preserve"> </w:t>
      </w:r>
      <w:r w:rsidR="000F73D1" w:rsidRPr="00E6167F">
        <w:rPr>
          <w:rFonts w:cstheme="minorHAnsi"/>
        </w:rPr>
        <w:t>n</w:t>
      </w:r>
      <w:r w:rsidR="00155238" w:rsidRPr="00E6167F">
        <w:rPr>
          <w:rFonts w:cstheme="minorHAnsi"/>
        </w:rPr>
        <w:t>on-insu</w:t>
      </w:r>
      <w:r w:rsidR="000F73D1" w:rsidRPr="00E6167F">
        <w:rPr>
          <w:rFonts w:cstheme="minorHAnsi"/>
        </w:rPr>
        <w:t>lin-dependent diabetes mellitus, diabetes insipidus, h</w:t>
      </w:r>
      <w:r w:rsidR="00155238" w:rsidRPr="00E6167F">
        <w:rPr>
          <w:rFonts w:cstheme="minorHAnsi"/>
        </w:rPr>
        <w:t>emophilia</w:t>
      </w:r>
      <w:r w:rsidR="00DD6CF6" w:rsidRPr="00E6167F">
        <w:rPr>
          <w:rFonts w:cstheme="minorHAnsi"/>
        </w:rPr>
        <w:t xml:space="preserve"> and </w:t>
      </w:r>
      <w:r w:rsidR="000F73D1" w:rsidRPr="00E6167F">
        <w:rPr>
          <w:rFonts w:cstheme="minorHAnsi"/>
        </w:rPr>
        <w:t>t</w:t>
      </w:r>
      <w:r w:rsidR="00DD6CF6" w:rsidRPr="00E6167F">
        <w:rPr>
          <w:rFonts w:cstheme="minorHAnsi"/>
        </w:rPr>
        <w:t xml:space="preserve">uberculosis </w:t>
      </w:r>
      <w:r w:rsidR="000F73D1" w:rsidRPr="00E6167F">
        <w:rPr>
          <w:rFonts w:cstheme="minorHAnsi"/>
        </w:rPr>
        <w:t>are entitled to free prescriptions</w:t>
      </w:r>
      <w:r w:rsidR="00B56407">
        <w:rPr>
          <w:rFonts w:cstheme="minorHAnsi"/>
        </w:rPr>
        <w:t xml:space="preserve">. </w:t>
      </w:r>
      <w:r w:rsidR="000F73D1" w:rsidRPr="00E6167F">
        <w:rPr>
          <w:rFonts w:cstheme="minorHAnsi"/>
        </w:rPr>
        <w:t xml:space="preserve"> </w:t>
      </w:r>
      <w:r w:rsidR="00B56407" w:rsidRPr="00E6167F">
        <w:rPr>
          <w:rFonts w:cstheme="minorHAnsi"/>
        </w:rPr>
        <w:t>Patients with epilepsy, bronchial asthma, and cancer patients in the terminal stage are entitled to subsidized prescriptions</w:t>
      </w:r>
      <w:r w:rsidR="00B56407">
        <w:rPr>
          <w:rFonts w:cstheme="minorHAnsi"/>
        </w:rPr>
        <w:t xml:space="preserve">. </w:t>
      </w:r>
      <w:r w:rsidR="00B308C2">
        <w:rPr>
          <w:rFonts w:cstheme="minorHAnsi"/>
        </w:rPr>
        <w:t xml:space="preserve">Both the list of conditions and volume allowed for each condition is </w:t>
      </w:r>
      <w:r w:rsidR="00AC2AA1">
        <w:rPr>
          <w:rFonts w:cstheme="minorHAnsi"/>
        </w:rPr>
        <w:t xml:space="preserve">very limited. For example, table below shows the list of conditions with free prescriptions. </w:t>
      </w:r>
    </w:p>
    <w:p w14:paraId="599460FC" w14:textId="58471B54" w:rsidR="00AC2AA1" w:rsidRPr="00132B20" w:rsidRDefault="00AC2AA1" w:rsidP="00132B20">
      <w:pPr>
        <w:spacing w:before="240" w:after="120" w:line="240" w:lineRule="auto"/>
        <w:jc w:val="both"/>
        <w:rPr>
          <w:rFonts w:cstheme="minorHAnsi"/>
          <w:b/>
        </w:rPr>
      </w:pPr>
      <w:r w:rsidRPr="00132B20">
        <w:rPr>
          <w:rFonts w:cstheme="minorHAnsi"/>
          <w:b/>
        </w:rPr>
        <w:t>Table</w:t>
      </w:r>
      <w:r w:rsidR="00D35B6C" w:rsidRPr="00132B20">
        <w:rPr>
          <w:rFonts w:cstheme="minorHAnsi"/>
          <w:b/>
        </w:rPr>
        <w:t xml:space="preserve"> </w:t>
      </w:r>
      <w:r w:rsidR="00801401">
        <w:rPr>
          <w:rFonts w:cstheme="minorHAnsi"/>
          <w:b/>
        </w:rPr>
        <w:t>3</w:t>
      </w:r>
      <w:r w:rsidR="00542803" w:rsidRPr="00132B20">
        <w:rPr>
          <w:rFonts w:cstheme="minorHAnsi"/>
          <w:b/>
        </w:rPr>
        <w:t>. Diseases</w:t>
      </w:r>
      <w:r w:rsidR="00B543BA" w:rsidRPr="00132B20">
        <w:rPr>
          <w:rFonts w:cstheme="minorHAnsi"/>
          <w:b/>
        </w:rPr>
        <w:t xml:space="preserve"> entitled to </w:t>
      </w:r>
      <w:r w:rsidRPr="00132B20">
        <w:rPr>
          <w:rFonts w:cstheme="minorHAnsi"/>
          <w:b/>
        </w:rPr>
        <w:t xml:space="preserve">free prescriptions </w:t>
      </w:r>
      <w:r w:rsidR="00B543BA" w:rsidRPr="00132B20">
        <w:rPr>
          <w:rFonts w:cstheme="minorHAnsi"/>
          <w:b/>
        </w:rPr>
        <w:t xml:space="preserve">and </w:t>
      </w:r>
      <w:r w:rsidR="004C3B35" w:rsidRPr="00132B20">
        <w:rPr>
          <w:rFonts w:cstheme="minorHAnsi"/>
          <w:b/>
        </w:rPr>
        <w:t xml:space="preserve">respective volume caps </w:t>
      </w:r>
    </w:p>
    <w:tbl>
      <w:tblPr>
        <w:tblW w:w="5000" w:type="pct"/>
        <w:jc w:val="center"/>
        <w:tblBorders>
          <w:top w:val="single" w:sz="4" w:space="0" w:color="auto"/>
          <w:bottom w:val="single" w:sz="4" w:space="0" w:color="auto"/>
        </w:tblBorders>
        <w:shd w:val="clear" w:color="auto" w:fill="EAF3FB"/>
        <w:tblCellMar>
          <w:top w:w="15" w:type="dxa"/>
          <w:left w:w="15" w:type="dxa"/>
          <w:bottom w:w="15" w:type="dxa"/>
          <w:right w:w="15" w:type="dxa"/>
        </w:tblCellMar>
        <w:tblLook w:val="04A0" w:firstRow="1" w:lastRow="0" w:firstColumn="1" w:lastColumn="0" w:noHBand="0" w:noVBand="1"/>
      </w:tblPr>
      <w:tblGrid>
        <w:gridCol w:w="3490"/>
        <w:gridCol w:w="3145"/>
        <w:gridCol w:w="2771"/>
      </w:tblGrid>
      <w:tr w:rsidR="00DD6CF6" w:rsidRPr="00E6167F" w14:paraId="5076C243" w14:textId="77777777" w:rsidTr="001D76FA">
        <w:trPr>
          <w:jc w:val="center"/>
        </w:trPr>
        <w:tc>
          <w:tcPr>
            <w:tcW w:w="1855" w:type="pct"/>
            <w:tcBorders>
              <w:top w:val="single" w:sz="4" w:space="0" w:color="auto"/>
              <w:bottom w:val="single" w:sz="4" w:space="0" w:color="auto"/>
            </w:tcBorders>
            <w:shd w:val="clear" w:color="auto" w:fill="F2F2F2" w:themeFill="background1" w:themeFillShade="F2"/>
            <w:vAlign w:val="center"/>
            <w:hideMark/>
          </w:tcPr>
          <w:p w14:paraId="0A68961B" w14:textId="365C6D97" w:rsidR="00DD6CF6" w:rsidRPr="001D76FA" w:rsidRDefault="00DD6CF6" w:rsidP="00363D34">
            <w:pPr>
              <w:spacing w:line="240" w:lineRule="auto"/>
              <w:ind w:left="144"/>
              <w:contextualSpacing/>
              <w:rPr>
                <w:b/>
                <w:lang w:eastAsia="ru-RU"/>
              </w:rPr>
            </w:pPr>
            <w:r w:rsidRPr="001D76FA">
              <w:rPr>
                <w:rFonts w:cstheme="minorHAnsi"/>
                <w:b/>
              </w:rPr>
              <w:t> </w:t>
            </w:r>
            <w:r w:rsidRPr="001D76FA">
              <w:rPr>
                <w:b/>
                <w:lang w:eastAsia="ru-RU"/>
              </w:rPr>
              <w:t>Disease</w:t>
            </w:r>
          </w:p>
        </w:tc>
        <w:tc>
          <w:tcPr>
            <w:tcW w:w="1672" w:type="pct"/>
            <w:tcBorders>
              <w:top w:val="single" w:sz="4" w:space="0" w:color="auto"/>
              <w:bottom w:val="single" w:sz="4" w:space="0" w:color="auto"/>
            </w:tcBorders>
            <w:shd w:val="clear" w:color="auto" w:fill="F2F2F2" w:themeFill="background1" w:themeFillShade="F2"/>
            <w:vAlign w:val="center"/>
            <w:hideMark/>
          </w:tcPr>
          <w:p w14:paraId="69533245" w14:textId="77777777" w:rsidR="00DD6CF6" w:rsidRPr="001D76FA" w:rsidRDefault="00DD6CF6" w:rsidP="00363D34">
            <w:pPr>
              <w:spacing w:line="240" w:lineRule="auto"/>
              <w:ind w:left="144"/>
              <w:contextualSpacing/>
              <w:rPr>
                <w:b/>
                <w:lang w:eastAsia="ru-RU"/>
              </w:rPr>
            </w:pPr>
            <w:r w:rsidRPr="001D76FA">
              <w:rPr>
                <w:b/>
                <w:lang w:eastAsia="ru-RU"/>
              </w:rPr>
              <w:t>Drug or medical device</w:t>
            </w:r>
          </w:p>
        </w:tc>
        <w:tc>
          <w:tcPr>
            <w:tcW w:w="1473" w:type="pct"/>
            <w:tcBorders>
              <w:top w:val="single" w:sz="4" w:space="0" w:color="auto"/>
              <w:bottom w:val="single" w:sz="4" w:space="0" w:color="auto"/>
            </w:tcBorders>
            <w:shd w:val="clear" w:color="auto" w:fill="F2F2F2" w:themeFill="background1" w:themeFillShade="F2"/>
            <w:vAlign w:val="center"/>
            <w:hideMark/>
          </w:tcPr>
          <w:p w14:paraId="37BC5E34" w14:textId="77777777" w:rsidR="00DD6CF6" w:rsidRPr="001D76FA" w:rsidRDefault="00DD6CF6" w:rsidP="00363D34">
            <w:pPr>
              <w:spacing w:line="240" w:lineRule="auto"/>
              <w:ind w:left="144"/>
              <w:contextualSpacing/>
              <w:rPr>
                <w:b/>
                <w:lang w:eastAsia="ru-RU"/>
              </w:rPr>
            </w:pPr>
            <w:r w:rsidRPr="001D76FA">
              <w:rPr>
                <w:b/>
                <w:lang w:eastAsia="ru-RU"/>
              </w:rPr>
              <w:t>Rate of distribution per patient per year</w:t>
            </w:r>
          </w:p>
        </w:tc>
      </w:tr>
      <w:tr w:rsidR="00DD6CF6" w:rsidRPr="00E6167F" w14:paraId="6CC1FDBE" w14:textId="77777777" w:rsidTr="001D76FA">
        <w:trPr>
          <w:jc w:val="center"/>
        </w:trPr>
        <w:tc>
          <w:tcPr>
            <w:tcW w:w="1855" w:type="pct"/>
            <w:tcBorders>
              <w:top w:val="single" w:sz="4" w:space="0" w:color="auto"/>
            </w:tcBorders>
            <w:shd w:val="clear" w:color="auto" w:fill="auto"/>
            <w:vAlign w:val="center"/>
            <w:hideMark/>
          </w:tcPr>
          <w:p w14:paraId="77076837" w14:textId="77777777" w:rsidR="00DD6CF6" w:rsidRPr="00E6167F" w:rsidRDefault="00DD6CF6" w:rsidP="00363D34">
            <w:pPr>
              <w:spacing w:line="240" w:lineRule="auto"/>
              <w:ind w:left="144"/>
              <w:contextualSpacing/>
              <w:rPr>
                <w:lang w:eastAsia="ru-RU"/>
              </w:rPr>
            </w:pPr>
            <w:r w:rsidRPr="00E6167F">
              <w:rPr>
                <w:lang w:eastAsia="ru-RU"/>
              </w:rPr>
              <w:t>Insulin-dependent diabetes</w:t>
            </w:r>
          </w:p>
        </w:tc>
        <w:tc>
          <w:tcPr>
            <w:tcW w:w="1672" w:type="pct"/>
            <w:tcBorders>
              <w:top w:val="single" w:sz="4" w:space="0" w:color="auto"/>
            </w:tcBorders>
            <w:shd w:val="clear" w:color="auto" w:fill="auto"/>
            <w:vAlign w:val="center"/>
            <w:hideMark/>
          </w:tcPr>
          <w:p w14:paraId="72360B0D" w14:textId="77777777" w:rsidR="00DD6CF6" w:rsidRPr="00E6167F" w:rsidRDefault="00DD6CF6" w:rsidP="00363D34">
            <w:pPr>
              <w:spacing w:line="240" w:lineRule="auto"/>
              <w:ind w:left="144"/>
              <w:contextualSpacing/>
              <w:rPr>
                <w:lang w:eastAsia="ru-RU"/>
              </w:rPr>
            </w:pPr>
            <w:r w:rsidRPr="00E6167F">
              <w:t>Insulin, syringes</w:t>
            </w:r>
          </w:p>
        </w:tc>
        <w:tc>
          <w:tcPr>
            <w:tcW w:w="1473" w:type="pct"/>
            <w:tcBorders>
              <w:top w:val="single" w:sz="4" w:space="0" w:color="auto"/>
            </w:tcBorders>
            <w:shd w:val="clear" w:color="auto" w:fill="auto"/>
            <w:vAlign w:val="center"/>
            <w:hideMark/>
          </w:tcPr>
          <w:p w14:paraId="1E52E258" w14:textId="77777777" w:rsidR="00DD6CF6" w:rsidRPr="00E6167F" w:rsidRDefault="00DD6CF6" w:rsidP="00363D34">
            <w:pPr>
              <w:spacing w:line="240" w:lineRule="auto"/>
              <w:ind w:left="144"/>
              <w:contextualSpacing/>
              <w:rPr>
                <w:lang w:eastAsia="ru-RU"/>
              </w:rPr>
            </w:pPr>
            <w:r w:rsidRPr="00E6167F">
              <w:rPr>
                <w:lang w:eastAsia="ru-RU"/>
              </w:rPr>
              <w:t>As needed</w:t>
            </w:r>
          </w:p>
        </w:tc>
      </w:tr>
      <w:tr w:rsidR="00DD6CF6" w:rsidRPr="00E6167F" w14:paraId="05FD482E" w14:textId="77777777" w:rsidTr="001D76FA">
        <w:trPr>
          <w:jc w:val="center"/>
        </w:trPr>
        <w:tc>
          <w:tcPr>
            <w:tcW w:w="1855" w:type="pct"/>
            <w:shd w:val="clear" w:color="auto" w:fill="auto"/>
            <w:vAlign w:val="center"/>
            <w:hideMark/>
          </w:tcPr>
          <w:p w14:paraId="69304F91" w14:textId="77777777" w:rsidR="00DD6CF6" w:rsidRPr="00E6167F" w:rsidRDefault="00DD6CF6" w:rsidP="00363D34">
            <w:pPr>
              <w:spacing w:line="240" w:lineRule="auto"/>
              <w:ind w:left="144"/>
              <w:contextualSpacing/>
              <w:rPr>
                <w:lang w:eastAsia="ru-RU"/>
              </w:rPr>
            </w:pPr>
            <w:r w:rsidRPr="00E6167F">
              <w:rPr>
                <w:lang w:eastAsia="ru-RU"/>
              </w:rPr>
              <w:t>Non-insulin dependent diabetes</w:t>
            </w:r>
          </w:p>
        </w:tc>
        <w:tc>
          <w:tcPr>
            <w:tcW w:w="1672" w:type="pct"/>
            <w:shd w:val="clear" w:color="auto" w:fill="auto"/>
            <w:vAlign w:val="center"/>
            <w:hideMark/>
          </w:tcPr>
          <w:p w14:paraId="7D695D17" w14:textId="77777777" w:rsidR="00DD6CF6" w:rsidRPr="00E6167F" w:rsidRDefault="00DD6CF6" w:rsidP="00363D34">
            <w:pPr>
              <w:spacing w:line="240" w:lineRule="auto"/>
              <w:ind w:left="144"/>
              <w:contextualSpacing/>
              <w:rPr>
                <w:lang w:eastAsia="ru-RU"/>
              </w:rPr>
            </w:pPr>
            <w:proofErr w:type="spellStart"/>
            <w:r w:rsidRPr="00E6167F">
              <w:t>Glibenclamide</w:t>
            </w:r>
            <w:proofErr w:type="spellEnd"/>
            <w:r w:rsidRPr="00E6167F">
              <w:t xml:space="preserve"> 5 mg </w:t>
            </w:r>
          </w:p>
        </w:tc>
        <w:tc>
          <w:tcPr>
            <w:tcW w:w="1473" w:type="pct"/>
            <w:shd w:val="clear" w:color="auto" w:fill="auto"/>
            <w:vAlign w:val="center"/>
            <w:hideMark/>
          </w:tcPr>
          <w:p w14:paraId="4E253F61" w14:textId="77777777" w:rsidR="00DD6CF6" w:rsidRPr="00E6167F" w:rsidRDefault="00DD6CF6" w:rsidP="00363D34">
            <w:pPr>
              <w:spacing w:line="240" w:lineRule="auto"/>
              <w:ind w:left="144"/>
              <w:contextualSpacing/>
              <w:rPr>
                <w:lang w:eastAsia="ru-RU"/>
              </w:rPr>
            </w:pPr>
            <w:r w:rsidRPr="00E6167F">
              <w:rPr>
                <w:lang w:eastAsia="ru-RU"/>
              </w:rPr>
              <w:t xml:space="preserve">5 </w:t>
            </w:r>
            <w:r w:rsidRPr="00E6167F">
              <w:t>packages (600 pills)</w:t>
            </w:r>
          </w:p>
        </w:tc>
      </w:tr>
      <w:tr w:rsidR="00DD6CF6" w:rsidRPr="00E6167F" w14:paraId="51641F5B" w14:textId="77777777" w:rsidTr="001D76FA">
        <w:trPr>
          <w:jc w:val="center"/>
        </w:trPr>
        <w:tc>
          <w:tcPr>
            <w:tcW w:w="1855" w:type="pct"/>
            <w:shd w:val="clear" w:color="auto" w:fill="auto"/>
            <w:vAlign w:val="center"/>
            <w:hideMark/>
          </w:tcPr>
          <w:p w14:paraId="60C6BB51" w14:textId="77777777" w:rsidR="00DD6CF6" w:rsidRPr="00E6167F" w:rsidRDefault="00DD6CF6" w:rsidP="00363D34">
            <w:pPr>
              <w:spacing w:line="240" w:lineRule="auto"/>
              <w:ind w:left="144"/>
              <w:contextualSpacing/>
              <w:rPr>
                <w:lang w:eastAsia="ru-RU"/>
              </w:rPr>
            </w:pPr>
            <w:r w:rsidRPr="00E6167F">
              <w:rPr>
                <w:lang w:eastAsia="ru-RU"/>
              </w:rPr>
              <w:t>Diabetes insipidus</w:t>
            </w:r>
          </w:p>
        </w:tc>
        <w:tc>
          <w:tcPr>
            <w:tcW w:w="1672" w:type="pct"/>
            <w:shd w:val="clear" w:color="auto" w:fill="auto"/>
            <w:vAlign w:val="center"/>
            <w:hideMark/>
          </w:tcPr>
          <w:p w14:paraId="430CEB84" w14:textId="77777777" w:rsidR="00DD6CF6" w:rsidRPr="00E6167F" w:rsidRDefault="00DD6CF6" w:rsidP="00363D34">
            <w:pPr>
              <w:spacing w:line="240" w:lineRule="auto"/>
              <w:ind w:left="144"/>
              <w:contextualSpacing/>
              <w:rPr>
                <w:lang w:eastAsia="ru-RU"/>
              </w:rPr>
            </w:pPr>
            <w:r w:rsidRPr="00E6167F">
              <w:t>Desmopressin 5 ml</w:t>
            </w:r>
          </w:p>
        </w:tc>
        <w:tc>
          <w:tcPr>
            <w:tcW w:w="1473" w:type="pct"/>
            <w:shd w:val="clear" w:color="auto" w:fill="auto"/>
            <w:vAlign w:val="center"/>
            <w:hideMark/>
          </w:tcPr>
          <w:p w14:paraId="61B3FFAB" w14:textId="77777777" w:rsidR="00DD6CF6" w:rsidRPr="00E6167F" w:rsidRDefault="00DD6CF6" w:rsidP="00363D34">
            <w:pPr>
              <w:spacing w:line="240" w:lineRule="auto"/>
              <w:ind w:left="144"/>
              <w:contextualSpacing/>
              <w:rPr>
                <w:lang w:eastAsia="ru-RU"/>
              </w:rPr>
            </w:pPr>
            <w:r w:rsidRPr="00E6167F">
              <w:rPr>
                <w:lang w:eastAsia="ru-RU"/>
              </w:rPr>
              <w:t xml:space="preserve">20 </w:t>
            </w:r>
            <w:r w:rsidRPr="00E6167F">
              <w:t>vials</w:t>
            </w:r>
          </w:p>
        </w:tc>
      </w:tr>
      <w:tr w:rsidR="00DD6CF6" w:rsidRPr="00E6167F" w14:paraId="5891D957" w14:textId="77777777" w:rsidTr="001D76FA">
        <w:trPr>
          <w:jc w:val="center"/>
        </w:trPr>
        <w:tc>
          <w:tcPr>
            <w:tcW w:w="1855" w:type="pct"/>
            <w:shd w:val="clear" w:color="auto" w:fill="auto"/>
            <w:vAlign w:val="center"/>
            <w:hideMark/>
          </w:tcPr>
          <w:p w14:paraId="0913D6E7" w14:textId="77777777" w:rsidR="00DD6CF6" w:rsidRPr="00E6167F" w:rsidRDefault="00DD6CF6" w:rsidP="00363D34">
            <w:pPr>
              <w:spacing w:line="240" w:lineRule="auto"/>
              <w:ind w:left="144"/>
              <w:contextualSpacing/>
              <w:rPr>
                <w:lang w:eastAsia="ru-RU"/>
              </w:rPr>
            </w:pPr>
            <w:r w:rsidRPr="00E6167F">
              <w:t>Hemophilia</w:t>
            </w:r>
          </w:p>
        </w:tc>
        <w:tc>
          <w:tcPr>
            <w:tcW w:w="1672" w:type="pct"/>
            <w:shd w:val="clear" w:color="auto" w:fill="auto"/>
            <w:vAlign w:val="center"/>
            <w:hideMark/>
          </w:tcPr>
          <w:p w14:paraId="59282486" w14:textId="77777777" w:rsidR="00DD6CF6" w:rsidRPr="00E6167F" w:rsidRDefault="00DD6CF6" w:rsidP="00363D34">
            <w:pPr>
              <w:spacing w:line="240" w:lineRule="auto"/>
              <w:ind w:left="144"/>
              <w:contextualSpacing/>
              <w:rPr>
                <w:lang w:eastAsia="ru-RU"/>
              </w:rPr>
            </w:pPr>
            <w:r w:rsidRPr="00E6167F">
              <w:t>Cryoprecipitate 15 mg</w:t>
            </w:r>
          </w:p>
        </w:tc>
        <w:tc>
          <w:tcPr>
            <w:tcW w:w="1473" w:type="pct"/>
            <w:shd w:val="clear" w:color="auto" w:fill="auto"/>
            <w:vAlign w:val="center"/>
            <w:hideMark/>
          </w:tcPr>
          <w:p w14:paraId="740E02E4" w14:textId="77777777" w:rsidR="00DD6CF6" w:rsidRPr="00E6167F" w:rsidRDefault="00DD6CF6" w:rsidP="00363D34">
            <w:pPr>
              <w:spacing w:line="240" w:lineRule="auto"/>
              <w:ind w:left="144"/>
              <w:contextualSpacing/>
              <w:rPr>
                <w:lang w:eastAsia="ru-RU"/>
              </w:rPr>
            </w:pPr>
            <w:r w:rsidRPr="00E6167F">
              <w:rPr>
                <w:lang w:eastAsia="ru-RU"/>
              </w:rPr>
              <w:t xml:space="preserve">20 </w:t>
            </w:r>
            <w:r w:rsidRPr="00E6167F">
              <w:t>vials</w:t>
            </w:r>
          </w:p>
        </w:tc>
      </w:tr>
      <w:tr w:rsidR="00DD6CF6" w:rsidRPr="00E6167F" w14:paraId="00E554B0" w14:textId="77777777" w:rsidTr="001D76FA">
        <w:trPr>
          <w:jc w:val="center"/>
        </w:trPr>
        <w:tc>
          <w:tcPr>
            <w:tcW w:w="1855" w:type="pct"/>
            <w:shd w:val="clear" w:color="auto" w:fill="auto"/>
            <w:vAlign w:val="center"/>
            <w:hideMark/>
          </w:tcPr>
          <w:p w14:paraId="6E4BC9D3" w14:textId="77777777" w:rsidR="00DD6CF6" w:rsidRPr="00E6167F" w:rsidRDefault="00DD6CF6" w:rsidP="00363D34">
            <w:pPr>
              <w:spacing w:line="240" w:lineRule="auto"/>
              <w:ind w:left="144"/>
              <w:contextualSpacing/>
              <w:rPr>
                <w:lang w:eastAsia="ru-RU"/>
              </w:rPr>
            </w:pPr>
            <w:r w:rsidRPr="00E6167F">
              <w:t>Tuberculosis</w:t>
            </w:r>
          </w:p>
        </w:tc>
        <w:tc>
          <w:tcPr>
            <w:tcW w:w="1672" w:type="pct"/>
            <w:shd w:val="clear" w:color="auto" w:fill="auto"/>
            <w:vAlign w:val="center"/>
            <w:hideMark/>
          </w:tcPr>
          <w:p w14:paraId="6C8AA114" w14:textId="77777777" w:rsidR="00DD6CF6" w:rsidRPr="00E6167F" w:rsidRDefault="00DD6CF6" w:rsidP="00363D34">
            <w:pPr>
              <w:spacing w:line="240" w:lineRule="auto"/>
              <w:ind w:left="144"/>
              <w:contextualSpacing/>
              <w:rPr>
                <w:lang w:eastAsia="ru-RU"/>
              </w:rPr>
            </w:pPr>
            <w:r w:rsidRPr="00E6167F">
              <w:rPr>
                <w:lang w:eastAsia="ru-RU"/>
              </w:rPr>
              <w:t>Under DOTS Program</w:t>
            </w:r>
          </w:p>
        </w:tc>
        <w:tc>
          <w:tcPr>
            <w:tcW w:w="1473" w:type="pct"/>
            <w:shd w:val="clear" w:color="auto" w:fill="auto"/>
            <w:vAlign w:val="center"/>
            <w:hideMark/>
          </w:tcPr>
          <w:p w14:paraId="1D527F2B" w14:textId="77777777" w:rsidR="00DD6CF6" w:rsidRPr="00E6167F" w:rsidRDefault="00DD6CF6" w:rsidP="00363D34">
            <w:pPr>
              <w:spacing w:line="240" w:lineRule="auto"/>
              <w:ind w:left="144"/>
              <w:contextualSpacing/>
              <w:rPr>
                <w:lang w:eastAsia="ru-RU"/>
              </w:rPr>
            </w:pPr>
            <w:r w:rsidRPr="00E6167F">
              <w:rPr>
                <w:lang w:eastAsia="ru-RU"/>
              </w:rPr>
              <w:t>As needed</w:t>
            </w:r>
          </w:p>
        </w:tc>
      </w:tr>
      <w:tr w:rsidR="00DD6CF6" w:rsidRPr="00E6167F" w14:paraId="5E711C21" w14:textId="77777777" w:rsidTr="001D76FA">
        <w:trPr>
          <w:jc w:val="center"/>
        </w:trPr>
        <w:tc>
          <w:tcPr>
            <w:tcW w:w="1855" w:type="pct"/>
            <w:shd w:val="clear" w:color="auto" w:fill="auto"/>
            <w:vAlign w:val="center"/>
            <w:hideMark/>
          </w:tcPr>
          <w:p w14:paraId="78EEA306" w14:textId="77777777" w:rsidR="00DD6CF6" w:rsidRPr="00E6167F" w:rsidRDefault="00DD6CF6" w:rsidP="00363D34">
            <w:pPr>
              <w:spacing w:line="240" w:lineRule="auto"/>
              <w:ind w:left="144"/>
              <w:contextualSpacing/>
              <w:rPr>
                <w:lang w:eastAsia="ru-RU"/>
              </w:rPr>
            </w:pPr>
            <w:r w:rsidRPr="00E6167F">
              <w:t>Children under 16 with hemophilia</w:t>
            </w:r>
          </w:p>
        </w:tc>
        <w:tc>
          <w:tcPr>
            <w:tcW w:w="1672" w:type="pct"/>
            <w:shd w:val="clear" w:color="auto" w:fill="auto"/>
            <w:vAlign w:val="center"/>
            <w:hideMark/>
          </w:tcPr>
          <w:p w14:paraId="75F11B22" w14:textId="77777777" w:rsidR="00DD6CF6" w:rsidRPr="00E6167F" w:rsidRDefault="00DD6CF6" w:rsidP="00363D34">
            <w:pPr>
              <w:spacing w:line="240" w:lineRule="auto"/>
              <w:ind w:left="144"/>
              <w:contextualSpacing/>
              <w:rPr>
                <w:lang w:eastAsia="ru-RU"/>
              </w:rPr>
            </w:pPr>
            <w:r w:rsidRPr="00E6167F">
              <w:t xml:space="preserve">Concentrates of factors VIII/ IX </w:t>
            </w:r>
          </w:p>
        </w:tc>
        <w:tc>
          <w:tcPr>
            <w:tcW w:w="1473" w:type="pct"/>
            <w:shd w:val="clear" w:color="auto" w:fill="auto"/>
            <w:vAlign w:val="center"/>
            <w:hideMark/>
          </w:tcPr>
          <w:p w14:paraId="3DAAD9C4" w14:textId="77777777" w:rsidR="00DD6CF6" w:rsidRPr="00E6167F" w:rsidRDefault="00DD6CF6" w:rsidP="00363D34">
            <w:pPr>
              <w:spacing w:line="240" w:lineRule="auto"/>
              <w:ind w:left="144"/>
              <w:contextualSpacing/>
              <w:rPr>
                <w:lang w:eastAsia="ru-RU"/>
              </w:rPr>
            </w:pPr>
            <w:r w:rsidRPr="00E6167F">
              <w:rPr>
                <w:lang w:eastAsia="ru-RU"/>
              </w:rPr>
              <w:t>6500 ME</w:t>
            </w:r>
          </w:p>
        </w:tc>
      </w:tr>
    </w:tbl>
    <w:p w14:paraId="3450F55B" w14:textId="603984D2" w:rsidR="00DD6CF6" w:rsidRPr="001B0064" w:rsidRDefault="0064630C" w:rsidP="00363D34">
      <w:pPr>
        <w:spacing w:after="0" w:line="240" w:lineRule="auto"/>
        <w:jc w:val="both"/>
        <w:rPr>
          <w:rFonts w:cstheme="minorHAnsi"/>
          <w:sz w:val="20"/>
          <w:szCs w:val="20"/>
        </w:rPr>
      </w:pPr>
      <w:r w:rsidRPr="001B0064">
        <w:rPr>
          <w:rFonts w:cstheme="minorHAnsi"/>
          <w:sz w:val="20"/>
          <w:szCs w:val="20"/>
        </w:rPr>
        <w:t xml:space="preserve">Source: </w:t>
      </w:r>
      <w:r w:rsidR="003F3843" w:rsidRPr="001B0064">
        <w:rPr>
          <w:rFonts w:cstheme="minorHAnsi"/>
          <w:sz w:val="20"/>
          <w:szCs w:val="20"/>
        </w:rPr>
        <w:t>Government of the Kyrgyz Republic</w:t>
      </w:r>
      <w:r w:rsidR="00371142" w:rsidRPr="001B0064">
        <w:rPr>
          <w:rFonts w:cstheme="minorHAnsi"/>
          <w:sz w:val="20"/>
          <w:szCs w:val="20"/>
        </w:rPr>
        <w:t xml:space="preserve"> (</w:t>
      </w:r>
      <w:r w:rsidR="003F3843" w:rsidRPr="001B0064">
        <w:rPr>
          <w:rFonts w:cstheme="minorHAnsi"/>
          <w:sz w:val="20"/>
          <w:szCs w:val="20"/>
        </w:rPr>
        <w:t>2015</w:t>
      </w:r>
      <w:r w:rsidR="00371142" w:rsidRPr="001B0064">
        <w:rPr>
          <w:rFonts w:cstheme="minorHAnsi"/>
          <w:sz w:val="20"/>
          <w:szCs w:val="20"/>
        </w:rPr>
        <w:t>)</w:t>
      </w:r>
    </w:p>
    <w:p w14:paraId="6FFCBBB6" w14:textId="20B1116F" w:rsidR="007405E6" w:rsidRPr="008270C5" w:rsidRDefault="007405E6" w:rsidP="006E2D13">
      <w:pPr>
        <w:pStyle w:val="ListParagraph"/>
        <w:numPr>
          <w:ilvl w:val="0"/>
          <w:numId w:val="36"/>
        </w:numPr>
        <w:spacing w:before="240" w:after="120" w:line="240" w:lineRule="auto"/>
        <w:jc w:val="both"/>
        <w:rPr>
          <w:rFonts w:cstheme="minorHAnsi"/>
          <w:b/>
        </w:rPr>
      </w:pPr>
      <w:r w:rsidRPr="008270C5">
        <w:rPr>
          <w:rFonts w:cstheme="minorHAnsi"/>
          <w:b/>
        </w:rPr>
        <w:t xml:space="preserve">Copayment </w:t>
      </w:r>
    </w:p>
    <w:p w14:paraId="0B93D79E" w14:textId="65D7DFA2" w:rsidR="002C576C" w:rsidRPr="00E6167F" w:rsidRDefault="00870D14" w:rsidP="00363D34">
      <w:pPr>
        <w:spacing w:after="0" w:line="240" w:lineRule="auto"/>
        <w:jc w:val="both"/>
        <w:rPr>
          <w:rFonts w:cstheme="minorHAnsi"/>
        </w:rPr>
      </w:pPr>
      <w:r w:rsidRPr="00E6167F">
        <w:rPr>
          <w:rFonts w:cstheme="minorHAnsi"/>
        </w:rPr>
        <w:t>Most of the primary care and outpatient specialist services are free</w:t>
      </w:r>
      <w:r w:rsidR="0000116C" w:rsidRPr="00E6167F">
        <w:rPr>
          <w:rFonts w:cstheme="minorHAnsi"/>
        </w:rPr>
        <w:t xml:space="preserve">. Some with copayment depending on the patients’ status. For inpatient care, </w:t>
      </w:r>
      <w:r w:rsidR="0094132E" w:rsidRPr="00E6167F">
        <w:rPr>
          <w:rFonts w:cstheme="minorHAnsi"/>
        </w:rPr>
        <w:t>there is a rather simple co-payment scheme, defined at three levels (minimum, average, and maximum)</w:t>
      </w:r>
      <w:r w:rsidR="000B5432" w:rsidRPr="00E6167F">
        <w:rPr>
          <w:rFonts w:cstheme="minorHAnsi"/>
        </w:rPr>
        <w:t xml:space="preserve">, separately for therapeutic and surgical profile and </w:t>
      </w:r>
      <w:r w:rsidR="00550D1D" w:rsidRPr="00E6167F">
        <w:rPr>
          <w:rFonts w:cstheme="minorHAnsi"/>
        </w:rPr>
        <w:t xml:space="preserve">for tertiary versus other </w:t>
      </w:r>
      <w:r w:rsidR="00F101F2" w:rsidRPr="00E6167F">
        <w:rPr>
          <w:rFonts w:cstheme="minorHAnsi"/>
        </w:rPr>
        <w:t xml:space="preserve">types of hospitals. </w:t>
      </w:r>
    </w:p>
    <w:p w14:paraId="41C3882A" w14:textId="305ED957" w:rsidR="002C576C" w:rsidRPr="00132B20" w:rsidRDefault="00E64BA6" w:rsidP="00132B20">
      <w:pPr>
        <w:spacing w:before="240" w:after="120" w:line="240" w:lineRule="auto"/>
        <w:jc w:val="both"/>
        <w:rPr>
          <w:rFonts w:cstheme="minorHAnsi"/>
          <w:b/>
        </w:rPr>
      </w:pPr>
      <w:r w:rsidRPr="00132B20">
        <w:rPr>
          <w:rFonts w:cstheme="minorHAnsi"/>
          <w:b/>
        </w:rPr>
        <w:lastRenderedPageBreak/>
        <w:t>Table</w:t>
      </w:r>
      <w:r w:rsidR="00D35B6C" w:rsidRPr="00132B20">
        <w:rPr>
          <w:rFonts w:cstheme="minorHAnsi"/>
          <w:b/>
        </w:rPr>
        <w:t xml:space="preserve"> </w:t>
      </w:r>
      <w:r w:rsidR="00801401">
        <w:rPr>
          <w:rFonts w:cstheme="minorHAnsi"/>
          <w:b/>
        </w:rPr>
        <w:t>4</w:t>
      </w:r>
      <w:r w:rsidRPr="00132B20">
        <w:rPr>
          <w:rFonts w:cstheme="minorHAnsi"/>
          <w:b/>
        </w:rPr>
        <w:t xml:space="preserve">: copayment rates per hospitalization (Kyrgyz </w:t>
      </w:r>
      <w:proofErr w:type="spellStart"/>
      <w:r w:rsidRPr="00132B20">
        <w:rPr>
          <w:rFonts w:cstheme="minorHAnsi"/>
          <w:b/>
        </w:rPr>
        <w:t>soms</w:t>
      </w:r>
      <w:proofErr w:type="spellEnd"/>
      <w:r w:rsidRPr="00132B20">
        <w:rPr>
          <w:rFonts w:cstheme="minorHAnsi"/>
          <w:b/>
        </w:rPr>
        <w:t>)</w:t>
      </w:r>
      <w:r w:rsidR="00000C82" w:rsidRPr="00132B20">
        <w:rPr>
          <w:rFonts w:cstheme="minorHAnsi"/>
          <w:b/>
        </w:rPr>
        <w:t xml:space="preserve"> </w:t>
      </w:r>
    </w:p>
    <w:tbl>
      <w:tblPr>
        <w:tblW w:w="0" w:type="auto"/>
        <w:jc w:val="center"/>
        <w:tblBorders>
          <w:top w:val="single" w:sz="4" w:space="0" w:color="auto"/>
          <w:bottom w:val="single" w:sz="4" w:space="0" w:color="auto"/>
        </w:tblBorders>
        <w:shd w:val="clear" w:color="auto" w:fill="EAF3FB"/>
        <w:tblLayout w:type="fixed"/>
        <w:tblCellMar>
          <w:top w:w="15" w:type="dxa"/>
          <w:left w:w="144" w:type="dxa"/>
          <w:bottom w:w="15" w:type="dxa"/>
          <w:right w:w="28" w:type="dxa"/>
        </w:tblCellMar>
        <w:tblLook w:val="04A0" w:firstRow="1" w:lastRow="0" w:firstColumn="1" w:lastColumn="0" w:noHBand="0" w:noVBand="1"/>
      </w:tblPr>
      <w:tblGrid>
        <w:gridCol w:w="2332"/>
        <w:gridCol w:w="1956"/>
        <w:gridCol w:w="2423"/>
        <w:gridCol w:w="2679"/>
      </w:tblGrid>
      <w:tr w:rsidR="004C0A93" w:rsidRPr="00E6167F" w14:paraId="22CD8917" w14:textId="77777777" w:rsidTr="00730CD2">
        <w:trPr>
          <w:jc w:val="center"/>
        </w:trPr>
        <w:tc>
          <w:tcPr>
            <w:tcW w:w="4288" w:type="dxa"/>
            <w:gridSpan w:val="2"/>
            <w:tcBorders>
              <w:top w:val="single" w:sz="4" w:space="0" w:color="auto"/>
              <w:bottom w:val="single" w:sz="4" w:space="0" w:color="auto"/>
            </w:tcBorders>
            <w:shd w:val="clear" w:color="auto" w:fill="F2F2F2" w:themeFill="background1" w:themeFillShade="F2"/>
            <w:vAlign w:val="center"/>
            <w:hideMark/>
          </w:tcPr>
          <w:p w14:paraId="054B7CD7" w14:textId="77777777" w:rsidR="002C576C" w:rsidRPr="00E6167F" w:rsidRDefault="002C576C" w:rsidP="00A85050">
            <w:pPr>
              <w:spacing w:before="15" w:after="15" w:line="240" w:lineRule="auto"/>
              <w:rPr>
                <w:rFonts w:eastAsia="Times New Roman" w:cstheme="minorHAnsi"/>
                <w:b/>
                <w:lang w:eastAsia="ru-RU"/>
              </w:rPr>
            </w:pPr>
            <w:r w:rsidRPr="00E6167F">
              <w:rPr>
                <w:rFonts w:eastAsia="Times New Roman" w:cstheme="minorHAnsi"/>
                <w:b/>
                <w:lang w:eastAsia="ru-RU"/>
              </w:rPr>
              <w:t>Forms of co-payment</w:t>
            </w:r>
          </w:p>
        </w:tc>
        <w:tc>
          <w:tcPr>
            <w:tcW w:w="2423" w:type="dxa"/>
            <w:tcBorders>
              <w:top w:val="single" w:sz="4" w:space="0" w:color="auto"/>
              <w:bottom w:val="single" w:sz="4" w:space="0" w:color="auto"/>
            </w:tcBorders>
            <w:shd w:val="clear" w:color="auto" w:fill="F2F2F2" w:themeFill="background1" w:themeFillShade="F2"/>
            <w:vAlign w:val="center"/>
            <w:hideMark/>
          </w:tcPr>
          <w:p w14:paraId="3C0105D1" w14:textId="7DFD7F91" w:rsidR="002C576C" w:rsidRPr="00E6167F" w:rsidRDefault="004C0A93" w:rsidP="00A85050">
            <w:pPr>
              <w:spacing w:before="15" w:after="15" w:line="240" w:lineRule="auto"/>
              <w:jc w:val="right"/>
              <w:rPr>
                <w:rFonts w:eastAsia="Times New Roman" w:cstheme="minorHAnsi"/>
                <w:lang w:eastAsia="ru-RU"/>
              </w:rPr>
            </w:pPr>
            <w:r>
              <w:rPr>
                <w:rFonts w:eastAsia="Times New Roman" w:cstheme="minorHAnsi"/>
                <w:b/>
                <w:bCs/>
                <w:lang w:eastAsia="ru-RU"/>
              </w:rPr>
              <w:t>All hospital excepts tertiary</w:t>
            </w:r>
          </w:p>
        </w:tc>
        <w:tc>
          <w:tcPr>
            <w:tcW w:w="2679" w:type="dxa"/>
            <w:tcBorders>
              <w:top w:val="single" w:sz="4" w:space="0" w:color="auto"/>
              <w:bottom w:val="single" w:sz="4" w:space="0" w:color="auto"/>
            </w:tcBorders>
            <w:shd w:val="clear" w:color="auto" w:fill="F2F2F2" w:themeFill="background1" w:themeFillShade="F2"/>
            <w:vAlign w:val="center"/>
            <w:hideMark/>
          </w:tcPr>
          <w:p w14:paraId="0E49083B" w14:textId="16CD94AA" w:rsidR="002C576C" w:rsidRPr="00E6167F" w:rsidRDefault="002C576C" w:rsidP="00A85050">
            <w:pPr>
              <w:spacing w:before="15" w:after="15" w:line="240" w:lineRule="auto"/>
              <w:jc w:val="right"/>
              <w:rPr>
                <w:rFonts w:eastAsia="Times New Roman" w:cstheme="minorHAnsi"/>
                <w:lang w:eastAsia="ru-RU"/>
              </w:rPr>
            </w:pPr>
            <w:r w:rsidRPr="00E6167F">
              <w:rPr>
                <w:rFonts w:eastAsia="Times New Roman" w:cstheme="minorHAnsi"/>
                <w:b/>
                <w:bCs/>
                <w:lang w:eastAsia="ru-RU"/>
              </w:rPr>
              <w:t xml:space="preserve">Republican </w:t>
            </w:r>
            <w:r w:rsidR="004C0A93">
              <w:rPr>
                <w:rFonts w:eastAsia="Times New Roman" w:cstheme="minorHAnsi"/>
                <w:b/>
                <w:bCs/>
                <w:lang w:eastAsia="ru-RU"/>
              </w:rPr>
              <w:t>hospitals (tertiary)</w:t>
            </w:r>
          </w:p>
        </w:tc>
      </w:tr>
      <w:tr w:rsidR="004C0A93" w:rsidRPr="00E6167F" w14:paraId="6F8DCF17" w14:textId="77777777" w:rsidTr="00730CD2">
        <w:trPr>
          <w:jc w:val="center"/>
        </w:trPr>
        <w:tc>
          <w:tcPr>
            <w:tcW w:w="2332" w:type="dxa"/>
            <w:vMerge w:val="restart"/>
            <w:tcBorders>
              <w:top w:val="single" w:sz="4" w:space="0" w:color="auto"/>
            </w:tcBorders>
            <w:shd w:val="clear" w:color="auto" w:fill="auto"/>
            <w:vAlign w:val="center"/>
            <w:hideMark/>
          </w:tcPr>
          <w:p w14:paraId="42110009" w14:textId="77777777" w:rsidR="002C576C" w:rsidRPr="00E6167F" w:rsidRDefault="002C576C" w:rsidP="00A85050">
            <w:pPr>
              <w:spacing w:before="15" w:after="15" w:line="240" w:lineRule="auto"/>
              <w:rPr>
                <w:rFonts w:eastAsia="Times New Roman" w:cstheme="minorHAnsi"/>
                <w:lang w:eastAsia="ru-RU"/>
              </w:rPr>
            </w:pPr>
            <w:r w:rsidRPr="00E6167F">
              <w:rPr>
                <w:rFonts w:eastAsia="Times New Roman" w:cstheme="minorHAnsi"/>
                <w:lang w:eastAsia="ru-RU"/>
              </w:rPr>
              <w:t xml:space="preserve">Co-payment of the therapeutic profile </w:t>
            </w:r>
          </w:p>
        </w:tc>
        <w:tc>
          <w:tcPr>
            <w:tcW w:w="1956" w:type="dxa"/>
            <w:tcBorders>
              <w:top w:val="single" w:sz="4" w:space="0" w:color="auto"/>
            </w:tcBorders>
            <w:shd w:val="clear" w:color="auto" w:fill="auto"/>
            <w:vAlign w:val="center"/>
            <w:hideMark/>
          </w:tcPr>
          <w:p w14:paraId="213B3A74" w14:textId="1CBF1F60" w:rsidR="002C576C" w:rsidRPr="00E6167F" w:rsidRDefault="002C576C" w:rsidP="00A85050">
            <w:pPr>
              <w:spacing w:before="15" w:after="15" w:line="240" w:lineRule="auto"/>
              <w:rPr>
                <w:rFonts w:eastAsia="Times New Roman" w:cstheme="minorHAnsi"/>
                <w:lang w:eastAsia="ru-RU"/>
              </w:rPr>
            </w:pPr>
            <w:r w:rsidRPr="00E6167F">
              <w:rPr>
                <w:rFonts w:eastAsia="Times New Roman" w:cstheme="minorHAnsi"/>
                <w:lang w:eastAsia="ru-RU"/>
              </w:rPr>
              <w:t>Minimum</w:t>
            </w:r>
          </w:p>
        </w:tc>
        <w:tc>
          <w:tcPr>
            <w:tcW w:w="2423" w:type="dxa"/>
            <w:tcBorders>
              <w:top w:val="single" w:sz="4" w:space="0" w:color="auto"/>
            </w:tcBorders>
            <w:shd w:val="clear" w:color="auto" w:fill="auto"/>
            <w:vAlign w:val="center"/>
            <w:hideMark/>
          </w:tcPr>
          <w:p w14:paraId="783E3E2B" w14:textId="77777777" w:rsidR="002C576C" w:rsidRPr="00E6167F" w:rsidRDefault="002C576C" w:rsidP="00A85050">
            <w:pPr>
              <w:spacing w:before="15" w:after="15" w:line="240" w:lineRule="auto"/>
              <w:jc w:val="right"/>
              <w:rPr>
                <w:rFonts w:eastAsia="Times New Roman" w:cstheme="minorHAnsi"/>
                <w:color w:val="000000" w:themeColor="text1"/>
                <w:lang w:eastAsia="ru-RU"/>
              </w:rPr>
            </w:pPr>
            <w:r w:rsidRPr="00E6167F">
              <w:rPr>
                <w:rFonts w:eastAsia="Times New Roman" w:cstheme="minorHAnsi"/>
                <w:color w:val="000000" w:themeColor="text1"/>
                <w:lang w:eastAsia="ru-RU"/>
              </w:rPr>
              <w:t>330</w:t>
            </w:r>
          </w:p>
        </w:tc>
        <w:tc>
          <w:tcPr>
            <w:tcW w:w="2679" w:type="dxa"/>
            <w:tcBorders>
              <w:top w:val="single" w:sz="4" w:space="0" w:color="auto"/>
            </w:tcBorders>
            <w:shd w:val="clear" w:color="auto" w:fill="auto"/>
            <w:vAlign w:val="center"/>
            <w:hideMark/>
          </w:tcPr>
          <w:p w14:paraId="06E3E326" w14:textId="77777777" w:rsidR="002C576C" w:rsidRPr="00E6167F" w:rsidRDefault="002C576C" w:rsidP="00A85050">
            <w:pPr>
              <w:spacing w:before="15" w:after="15" w:line="240" w:lineRule="auto"/>
              <w:jc w:val="right"/>
              <w:rPr>
                <w:rFonts w:eastAsia="Times New Roman" w:cstheme="minorHAnsi"/>
                <w:color w:val="000000" w:themeColor="text1"/>
                <w:lang w:eastAsia="ru-RU"/>
              </w:rPr>
            </w:pPr>
            <w:r w:rsidRPr="00E6167F">
              <w:rPr>
                <w:rFonts w:eastAsia="Times New Roman" w:cstheme="minorHAnsi"/>
                <w:color w:val="000000" w:themeColor="text1"/>
                <w:lang w:eastAsia="ru-RU"/>
              </w:rPr>
              <w:t>330</w:t>
            </w:r>
          </w:p>
        </w:tc>
      </w:tr>
      <w:tr w:rsidR="004C0A93" w:rsidRPr="00E6167F" w14:paraId="12B0648A" w14:textId="77777777" w:rsidTr="00730CD2">
        <w:trPr>
          <w:jc w:val="center"/>
        </w:trPr>
        <w:tc>
          <w:tcPr>
            <w:tcW w:w="2332" w:type="dxa"/>
            <w:vMerge/>
            <w:shd w:val="clear" w:color="auto" w:fill="EAF3FB"/>
            <w:vAlign w:val="center"/>
            <w:hideMark/>
          </w:tcPr>
          <w:p w14:paraId="2E4E9E97" w14:textId="77777777" w:rsidR="002C576C" w:rsidRPr="00E6167F" w:rsidRDefault="002C576C" w:rsidP="00A85050">
            <w:pPr>
              <w:spacing w:after="0" w:line="240" w:lineRule="auto"/>
              <w:rPr>
                <w:rFonts w:eastAsia="Times New Roman" w:cstheme="minorHAnsi"/>
                <w:lang w:eastAsia="ru-RU"/>
              </w:rPr>
            </w:pPr>
          </w:p>
        </w:tc>
        <w:tc>
          <w:tcPr>
            <w:tcW w:w="1956" w:type="dxa"/>
            <w:shd w:val="clear" w:color="auto" w:fill="auto"/>
            <w:vAlign w:val="center"/>
            <w:hideMark/>
          </w:tcPr>
          <w:p w14:paraId="1926DCCD" w14:textId="6B236902" w:rsidR="002C576C" w:rsidRPr="00E6167F" w:rsidRDefault="002C576C" w:rsidP="00A85050">
            <w:pPr>
              <w:spacing w:before="15" w:after="15" w:line="240" w:lineRule="auto"/>
              <w:rPr>
                <w:rFonts w:eastAsia="Times New Roman" w:cstheme="minorHAnsi"/>
                <w:lang w:eastAsia="ru-RU"/>
              </w:rPr>
            </w:pPr>
            <w:r w:rsidRPr="00E6167F">
              <w:rPr>
                <w:rFonts w:eastAsia="Times New Roman" w:cstheme="minorHAnsi"/>
                <w:lang w:eastAsia="ru-RU"/>
              </w:rPr>
              <w:t>Average</w:t>
            </w:r>
          </w:p>
        </w:tc>
        <w:tc>
          <w:tcPr>
            <w:tcW w:w="2423" w:type="dxa"/>
            <w:shd w:val="clear" w:color="auto" w:fill="auto"/>
            <w:vAlign w:val="center"/>
            <w:hideMark/>
          </w:tcPr>
          <w:p w14:paraId="02F16511" w14:textId="77777777" w:rsidR="002C576C" w:rsidRPr="00E6167F" w:rsidRDefault="002C576C" w:rsidP="00A85050">
            <w:pPr>
              <w:spacing w:before="15" w:after="15" w:line="240" w:lineRule="auto"/>
              <w:jc w:val="right"/>
              <w:rPr>
                <w:rFonts w:eastAsia="Times New Roman" w:cstheme="minorHAnsi"/>
                <w:color w:val="000000" w:themeColor="text1"/>
                <w:lang w:eastAsia="ru-RU"/>
              </w:rPr>
            </w:pPr>
            <w:r w:rsidRPr="00E6167F">
              <w:rPr>
                <w:rFonts w:eastAsia="Times New Roman" w:cstheme="minorHAnsi"/>
                <w:color w:val="000000" w:themeColor="text1"/>
                <w:lang w:eastAsia="ru-RU"/>
              </w:rPr>
              <w:t>840</w:t>
            </w:r>
          </w:p>
        </w:tc>
        <w:tc>
          <w:tcPr>
            <w:tcW w:w="2679" w:type="dxa"/>
            <w:shd w:val="clear" w:color="auto" w:fill="auto"/>
            <w:vAlign w:val="center"/>
            <w:hideMark/>
          </w:tcPr>
          <w:p w14:paraId="01BEE052" w14:textId="77777777" w:rsidR="002C576C" w:rsidRPr="00E6167F" w:rsidRDefault="002C576C" w:rsidP="00A85050">
            <w:pPr>
              <w:spacing w:before="15" w:after="15" w:line="240" w:lineRule="auto"/>
              <w:jc w:val="right"/>
              <w:rPr>
                <w:rFonts w:eastAsia="Times New Roman" w:cstheme="minorHAnsi"/>
                <w:color w:val="000000" w:themeColor="text1"/>
                <w:lang w:eastAsia="ru-RU"/>
              </w:rPr>
            </w:pPr>
            <w:r w:rsidRPr="00E6167F">
              <w:rPr>
                <w:rFonts w:eastAsia="Times New Roman" w:cstheme="minorHAnsi"/>
                <w:color w:val="000000" w:themeColor="text1"/>
                <w:lang w:eastAsia="ru-RU"/>
              </w:rPr>
              <w:t>1160</w:t>
            </w:r>
          </w:p>
        </w:tc>
      </w:tr>
      <w:tr w:rsidR="004C0A93" w:rsidRPr="00E6167F" w14:paraId="70C99C7D" w14:textId="77777777" w:rsidTr="00730CD2">
        <w:trPr>
          <w:jc w:val="center"/>
        </w:trPr>
        <w:tc>
          <w:tcPr>
            <w:tcW w:w="2332" w:type="dxa"/>
            <w:vMerge/>
            <w:shd w:val="clear" w:color="auto" w:fill="EAF3FB"/>
            <w:vAlign w:val="center"/>
            <w:hideMark/>
          </w:tcPr>
          <w:p w14:paraId="140DB5D5" w14:textId="77777777" w:rsidR="002C576C" w:rsidRPr="00E6167F" w:rsidRDefault="002C576C" w:rsidP="00A85050">
            <w:pPr>
              <w:spacing w:after="0" w:line="240" w:lineRule="auto"/>
              <w:rPr>
                <w:rFonts w:eastAsia="Times New Roman" w:cstheme="minorHAnsi"/>
                <w:lang w:eastAsia="ru-RU"/>
              </w:rPr>
            </w:pPr>
          </w:p>
        </w:tc>
        <w:tc>
          <w:tcPr>
            <w:tcW w:w="1956" w:type="dxa"/>
            <w:shd w:val="clear" w:color="auto" w:fill="auto"/>
            <w:vAlign w:val="center"/>
            <w:hideMark/>
          </w:tcPr>
          <w:p w14:paraId="6D0564F7" w14:textId="48806856" w:rsidR="002C576C" w:rsidRPr="00E6167F" w:rsidRDefault="002C576C" w:rsidP="00A85050">
            <w:pPr>
              <w:spacing w:before="15" w:after="15" w:line="240" w:lineRule="auto"/>
              <w:rPr>
                <w:rFonts w:eastAsia="Times New Roman" w:cstheme="minorHAnsi"/>
                <w:lang w:eastAsia="ru-RU"/>
              </w:rPr>
            </w:pPr>
            <w:r w:rsidRPr="00E6167F">
              <w:rPr>
                <w:rFonts w:eastAsia="Times New Roman" w:cstheme="minorHAnsi"/>
                <w:lang w:eastAsia="ru-RU"/>
              </w:rPr>
              <w:t>Maximum</w:t>
            </w:r>
          </w:p>
        </w:tc>
        <w:tc>
          <w:tcPr>
            <w:tcW w:w="2423" w:type="dxa"/>
            <w:shd w:val="clear" w:color="auto" w:fill="auto"/>
            <w:vAlign w:val="center"/>
            <w:hideMark/>
          </w:tcPr>
          <w:p w14:paraId="02FF5568" w14:textId="77777777" w:rsidR="002C576C" w:rsidRPr="00E6167F" w:rsidRDefault="002C576C" w:rsidP="00A85050">
            <w:pPr>
              <w:spacing w:before="15" w:after="15" w:line="240" w:lineRule="auto"/>
              <w:jc w:val="right"/>
              <w:rPr>
                <w:rFonts w:eastAsia="Times New Roman" w:cstheme="minorHAnsi"/>
                <w:color w:val="000000" w:themeColor="text1"/>
                <w:lang w:eastAsia="ru-RU"/>
              </w:rPr>
            </w:pPr>
            <w:r w:rsidRPr="00E6167F">
              <w:rPr>
                <w:rFonts w:eastAsia="Times New Roman" w:cstheme="minorHAnsi"/>
                <w:color w:val="000000" w:themeColor="text1"/>
                <w:lang w:eastAsia="ru-RU"/>
              </w:rPr>
              <w:t>2650</w:t>
            </w:r>
          </w:p>
        </w:tc>
        <w:tc>
          <w:tcPr>
            <w:tcW w:w="2679" w:type="dxa"/>
            <w:shd w:val="clear" w:color="auto" w:fill="auto"/>
            <w:vAlign w:val="center"/>
            <w:hideMark/>
          </w:tcPr>
          <w:p w14:paraId="187C39FF" w14:textId="77777777" w:rsidR="002C576C" w:rsidRPr="00E6167F" w:rsidRDefault="002C576C" w:rsidP="00A85050">
            <w:pPr>
              <w:spacing w:before="15" w:after="15" w:line="240" w:lineRule="auto"/>
              <w:jc w:val="right"/>
              <w:rPr>
                <w:rFonts w:eastAsia="Times New Roman" w:cstheme="minorHAnsi"/>
                <w:color w:val="000000" w:themeColor="text1"/>
                <w:lang w:eastAsia="ru-RU"/>
              </w:rPr>
            </w:pPr>
            <w:r w:rsidRPr="00E6167F">
              <w:rPr>
                <w:rFonts w:eastAsia="Times New Roman" w:cstheme="minorHAnsi"/>
                <w:color w:val="000000" w:themeColor="text1"/>
                <w:lang w:eastAsia="ru-RU"/>
              </w:rPr>
              <w:t>2980</w:t>
            </w:r>
          </w:p>
        </w:tc>
      </w:tr>
      <w:tr w:rsidR="004C0A93" w:rsidRPr="00E6167F" w14:paraId="70CDFBE5" w14:textId="77777777" w:rsidTr="00730CD2">
        <w:trPr>
          <w:jc w:val="center"/>
        </w:trPr>
        <w:tc>
          <w:tcPr>
            <w:tcW w:w="2332" w:type="dxa"/>
            <w:vMerge w:val="restart"/>
            <w:shd w:val="clear" w:color="auto" w:fill="auto"/>
            <w:vAlign w:val="center"/>
            <w:hideMark/>
          </w:tcPr>
          <w:p w14:paraId="018568BE" w14:textId="77777777" w:rsidR="002C576C" w:rsidRPr="00E6167F" w:rsidRDefault="002C576C" w:rsidP="00A85050">
            <w:pPr>
              <w:spacing w:before="15" w:after="15" w:line="240" w:lineRule="auto"/>
              <w:rPr>
                <w:rFonts w:eastAsia="Times New Roman" w:cstheme="minorHAnsi"/>
                <w:color w:val="0D293F"/>
                <w:lang w:eastAsia="ru-RU"/>
              </w:rPr>
            </w:pPr>
            <w:r w:rsidRPr="00E6167F">
              <w:rPr>
                <w:rFonts w:eastAsia="Times New Roman" w:cstheme="minorHAnsi"/>
                <w:color w:val="222222"/>
                <w:lang w:eastAsia="ru-RU"/>
              </w:rPr>
              <w:t>Co-payment of the surgical profile</w:t>
            </w:r>
          </w:p>
        </w:tc>
        <w:tc>
          <w:tcPr>
            <w:tcW w:w="1956" w:type="dxa"/>
            <w:shd w:val="clear" w:color="auto" w:fill="auto"/>
            <w:vAlign w:val="center"/>
            <w:hideMark/>
          </w:tcPr>
          <w:p w14:paraId="760FE1EA" w14:textId="012F99C4" w:rsidR="002C576C" w:rsidRPr="00E6167F" w:rsidRDefault="002C576C" w:rsidP="00A85050">
            <w:pPr>
              <w:spacing w:before="15" w:after="15" w:line="240" w:lineRule="auto"/>
              <w:rPr>
                <w:rFonts w:eastAsia="Times New Roman" w:cstheme="minorHAnsi"/>
                <w:color w:val="0D293F"/>
                <w:lang w:eastAsia="ru-RU"/>
              </w:rPr>
            </w:pPr>
            <w:r w:rsidRPr="00E6167F">
              <w:rPr>
                <w:rFonts w:eastAsia="Times New Roman" w:cstheme="minorHAnsi"/>
                <w:color w:val="222222"/>
                <w:lang w:eastAsia="ru-RU"/>
              </w:rPr>
              <w:t>Minimum</w:t>
            </w:r>
          </w:p>
        </w:tc>
        <w:tc>
          <w:tcPr>
            <w:tcW w:w="2423" w:type="dxa"/>
            <w:shd w:val="clear" w:color="auto" w:fill="auto"/>
            <w:vAlign w:val="center"/>
            <w:hideMark/>
          </w:tcPr>
          <w:p w14:paraId="5A5AC43F" w14:textId="77777777" w:rsidR="002C576C" w:rsidRPr="00E6167F" w:rsidRDefault="002C576C" w:rsidP="00A85050">
            <w:pPr>
              <w:spacing w:before="15" w:after="15" w:line="240" w:lineRule="auto"/>
              <w:jc w:val="right"/>
              <w:rPr>
                <w:rFonts w:eastAsia="Times New Roman" w:cstheme="minorHAnsi"/>
                <w:color w:val="000000" w:themeColor="text1"/>
                <w:lang w:eastAsia="ru-RU"/>
              </w:rPr>
            </w:pPr>
            <w:r w:rsidRPr="00E6167F">
              <w:rPr>
                <w:rFonts w:eastAsia="Times New Roman" w:cstheme="minorHAnsi"/>
                <w:color w:val="000000" w:themeColor="text1"/>
                <w:lang w:eastAsia="ru-RU"/>
              </w:rPr>
              <w:t>430</w:t>
            </w:r>
          </w:p>
        </w:tc>
        <w:tc>
          <w:tcPr>
            <w:tcW w:w="2679" w:type="dxa"/>
            <w:shd w:val="clear" w:color="auto" w:fill="auto"/>
            <w:vAlign w:val="center"/>
            <w:hideMark/>
          </w:tcPr>
          <w:p w14:paraId="67277C07" w14:textId="77777777" w:rsidR="002C576C" w:rsidRPr="00E6167F" w:rsidRDefault="002C576C" w:rsidP="00A85050">
            <w:pPr>
              <w:spacing w:before="15" w:after="15" w:line="240" w:lineRule="auto"/>
              <w:jc w:val="right"/>
              <w:rPr>
                <w:rFonts w:eastAsia="Times New Roman" w:cstheme="minorHAnsi"/>
                <w:color w:val="000000" w:themeColor="text1"/>
                <w:lang w:eastAsia="ru-RU"/>
              </w:rPr>
            </w:pPr>
            <w:r w:rsidRPr="00E6167F">
              <w:rPr>
                <w:rFonts w:eastAsia="Times New Roman" w:cstheme="minorHAnsi"/>
                <w:color w:val="000000" w:themeColor="text1"/>
                <w:lang w:eastAsia="ru-RU"/>
              </w:rPr>
              <w:t>430</w:t>
            </w:r>
          </w:p>
        </w:tc>
      </w:tr>
      <w:tr w:rsidR="004C0A93" w:rsidRPr="00E6167F" w14:paraId="18A8D321" w14:textId="77777777" w:rsidTr="00730CD2">
        <w:trPr>
          <w:jc w:val="center"/>
        </w:trPr>
        <w:tc>
          <w:tcPr>
            <w:tcW w:w="2332" w:type="dxa"/>
            <w:vMerge/>
            <w:shd w:val="clear" w:color="auto" w:fill="EAF3FB"/>
            <w:vAlign w:val="center"/>
            <w:hideMark/>
          </w:tcPr>
          <w:p w14:paraId="29457ADA" w14:textId="77777777" w:rsidR="002C576C" w:rsidRPr="00E6167F" w:rsidRDefault="002C576C" w:rsidP="00A85050">
            <w:pPr>
              <w:spacing w:after="0" w:line="240" w:lineRule="auto"/>
              <w:rPr>
                <w:rFonts w:eastAsia="Times New Roman" w:cstheme="minorHAnsi"/>
                <w:color w:val="0D293F"/>
                <w:lang w:eastAsia="ru-RU"/>
              </w:rPr>
            </w:pPr>
          </w:p>
        </w:tc>
        <w:tc>
          <w:tcPr>
            <w:tcW w:w="1956" w:type="dxa"/>
            <w:shd w:val="clear" w:color="auto" w:fill="auto"/>
            <w:vAlign w:val="center"/>
            <w:hideMark/>
          </w:tcPr>
          <w:p w14:paraId="6986BE02" w14:textId="1A2AA49C" w:rsidR="002C576C" w:rsidRPr="00E6167F" w:rsidRDefault="002C576C" w:rsidP="00A85050">
            <w:pPr>
              <w:spacing w:before="15" w:after="15" w:line="240" w:lineRule="auto"/>
              <w:rPr>
                <w:rFonts w:eastAsia="Times New Roman" w:cstheme="minorHAnsi"/>
                <w:color w:val="0D293F"/>
                <w:lang w:eastAsia="ru-RU"/>
              </w:rPr>
            </w:pPr>
            <w:r w:rsidRPr="00E6167F">
              <w:rPr>
                <w:rFonts w:eastAsia="Times New Roman" w:cstheme="minorHAnsi"/>
                <w:color w:val="222222"/>
                <w:lang w:eastAsia="ru-RU"/>
              </w:rPr>
              <w:t>Average</w:t>
            </w:r>
          </w:p>
        </w:tc>
        <w:tc>
          <w:tcPr>
            <w:tcW w:w="2423" w:type="dxa"/>
            <w:shd w:val="clear" w:color="auto" w:fill="auto"/>
            <w:vAlign w:val="center"/>
            <w:hideMark/>
          </w:tcPr>
          <w:p w14:paraId="71343122" w14:textId="3B3EEAC9" w:rsidR="002C576C" w:rsidRPr="00E6167F" w:rsidRDefault="002C576C" w:rsidP="00A85050">
            <w:pPr>
              <w:spacing w:before="15" w:after="15" w:line="240" w:lineRule="auto"/>
              <w:jc w:val="right"/>
              <w:rPr>
                <w:rFonts w:eastAsia="Times New Roman" w:cstheme="minorHAnsi"/>
                <w:color w:val="000000" w:themeColor="text1"/>
                <w:lang w:eastAsia="ru-RU"/>
              </w:rPr>
            </w:pPr>
            <w:r w:rsidRPr="00E6167F">
              <w:rPr>
                <w:rFonts w:eastAsia="Times New Roman" w:cstheme="minorHAnsi"/>
                <w:color w:val="000000" w:themeColor="text1"/>
                <w:lang w:eastAsia="ru-RU"/>
              </w:rPr>
              <w:t>1</w:t>
            </w:r>
            <w:r w:rsidR="00F86040">
              <w:rPr>
                <w:rFonts w:eastAsia="Times New Roman" w:cstheme="minorHAnsi"/>
                <w:color w:val="000000" w:themeColor="text1"/>
                <w:lang w:eastAsia="ru-RU"/>
              </w:rPr>
              <w:t>,</w:t>
            </w:r>
            <w:r w:rsidRPr="00E6167F">
              <w:rPr>
                <w:rFonts w:eastAsia="Times New Roman" w:cstheme="minorHAnsi"/>
                <w:color w:val="000000" w:themeColor="text1"/>
                <w:lang w:eastAsia="ru-RU"/>
              </w:rPr>
              <w:t>090</w:t>
            </w:r>
          </w:p>
        </w:tc>
        <w:tc>
          <w:tcPr>
            <w:tcW w:w="2679" w:type="dxa"/>
            <w:shd w:val="clear" w:color="auto" w:fill="auto"/>
            <w:vAlign w:val="center"/>
            <w:hideMark/>
          </w:tcPr>
          <w:p w14:paraId="7A4DE075" w14:textId="696548B6" w:rsidR="002C576C" w:rsidRPr="00E6167F" w:rsidRDefault="002C576C" w:rsidP="00A85050">
            <w:pPr>
              <w:spacing w:before="15" w:after="15" w:line="240" w:lineRule="auto"/>
              <w:jc w:val="right"/>
              <w:rPr>
                <w:rFonts w:eastAsia="Times New Roman" w:cstheme="minorHAnsi"/>
                <w:color w:val="000000" w:themeColor="text1"/>
                <w:lang w:eastAsia="ru-RU"/>
              </w:rPr>
            </w:pPr>
            <w:r w:rsidRPr="00E6167F">
              <w:rPr>
                <w:rFonts w:eastAsia="Times New Roman" w:cstheme="minorHAnsi"/>
                <w:color w:val="000000" w:themeColor="text1"/>
                <w:lang w:eastAsia="ru-RU"/>
              </w:rPr>
              <w:t>1</w:t>
            </w:r>
            <w:r w:rsidR="00F86040">
              <w:rPr>
                <w:rFonts w:eastAsia="Times New Roman" w:cstheme="minorHAnsi"/>
                <w:color w:val="000000" w:themeColor="text1"/>
                <w:lang w:eastAsia="ru-RU"/>
              </w:rPr>
              <w:t>,</w:t>
            </w:r>
            <w:r w:rsidRPr="00E6167F">
              <w:rPr>
                <w:rFonts w:eastAsia="Times New Roman" w:cstheme="minorHAnsi"/>
                <w:color w:val="000000" w:themeColor="text1"/>
                <w:lang w:eastAsia="ru-RU"/>
              </w:rPr>
              <w:t>510</w:t>
            </w:r>
          </w:p>
        </w:tc>
      </w:tr>
      <w:tr w:rsidR="004C0A93" w:rsidRPr="00E6167F" w14:paraId="703EC2C1" w14:textId="77777777" w:rsidTr="00730CD2">
        <w:trPr>
          <w:jc w:val="center"/>
        </w:trPr>
        <w:tc>
          <w:tcPr>
            <w:tcW w:w="2332" w:type="dxa"/>
            <w:vMerge/>
            <w:shd w:val="clear" w:color="auto" w:fill="EAF3FB"/>
            <w:vAlign w:val="center"/>
            <w:hideMark/>
          </w:tcPr>
          <w:p w14:paraId="1FB85EC0" w14:textId="77777777" w:rsidR="002C576C" w:rsidRPr="00E6167F" w:rsidRDefault="002C576C" w:rsidP="00A85050">
            <w:pPr>
              <w:spacing w:after="0" w:line="240" w:lineRule="auto"/>
              <w:rPr>
                <w:rFonts w:eastAsia="Times New Roman" w:cstheme="minorHAnsi"/>
                <w:color w:val="0D293F"/>
                <w:lang w:eastAsia="ru-RU"/>
              </w:rPr>
            </w:pPr>
          </w:p>
        </w:tc>
        <w:tc>
          <w:tcPr>
            <w:tcW w:w="1956" w:type="dxa"/>
            <w:shd w:val="clear" w:color="auto" w:fill="auto"/>
            <w:vAlign w:val="center"/>
            <w:hideMark/>
          </w:tcPr>
          <w:p w14:paraId="7F17A358" w14:textId="70F9B52F" w:rsidR="002C576C" w:rsidRPr="00E6167F" w:rsidRDefault="002C576C" w:rsidP="00A85050">
            <w:pPr>
              <w:spacing w:before="15" w:after="15" w:line="240" w:lineRule="auto"/>
              <w:rPr>
                <w:rFonts w:eastAsia="Times New Roman" w:cstheme="minorHAnsi"/>
                <w:color w:val="0D293F"/>
                <w:lang w:eastAsia="ru-RU"/>
              </w:rPr>
            </w:pPr>
            <w:r w:rsidRPr="00E6167F">
              <w:rPr>
                <w:rFonts w:eastAsia="Times New Roman" w:cstheme="minorHAnsi"/>
                <w:color w:val="222222"/>
                <w:lang w:eastAsia="ru-RU"/>
              </w:rPr>
              <w:t>Maximum</w:t>
            </w:r>
          </w:p>
        </w:tc>
        <w:tc>
          <w:tcPr>
            <w:tcW w:w="2423" w:type="dxa"/>
            <w:shd w:val="clear" w:color="auto" w:fill="auto"/>
            <w:vAlign w:val="center"/>
            <w:hideMark/>
          </w:tcPr>
          <w:p w14:paraId="48E25EA1" w14:textId="77C205CC" w:rsidR="002C576C" w:rsidRPr="00E6167F" w:rsidRDefault="002C576C" w:rsidP="00A85050">
            <w:pPr>
              <w:spacing w:before="15" w:after="15" w:line="240" w:lineRule="auto"/>
              <w:jc w:val="right"/>
              <w:rPr>
                <w:rFonts w:eastAsia="Times New Roman" w:cstheme="minorHAnsi"/>
                <w:color w:val="000000" w:themeColor="text1"/>
                <w:lang w:eastAsia="ru-RU"/>
              </w:rPr>
            </w:pPr>
            <w:r w:rsidRPr="00E6167F">
              <w:rPr>
                <w:rFonts w:eastAsia="Times New Roman" w:cstheme="minorHAnsi"/>
                <w:color w:val="000000" w:themeColor="text1"/>
                <w:lang w:eastAsia="ru-RU"/>
              </w:rPr>
              <w:t>3</w:t>
            </w:r>
            <w:r w:rsidR="00F86040">
              <w:rPr>
                <w:rFonts w:eastAsia="Times New Roman" w:cstheme="minorHAnsi"/>
                <w:color w:val="000000" w:themeColor="text1"/>
                <w:lang w:eastAsia="ru-RU"/>
              </w:rPr>
              <w:t>,</w:t>
            </w:r>
            <w:r w:rsidRPr="00E6167F">
              <w:rPr>
                <w:rFonts w:eastAsia="Times New Roman" w:cstheme="minorHAnsi"/>
                <w:color w:val="000000" w:themeColor="text1"/>
                <w:lang w:eastAsia="ru-RU"/>
              </w:rPr>
              <w:t>440</w:t>
            </w:r>
          </w:p>
        </w:tc>
        <w:tc>
          <w:tcPr>
            <w:tcW w:w="2679" w:type="dxa"/>
            <w:shd w:val="clear" w:color="auto" w:fill="auto"/>
            <w:vAlign w:val="center"/>
            <w:hideMark/>
          </w:tcPr>
          <w:p w14:paraId="2F55237A" w14:textId="6DA353A4" w:rsidR="002C576C" w:rsidRPr="00E6167F" w:rsidRDefault="002C576C" w:rsidP="00A85050">
            <w:pPr>
              <w:spacing w:before="15" w:after="15" w:line="240" w:lineRule="auto"/>
              <w:jc w:val="right"/>
              <w:rPr>
                <w:rFonts w:eastAsia="Times New Roman" w:cstheme="minorHAnsi"/>
                <w:color w:val="000000" w:themeColor="text1"/>
                <w:lang w:eastAsia="ru-RU"/>
              </w:rPr>
            </w:pPr>
            <w:r w:rsidRPr="00E6167F">
              <w:rPr>
                <w:rFonts w:eastAsia="Times New Roman" w:cstheme="minorHAnsi"/>
                <w:color w:val="000000" w:themeColor="text1"/>
                <w:lang w:eastAsia="ru-RU"/>
              </w:rPr>
              <w:t>3</w:t>
            </w:r>
            <w:r w:rsidR="00F86040">
              <w:rPr>
                <w:rFonts w:eastAsia="Times New Roman" w:cstheme="minorHAnsi"/>
                <w:color w:val="000000" w:themeColor="text1"/>
                <w:lang w:eastAsia="ru-RU"/>
              </w:rPr>
              <w:t>,</w:t>
            </w:r>
            <w:r w:rsidRPr="00E6167F">
              <w:rPr>
                <w:rFonts w:eastAsia="Times New Roman" w:cstheme="minorHAnsi"/>
                <w:color w:val="000000" w:themeColor="text1"/>
                <w:lang w:eastAsia="ru-RU"/>
              </w:rPr>
              <w:t>870</w:t>
            </w:r>
          </w:p>
        </w:tc>
      </w:tr>
    </w:tbl>
    <w:p w14:paraId="303D79DD" w14:textId="77777777" w:rsidR="00371142" w:rsidRPr="001B0064" w:rsidRDefault="002C576C" w:rsidP="00371142">
      <w:pPr>
        <w:spacing w:after="0" w:line="240" w:lineRule="auto"/>
        <w:jc w:val="both"/>
        <w:rPr>
          <w:rFonts w:cstheme="minorHAnsi"/>
          <w:sz w:val="20"/>
          <w:szCs w:val="20"/>
        </w:rPr>
      </w:pPr>
      <w:r w:rsidRPr="001B0064">
        <w:rPr>
          <w:rFonts w:eastAsia="Times New Roman" w:cstheme="minorHAnsi"/>
          <w:sz w:val="20"/>
          <w:szCs w:val="20"/>
        </w:rPr>
        <w:t xml:space="preserve">Source: </w:t>
      </w:r>
      <w:r w:rsidR="00371142" w:rsidRPr="001B0064">
        <w:rPr>
          <w:rFonts w:cstheme="minorHAnsi"/>
          <w:sz w:val="20"/>
          <w:szCs w:val="20"/>
        </w:rPr>
        <w:t>Government of the Kyrgyz Republic (2015)</w:t>
      </w:r>
    </w:p>
    <w:p w14:paraId="63059A1A" w14:textId="4556DBDD" w:rsidR="001873DF" w:rsidRPr="001B0064" w:rsidRDefault="00F86040" w:rsidP="00363D34">
      <w:pPr>
        <w:spacing w:line="240" w:lineRule="auto"/>
        <w:contextualSpacing/>
        <w:jc w:val="both"/>
        <w:rPr>
          <w:rFonts w:eastAsia="Times New Roman" w:cstheme="minorHAnsi"/>
          <w:sz w:val="20"/>
          <w:szCs w:val="20"/>
        </w:rPr>
      </w:pPr>
      <w:r w:rsidRPr="001B0064">
        <w:rPr>
          <w:rFonts w:eastAsia="Times New Roman" w:cstheme="minorHAnsi"/>
          <w:sz w:val="20"/>
          <w:szCs w:val="20"/>
        </w:rPr>
        <w:t>E</w:t>
      </w:r>
      <w:r w:rsidR="001873DF" w:rsidRPr="001B0064">
        <w:rPr>
          <w:rFonts w:eastAsia="Times New Roman" w:cstheme="minorHAnsi"/>
          <w:sz w:val="20"/>
          <w:szCs w:val="20"/>
        </w:rPr>
        <w:t xml:space="preserve">xchange rate: US$1 = Kyrgyz </w:t>
      </w:r>
      <w:proofErr w:type="spellStart"/>
      <w:r w:rsidR="001873DF" w:rsidRPr="001B0064">
        <w:rPr>
          <w:rFonts w:eastAsia="Times New Roman" w:cstheme="minorHAnsi"/>
          <w:sz w:val="20"/>
          <w:szCs w:val="20"/>
        </w:rPr>
        <w:t>soms</w:t>
      </w:r>
      <w:proofErr w:type="spellEnd"/>
      <w:r w:rsidR="001873DF" w:rsidRPr="001B0064">
        <w:rPr>
          <w:rFonts w:eastAsia="Times New Roman" w:cstheme="minorHAnsi"/>
          <w:sz w:val="20"/>
          <w:szCs w:val="20"/>
        </w:rPr>
        <w:t xml:space="preserve"> 70</w:t>
      </w:r>
    </w:p>
    <w:p w14:paraId="64BBBF2B" w14:textId="77777777" w:rsidR="00DD6C79" w:rsidRDefault="00DD6C79" w:rsidP="00363D34">
      <w:pPr>
        <w:spacing w:after="0" w:line="240" w:lineRule="auto"/>
        <w:jc w:val="both"/>
        <w:rPr>
          <w:rFonts w:cstheme="minorHAnsi"/>
        </w:rPr>
      </w:pPr>
    </w:p>
    <w:p w14:paraId="5C5D22DD" w14:textId="62AF8156" w:rsidR="00F24834" w:rsidRDefault="00C17048" w:rsidP="00363D34">
      <w:pPr>
        <w:spacing w:after="0" w:line="240" w:lineRule="auto"/>
        <w:jc w:val="both"/>
        <w:rPr>
          <w:rFonts w:cstheme="minorHAnsi"/>
        </w:rPr>
      </w:pPr>
      <w:r w:rsidRPr="00E6167F">
        <w:rPr>
          <w:rFonts w:cstheme="minorHAnsi"/>
        </w:rPr>
        <w:t xml:space="preserve">What </w:t>
      </w:r>
      <w:r w:rsidR="00936552" w:rsidRPr="00E6167F">
        <w:rPr>
          <w:rFonts w:cstheme="minorHAnsi"/>
        </w:rPr>
        <w:t xml:space="preserve">co-payment level the patient is subject to depends on his or her insurance status and </w:t>
      </w:r>
      <w:r w:rsidR="003F6F1B" w:rsidRPr="00E6167F">
        <w:rPr>
          <w:rFonts w:cstheme="minorHAnsi"/>
        </w:rPr>
        <w:t xml:space="preserve">whether </w:t>
      </w:r>
      <w:r w:rsidR="00EF18E9" w:rsidRPr="00E6167F">
        <w:rPr>
          <w:rFonts w:cstheme="minorHAnsi"/>
        </w:rPr>
        <w:t xml:space="preserve">s/he belongs to one of the groups eligible for reduction or exemption. </w:t>
      </w:r>
      <w:r w:rsidR="00775BFE" w:rsidRPr="00E6167F">
        <w:rPr>
          <w:rFonts w:cstheme="minorHAnsi"/>
        </w:rPr>
        <w:t xml:space="preserve">Citizens entitled to SGBP </w:t>
      </w:r>
      <w:r w:rsidR="0050158A" w:rsidRPr="00E6167F">
        <w:rPr>
          <w:rFonts w:cstheme="minorHAnsi"/>
        </w:rPr>
        <w:t xml:space="preserve">copayment reduction </w:t>
      </w:r>
      <w:r w:rsidR="00FA349D">
        <w:rPr>
          <w:rFonts w:cstheme="minorHAnsi"/>
        </w:rPr>
        <w:t xml:space="preserve">or </w:t>
      </w:r>
      <w:r w:rsidR="00FA349D" w:rsidRPr="00E6167F">
        <w:rPr>
          <w:rFonts w:cstheme="minorHAnsi"/>
        </w:rPr>
        <w:t xml:space="preserve">exemption </w:t>
      </w:r>
      <w:r w:rsidR="00775BFE" w:rsidRPr="00E6167F">
        <w:rPr>
          <w:rFonts w:cstheme="minorHAnsi"/>
        </w:rPr>
        <w:t xml:space="preserve">are divided in </w:t>
      </w:r>
      <w:r w:rsidR="00FA349D">
        <w:rPr>
          <w:rFonts w:cstheme="minorHAnsi"/>
        </w:rPr>
        <w:t xml:space="preserve">two </w:t>
      </w:r>
      <w:r w:rsidR="00775BFE" w:rsidRPr="00E6167F">
        <w:rPr>
          <w:rFonts w:cstheme="minorHAnsi"/>
        </w:rPr>
        <w:t>categories:</w:t>
      </w:r>
    </w:p>
    <w:p w14:paraId="0201BA3B" w14:textId="77777777" w:rsidR="009A095E" w:rsidRPr="00E6167F" w:rsidRDefault="009A095E" w:rsidP="00363D34">
      <w:pPr>
        <w:spacing w:after="0" w:line="240" w:lineRule="auto"/>
        <w:jc w:val="both"/>
        <w:rPr>
          <w:rFonts w:cstheme="minorHAnsi"/>
        </w:rPr>
      </w:pPr>
    </w:p>
    <w:p w14:paraId="7C0F5053" w14:textId="194D3E8C" w:rsidR="002D7565" w:rsidRPr="00E6167F" w:rsidRDefault="008B333C" w:rsidP="00363D34">
      <w:pPr>
        <w:pStyle w:val="ListParagraph"/>
        <w:numPr>
          <w:ilvl w:val="0"/>
          <w:numId w:val="18"/>
        </w:numPr>
        <w:spacing w:after="0" w:line="240" w:lineRule="auto"/>
        <w:contextualSpacing w:val="0"/>
        <w:jc w:val="both"/>
        <w:rPr>
          <w:rFonts w:cstheme="minorHAnsi"/>
        </w:rPr>
      </w:pPr>
      <w:r>
        <w:rPr>
          <w:rFonts w:cstheme="minorHAnsi"/>
        </w:rPr>
        <w:t>C</w:t>
      </w:r>
      <w:r w:rsidR="002D7565" w:rsidRPr="00E6167F">
        <w:rPr>
          <w:rFonts w:cstheme="minorHAnsi"/>
        </w:rPr>
        <w:t xml:space="preserve">itizens entitled to </w:t>
      </w:r>
      <w:r w:rsidR="00B91237" w:rsidRPr="00E6167F">
        <w:rPr>
          <w:rFonts w:cstheme="minorHAnsi"/>
        </w:rPr>
        <w:t>copayment exemption or reduction</w:t>
      </w:r>
      <w:r w:rsidR="002D7565" w:rsidRPr="00E6167F">
        <w:rPr>
          <w:rFonts w:cstheme="minorHAnsi"/>
        </w:rPr>
        <w:t xml:space="preserve"> based on their social status</w:t>
      </w:r>
      <w:r w:rsidR="00775BFE" w:rsidRPr="00E6167F">
        <w:rPr>
          <w:rFonts w:cstheme="minorHAnsi"/>
        </w:rPr>
        <w:t xml:space="preserve"> (30 categories); and</w:t>
      </w:r>
    </w:p>
    <w:p w14:paraId="72896A66" w14:textId="1DCC0AF3" w:rsidR="002D7565" w:rsidRPr="00E6167F" w:rsidRDefault="008B333C" w:rsidP="00363D34">
      <w:pPr>
        <w:pStyle w:val="ListParagraph"/>
        <w:numPr>
          <w:ilvl w:val="0"/>
          <w:numId w:val="18"/>
        </w:numPr>
        <w:spacing w:after="0" w:line="240" w:lineRule="auto"/>
        <w:contextualSpacing w:val="0"/>
        <w:jc w:val="both"/>
        <w:rPr>
          <w:rFonts w:cstheme="minorHAnsi"/>
        </w:rPr>
      </w:pPr>
      <w:r>
        <w:rPr>
          <w:rFonts w:cstheme="minorHAnsi"/>
        </w:rPr>
        <w:t>C</w:t>
      </w:r>
      <w:r w:rsidR="002D7565" w:rsidRPr="00E6167F">
        <w:rPr>
          <w:rFonts w:cstheme="minorHAnsi"/>
        </w:rPr>
        <w:t xml:space="preserve">itizens </w:t>
      </w:r>
      <w:r w:rsidR="00B91237" w:rsidRPr="00E6167F">
        <w:rPr>
          <w:rFonts w:cstheme="minorHAnsi"/>
        </w:rPr>
        <w:t xml:space="preserve">entitled to copayment exemption or reduction based on </w:t>
      </w:r>
      <w:r w:rsidR="002D7565" w:rsidRPr="00E6167F">
        <w:rPr>
          <w:rFonts w:cstheme="minorHAnsi"/>
        </w:rPr>
        <w:t xml:space="preserve">the clinical indications of the underlying disease </w:t>
      </w:r>
      <w:r w:rsidR="00775BFE" w:rsidRPr="00E6167F">
        <w:rPr>
          <w:rFonts w:cstheme="minorHAnsi"/>
        </w:rPr>
        <w:t>(16 categories).</w:t>
      </w:r>
    </w:p>
    <w:p w14:paraId="3E96BF8C" w14:textId="4F0D51C2" w:rsidR="00F1271A" w:rsidRPr="00E6167F" w:rsidRDefault="00F1271A" w:rsidP="00363D34">
      <w:pPr>
        <w:spacing w:after="0" w:line="240" w:lineRule="auto"/>
        <w:jc w:val="both"/>
        <w:rPr>
          <w:rFonts w:cstheme="minorHAnsi"/>
        </w:rPr>
      </w:pPr>
    </w:p>
    <w:p w14:paraId="640CCB38" w14:textId="2E10DF16" w:rsidR="005F3C8F" w:rsidRDefault="007F1730" w:rsidP="00363D34">
      <w:pPr>
        <w:spacing w:after="0" w:line="240" w:lineRule="auto"/>
        <w:jc w:val="both"/>
        <w:rPr>
          <w:rFonts w:cstheme="minorHAnsi"/>
        </w:rPr>
      </w:pPr>
      <w:r w:rsidRPr="005F3C8F">
        <w:rPr>
          <w:rFonts w:cstheme="minorHAnsi"/>
        </w:rPr>
        <w:t xml:space="preserve">The list of </w:t>
      </w:r>
      <w:r w:rsidR="00935EC1">
        <w:rPr>
          <w:rFonts w:cstheme="minorHAnsi"/>
        </w:rPr>
        <w:t xml:space="preserve">social and medical </w:t>
      </w:r>
      <w:r w:rsidRPr="005F3C8F">
        <w:rPr>
          <w:rFonts w:cstheme="minorHAnsi"/>
        </w:rPr>
        <w:t>categories</w:t>
      </w:r>
      <w:r w:rsidR="005F3C8F">
        <w:rPr>
          <w:rFonts w:cstheme="minorHAnsi"/>
        </w:rPr>
        <w:t xml:space="preserve"> is</w:t>
      </w:r>
      <w:r w:rsidRPr="005F3C8F">
        <w:rPr>
          <w:rFonts w:cstheme="minorHAnsi"/>
        </w:rPr>
        <w:t xml:space="preserve"> </w:t>
      </w:r>
      <w:r w:rsidR="005F3C8F" w:rsidRPr="005F3C8F">
        <w:rPr>
          <w:rFonts w:cstheme="minorHAnsi"/>
        </w:rPr>
        <w:t xml:space="preserve">provided in Annex 1. </w:t>
      </w:r>
      <w:r w:rsidR="003440D8">
        <w:rPr>
          <w:rFonts w:cstheme="minorHAnsi"/>
        </w:rPr>
        <w:t>As can be seen, the list is extensive</w:t>
      </w:r>
      <w:r w:rsidR="00E952F9">
        <w:rPr>
          <w:rFonts w:cstheme="minorHAnsi"/>
        </w:rPr>
        <w:t xml:space="preserve">. Many of the social categories </w:t>
      </w:r>
      <w:r w:rsidR="006343D1">
        <w:rPr>
          <w:rFonts w:cstheme="minorHAnsi"/>
        </w:rPr>
        <w:t>can be considered people of merits</w:t>
      </w:r>
      <w:r w:rsidR="00C21D92">
        <w:rPr>
          <w:rFonts w:cstheme="minorHAnsi"/>
        </w:rPr>
        <w:t xml:space="preserve"> (</w:t>
      </w:r>
      <w:r w:rsidR="006343D1">
        <w:rPr>
          <w:rFonts w:cstheme="minorHAnsi"/>
        </w:rPr>
        <w:t xml:space="preserve">i.e., having </w:t>
      </w:r>
      <w:r w:rsidR="008B6C76">
        <w:rPr>
          <w:rFonts w:cstheme="minorHAnsi"/>
        </w:rPr>
        <w:t>served the country</w:t>
      </w:r>
      <w:r w:rsidR="00C21D92">
        <w:rPr>
          <w:rFonts w:cstheme="minorHAnsi"/>
        </w:rPr>
        <w:t>)</w:t>
      </w:r>
      <w:r w:rsidR="008B6C76">
        <w:rPr>
          <w:rFonts w:cstheme="minorHAnsi"/>
        </w:rPr>
        <w:t xml:space="preserve">, while others </w:t>
      </w:r>
      <w:r w:rsidR="00C21D92">
        <w:rPr>
          <w:rFonts w:cstheme="minorHAnsi"/>
        </w:rPr>
        <w:t xml:space="preserve">can be considered disadvantaged (i.e., </w:t>
      </w:r>
      <w:r w:rsidR="008F2AAA">
        <w:rPr>
          <w:rFonts w:cstheme="minorHAnsi"/>
        </w:rPr>
        <w:t xml:space="preserve">people with disability). However, it is not clear if all categories are in the financial need for </w:t>
      </w:r>
      <w:r w:rsidR="008417C6">
        <w:rPr>
          <w:rFonts w:cstheme="minorHAnsi"/>
        </w:rPr>
        <w:t>ful</w:t>
      </w:r>
      <w:r w:rsidR="00315BED">
        <w:rPr>
          <w:rFonts w:cstheme="minorHAnsi"/>
        </w:rPr>
        <w:t>l</w:t>
      </w:r>
      <w:r w:rsidR="008417C6">
        <w:rPr>
          <w:rFonts w:cstheme="minorHAnsi"/>
        </w:rPr>
        <w:t xml:space="preserve"> subsidiz</w:t>
      </w:r>
      <w:r w:rsidR="00315BED">
        <w:rPr>
          <w:rFonts w:cstheme="minorHAnsi"/>
        </w:rPr>
        <w:t>ation</w:t>
      </w:r>
      <w:r w:rsidR="008417C6">
        <w:rPr>
          <w:rFonts w:cstheme="minorHAnsi"/>
        </w:rPr>
        <w:t xml:space="preserve">. </w:t>
      </w:r>
      <w:r w:rsidR="00F4503A">
        <w:rPr>
          <w:rFonts w:cstheme="minorHAnsi"/>
        </w:rPr>
        <w:t xml:space="preserve">The same observation is applied to the 16 medical groups. </w:t>
      </w:r>
      <w:r w:rsidR="003440D8">
        <w:rPr>
          <w:rFonts w:cstheme="minorHAnsi"/>
        </w:rPr>
        <w:t xml:space="preserve">As reported by the MHIF, the benefits of </w:t>
      </w:r>
      <w:r w:rsidR="00A041BC">
        <w:rPr>
          <w:rFonts w:cstheme="minorHAnsi"/>
        </w:rPr>
        <w:t xml:space="preserve">most </w:t>
      </w:r>
      <w:r w:rsidR="003440D8">
        <w:rPr>
          <w:rFonts w:cstheme="minorHAnsi"/>
        </w:rPr>
        <w:t xml:space="preserve">of the </w:t>
      </w:r>
      <w:r w:rsidR="003527C2">
        <w:rPr>
          <w:rFonts w:cstheme="minorHAnsi"/>
        </w:rPr>
        <w:t xml:space="preserve">30+16 </w:t>
      </w:r>
      <w:r w:rsidR="003440D8">
        <w:rPr>
          <w:rFonts w:cstheme="minorHAnsi"/>
        </w:rPr>
        <w:t>categories are dictated by different laws</w:t>
      </w:r>
      <w:r w:rsidR="003527C2">
        <w:rPr>
          <w:rFonts w:cstheme="minorHAnsi"/>
        </w:rPr>
        <w:t xml:space="preserve"> and </w:t>
      </w:r>
      <w:r w:rsidR="00B21805">
        <w:rPr>
          <w:rFonts w:cstheme="minorHAnsi"/>
        </w:rPr>
        <w:t xml:space="preserve">changes </w:t>
      </w:r>
      <w:r w:rsidR="003527C2">
        <w:rPr>
          <w:rFonts w:cstheme="minorHAnsi"/>
        </w:rPr>
        <w:t xml:space="preserve">to their benefits </w:t>
      </w:r>
      <w:r w:rsidR="00CC42C1">
        <w:rPr>
          <w:rFonts w:cstheme="minorHAnsi"/>
        </w:rPr>
        <w:t xml:space="preserve">would involve </w:t>
      </w:r>
      <w:r w:rsidR="00B21805">
        <w:rPr>
          <w:rFonts w:cstheme="minorHAnsi"/>
        </w:rPr>
        <w:t xml:space="preserve">amendment </w:t>
      </w:r>
      <w:r w:rsidR="002B2033">
        <w:rPr>
          <w:rFonts w:cstheme="minorHAnsi"/>
        </w:rPr>
        <w:t xml:space="preserve">not only </w:t>
      </w:r>
      <w:r w:rsidR="00B21805">
        <w:rPr>
          <w:rFonts w:cstheme="minorHAnsi"/>
        </w:rPr>
        <w:t xml:space="preserve">in </w:t>
      </w:r>
      <w:r w:rsidR="002B2033">
        <w:rPr>
          <w:rFonts w:cstheme="minorHAnsi"/>
        </w:rPr>
        <w:t xml:space="preserve">the SGBP regulations </w:t>
      </w:r>
      <w:r w:rsidR="00B21805">
        <w:rPr>
          <w:rFonts w:cstheme="minorHAnsi"/>
        </w:rPr>
        <w:t xml:space="preserve">but also other respective laws as well. </w:t>
      </w:r>
    </w:p>
    <w:p w14:paraId="584B0D42" w14:textId="77777777" w:rsidR="007307DE" w:rsidRDefault="007307DE" w:rsidP="00363D34">
      <w:pPr>
        <w:spacing w:after="0" w:line="240" w:lineRule="auto"/>
        <w:jc w:val="both"/>
        <w:rPr>
          <w:rFonts w:cstheme="minorHAnsi"/>
        </w:rPr>
      </w:pPr>
    </w:p>
    <w:p w14:paraId="2ACB7163" w14:textId="08C49689" w:rsidR="00F8409C" w:rsidRPr="00E6167F" w:rsidRDefault="002A65C4" w:rsidP="00363D34">
      <w:pPr>
        <w:spacing w:after="0" w:line="240" w:lineRule="auto"/>
        <w:jc w:val="both"/>
        <w:rPr>
          <w:rFonts w:cstheme="minorHAnsi"/>
        </w:rPr>
      </w:pPr>
      <w:r w:rsidRPr="00E6167F">
        <w:rPr>
          <w:rFonts w:cstheme="minorHAnsi"/>
        </w:rPr>
        <w:t xml:space="preserve">The </w:t>
      </w:r>
      <w:r w:rsidR="002975A9" w:rsidRPr="00E6167F">
        <w:rPr>
          <w:rFonts w:cstheme="minorHAnsi"/>
        </w:rPr>
        <w:t>list of eligible categories is occasionally revised</w:t>
      </w:r>
      <w:r w:rsidR="00C76520">
        <w:rPr>
          <w:rFonts w:cstheme="minorHAnsi"/>
        </w:rPr>
        <w:t xml:space="preserve">, typically to add rather than remove </w:t>
      </w:r>
      <w:r w:rsidR="00381B77">
        <w:rPr>
          <w:rFonts w:cstheme="minorHAnsi"/>
        </w:rPr>
        <w:t xml:space="preserve">benefits. </w:t>
      </w:r>
      <w:r w:rsidR="002975A9" w:rsidRPr="00E6167F">
        <w:rPr>
          <w:rFonts w:cstheme="minorHAnsi"/>
        </w:rPr>
        <w:t xml:space="preserve">For example, the </w:t>
      </w:r>
      <w:r w:rsidR="00F8409C" w:rsidRPr="00E6167F">
        <w:rPr>
          <w:rFonts w:cstheme="minorHAnsi"/>
        </w:rPr>
        <w:t xml:space="preserve">Resolution of the government of the Kyrgyz Republic of September 7, 2018 No. 420 "On amendments to certain resolutions of the government of the Kyrgyz Republic in the field of health care and health insurance" </w:t>
      </w:r>
      <w:r w:rsidR="00763673">
        <w:rPr>
          <w:rFonts w:cstheme="minorHAnsi"/>
        </w:rPr>
        <w:t>extended the</w:t>
      </w:r>
      <w:r w:rsidR="00F8409C" w:rsidRPr="00E6167F">
        <w:rPr>
          <w:rFonts w:cstheme="minorHAnsi"/>
        </w:rPr>
        <w:t xml:space="preserve"> categories entitled to free medical care at the outpatient level</w:t>
      </w:r>
      <w:r w:rsidR="00763673">
        <w:rPr>
          <w:rFonts w:cstheme="minorHAnsi"/>
        </w:rPr>
        <w:t xml:space="preserve"> </w:t>
      </w:r>
      <w:r w:rsidR="00F8409C" w:rsidRPr="00E6167F">
        <w:rPr>
          <w:rFonts w:cstheme="minorHAnsi"/>
        </w:rPr>
        <w:t xml:space="preserve">to include the following categories of the insured people: </w:t>
      </w:r>
      <w:r w:rsidR="00C626B7">
        <w:rPr>
          <w:rFonts w:cstheme="minorHAnsi"/>
        </w:rPr>
        <w:t>(i)</w:t>
      </w:r>
      <w:r w:rsidR="00F8409C" w:rsidRPr="00E6167F">
        <w:rPr>
          <w:rFonts w:cstheme="minorHAnsi"/>
        </w:rPr>
        <w:t xml:space="preserve"> unemployed population officially registered in the public employment service; </w:t>
      </w:r>
      <w:r w:rsidR="00C626B7">
        <w:rPr>
          <w:rFonts w:cstheme="minorHAnsi"/>
        </w:rPr>
        <w:t>(ii</w:t>
      </w:r>
      <w:r w:rsidR="00F8409C" w:rsidRPr="00E6167F">
        <w:rPr>
          <w:rFonts w:cstheme="minorHAnsi"/>
        </w:rPr>
        <w:t xml:space="preserve">) students of secondary and higher educational institutions of full-time education until the age of 21; </w:t>
      </w:r>
      <w:r w:rsidR="00AD5651">
        <w:rPr>
          <w:rFonts w:cstheme="minorHAnsi"/>
        </w:rPr>
        <w:t xml:space="preserve">and </w:t>
      </w:r>
      <w:r w:rsidR="00C626B7">
        <w:rPr>
          <w:rFonts w:cstheme="minorHAnsi"/>
        </w:rPr>
        <w:t>(iii</w:t>
      </w:r>
      <w:r w:rsidR="00F8409C" w:rsidRPr="00E6167F">
        <w:rPr>
          <w:rFonts w:cstheme="minorHAnsi"/>
        </w:rPr>
        <w:t>) military personnel</w:t>
      </w:r>
      <w:r w:rsidR="00AD5651">
        <w:rPr>
          <w:rFonts w:cstheme="minorHAnsi"/>
        </w:rPr>
        <w:t>.</w:t>
      </w:r>
    </w:p>
    <w:p w14:paraId="56844156" w14:textId="77777777" w:rsidR="00F8409C" w:rsidRPr="00E6167F" w:rsidRDefault="00F8409C" w:rsidP="00363D34">
      <w:pPr>
        <w:spacing w:after="0" w:line="240" w:lineRule="auto"/>
        <w:jc w:val="both"/>
        <w:rPr>
          <w:rFonts w:cstheme="minorHAnsi"/>
        </w:rPr>
      </w:pPr>
    </w:p>
    <w:p w14:paraId="5718097A" w14:textId="20D00ECB" w:rsidR="003F4115" w:rsidRDefault="000F7ECD" w:rsidP="00363D34">
      <w:pPr>
        <w:spacing w:after="0" w:line="240" w:lineRule="auto"/>
        <w:jc w:val="both"/>
        <w:rPr>
          <w:rFonts w:cstheme="minorHAnsi"/>
        </w:rPr>
      </w:pPr>
      <w:r>
        <w:rPr>
          <w:rFonts w:cstheme="minorHAnsi"/>
        </w:rPr>
        <w:t xml:space="preserve">There is a cap to </w:t>
      </w:r>
      <w:r w:rsidR="00BD1869">
        <w:rPr>
          <w:rFonts w:cstheme="minorHAnsi"/>
        </w:rPr>
        <w:t xml:space="preserve">inpatient benefits for most patients. For example, except for children under </w:t>
      </w:r>
      <w:r w:rsidR="005542CB">
        <w:rPr>
          <w:rFonts w:cstheme="minorHAnsi"/>
        </w:rPr>
        <w:t>six</w:t>
      </w:r>
      <w:r w:rsidR="00BD1869">
        <w:rPr>
          <w:rFonts w:cstheme="minorHAnsi"/>
        </w:rPr>
        <w:t xml:space="preserve">, all </w:t>
      </w:r>
      <w:r w:rsidR="0033631C">
        <w:rPr>
          <w:rFonts w:cstheme="minorHAnsi"/>
        </w:rPr>
        <w:t xml:space="preserve">social categories have a cap of </w:t>
      </w:r>
      <w:r w:rsidR="005542CB">
        <w:rPr>
          <w:rFonts w:cstheme="minorHAnsi"/>
        </w:rPr>
        <w:t xml:space="preserve">two </w:t>
      </w:r>
      <w:r w:rsidR="0033631C">
        <w:rPr>
          <w:rFonts w:cstheme="minorHAnsi"/>
        </w:rPr>
        <w:t xml:space="preserve">free admissions per year, and the third </w:t>
      </w:r>
      <w:r w:rsidR="00103430">
        <w:rPr>
          <w:rFonts w:cstheme="minorHAnsi"/>
        </w:rPr>
        <w:t xml:space="preserve">and higher </w:t>
      </w:r>
      <w:r w:rsidR="0033631C">
        <w:rPr>
          <w:rFonts w:cstheme="minorHAnsi"/>
        </w:rPr>
        <w:t xml:space="preserve">admission of the year </w:t>
      </w:r>
      <w:r w:rsidR="00D644DC">
        <w:rPr>
          <w:rFonts w:cstheme="minorHAnsi"/>
        </w:rPr>
        <w:t xml:space="preserve">are </w:t>
      </w:r>
      <w:r w:rsidR="0033631C">
        <w:rPr>
          <w:rFonts w:cstheme="minorHAnsi"/>
        </w:rPr>
        <w:t>subject to average copayment. Furthermore, t</w:t>
      </w:r>
      <w:r w:rsidR="00884C8F" w:rsidRPr="00E6167F">
        <w:rPr>
          <w:rFonts w:cstheme="minorHAnsi"/>
        </w:rPr>
        <w:t>here is no stop</w:t>
      </w:r>
      <w:r w:rsidR="0088413E">
        <w:rPr>
          <w:rFonts w:cstheme="minorHAnsi"/>
        </w:rPr>
        <w:t>-</w:t>
      </w:r>
      <w:r w:rsidR="00884C8F" w:rsidRPr="00E6167F">
        <w:rPr>
          <w:rFonts w:cstheme="minorHAnsi"/>
        </w:rPr>
        <w:t>loss provision in the SGBP</w:t>
      </w:r>
      <w:r w:rsidR="00E4393A" w:rsidRPr="00E6167F">
        <w:rPr>
          <w:rFonts w:cstheme="minorHAnsi"/>
        </w:rPr>
        <w:t>.</w:t>
      </w:r>
      <w:r w:rsidR="00025254">
        <w:rPr>
          <w:rStyle w:val="FootnoteReference"/>
          <w:rFonts w:cstheme="minorHAnsi"/>
        </w:rPr>
        <w:footnoteReference w:id="1"/>
      </w:r>
      <w:r w:rsidR="00E4393A" w:rsidRPr="00E6167F">
        <w:rPr>
          <w:rFonts w:cstheme="minorHAnsi"/>
        </w:rPr>
        <w:t xml:space="preserve"> </w:t>
      </w:r>
      <w:r w:rsidR="00D644DC">
        <w:rPr>
          <w:rFonts w:cstheme="minorHAnsi"/>
        </w:rPr>
        <w:t xml:space="preserve">On the opposite, </w:t>
      </w:r>
      <w:r w:rsidR="006F4036">
        <w:rPr>
          <w:rFonts w:cstheme="minorHAnsi"/>
        </w:rPr>
        <w:t>t</w:t>
      </w:r>
      <w:r w:rsidR="00E4393A" w:rsidRPr="00E6167F">
        <w:rPr>
          <w:rFonts w:cstheme="minorHAnsi"/>
        </w:rPr>
        <w:t xml:space="preserve">he </w:t>
      </w:r>
      <w:r w:rsidR="006B34F5" w:rsidRPr="00E6167F">
        <w:rPr>
          <w:rFonts w:cstheme="minorHAnsi"/>
        </w:rPr>
        <w:t>legislation</w:t>
      </w:r>
      <w:r w:rsidR="00E4393A" w:rsidRPr="00E6167F">
        <w:rPr>
          <w:rFonts w:cstheme="minorHAnsi"/>
        </w:rPr>
        <w:t xml:space="preserve"> </w:t>
      </w:r>
      <w:r w:rsidR="00B95B74">
        <w:rPr>
          <w:rFonts w:cstheme="minorHAnsi"/>
        </w:rPr>
        <w:t xml:space="preserve">stipulated that </w:t>
      </w:r>
      <w:r w:rsidR="003F4115" w:rsidRPr="00E6167F">
        <w:rPr>
          <w:rFonts w:cstheme="minorHAnsi"/>
        </w:rPr>
        <w:t xml:space="preserve">when the actual cost of providing medication to a patient is three times </w:t>
      </w:r>
      <w:r w:rsidR="003F4115" w:rsidRPr="00E6167F">
        <w:rPr>
          <w:rFonts w:cstheme="minorHAnsi"/>
        </w:rPr>
        <w:lastRenderedPageBreak/>
        <w:t>higher than the average cost of the treatment, approved by the authorized state body in the field of mandatory health insurance, the treatment-and-control committee of the hospital may decide to charge additional costs for drugs required for further treatment at the expense of the patient, regardless of his/her entitlement to benefits.</w:t>
      </w:r>
      <w:r w:rsidR="003344D3" w:rsidRPr="00E6167F">
        <w:rPr>
          <w:rFonts w:cstheme="minorHAnsi"/>
        </w:rPr>
        <w:t xml:space="preserve"> </w:t>
      </w:r>
    </w:p>
    <w:p w14:paraId="434DF071" w14:textId="0937834D" w:rsidR="00AD62A8" w:rsidRPr="006F4036" w:rsidRDefault="00AD62A8" w:rsidP="006E2D13">
      <w:pPr>
        <w:pStyle w:val="ListParagraph"/>
        <w:numPr>
          <w:ilvl w:val="0"/>
          <w:numId w:val="36"/>
        </w:numPr>
        <w:spacing w:before="240" w:after="120" w:line="240" w:lineRule="auto"/>
        <w:jc w:val="both"/>
        <w:rPr>
          <w:rFonts w:cstheme="minorHAnsi"/>
          <w:b/>
        </w:rPr>
      </w:pPr>
      <w:r w:rsidRPr="006F4036">
        <w:rPr>
          <w:rFonts w:cstheme="minorHAnsi"/>
          <w:b/>
        </w:rPr>
        <w:t xml:space="preserve">Specialized services </w:t>
      </w:r>
    </w:p>
    <w:p w14:paraId="30C20EAA" w14:textId="16AD8C10" w:rsidR="001C5570" w:rsidRPr="00F05163" w:rsidRDefault="00933A2D" w:rsidP="00363D34">
      <w:pPr>
        <w:spacing w:after="0" w:line="240" w:lineRule="auto"/>
        <w:jc w:val="both"/>
        <w:rPr>
          <w:rFonts w:cstheme="minorHAnsi"/>
        </w:rPr>
      </w:pPr>
      <w:r w:rsidRPr="00E6167F">
        <w:rPr>
          <w:rFonts w:cstheme="minorHAnsi"/>
        </w:rPr>
        <w:t>In 2016</w:t>
      </w:r>
      <w:r w:rsidR="007B07DF" w:rsidRPr="00E6167F">
        <w:rPr>
          <w:rFonts w:cstheme="minorHAnsi"/>
        </w:rPr>
        <w:t>,</w:t>
      </w:r>
      <w:r w:rsidRPr="00E6167F">
        <w:rPr>
          <w:rFonts w:cstheme="minorHAnsi"/>
        </w:rPr>
        <w:t xml:space="preserve"> four specialized </w:t>
      </w:r>
      <w:r w:rsidRPr="00013240">
        <w:rPr>
          <w:rFonts w:cstheme="minorHAnsi"/>
        </w:rPr>
        <w:t>services of oncology, hematology, cardio-surgery, and psychiatry (mental health) were integrated into the SGBP</w:t>
      </w:r>
      <w:r w:rsidR="000A06EE" w:rsidRPr="00013240">
        <w:rPr>
          <w:rFonts w:cstheme="minorHAnsi"/>
        </w:rPr>
        <w:t xml:space="preserve"> (</w:t>
      </w:r>
      <w:r w:rsidR="000A06EE" w:rsidRPr="00013240">
        <w:t>O’Dougherty and Akkazieva, 2016)</w:t>
      </w:r>
      <w:r w:rsidRPr="00013240">
        <w:rPr>
          <w:rFonts w:cstheme="minorHAnsi"/>
        </w:rPr>
        <w:t xml:space="preserve">. Previously, they were either vertical systems or specialized services funded directly by the </w:t>
      </w:r>
      <w:proofErr w:type="spellStart"/>
      <w:r w:rsidRPr="00013240">
        <w:rPr>
          <w:rFonts w:cstheme="minorHAnsi"/>
        </w:rPr>
        <w:t>Mo</w:t>
      </w:r>
      <w:r w:rsidR="009C3AD7" w:rsidRPr="00013240">
        <w:rPr>
          <w:rFonts w:cstheme="minorHAnsi"/>
        </w:rPr>
        <w:t>H</w:t>
      </w:r>
      <w:proofErr w:type="spellEnd"/>
      <w:r w:rsidR="009C3AD7" w:rsidRPr="00013240">
        <w:rPr>
          <w:rFonts w:cstheme="minorHAnsi"/>
        </w:rPr>
        <w:t xml:space="preserve">. </w:t>
      </w:r>
      <w:r w:rsidR="00171766" w:rsidRPr="00013240">
        <w:rPr>
          <w:rFonts w:cstheme="minorHAnsi"/>
        </w:rPr>
        <w:t xml:space="preserve">Same as with </w:t>
      </w:r>
      <w:r w:rsidR="00CA673F" w:rsidRPr="00013240">
        <w:rPr>
          <w:rFonts w:cstheme="minorHAnsi"/>
        </w:rPr>
        <w:t xml:space="preserve">other </w:t>
      </w:r>
      <w:r w:rsidR="00171766" w:rsidRPr="00013240">
        <w:rPr>
          <w:rFonts w:cstheme="minorHAnsi"/>
        </w:rPr>
        <w:t>services included in SGBP</w:t>
      </w:r>
      <w:r w:rsidR="00C46D40" w:rsidRPr="00013240">
        <w:rPr>
          <w:rFonts w:cstheme="minorHAnsi"/>
        </w:rPr>
        <w:t>,</w:t>
      </w:r>
      <w:r w:rsidR="00171766" w:rsidRPr="00013240">
        <w:rPr>
          <w:rFonts w:cstheme="minorHAnsi"/>
        </w:rPr>
        <w:t xml:space="preserve"> specialized services</w:t>
      </w:r>
      <w:r w:rsidR="001C5570" w:rsidRPr="00013240">
        <w:rPr>
          <w:rFonts w:cstheme="minorHAnsi"/>
        </w:rPr>
        <w:t>/procedures</w:t>
      </w:r>
      <w:r w:rsidR="00171766" w:rsidRPr="00F05163">
        <w:rPr>
          <w:rFonts w:cstheme="minorHAnsi"/>
        </w:rPr>
        <w:t xml:space="preserve"> are not explicitly </w:t>
      </w:r>
      <w:r w:rsidR="001C5570" w:rsidRPr="00F05163">
        <w:rPr>
          <w:rFonts w:cstheme="minorHAnsi"/>
        </w:rPr>
        <w:t xml:space="preserve">defined. Only categories of citizens entitled to this services and levels of co-payment are described in detail. </w:t>
      </w:r>
    </w:p>
    <w:p w14:paraId="1FB9669A" w14:textId="77777777" w:rsidR="005D4B5B" w:rsidRPr="00F05163" w:rsidRDefault="005D4B5B" w:rsidP="00363D34">
      <w:pPr>
        <w:spacing w:after="0" w:line="240" w:lineRule="auto"/>
        <w:jc w:val="both"/>
        <w:rPr>
          <w:rFonts w:cstheme="minorHAnsi"/>
        </w:rPr>
      </w:pPr>
    </w:p>
    <w:p w14:paraId="26A1E96E" w14:textId="05A64E76" w:rsidR="00181075" w:rsidRDefault="001C5570" w:rsidP="00363D34">
      <w:pPr>
        <w:spacing w:after="0" w:line="240" w:lineRule="auto"/>
        <w:jc w:val="both"/>
        <w:rPr>
          <w:rFonts w:cstheme="minorHAnsi"/>
        </w:rPr>
      </w:pPr>
      <w:r w:rsidRPr="00E6167F">
        <w:rPr>
          <w:rFonts w:cstheme="minorHAnsi"/>
        </w:rPr>
        <w:t xml:space="preserve">For example, inpatient oncological care is free of charge for children under 16 years of age, participants and disabled veterans of the Great Patriotic War, military staff, the invalids of the Soviet Army, the invalids among the soldiers-internationalists, </w:t>
      </w:r>
      <w:r w:rsidR="00181075" w:rsidRPr="00E6167F">
        <w:rPr>
          <w:rFonts w:cstheme="minorHAnsi"/>
        </w:rPr>
        <w:t>p</w:t>
      </w:r>
      <w:r w:rsidRPr="00E6167F">
        <w:rPr>
          <w:rFonts w:cstheme="minorHAnsi"/>
        </w:rPr>
        <w:t>ersons affe</w:t>
      </w:r>
      <w:r w:rsidR="00181075" w:rsidRPr="00E6167F">
        <w:rPr>
          <w:rFonts w:cstheme="minorHAnsi"/>
        </w:rPr>
        <w:t xml:space="preserve">cted by the Chernobyl disaster, </w:t>
      </w:r>
      <w:r w:rsidR="00CA673F">
        <w:rPr>
          <w:rFonts w:cstheme="minorHAnsi"/>
        </w:rPr>
        <w:t xml:space="preserve">and </w:t>
      </w:r>
      <w:r w:rsidR="00181075" w:rsidRPr="00E6167F">
        <w:rPr>
          <w:rFonts w:cstheme="minorHAnsi"/>
        </w:rPr>
        <w:t>c</w:t>
      </w:r>
      <w:r w:rsidRPr="00E6167F">
        <w:rPr>
          <w:rFonts w:cstheme="minorHAnsi"/>
        </w:rPr>
        <w:t>hildren (up to 18 years) of persons affe</w:t>
      </w:r>
      <w:r w:rsidR="00181075" w:rsidRPr="00E6167F">
        <w:rPr>
          <w:rFonts w:cstheme="minorHAnsi"/>
        </w:rPr>
        <w:t>cted by the Chernobyl disaster. Oncological care is provided:</w:t>
      </w:r>
    </w:p>
    <w:p w14:paraId="0938751B" w14:textId="77777777" w:rsidR="00EE5906" w:rsidRPr="00E6167F" w:rsidRDefault="00EE5906" w:rsidP="00363D34">
      <w:pPr>
        <w:spacing w:after="0" w:line="240" w:lineRule="auto"/>
        <w:jc w:val="both"/>
        <w:rPr>
          <w:rFonts w:cstheme="minorHAnsi"/>
        </w:rPr>
      </w:pPr>
    </w:p>
    <w:p w14:paraId="2C84DF61" w14:textId="77777777" w:rsidR="00181075" w:rsidRPr="00E6167F" w:rsidRDefault="00181075" w:rsidP="00363D34">
      <w:pPr>
        <w:pStyle w:val="ListParagraph"/>
        <w:numPr>
          <w:ilvl w:val="0"/>
          <w:numId w:val="19"/>
        </w:numPr>
        <w:spacing w:after="0" w:line="240" w:lineRule="auto"/>
        <w:contextualSpacing w:val="0"/>
        <w:jc w:val="both"/>
        <w:rPr>
          <w:rFonts w:cstheme="minorHAnsi"/>
        </w:rPr>
      </w:pPr>
      <w:r w:rsidRPr="00E6167F">
        <w:rPr>
          <w:rFonts w:cstheme="minorHAnsi"/>
        </w:rPr>
        <w:t xml:space="preserve">with the minimum level of co-payment to: </w:t>
      </w:r>
      <w:r w:rsidR="001C5570" w:rsidRPr="00E6167F">
        <w:rPr>
          <w:rFonts w:cstheme="minorHAnsi"/>
        </w:rPr>
        <w:t>pensioners and veterans of labor older than 70 years</w:t>
      </w:r>
      <w:r w:rsidRPr="00E6167F">
        <w:rPr>
          <w:rFonts w:cstheme="minorHAnsi"/>
        </w:rPr>
        <w:t>, p</w:t>
      </w:r>
      <w:r w:rsidR="001C5570" w:rsidRPr="00E6167F">
        <w:rPr>
          <w:rFonts w:cstheme="minorHAnsi"/>
        </w:rPr>
        <w:t>ersons with disabilities from childhood</w:t>
      </w:r>
      <w:r w:rsidRPr="00E6167F">
        <w:rPr>
          <w:rFonts w:cstheme="minorHAnsi"/>
        </w:rPr>
        <w:t>, p</w:t>
      </w:r>
      <w:r w:rsidR="001C5570" w:rsidRPr="00E6167F">
        <w:rPr>
          <w:rFonts w:cstheme="minorHAnsi"/>
        </w:rPr>
        <w:t>ersons receiving state benefits</w:t>
      </w:r>
      <w:r w:rsidRPr="00E6167F">
        <w:rPr>
          <w:rFonts w:cstheme="minorHAnsi"/>
        </w:rPr>
        <w:t xml:space="preserve">; </w:t>
      </w:r>
    </w:p>
    <w:p w14:paraId="007A4B7B" w14:textId="77777777" w:rsidR="001C5570" w:rsidRPr="00E6167F" w:rsidRDefault="00181075" w:rsidP="00363D34">
      <w:pPr>
        <w:pStyle w:val="ListParagraph"/>
        <w:numPr>
          <w:ilvl w:val="0"/>
          <w:numId w:val="19"/>
        </w:numPr>
        <w:spacing w:after="0" w:line="240" w:lineRule="auto"/>
        <w:contextualSpacing w:val="0"/>
        <w:jc w:val="both"/>
        <w:rPr>
          <w:rFonts w:cstheme="minorHAnsi"/>
        </w:rPr>
      </w:pPr>
      <w:r w:rsidRPr="00E6167F">
        <w:rPr>
          <w:rFonts w:cstheme="minorHAnsi"/>
        </w:rPr>
        <w:t xml:space="preserve">with the average level of co-payment to: citizens insured by the </w:t>
      </w:r>
      <w:r w:rsidR="004A1579" w:rsidRPr="00E6167F">
        <w:rPr>
          <w:rFonts w:cstheme="minorHAnsi"/>
        </w:rPr>
        <w:t>MHIF</w:t>
      </w:r>
      <w:r w:rsidRPr="00E6167F">
        <w:rPr>
          <w:rFonts w:cstheme="minorHAnsi"/>
        </w:rPr>
        <w:t xml:space="preserve">, persons employed in agriculture </w:t>
      </w:r>
      <w:r w:rsidR="004A1579" w:rsidRPr="00E6167F">
        <w:rPr>
          <w:rFonts w:cstheme="minorHAnsi"/>
        </w:rPr>
        <w:t>who are paying</w:t>
      </w:r>
      <w:r w:rsidRPr="00E6167F">
        <w:rPr>
          <w:rFonts w:cstheme="minorHAnsi"/>
        </w:rPr>
        <w:t xml:space="preserve"> contributions for compulsory health insurance, </w:t>
      </w:r>
      <w:r w:rsidR="00232885" w:rsidRPr="00E6167F">
        <w:rPr>
          <w:rFonts w:cstheme="minorHAnsi"/>
        </w:rPr>
        <w:t xml:space="preserve">contracted </w:t>
      </w:r>
      <w:r w:rsidRPr="00E6167F">
        <w:rPr>
          <w:rFonts w:cstheme="minorHAnsi"/>
        </w:rPr>
        <w:t xml:space="preserve">military service persons </w:t>
      </w:r>
      <w:r w:rsidR="00232885" w:rsidRPr="00E6167F">
        <w:rPr>
          <w:rFonts w:cstheme="minorHAnsi"/>
        </w:rPr>
        <w:t>with MHIF</w:t>
      </w:r>
      <w:r w:rsidRPr="00E6167F">
        <w:rPr>
          <w:rFonts w:cstheme="minorHAnsi"/>
        </w:rPr>
        <w:t xml:space="preserve"> policy;</w:t>
      </w:r>
    </w:p>
    <w:p w14:paraId="6EAE6CD8" w14:textId="77777777" w:rsidR="00181075" w:rsidRPr="00E6167F" w:rsidRDefault="00181075" w:rsidP="00363D34">
      <w:pPr>
        <w:pStyle w:val="ListParagraph"/>
        <w:numPr>
          <w:ilvl w:val="0"/>
          <w:numId w:val="19"/>
        </w:numPr>
        <w:spacing w:after="0" w:line="240" w:lineRule="auto"/>
        <w:contextualSpacing w:val="0"/>
        <w:jc w:val="both"/>
        <w:rPr>
          <w:rFonts w:cstheme="minorHAnsi"/>
        </w:rPr>
      </w:pPr>
      <w:r w:rsidRPr="00E6167F">
        <w:rPr>
          <w:rFonts w:cstheme="minorHAnsi"/>
        </w:rPr>
        <w:t>with the maximum level of co-payment to: other categories of citizens.</w:t>
      </w:r>
    </w:p>
    <w:p w14:paraId="210E5B48" w14:textId="77777777" w:rsidR="00EE5906" w:rsidRDefault="00EE5906" w:rsidP="00363D34">
      <w:pPr>
        <w:spacing w:after="0" w:line="240" w:lineRule="auto"/>
        <w:jc w:val="both"/>
        <w:rPr>
          <w:rFonts w:cstheme="minorHAnsi"/>
        </w:rPr>
      </w:pPr>
    </w:p>
    <w:p w14:paraId="34929F65" w14:textId="33488F63" w:rsidR="00181075" w:rsidRDefault="00181075" w:rsidP="00363D34">
      <w:pPr>
        <w:spacing w:after="0" w:line="240" w:lineRule="auto"/>
        <w:jc w:val="both"/>
        <w:rPr>
          <w:rFonts w:cstheme="minorHAnsi"/>
        </w:rPr>
      </w:pPr>
      <w:r w:rsidRPr="00E6167F">
        <w:rPr>
          <w:rFonts w:cstheme="minorHAnsi"/>
        </w:rPr>
        <w:t>Chemotherapy is provided with additional co-payment for all citizens based on the cost of services according to the MHIF price list.</w:t>
      </w:r>
    </w:p>
    <w:p w14:paraId="01B19BEA" w14:textId="77777777" w:rsidR="00EE5906" w:rsidRPr="00E6167F" w:rsidRDefault="00EE5906" w:rsidP="00363D34">
      <w:pPr>
        <w:spacing w:after="0" w:line="240" w:lineRule="auto"/>
        <w:jc w:val="both"/>
        <w:rPr>
          <w:rFonts w:cstheme="minorHAnsi"/>
        </w:rPr>
      </w:pPr>
    </w:p>
    <w:p w14:paraId="406D44CE" w14:textId="1B403FEF" w:rsidR="007F17D6" w:rsidRPr="00E6167F" w:rsidRDefault="006D1576" w:rsidP="00363D34">
      <w:pPr>
        <w:spacing w:after="120" w:line="240" w:lineRule="auto"/>
        <w:jc w:val="both"/>
        <w:rPr>
          <w:rFonts w:cstheme="minorHAnsi"/>
        </w:rPr>
      </w:pPr>
      <w:r w:rsidRPr="00E6167F">
        <w:rPr>
          <w:rFonts w:cstheme="minorHAnsi"/>
        </w:rPr>
        <w:t>There are restrictions expressed in</w:t>
      </w:r>
      <w:r w:rsidR="005D4B5B" w:rsidRPr="00E6167F">
        <w:rPr>
          <w:rFonts w:cstheme="minorHAnsi"/>
        </w:rPr>
        <w:t xml:space="preserve"> a</w:t>
      </w:r>
      <w:r w:rsidRPr="00E6167F">
        <w:rPr>
          <w:rFonts w:cstheme="minorHAnsi"/>
        </w:rPr>
        <w:t xml:space="preserve"> negative list. </w:t>
      </w:r>
      <w:r w:rsidR="007F17D6" w:rsidRPr="00E6167F">
        <w:rPr>
          <w:rFonts w:cstheme="minorHAnsi"/>
        </w:rPr>
        <w:t xml:space="preserve">Citizens regardless of the entitlement to benefits shall pay according to the </w:t>
      </w:r>
      <w:r w:rsidR="004C4308">
        <w:rPr>
          <w:rFonts w:cstheme="minorHAnsi"/>
        </w:rPr>
        <w:t>p</w:t>
      </w:r>
      <w:r w:rsidR="007F17D6" w:rsidRPr="00E6167F">
        <w:rPr>
          <w:rFonts w:cstheme="minorHAnsi"/>
        </w:rPr>
        <w:t>rice list the cost of the following expensive examinations and manipulations:</w:t>
      </w:r>
    </w:p>
    <w:p w14:paraId="3AF55DD7" w14:textId="77777777" w:rsidR="007F17D6" w:rsidRPr="004C4308" w:rsidRDefault="007F17D6" w:rsidP="00363D34">
      <w:pPr>
        <w:pStyle w:val="ListParagraph"/>
        <w:numPr>
          <w:ilvl w:val="0"/>
          <w:numId w:val="20"/>
        </w:numPr>
        <w:spacing w:after="120" w:line="240" w:lineRule="auto"/>
        <w:jc w:val="both"/>
        <w:rPr>
          <w:rFonts w:cstheme="minorHAnsi"/>
        </w:rPr>
      </w:pPr>
      <w:r w:rsidRPr="004C4308">
        <w:rPr>
          <w:rFonts w:cstheme="minorHAnsi"/>
        </w:rPr>
        <w:t xml:space="preserve">Angiography of </w:t>
      </w:r>
      <w:r w:rsidR="006D1576" w:rsidRPr="004C4308">
        <w:rPr>
          <w:rFonts w:cstheme="minorHAnsi"/>
        </w:rPr>
        <w:t>peripheral</w:t>
      </w:r>
      <w:r w:rsidRPr="004C4308">
        <w:rPr>
          <w:rFonts w:cstheme="minorHAnsi"/>
        </w:rPr>
        <w:t xml:space="preserve"> vessels, brain vessel and internal organs;</w:t>
      </w:r>
    </w:p>
    <w:p w14:paraId="721DD420" w14:textId="77777777" w:rsidR="007F17D6" w:rsidRPr="004C4308" w:rsidRDefault="007F17D6" w:rsidP="00363D34">
      <w:pPr>
        <w:pStyle w:val="ListParagraph"/>
        <w:numPr>
          <w:ilvl w:val="0"/>
          <w:numId w:val="20"/>
        </w:numPr>
        <w:spacing w:after="120" w:line="240" w:lineRule="auto"/>
        <w:jc w:val="both"/>
        <w:rPr>
          <w:rFonts w:cstheme="minorHAnsi"/>
        </w:rPr>
      </w:pPr>
      <w:r w:rsidRPr="004C4308">
        <w:rPr>
          <w:rFonts w:cstheme="minorHAnsi"/>
        </w:rPr>
        <w:t xml:space="preserve">Angiocardiography </w:t>
      </w:r>
      <w:r w:rsidR="006D1576" w:rsidRPr="004C4308">
        <w:rPr>
          <w:rFonts w:cstheme="minorHAnsi"/>
        </w:rPr>
        <w:t>for</w:t>
      </w:r>
      <w:r w:rsidRPr="004C4308">
        <w:rPr>
          <w:rFonts w:cstheme="minorHAnsi"/>
        </w:rPr>
        <w:t xml:space="preserve"> heart valvular defects;</w:t>
      </w:r>
    </w:p>
    <w:p w14:paraId="7D5FB35A" w14:textId="77777777" w:rsidR="007F17D6" w:rsidRPr="004C4308" w:rsidRDefault="007F17D6" w:rsidP="00363D34">
      <w:pPr>
        <w:pStyle w:val="ListParagraph"/>
        <w:numPr>
          <w:ilvl w:val="0"/>
          <w:numId w:val="20"/>
        </w:numPr>
        <w:spacing w:after="120" w:line="240" w:lineRule="auto"/>
        <w:jc w:val="both"/>
        <w:rPr>
          <w:rFonts w:cstheme="minorHAnsi"/>
        </w:rPr>
      </w:pPr>
      <w:proofErr w:type="spellStart"/>
      <w:r w:rsidRPr="004C4308">
        <w:rPr>
          <w:rFonts w:cstheme="minorHAnsi"/>
        </w:rPr>
        <w:t>Hemosorbtion</w:t>
      </w:r>
      <w:proofErr w:type="spellEnd"/>
      <w:r w:rsidRPr="004C4308">
        <w:rPr>
          <w:rFonts w:cstheme="minorHAnsi"/>
        </w:rPr>
        <w:t>;</w:t>
      </w:r>
    </w:p>
    <w:p w14:paraId="5B707AE8" w14:textId="77777777" w:rsidR="007F17D6" w:rsidRPr="004C4308" w:rsidRDefault="007F17D6" w:rsidP="00363D34">
      <w:pPr>
        <w:pStyle w:val="ListParagraph"/>
        <w:numPr>
          <w:ilvl w:val="0"/>
          <w:numId w:val="20"/>
        </w:numPr>
        <w:spacing w:after="120" w:line="240" w:lineRule="auto"/>
        <w:jc w:val="both"/>
        <w:rPr>
          <w:rFonts w:cstheme="minorHAnsi"/>
        </w:rPr>
      </w:pPr>
      <w:r w:rsidRPr="004C4308">
        <w:rPr>
          <w:rFonts w:cstheme="minorHAnsi"/>
        </w:rPr>
        <w:t>Hemodialysis;</w:t>
      </w:r>
    </w:p>
    <w:p w14:paraId="0527EFD3" w14:textId="77777777" w:rsidR="007F17D6" w:rsidRPr="004C4308" w:rsidRDefault="007F17D6" w:rsidP="00363D34">
      <w:pPr>
        <w:pStyle w:val="ListParagraph"/>
        <w:numPr>
          <w:ilvl w:val="0"/>
          <w:numId w:val="20"/>
        </w:numPr>
        <w:spacing w:after="120" w:line="240" w:lineRule="auto"/>
        <w:jc w:val="both"/>
        <w:rPr>
          <w:rFonts w:cstheme="minorHAnsi"/>
        </w:rPr>
      </w:pPr>
      <w:r w:rsidRPr="004C4308">
        <w:rPr>
          <w:rFonts w:cstheme="minorHAnsi"/>
        </w:rPr>
        <w:t>Computer tomography;</w:t>
      </w:r>
    </w:p>
    <w:p w14:paraId="68282773" w14:textId="77777777" w:rsidR="007F17D6" w:rsidRPr="004C4308" w:rsidRDefault="007F17D6" w:rsidP="00363D34">
      <w:pPr>
        <w:pStyle w:val="ListParagraph"/>
        <w:numPr>
          <w:ilvl w:val="0"/>
          <w:numId w:val="20"/>
        </w:numPr>
        <w:spacing w:after="120" w:line="240" w:lineRule="auto"/>
        <w:jc w:val="both"/>
        <w:rPr>
          <w:rFonts w:cstheme="minorHAnsi"/>
        </w:rPr>
      </w:pPr>
      <w:r w:rsidRPr="004C4308">
        <w:rPr>
          <w:rFonts w:cstheme="minorHAnsi"/>
        </w:rPr>
        <w:t>Coronarography;</w:t>
      </w:r>
    </w:p>
    <w:p w14:paraId="677E50A6" w14:textId="77777777" w:rsidR="007F17D6" w:rsidRPr="004C4308" w:rsidRDefault="007F17D6" w:rsidP="00363D34">
      <w:pPr>
        <w:pStyle w:val="ListParagraph"/>
        <w:numPr>
          <w:ilvl w:val="0"/>
          <w:numId w:val="20"/>
        </w:numPr>
        <w:spacing w:after="120" w:line="240" w:lineRule="auto"/>
        <w:jc w:val="both"/>
        <w:rPr>
          <w:rFonts w:cstheme="minorHAnsi"/>
        </w:rPr>
      </w:pPr>
      <w:r w:rsidRPr="004C4308">
        <w:rPr>
          <w:rFonts w:cstheme="minorHAnsi"/>
        </w:rPr>
        <w:t>Plasmapheresis;</w:t>
      </w:r>
    </w:p>
    <w:p w14:paraId="73E8E364" w14:textId="77777777" w:rsidR="007F17D6" w:rsidRPr="004C4308" w:rsidRDefault="007F17D6" w:rsidP="00363D34">
      <w:pPr>
        <w:pStyle w:val="ListParagraph"/>
        <w:numPr>
          <w:ilvl w:val="0"/>
          <w:numId w:val="20"/>
        </w:numPr>
        <w:spacing w:after="120" w:line="240" w:lineRule="auto"/>
        <w:jc w:val="both"/>
        <w:rPr>
          <w:rFonts w:cstheme="minorHAnsi"/>
        </w:rPr>
      </w:pPr>
      <w:r w:rsidRPr="004C4308">
        <w:rPr>
          <w:rFonts w:cstheme="minorHAnsi"/>
        </w:rPr>
        <w:t>MR-imaging;</w:t>
      </w:r>
    </w:p>
    <w:p w14:paraId="48687388" w14:textId="77777777" w:rsidR="007F17D6" w:rsidRPr="004C4308" w:rsidRDefault="007F17D6" w:rsidP="00363D34">
      <w:pPr>
        <w:pStyle w:val="ListParagraph"/>
        <w:numPr>
          <w:ilvl w:val="0"/>
          <w:numId w:val="20"/>
        </w:numPr>
        <w:spacing w:after="120" w:line="240" w:lineRule="auto"/>
        <w:jc w:val="both"/>
        <w:rPr>
          <w:rFonts w:cstheme="minorHAnsi"/>
        </w:rPr>
      </w:pPr>
      <w:r w:rsidRPr="004C4308">
        <w:rPr>
          <w:rFonts w:cstheme="minorHAnsi"/>
        </w:rPr>
        <w:t>Lithotripsy.</w:t>
      </w:r>
    </w:p>
    <w:p w14:paraId="6A24FA27" w14:textId="47030FDF" w:rsidR="00050FA1" w:rsidRDefault="006D1576" w:rsidP="00363D34">
      <w:pPr>
        <w:spacing w:after="120" w:line="240" w:lineRule="auto"/>
        <w:jc w:val="both"/>
        <w:rPr>
          <w:rFonts w:cstheme="minorHAnsi"/>
        </w:rPr>
      </w:pPr>
      <w:r w:rsidRPr="00E6167F">
        <w:rPr>
          <w:rFonts w:cstheme="minorHAnsi"/>
        </w:rPr>
        <w:t>These procedures are free of charge for</w:t>
      </w:r>
      <w:r w:rsidR="007F17D6" w:rsidRPr="00E6167F">
        <w:rPr>
          <w:rFonts w:cstheme="minorHAnsi"/>
        </w:rPr>
        <w:t xml:space="preserve"> the disabled veterans and veterans of the Great Patriotic War </w:t>
      </w:r>
      <w:r w:rsidRPr="00E6167F">
        <w:rPr>
          <w:rFonts w:cstheme="minorHAnsi"/>
        </w:rPr>
        <w:t xml:space="preserve">when they are referred </w:t>
      </w:r>
      <w:r w:rsidR="007F17D6" w:rsidRPr="00E6167F">
        <w:rPr>
          <w:rFonts w:cstheme="minorHAnsi"/>
        </w:rPr>
        <w:t>by the appropriate specialist.</w:t>
      </w:r>
    </w:p>
    <w:p w14:paraId="561F4C06" w14:textId="2BD1E348" w:rsidR="005500E6" w:rsidRDefault="007B44B5" w:rsidP="00363D34">
      <w:pPr>
        <w:spacing w:after="120" w:line="240" w:lineRule="auto"/>
        <w:jc w:val="both"/>
        <w:rPr>
          <w:rFonts w:cstheme="minorHAnsi"/>
        </w:rPr>
      </w:pPr>
      <w:r>
        <w:rPr>
          <w:rFonts w:cstheme="minorHAnsi"/>
        </w:rPr>
        <w:t>From the description above, it is clear that the</w:t>
      </w:r>
      <w:r w:rsidR="000147F2">
        <w:rPr>
          <w:rFonts w:cstheme="minorHAnsi"/>
        </w:rPr>
        <w:t xml:space="preserve"> SGBP at </w:t>
      </w:r>
      <w:r w:rsidR="0067732B">
        <w:rPr>
          <w:rFonts w:cstheme="minorHAnsi"/>
        </w:rPr>
        <w:t xml:space="preserve">a </w:t>
      </w:r>
      <w:r w:rsidR="000147F2">
        <w:rPr>
          <w:rFonts w:cstheme="minorHAnsi"/>
        </w:rPr>
        <w:t>close look is more complicated tha</w:t>
      </w:r>
      <w:r>
        <w:rPr>
          <w:rFonts w:cstheme="minorHAnsi"/>
        </w:rPr>
        <w:t xml:space="preserve">n its pictorial representation shown in figure 1. </w:t>
      </w:r>
      <w:r w:rsidR="00E870FA">
        <w:rPr>
          <w:rFonts w:cstheme="minorHAnsi"/>
        </w:rPr>
        <w:t xml:space="preserve">Table </w:t>
      </w:r>
      <w:r w:rsidR="00B22558">
        <w:rPr>
          <w:rFonts w:cstheme="minorHAnsi"/>
        </w:rPr>
        <w:t>5</w:t>
      </w:r>
      <w:r w:rsidR="00E870FA">
        <w:rPr>
          <w:rFonts w:cstheme="minorHAnsi"/>
        </w:rPr>
        <w:t xml:space="preserve"> attempts </w:t>
      </w:r>
      <w:r w:rsidR="000F7564">
        <w:rPr>
          <w:rFonts w:cstheme="minorHAnsi"/>
        </w:rPr>
        <w:t xml:space="preserve">to put together the main contents of the SGBP </w:t>
      </w:r>
      <w:r w:rsidR="00B80639">
        <w:rPr>
          <w:rFonts w:cstheme="minorHAnsi"/>
        </w:rPr>
        <w:t xml:space="preserve">by level of care and population groups. </w:t>
      </w:r>
    </w:p>
    <w:p w14:paraId="3A039618" w14:textId="36A1E971" w:rsidR="00B22558" w:rsidRDefault="00B22558" w:rsidP="00363D34">
      <w:pPr>
        <w:spacing w:after="120" w:line="240" w:lineRule="auto"/>
        <w:jc w:val="both"/>
        <w:rPr>
          <w:rFonts w:cstheme="minorHAnsi"/>
        </w:rPr>
      </w:pPr>
    </w:p>
    <w:p w14:paraId="7C855BE7" w14:textId="77777777" w:rsidR="00B22558" w:rsidRDefault="00B22558" w:rsidP="00363D34">
      <w:pPr>
        <w:spacing w:after="120" w:line="240" w:lineRule="auto"/>
        <w:jc w:val="both"/>
        <w:rPr>
          <w:rFonts w:cstheme="minorHAnsi"/>
        </w:rPr>
      </w:pPr>
    </w:p>
    <w:p w14:paraId="45FD0563" w14:textId="6018F095" w:rsidR="003A0977" w:rsidRPr="00854D6D" w:rsidRDefault="003A0977" w:rsidP="00132B20">
      <w:pPr>
        <w:spacing w:before="240" w:after="120" w:line="240" w:lineRule="auto"/>
        <w:jc w:val="both"/>
        <w:rPr>
          <w:rFonts w:cstheme="minorHAnsi"/>
          <w:b/>
        </w:rPr>
      </w:pPr>
      <w:r w:rsidRPr="00854D6D">
        <w:rPr>
          <w:rFonts w:cstheme="minorHAnsi"/>
          <w:b/>
        </w:rPr>
        <w:lastRenderedPageBreak/>
        <w:t xml:space="preserve">Table </w:t>
      </w:r>
      <w:r w:rsidR="007F28F4">
        <w:rPr>
          <w:rFonts w:cstheme="minorHAnsi"/>
          <w:b/>
        </w:rPr>
        <w:t>5</w:t>
      </w:r>
      <w:r w:rsidRPr="00854D6D">
        <w:rPr>
          <w:rFonts w:cstheme="minorHAnsi"/>
          <w:b/>
        </w:rPr>
        <w:t>.</w:t>
      </w:r>
      <w:r w:rsidR="00A314C6" w:rsidRPr="00854D6D">
        <w:rPr>
          <w:rFonts w:cstheme="minorHAnsi"/>
          <w:b/>
        </w:rPr>
        <w:t xml:space="preserve"> </w:t>
      </w:r>
      <w:r w:rsidR="00565E44">
        <w:rPr>
          <w:rFonts w:cstheme="minorHAnsi"/>
          <w:b/>
        </w:rPr>
        <w:t xml:space="preserve">The main content of the </w:t>
      </w:r>
      <w:r w:rsidR="00A314C6" w:rsidRPr="00854D6D">
        <w:rPr>
          <w:rFonts w:cstheme="minorHAnsi"/>
          <w:b/>
        </w:rPr>
        <w:t xml:space="preserve">SGBP </w:t>
      </w:r>
      <w:r w:rsidR="00565E44">
        <w:rPr>
          <w:rFonts w:cstheme="minorHAnsi"/>
          <w:b/>
        </w:rPr>
        <w:t xml:space="preserve">by level of care, population groups, and fee </w:t>
      </w:r>
      <w:r w:rsidR="00A97F10">
        <w:rPr>
          <w:rFonts w:cstheme="minorHAnsi"/>
          <w:b/>
        </w:rPr>
        <w:t>(copayment) level</w:t>
      </w:r>
    </w:p>
    <w:tbl>
      <w:tblPr>
        <w:tblW w:w="5000" w:type="pct"/>
        <w:jc w:val="center"/>
        <w:tblBorders>
          <w:top w:val="single" w:sz="4" w:space="0" w:color="auto"/>
          <w:bottom w:val="single" w:sz="4" w:space="0" w:color="auto"/>
        </w:tblBorders>
        <w:shd w:val="clear" w:color="auto" w:fill="FFFFFF" w:themeFill="background1"/>
        <w:tblLook w:val="04A0" w:firstRow="1" w:lastRow="0" w:firstColumn="1" w:lastColumn="0" w:noHBand="0" w:noVBand="1"/>
      </w:tblPr>
      <w:tblGrid>
        <w:gridCol w:w="1541"/>
        <w:gridCol w:w="1438"/>
        <w:gridCol w:w="2200"/>
        <w:gridCol w:w="2089"/>
        <w:gridCol w:w="965"/>
        <w:gridCol w:w="1173"/>
      </w:tblGrid>
      <w:tr w:rsidR="005500E6" w:rsidRPr="005B291E" w14:paraId="54FBCA90" w14:textId="77777777" w:rsidTr="00CF0B88">
        <w:trPr>
          <w:trHeight w:val="570"/>
          <w:jc w:val="center"/>
        </w:trPr>
        <w:tc>
          <w:tcPr>
            <w:tcW w:w="1512" w:type="pct"/>
            <w:gridSpan w:val="2"/>
            <w:tcBorders>
              <w:top w:val="single" w:sz="4" w:space="0" w:color="auto"/>
              <w:bottom w:val="single" w:sz="4" w:space="0" w:color="auto"/>
            </w:tcBorders>
            <w:shd w:val="clear" w:color="auto" w:fill="F2F2F2" w:themeFill="background1" w:themeFillShade="F2"/>
            <w:vAlign w:val="center"/>
            <w:hideMark/>
          </w:tcPr>
          <w:p w14:paraId="3DB2F326" w14:textId="2C356718" w:rsidR="005500E6" w:rsidRPr="005B291E" w:rsidRDefault="00FF5FB1" w:rsidP="007F56CE">
            <w:pPr>
              <w:spacing w:after="0" w:line="240" w:lineRule="auto"/>
              <w:rPr>
                <w:rFonts w:ascii="Calibri" w:eastAsia="Times New Roman" w:hAnsi="Calibri" w:cs="Calibri"/>
                <w:b/>
                <w:bCs/>
                <w:color w:val="000000"/>
                <w:sz w:val="21"/>
                <w:szCs w:val="21"/>
              </w:rPr>
            </w:pPr>
            <w:r>
              <w:rPr>
                <w:rFonts w:ascii="Calibri" w:eastAsia="Times New Roman" w:hAnsi="Calibri" w:cs="Calibri"/>
                <w:b/>
                <w:bCs/>
                <w:color w:val="000000"/>
                <w:sz w:val="21"/>
                <w:szCs w:val="21"/>
              </w:rPr>
              <w:t>Services/</w:t>
            </w:r>
            <w:r w:rsidR="005500E6" w:rsidRPr="005B291E">
              <w:rPr>
                <w:rFonts w:ascii="Calibri" w:eastAsia="Times New Roman" w:hAnsi="Calibri" w:cs="Calibri"/>
                <w:b/>
                <w:bCs/>
                <w:color w:val="000000"/>
                <w:sz w:val="21"/>
                <w:szCs w:val="21"/>
              </w:rPr>
              <w:t>Patient category</w:t>
            </w:r>
          </w:p>
        </w:tc>
        <w:tc>
          <w:tcPr>
            <w:tcW w:w="1192" w:type="pct"/>
            <w:tcBorders>
              <w:top w:val="single" w:sz="4" w:space="0" w:color="auto"/>
              <w:bottom w:val="single" w:sz="4" w:space="0" w:color="auto"/>
            </w:tcBorders>
            <w:shd w:val="clear" w:color="auto" w:fill="F2F2F2" w:themeFill="background1" w:themeFillShade="F2"/>
            <w:vAlign w:val="center"/>
            <w:hideMark/>
          </w:tcPr>
          <w:p w14:paraId="1526CBFA" w14:textId="77777777" w:rsidR="005500E6" w:rsidRPr="005B291E" w:rsidRDefault="005500E6" w:rsidP="00363D34">
            <w:pPr>
              <w:spacing w:after="0" w:line="240" w:lineRule="auto"/>
              <w:jc w:val="center"/>
              <w:rPr>
                <w:rFonts w:ascii="Calibri" w:eastAsia="Times New Roman" w:hAnsi="Calibri" w:cs="Calibri"/>
                <w:b/>
                <w:bCs/>
                <w:color w:val="000000"/>
                <w:sz w:val="21"/>
                <w:szCs w:val="21"/>
              </w:rPr>
            </w:pPr>
            <w:r w:rsidRPr="005B291E">
              <w:rPr>
                <w:rFonts w:ascii="Calibri" w:eastAsia="Times New Roman" w:hAnsi="Calibri" w:cs="Calibri"/>
                <w:b/>
                <w:bCs/>
                <w:color w:val="000000"/>
                <w:sz w:val="21"/>
                <w:szCs w:val="21"/>
              </w:rPr>
              <w:t xml:space="preserve">30 social conditions </w:t>
            </w:r>
          </w:p>
        </w:tc>
        <w:tc>
          <w:tcPr>
            <w:tcW w:w="1132" w:type="pct"/>
            <w:tcBorders>
              <w:top w:val="single" w:sz="4" w:space="0" w:color="auto"/>
              <w:bottom w:val="single" w:sz="4" w:space="0" w:color="auto"/>
            </w:tcBorders>
            <w:shd w:val="clear" w:color="auto" w:fill="F2F2F2" w:themeFill="background1" w:themeFillShade="F2"/>
            <w:vAlign w:val="center"/>
            <w:hideMark/>
          </w:tcPr>
          <w:p w14:paraId="0C6C0120" w14:textId="77777777" w:rsidR="005500E6" w:rsidRPr="005B291E" w:rsidRDefault="005500E6" w:rsidP="00363D34">
            <w:pPr>
              <w:spacing w:after="0" w:line="240" w:lineRule="auto"/>
              <w:jc w:val="center"/>
              <w:rPr>
                <w:rFonts w:ascii="Calibri" w:eastAsia="Times New Roman" w:hAnsi="Calibri" w:cs="Calibri"/>
                <w:b/>
                <w:bCs/>
                <w:color w:val="000000"/>
                <w:sz w:val="21"/>
                <w:szCs w:val="21"/>
              </w:rPr>
            </w:pPr>
            <w:r w:rsidRPr="005B291E">
              <w:rPr>
                <w:rFonts w:ascii="Calibri" w:eastAsia="Times New Roman" w:hAnsi="Calibri" w:cs="Calibri"/>
                <w:b/>
                <w:bCs/>
                <w:color w:val="000000"/>
                <w:sz w:val="21"/>
                <w:szCs w:val="21"/>
              </w:rPr>
              <w:t xml:space="preserve">16 medical conditions </w:t>
            </w:r>
          </w:p>
        </w:tc>
        <w:tc>
          <w:tcPr>
            <w:tcW w:w="535" w:type="pct"/>
            <w:tcBorders>
              <w:top w:val="single" w:sz="4" w:space="0" w:color="auto"/>
              <w:bottom w:val="single" w:sz="4" w:space="0" w:color="auto"/>
            </w:tcBorders>
            <w:shd w:val="clear" w:color="auto" w:fill="F2F2F2" w:themeFill="background1" w:themeFillShade="F2"/>
            <w:vAlign w:val="center"/>
            <w:hideMark/>
          </w:tcPr>
          <w:p w14:paraId="2673F128" w14:textId="77777777" w:rsidR="005500E6" w:rsidRPr="005B291E" w:rsidRDefault="005500E6" w:rsidP="00363D34">
            <w:pPr>
              <w:spacing w:after="0" w:line="240" w:lineRule="auto"/>
              <w:jc w:val="center"/>
              <w:rPr>
                <w:rFonts w:ascii="Calibri" w:eastAsia="Times New Roman" w:hAnsi="Calibri" w:cs="Calibri"/>
                <w:b/>
                <w:bCs/>
                <w:color w:val="000000"/>
                <w:sz w:val="21"/>
                <w:szCs w:val="21"/>
              </w:rPr>
            </w:pPr>
            <w:r w:rsidRPr="005B291E">
              <w:rPr>
                <w:rFonts w:ascii="Calibri" w:eastAsia="Times New Roman" w:hAnsi="Calibri" w:cs="Calibri"/>
                <w:b/>
                <w:bCs/>
                <w:color w:val="000000"/>
                <w:sz w:val="21"/>
                <w:szCs w:val="21"/>
              </w:rPr>
              <w:t>Insured</w:t>
            </w:r>
          </w:p>
        </w:tc>
        <w:tc>
          <w:tcPr>
            <w:tcW w:w="629" w:type="pct"/>
            <w:tcBorders>
              <w:top w:val="single" w:sz="4" w:space="0" w:color="auto"/>
              <w:bottom w:val="single" w:sz="4" w:space="0" w:color="auto"/>
            </w:tcBorders>
            <w:shd w:val="clear" w:color="auto" w:fill="F2F2F2" w:themeFill="background1" w:themeFillShade="F2"/>
            <w:vAlign w:val="center"/>
            <w:hideMark/>
          </w:tcPr>
          <w:p w14:paraId="48F75EC7" w14:textId="77777777" w:rsidR="005500E6" w:rsidRPr="005B291E" w:rsidRDefault="005500E6" w:rsidP="00363D34">
            <w:pPr>
              <w:spacing w:after="0" w:line="240" w:lineRule="auto"/>
              <w:jc w:val="center"/>
              <w:rPr>
                <w:rFonts w:ascii="Calibri" w:eastAsia="Times New Roman" w:hAnsi="Calibri" w:cs="Calibri"/>
                <w:b/>
                <w:bCs/>
                <w:color w:val="000000"/>
                <w:sz w:val="21"/>
                <w:szCs w:val="21"/>
              </w:rPr>
            </w:pPr>
            <w:r w:rsidRPr="005B291E">
              <w:rPr>
                <w:rFonts w:ascii="Calibri" w:eastAsia="Times New Roman" w:hAnsi="Calibri" w:cs="Calibri"/>
                <w:b/>
                <w:bCs/>
                <w:color w:val="000000"/>
                <w:sz w:val="21"/>
                <w:szCs w:val="21"/>
              </w:rPr>
              <w:t>Rest of the population</w:t>
            </w:r>
          </w:p>
        </w:tc>
      </w:tr>
      <w:tr w:rsidR="005500E6" w:rsidRPr="005B291E" w14:paraId="6E41AEF5" w14:textId="77777777" w:rsidTr="00CF0B88">
        <w:trPr>
          <w:trHeight w:val="450"/>
          <w:jc w:val="center"/>
        </w:trPr>
        <w:tc>
          <w:tcPr>
            <w:tcW w:w="725" w:type="pct"/>
            <w:vMerge w:val="restart"/>
            <w:tcBorders>
              <w:top w:val="single" w:sz="4" w:space="0" w:color="auto"/>
              <w:bottom w:val="nil"/>
            </w:tcBorders>
            <w:shd w:val="clear" w:color="auto" w:fill="FFFFFF" w:themeFill="background1"/>
            <w:vAlign w:val="center"/>
            <w:hideMark/>
          </w:tcPr>
          <w:p w14:paraId="5A96E116" w14:textId="77777777" w:rsidR="005500E6" w:rsidRPr="005B291E" w:rsidRDefault="005500E6" w:rsidP="00363D34">
            <w:pPr>
              <w:spacing w:after="0" w:line="240" w:lineRule="auto"/>
              <w:rPr>
                <w:rFonts w:ascii="Calibri" w:eastAsia="Times New Roman" w:hAnsi="Calibri" w:cs="Calibri"/>
                <w:i/>
                <w:iCs/>
                <w:color w:val="000000"/>
                <w:sz w:val="21"/>
                <w:szCs w:val="21"/>
              </w:rPr>
            </w:pPr>
            <w:r w:rsidRPr="005B291E">
              <w:rPr>
                <w:rFonts w:ascii="Calibri" w:eastAsia="Times New Roman" w:hAnsi="Calibri" w:cs="Calibri"/>
                <w:i/>
                <w:iCs/>
                <w:color w:val="000000"/>
                <w:sz w:val="21"/>
                <w:szCs w:val="21"/>
              </w:rPr>
              <w:t>Primary Health Care</w:t>
            </w:r>
          </w:p>
        </w:tc>
        <w:tc>
          <w:tcPr>
            <w:tcW w:w="786" w:type="pct"/>
            <w:tcBorders>
              <w:top w:val="single" w:sz="4" w:space="0" w:color="auto"/>
              <w:bottom w:val="nil"/>
            </w:tcBorders>
            <w:shd w:val="clear" w:color="auto" w:fill="FFFFFF" w:themeFill="background1"/>
            <w:vAlign w:val="center"/>
            <w:hideMark/>
          </w:tcPr>
          <w:p w14:paraId="6945DC9C" w14:textId="77777777" w:rsidR="005500E6" w:rsidRPr="005B291E" w:rsidRDefault="005500E6" w:rsidP="00363D34">
            <w:pPr>
              <w:spacing w:after="0" w:line="240" w:lineRule="auto"/>
              <w:rPr>
                <w:rFonts w:ascii="Calibri" w:eastAsia="Times New Roman" w:hAnsi="Calibri" w:cs="Calibri"/>
                <w:i/>
                <w:iCs/>
                <w:color w:val="000000"/>
                <w:sz w:val="21"/>
                <w:szCs w:val="21"/>
              </w:rPr>
            </w:pPr>
            <w:r w:rsidRPr="005B291E">
              <w:rPr>
                <w:rFonts w:ascii="Calibri" w:eastAsia="Times New Roman" w:hAnsi="Calibri" w:cs="Calibri"/>
                <w:i/>
                <w:iCs/>
                <w:color w:val="000000"/>
                <w:sz w:val="21"/>
                <w:szCs w:val="21"/>
              </w:rPr>
              <w:t>Prevention, basic lab*, therapy</w:t>
            </w:r>
          </w:p>
        </w:tc>
        <w:tc>
          <w:tcPr>
            <w:tcW w:w="1192" w:type="pct"/>
            <w:tcBorders>
              <w:top w:val="single" w:sz="4" w:space="0" w:color="auto"/>
              <w:bottom w:val="nil"/>
            </w:tcBorders>
            <w:shd w:val="clear" w:color="auto" w:fill="FFFFFF" w:themeFill="background1"/>
            <w:vAlign w:val="center"/>
            <w:hideMark/>
          </w:tcPr>
          <w:p w14:paraId="382D41C9" w14:textId="419D292C" w:rsidR="005500E6" w:rsidRPr="005B291E" w:rsidRDefault="00B22558" w:rsidP="00363D34">
            <w:pPr>
              <w:spacing w:after="0" w:line="240" w:lineRule="auto"/>
              <w:rPr>
                <w:rFonts w:ascii="Calibri" w:eastAsia="Times New Roman" w:hAnsi="Calibri" w:cs="Calibri"/>
                <w:color w:val="000000"/>
                <w:sz w:val="21"/>
                <w:szCs w:val="21"/>
              </w:rPr>
            </w:pPr>
            <w:r w:rsidRPr="005B291E">
              <w:rPr>
                <w:rFonts w:ascii="Calibri" w:eastAsia="Times New Roman" w:hAnsi="Calibri" w:cs="Calibri"/>
                <w:color w:val="000000"/>
                <w:sz w:val="21"/>
                <w:szCs w:val="21"/>
              </w:rPr>
              <w:t>F</w:t>
            </w:r>
            <w:r w:rsidR="005500E6" w:rsidRPr="005B291E">
              <w:rPr>
                <w:rFonts w:ascii="Calibri" w:eastAsia="Times New Roman" w:hAnsi="Calibri" w:cs="Calibri"/>
                <w:color w:val="000000"/>
                <w:sz w:val="21"/>
                <w:szCs w:val="21"/>
              </w:rPr>
              <w:t>ree</w:t>
            </w:r>
          </w:p>
        </w:tc>
        <w:tc>
          <w:tcPr>
            <w:tcW w:w="1132" w:type="pct"/>
            <w:tcBorders>
              <w:top w:val="single" w:sz="4" w:space="0" w:color="auto"/>
              <w:bottom w:val="nil"/>
            </w:tcBorders>
            <w:shd w:val="clear" w:color="auto" w:fill="FFFFFF" w:themeFill="background1"/>
            <w:vAlign w:val="center"/>
            <w:hideMark/>
          </w:tcPr>
          <w:p w14:paraId="3B419230"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Calibri"/>
                <w:color w:val="000000"/>
                <w:sz w:val="21"/>
                <w:szCs w:val="21"/>
              </w:rPr>
              <w:t>free</w:t>
            </w:r>
          </w:p>
        </w:tc>
        <w:tc>
          <w:tcPr>
            <w:tcW w:w="535" w:type="pct"/>
            <w:tcBorders>
              <w:top w:val="single" w:sz="4" w:space="0" w:color="auto"/>
              <w:bottom w:val="nil"/>
            </w:tcBorders>
            <w:shd w:val="clear" w:color="auto" w:fill="FFFFFF" w:themeFill="background1"/>
            <w:vAlign w:val="center"/>
            <w:hideMark/>
          </w:tcPr>
          <w:p w14:paraId="5D9210EE"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Calibri"/>
                <w:color w:val="000000"/>
                <w:sz w:val="21"/>
                <w:szCs w:val="21"/>
              </w:rPr>
              <w:t>free</w:t>
            </w:r>
          </w:p>
        </w:tc>
        <w:tc>
          <w:tcPr>
            <w:tcW w:w="629" w:type="pct"/>
            <w:tcBorders>
              <w:top w:val="single" w:sz="4" w:space="0" w:color="auto"/>
              <w:bottom w:val="nil"/>
            </w:tcBorders>
            <w:shd w:val="clear" w:color="auto" w:fill="FFFFFF" w:themeFill="background1"/>
            <w:vAlign w:val="center"/>
            <w:hideMark/>
          </w:tcPr>
          <w:p w14:paraId="47A05DF7"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Calibri"/>
                <w:color w:val="000000"/>
                <w:sz w:val="21"/>
                <w:szCs w:val="21"/>
              </w:rPr>
              <w:t>free</w:t>
            </w:r>
          </w:p>
        </w:tc>
      </w:tr>
      <w:tr w:rsidR="005500E6" w:rsidRPr="005B291E" w14:paraId="3A621295" w14:textId="77777777" w:rsidTr="00CF0B88">
        <w:trPr>
          <w:trHeight w:val="420"/>
          <w:jc w:val="center"/>
        </w:trPr>
        <w:tc>
          <w:tcPr>
            <w:tcW w:w="725" w:type="pct"/>
            <w:vMerge/>
            <w:tcBorders>
              <w:top w:val="nil"/>
              <w:bottom w:val="nil"/>
            </w:tcBorders>
            <w:shd w:val="clear" w:color="auto" w:fill="FFFFFF" w:themeFill="background1"/>
            <w:vAlign w:val="center"/>
            <w:hideMark/>
          </w:tcPr>
          <w:p w14:paraId="68E1F239" w14:textId="77777777" w:rsidR="005500E6" w:rsidRPr="005B291E" w:rsidRDefault="005500E6" w:rsidP="00363D34">
            <w:pPr>
              <w:spacing w:after="0" w:line="240" w:lineRule="auto"/>
              <w:rPr>
                <w:rFonts w:ascii="Calibri" w:eastAsia="Times New Roman" w:hAnsi="Calibri" w:cs="Calibri"/>
                <w:i/>
                <w:iCs/>
                <w:color w:val="000000"/>
                <w:sz w:val="21"/>
                <w:szCs w:val="21"/>
              </w:rPr>
            </w:pPr>
          </w:p>
        </w:tc>
        <w:tc>
          <w:tcPr>
            <w:tcW w:w="786" w:type="pct"/>
            <w:tcBorders>
              <w:top w:val="nil"/>
              <w:bottom w:val="nil"/>
            </w:tcBorders>
            <w:shd w:val="clear" w:color="auto" w:fill="FFFFFF" w:themeFill="background1"/>
            <w:vAlign w:val="center"/>
            <w:hideMark/>
          </w:tcPr>
          <w:p w14:paraId="3F167369" w14:textId="77777777" w:rsidR="005500E6" w:rsidRPr="005B291E" w:rsidRDefault="005500E6" w:rsidP="00363D34">
            <w:pPr>
              <w:spacing w:after="0" w:line="240" w:lineRule="auto"/>
              <w:rPr>
                <w:rFonts w:ascii="Calibri" w:eastAsia="Times New Roman" w:hAnsi="Calibri" w:cs="Calibri"/>
                <w:i/>
                <w:iCs/>
                <w:color w:val="000000"/>
                <w:sz w:val="21"/>
                <w:szCs w:val="21"/>
              </w:rPr>
            </w:pPr>
            <w:r w:rsidRPr="005B291E">
              <w:rPr>
                <w:rFonts w:ascii="Calibri" w:eastAsia="Times New Roman" w:hAnsi="Calibri" w:cs="Calibri"/>
                <w:i/>
                <w:iCs/>
                <w:color w:val="000000"/>
                <w:sz w:val="21"/>
                <w:szCs w:val="21"/>
              </w:rPr>
              <w:t>Other labs</w:t>
            </w:r>
          </w:p>
        </w:tc>
        <w:tc>
          <w:tcPr>
            <w:tcW w:w="1192" w:type="pct"/>
            <w:tcBorders>
              <w:top w:val="nil"/>
              <w:bottom w:val="nil"/>
            </w:tcBorders>
            <w:shd w:val="clear" w:color="auto" w:fill="FFFFFF" w:themeFill="background1"/>
            <w:vAlign w:val="center"/>
            <w:hideMark/>
          </w:tcPr>
          <w:p w14:paraId="5B5662E7" w14:textId="759E7A7A" w:rsidR="005500E6" w:rsidRPr="005B291E" w:rsidRDefault="00B22558" w:rsidP="00363D34">
            <w:pPr>
              <w:spacing w:after="0" w:line="240" w:lineRule="auto"/>
              <w:rPr>
                <w:rFonts w:ascii="Calibri" w:eastAsia="Times New Roman" w:hAnsi="Calibri" w:cs="Calibri"/>
                <w:color w:val="000000"/>
                <w:sz w:val="21"/>
                <w:szCs w:val="21"/>
              </w:rPr>
            </w:pPr>
            <w:r w:rsidRPr="005B291E">
              <w:rPr>
                <w:rFonts w:ascii="Calibri" w:eastAsia="Times New Roman" w:hAnsi="Calibri" w:cs="Calibri"/>
                <w:color w:val="000000"/>
                <w:sz w:val="21"/>
                <w:szCs w:val="21"/>
              </w:rPr>
              <w:t>F</w:t>
            </w:r>
            <w:r w:rsidR="005500E6" w:rsidRPr="005B291E">
              <w:rPr>
                <w:rFonts w:ascii="Calibri" w:eastAsia="Times New Roman" w:hAnsi="Calibri" w:cs="Calibri"/>
                <w:color w:val="000000"/>
                <w:sz w:val="21"/>
                <w:szCs w:val="21"/>
              </w:rPr>
              <w:t>ree</w:t>
            </w:r>
          </w:p>
        </w:tc>
        <w:tc>
          <w:tcPr>
            <w:tcW w:w="1132" w:type="pct"/>
            <w:tcBorders>
              <w:top w:val="nil"/>
              <w:bottom w:val="nil"/>
            </w:tcBorders>
            <w:shd w:val="clear" w:color="auto" w:fill="FFFFFF" w:themeFill="background1"/>
            <w:vAlign w:val="center"/>
            <w:hideMark/>
          </w:tcPr>
          <w:p w14:paraId="1C1D1701"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Calibri"/>
                <w:color w:val="000000"/>
                <w:sz w:val="21"/>
                <w:szCs w:val="21"/>
              </w:rPr>
              <w:t>free</w:t>
            </w:r>
          </w:p>
        </w:tc>
        <w:tc>
          <w:tcPr>
            <w:tcW w:w="535" w:type="pct"/>
            <w:tcBorders>
              <w:top w:val="nil"/>
              <w:bottom w:val="nil"/>
            </w:tcBorders>
            <w:shd w:val="clear" w:color="auto" w:fill="FFFFFF" w:themeFill="background1"/>
            <w:vAlign w:val="center"/>
            <w:hideMark/>
          </w:tcPr>
          <w:p w14:paraId="23084819"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Calibri"/>
                <w:color w:val="000000"/>
                <w:sz w:val="21"/>
                <w:szCs w:val="21"/>
              </w:rPr>
              <w:t>free</w:t>
            </w:r>
          </w:p>
        </w:tc>
        <w:tc>
          <w:tcPr>
            <w:tcW w:w="629" w:type="pct"/>
            <w:tcBorders>
              <w:top w:val="nil"/>
              <w:bottom w:val="nil"/>
            </w:tcBorders>
            <w:shd w:val="clear" w:color="auto" w:fill="FFFFFF" w:themeFill="background1"/>
            <w:vAlign w:val="center"/>
            <w:hideMark/>
          </w:tcPr>
          <w:p w14:paraId="0FC2AC8B"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Calibri"/>
                <w:color w:val="000000"/>
                <w:sz w:val="21"/>
                <w:szCs w:val="21"/>
              </w:rPr>
              <w:t>full price</w:t>
            </w:r>
          </w:p>
        </w:tc>
      </w:tr>
      <w:tr w:rsidR="005500E6" w:rsidRPr="005B291E" w14:paraId="71178835" w14:textId="77777777" w:rsidTr="00CF0B88">
        <w:trPr>
          <w:trHeight w:val="420"/>
          <w:jc w:val="center"/>
        </w:trPr>
        <w:tc>
          <w:tcPr>
            <w:tcW w:w="725" w:type="pct"/>
            <w:vMerge/>
            <w:tcBorders>
              <w:top w:val="nil"/>
              <w:bottom w:val="single" w:sz="4" w:space="0" w:color="auto"/>
            </w:tcBorders>
            <w:shd w:val="clear" w:color="auto" w:fill="FFFFFF" w:themeFill="background1"/>
            <w:vAlign w:val="center"/>
            <w:hideMark/>
          </w:tcPr>
          <w:p w14:paraId="5F6FBFE9" w14:textId="77777777" w:rsidR="005500E6" w:rsidRPr="005B291E" w:rsidRDefault="005500E6" w:rsidP="00363D34">
            <w:pPr>
              <w:spacing w:after="0" w:line="240" w:lineRule="auto"/>
              <w:rPr>
                <w:rFonts w:ascii="Calibri" w:eastAsia="Times New Roman" w:hAnsi="Calibri" w:cs="Calibri"/>
                <w:i/>
                <w:iCs/>
                <w:color w:val="000000"/>
                <w:sz w:val="21"/>
                <w:szCs w:val="21"/>
              </w:rPr>
            </w:pPr>
          </w:p>
        </w:tc>
        <w:tc>
          <w:tcPr>
            <w:tcW w:w="786" w:type="pct"/>
            <w:tcBorders>
              <w:top w:val="nil"/>
              <w:bottom w:val="single" w:sz="4" w:space="0" w:color="auto"/>
            </w:tcBorders>
            <w:shd w:val="clear" w:color="auto" w:fill="FFFFFF" w:themeFill="background1"/>
            <w:vAlign w:val="center"/>
            <w:hideMark/>
          </w:tcPr>
          <w:p w14:paraId="5D22290E" w14:textId="77777777" w:rsidR="005500E6" w:rsidRPr="005B291E" w:rsidRDefault="005500E6" w:rsidP="00363D34">
            <w:pPr>
              <w:spacing w:after="0" w:line="240" w:lineRule="auto"/>
              <w:rPr>
                <w:rFonts w:ascii="Calibri" w:eastAsia="Times New Roman" w:hAnsi="Calibri" w:cs="Calibri"/>
                <w:i/>
                <w:iCs/>
                <w:color w:val="000000"/>
                <w:sz w:val="21"/>
                <w:szCs w:val="21"/>
              </w:rPr>
            </w:pPr>
            <w:r w:rsidRPr="005B291E">
              <w:rPr>
                <w:rFonts w:ascii="Calibri" w:eastAsia="Times New Roman" w:hAnsi="Calibri" w:cs="Calibri"/>
                <w:i/>
                <w:iCs/>
                <w:color w:val="000000"/>
                <w:sz w:val="21"/>
                <w:szCs w:val="21"/>
              </w:rPr>
              <w:t>Rehab, physiotherapy</w:t>
            </w:r>
          </w:p>
        </w:tc>
        <w:tc>
          <w:tcPr>
            <w:tcW w:w="1192" w:type="pct"/>
            <w:tcBorders>
              <w:top w:val="nil"/>
              <w:bottom w:val="single" w:sz="4" w:space="0" w:color="auto"/>
            </w:tcBorders>
            <w:shd w:val="clear" w:color="auto" w:fill="FFFFFF" w:themeFill="background1"/>
            <w:vAlign w:val="center"/>
            <w:hideMark/>
          </w:tcPr>
          <w:p w14:paraId="028DEF02"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Calibri"/>
                <w:color w:val="000000"/>
                <w:sz w:val="21"/>
                <w:szCs w:val="21"/>
              </w:rPr>
              <w:t>full price</w:t>
            </w:r>
          </w:p>
        </w:tc>
        <w:tc>
          <w:tcPr>
            <w:tcW w:w="1132" w:type="pct"/>
            <w:tcBorders>
              <w:top w:val="nil"/>
              <w:bottom w:val="single" w:sz="4" w:space="0" w:color="auto"/>
            </w:tcBorders>
            <w:shd w:val="clear" w:color="auto" w:fill="FFFFFF" w:themeFill="background1"/>
            <w:vAlign w:val="center"/>
            <w:hideMark/>
          </w:tcPr>
          <w:p w14:paraId="1A16C8F1"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Calibri"/>
                <w:color w:val="000000"/>
                <w:sz w:val="21"/>
                <w:szCs w:val="21"/>
              </w:rPr>
              <w:t>full price</w:t>
            </w:r>
          </w:p>
        </w:tc>
        <w:tc>
          <w:tcPr>
            <w:tcW w:w="535" w:type="pct"/>
            <w:tcBorders>
              <w:top w:val="nil"/>
              <w:bottom w:val="single" w:sz="4" w:space="0" w:color="auto"/>
            </w:tcBorders>
            <w:shd w:val="clear" w:color="auto" w:fill="FFFFFF" w:themeFill="background1"/>
            <w:vAlign w:val="center"/>
            <w:hideMark/>
          </w:tcPr>
          <w:p w14:paraId="77277548"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Calibri"/>
                <w:color w:val="000000"/>
                <w:sz w:val="21"/>
                <w:szCs w:val="21"/>
              </w:rPr>
              <w:t>free</w:t>
            </w:r>
          </w:p>
        </w:tc>
        <w:tc>
          <w:tcPr>
            <w:tcW w:w="629" w:type="pct"/>
            <w:tcBorders>
              <w:top w:val="nil"/>
              <w:bottom w:val="single" w:sz="4" w:space="0" w:color="auto"/>
            </w:tcBorders>
            <w:shd w:val="clear" w:color="auto" w:fill="FFFFFF" w:themeFill="background1"/>
            <w:vAlign w:val="center"/>
            <w:hideMark/>
          </w:tcPr>
          <w:p w14:paraId="3FCB30AF"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Calibri"/>
                <w:color w:val="000000"/>
                <w:sz w:val="21"/>
                <w:szCs w:val="21"/>
              </w:rPr>
              <w:t>full price</w:t>
            </w:r>
          </w:p>
        </w:tc>
      </w:tr>
      <w:tr w:rsidR="005500E6" w:rsidRPr="005B291E" w14:paraId="6623777E" w14:textId="77777777" w:rsidTr="00CF0B88">
        <w:trPr>
          <w:trHeight w:val="300"/>
          <w:jc w:val="center"/>
        </w:trPr>
        <w:tc>
          <w:tcPr>
            <w:tcW w:w="725" w:type="pct"/>
            <w:vMerge w:val="restart"/>
            <w:tcBorders>
              <w:top w:val="single" w:sz="4" w:space="0" w:color="auto"/>
              <w:bottom w:val="nil"/>
            </w:tcBorders>
            <w:shd w:val="clear" w:color="auto" w:fill="F2F2F2" w:themeFill="background1" w:themeFillShade="F2"/>
            <w:vAlign w:val="center"/>
            <w:hideMark/>
          </w:tcPr>
          <w:p w14:paraId="2ED142E7" w14:textId="77777777" w:rsidR="005500E6" w:rsidRPr="005B291E" w:rsidRDefault="005500E6" w:rsidP="00363D34">
            <w:pPr>
              <w:spacing w:after="0" w:line="240" w:lineRule="auto"/>
              <w:rPr>
                <w:rFonts w:ascii="Calibri" w:eastAsia="Times New Roman" w:hAnsi="Calibri" w:cs="Calibri"/>
                <w:i/>
                <w:iCs/>
                <w:color w:val="000000"/>
                <w:sz w:val="21"/>
                <w:szCs w:val="21"/>
              </w:rPr>
            </w:pPr>
            <w:r w:rsidRPr="005B291E">
              <w:rPr>
                <w:rFonts w:ascii="Calibri" w:eastAsia="Times New Roman" w:hAnsi="Calibri" w:cs="Calibri"/>
                <w:i/>
                <w:iCs/>
                <w:color w:val="000000"/>
                <w:sz w:val="21"/>
                <w:szCs w:val="21"/>
              </w:rPr>
              <w:t>Outpatient care (OP) except specialized services</w:t>
            </w:r>
          </w:p>
        </w:tc>
        <w:tc>
          <w:tcPr>
            <w:tcW w:w="786" w:type="pct"/>
            <w:tcBorders>
              <w:top w:val="single" w:sz="4" w:space="0" w:color="auto"/>
              <w:bottom w:val="nil"/>
            </w:tcBorders>
            <w:shd w:val="clear" w:color="auto" w:fill="F2F2F2" w:themeFill="background1" w:themeFillShade="F2"/>
            <w:vAlign w:val="center"/>
            <w:hideMark/>
          </w:tcPr>
          <w:p w14:paraId="2D007641" w14:textId="77777777" w:rsidR="005500E6" w:rsidRPr="005B291E" w:rsidRDefault="005500E6" w:rsidP="00363D34">
            <w:pPr>
              <w:spacing w:after="0" w:line="240" w:lineRule="auto"/>
              <w:rPr>
                <w:rFonts w:ascii="Calibri" w:eastAsia="Times New Roman" w:hAnsi="Calibri" w:cs="Calibri"/>
                <w:i/>
                <w:iCs/>
                <w:color w:val="000000"/>
                <w:sz w:val="21"/>
                <w:szCs w:val="21"/>
              </w:rPr>
            </w:pPr>
            <w:r w:rsidRPr="005B291E">
              <w:rPr>
                <w:rFonts w:ascii="Calibri" w:eastAsia="Times New Roman" w:hAnsi="Calibri" w:cs="Calibri"/>
                <w:i/>
                <w:iCs/>
                <w:color w:val="000000"/>
                <w:sz w:val="21"/>
                <w:szCs w:val="21"/>
              </w:rPr>
              <w:t xml:space="preserve">2ndary care OP setting </w:t>
            </w:r>
          </w:p>
        </w:tc>
        <w:tc>
          <w:tcPr>
            <w:tcW w:w="1192" w:type="pct"/>
            <w:tcBorders>
              <w:top w:val="single" w:sz="4" w:space="0" w:color="auto"/>
              <w:bottom w:val="nil"/>
            </w:tcBorders>
            <w:shd w:val="clear" w:color="auto" w:fill="F2F2F2" w:themeFill="background1" w:themeFillShade="F2"/>
            <w:vAlign w:val="center"/>
            <w:hideMark/>
          </w:tcPr>
          <w:p w14:paraId="05C56965" w14:textId="7A2C52BC" w:rsidR="005500E6" w:rsidRPr="005B291E" w:rsidRDefault="00B22558" w:rsidP="00363D34">
            <w:pPr>
              <w:spacing w:after="0" w:line="240" w:lineRule="auto"/>
              <w:rPr>
                <w:rFonts w:ascii="Calibri" w:eastAsia="Times New Roman" w:hAnsi="Calibri" w:cs="Calibri"/>
                <w:color w:val="000000"/>
                <w:sz w:val="21"/>
                <w:szCs w:val="21"/>
              </w:rPr>
            </w:pPr>
            <w:r w:rsidRPr="005B291E">
              <w:rPr>
                <w:rFonts w:ascii="Calibri" w:eastAsia="Times New Roman" w:hAnsi="Calibri" w:cs="Calibri"/>
                <w:color w:val="000000"/>
                <w:sz w:val="21"/>
                <w:szCs w:val="21"/>
              </w:rPr>
              <w:t>F</w:t>
            </w:r>
            <w:r w:rsidR="005500E6" w:rsidRPr="005B291E">
              <w:rPr>
                <w:rFonts w:ascii="Calibri" w:eastAsia="Times New Roman" w:hAnsi="Calibri" w:cs="Calibri"/>
                <w:color w:val="000000"/>
                <w:sz w:val="21"/>
                <w:szCs w:val="21"/>
              </w:rPr>
              <w:t>ree</w:t>
            </w:r>
          </w:p>
        </w:tc>
        <w:tc>
          <w:tcPr>
            <w:tcW w:w="1132" w:type="pct"/>
            <w:tcBorders>
              <w:top w:val="single" w:sz="4" w:space="0" w:color="auto"/>
              <w:bottom w:val="nil"/>
            </w:tcBorders>
            <w:shd w:val="clear" w:color="auto" w:fill="F2F2F2" w:themeFill="background1" w:themeFillShade="F2"/>
            <w:vAlign w:val="center"/>
            <w:hideMark/>
          </w:tcPr>
          <w:p w14:paraId="0168E9A3"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Calibri"/>
                <w:color w:val="000000"/>
                <w:sz w:val="21"/>
                <w:szCs w:val="21"/>
              </w:rPr>
              <w:t>free</w:t>
            </w:r>
          </w:p>
        </w:tc>
        <w:tc>
          <w:tcPr>
            <w:tcW w:w="535" w:type="pct"/>
            <w:tcBorders>
              <w:top w:val="single" w:sz="4" w:space="0" w:color="auto"/>
              <w:bottom w:val="nil"/>
            </w:tcBorders>
            <w:shd w:val="clear" w:color="auto" w:fill="F2F2F2" w:themeFill="background1" w:themeFillShade="F2"/>
            <w:vAlign w:val="center"/>
            <w:hideMark/>
          </w:tcPr>
          <w:p w14:paraId="30D7D08E"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Calibri"/>
                <w:color w:val="000000"/>
                <w:sz w:val="21"/>
                <w:szCs w:val="21"/>
              </w:rPr>
              <w:t>full price</w:t>
            </w:r>
          </w:p>
        </w:tc>
        <w:tc>
          <w:tcPr>
            <w:tcW w:w="629" w:type="pct"/>
            <w:tcBorders>
              <w:top w:val="single" w:sz="4" w:space="0" w:color="auto"/>
              <w:bottom w:val="nil"/>
            </w:tcBorders>
            <w:shd w:val="clear" w:color="auto" w:fill="F2F2F2" w:themeFill="background1" w:themeFillShade="F2"/>
            <w:vAlign w:val="center"/>
            <w:hideMark/>
          </w:tcPr>
          <w:p w14:paraId="6268B638"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Calibri"/>
                <w:color w:val="000000"/>
                <w:sz w:val="21"/>
                <w:szCs w:val="21"/>
              </w:rPr>
              <w:t>full price</w:t>
            </w:r>
          </w:p>
        </w:tc>
      </w:tr>
      <w:tr w:rsidR="005500E6" w:rsidRPr="005B291E" w14:paraId="2BB44BF9" w14:textId="77777777" w:rsidTr="00CF0B88">
        <w:trPr>
          <w:trHeight w:val="570"/>
          <w:jc w:val="center"/>
        </w:trPr>
        <w:tc>
          <w:tcPr>
            <w:tcW w:w="725" w:type="pct"/>
            <w:vMerge/>
            <w:tcBorders>
              <w:top w:val="nil"/>
              <w:bottom w:val="single" w:sz="4" w:space="0" w:color="auto"/>
            </w:tcBorders>
            <w:shd w:val="clear" w:color="auto" w:fill="F2F2F2" w:themeFill="background1" w:themeFillShade="F2"/>
            <w:vAlign w:val="center"/>
            <w:hideMark/>
          </w:tcPr>
          <w:p w14:paraId="79AC0991" w14:textId="77777777" w:rsidR="005500E6" w:rsidRPr="005B291E" w:rsidRDefault="005500E6" w:rsidP="00363D34">
            <w:pPr>
              <w:spacing w:after="0" w:line="240" w:lineRule="auto"/>
              <w:rPr>
                <w:rFonts w:ascii="Calibri" w:eastAsia="Times New Roman" w:hAnsi="Calibri" w:cs="Calibri"/>
                <w:i/>
                <w:iCs/>
                <w:color w:val="000000"/>
                <w:sz w:val="21"/>
                <w:szCs w:val="21"/>
              </w:rPr>
            </w:pPr>
          </w:p>
        </w:tc>
        <w:tc>
          <w:tcPr>
            <w:tcW w:w="786" w:type="pct"/>
            <w:tcBorders>
              <w:top w:val="nil"/>
              <w:bottom w:val="single" w:sz="4" w:space="0" w:color="auto"/>
            </w:tcBorders>
            <w:shd w:val="clear" w:color="auto" w:fill="F2F2F2" w:themeFill="background1" w:themeFillShade="F2"/>
            <w:vAlign w:val="center"/>
            <w:hideMark/>
          </w:tcPr>
          <w:p w14:paraId="57F7F5FD" w14:textId="77777777" w:rsidR="005500E6" w:rsidRPr="005B291E" w:rsidRDefault="005500E6" w:rsidP="00363D34">
            <w:pPr>
              <w:spacing w:after="0" w:line="240" w:lineRule="auto"/>
              <w:rPr>
                <w:rFonts w:ascii="Calibri" w:eastAsia="Times New Roman" w:hAnsi="Calibri" w:cs="Calibri"/>
                <w:i/>
                <w:iCs/>
                <w:color w:val="000000"/>
                <w:sz w:val="21"/>
                <w:szCs w:val="21"/>
              </w:rPr>
            </w:pPr>
            <w:r w:rsidRPr="005B291E">
              <w:rPr>
                <w:rFonts w:ascii="Calibri" w:eastAsia="Times New Roman" w:hAnsi="Calibri" w:cs="Calibri"/>
                <w:i/>
                <w:iCs/>
                <w:color w:val="000000"/>
                <w:sz w:val="21"/>
                <w:szCs w:val="21"/>
              </w:rPr>
              <w:t>Advisory &amp; diagnostic department hospital</w:t>
            </w:r>
          </w:p>
        </w:tc>
        <w:tc>
          <w:tcPr>
            <w:tcW w:w="1192" w:type="pct"/>
            <w:tcBorders>
              <w:top w:val="nil"/>
              <w:bottom w:val="single" w:sz="4" w:space="0" w:color="auto"/>
            </w:tcBorders>
            <w:shd w:val="clear" w:color="auto" w:fill="F2F2F2" w:themeFill="background1" w:themeFillShade="F2"/>
            <w:vAlign w:val="center"/>
            <w:hideMark/>
          </w:tcPr>
          <w:p w14:paraId="5EA4BD8E" w14:textId="65C0232D" w:rsidR="005500E6" w:rsidRPr="005B291E" w:rsidRDefault="00B22558" w:rsidP="00363D34">
            <w:pPr>
              <w:spacing w:after="0" w:line="240" w:lineRule="auto"/>
              <w:rPr>
                <w:rFonts w:ascii="Calibri" w:eastAsia="Times New Roman" w:hAnsi="Calibri" w:cs="Calibri"/>
                <w:color w:val="000000"/>
                <w:sz w:val="21"/>
                <w:szCs w:val="21"/>
              </w:rPr>
            </w:pPr>
            <w:r w:rsidRPr="005B291E">
              <w:rPr>
                <w:rFonts w:ascii="Calibri" w:eastAsia="Times New Roman" w:hAnsi="Calibri" w:cs="Calibri"/>
                <w:color w:val="000000"/>
                <w:sz w:val="21"/>
                <w:szCs w:val="21"/>
              </w:rPr>
              <w:t>F</w:t>
            </w:r>
            <w:r w:rsidR="005500E6" w:rsidRPr="005B291E">
              <w:rPr>
                <w:rFonts w:ascii="Calibri" w:eastAsia="Times New Roman" w:hAnsi="Calibri" w:cs="Calibri"/>
                <w:color w:val="000000"/>
                <w:sz w:val="21"/>
                <w:szCs w:val="21"/>
              </w:rPr>
              <w:t>ree</w:t>
            </w:r>
          </w:p>
        </w:tc>
        <w:tc>
          <w:tcPr>
            <w:tcW w:w="1132" w:type="pct"/>
            <w:tcBorders>
              <w:top w:val="nil"/>
              <w:bottom w:val="single" w:sz="4" w:space="0" w:color="auto"/>
            </w:tcBorders>
            <w:shd w:val="clear" w:color="auto" w:fill="F2F2F2" w:themeFill="background1" w:themeFillShade="F2"/>
            <w:vAlign w:val="center"/>
            <w:hideMark/>
          </w:tcPr>
          <w:p w14:paraId="7108D7D6"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Calibri"/>
                <w:color w:val="000000"/>
                <w:sz w:val="21"/>
                <w:szCs w:val="21"/>
              </w:rPr>
              <w:t>free</w:t>
            </w:r>
          </w:p>
        </w:tc>
        <w:tc>
          <w:tcPr>
            <w:tcW w:w="535" w:type="pct"/>
            <w:tcBorders>
              <w:top w:val="nil"/>
              <w:bottom w:val="single" w:sz="4" w:space="0" w:color="auto"/>
            </w:tcBorders>
            <w:shd w:val="clear" w:color="auto" w:fill="F2F2F2" w:themeFill="background1" w:themeFillShade="F2"/>
            <w:vAlign w:val="center"/>
            <w:hideMark/>
          </w:tcPr>
          <w:p w14:paraId="7B4D121E"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Calibri"/>
                <w:color w:val="000000"/>
                <w:sz w:val="21"/>
                <w:szCs w:val="21"/>
              </w:rPr>
              <w:t>full price</w:t>
            </w:r>
          </w:p>
        </w:tc>
        <w:tc>
          <w:tcPr>
            <w:tcW w:w="629" w:type="pct"/>
            <w:tcBorders>
              <w:top w:val="nil"/>
              <w:bottom w:val="single" w:sz="4" w:space="0" w:color="auto"/>
            </w:tcBorders>
            <w:shd w:val="clear" w:color="auto" w:fill="F2F2F2" w:themeFill="background1" w:themeFillShade="F2"/>
            <w:vAlign w:val="center"/>
            <w:hideMark/>
          </w:tcPr>
          <w:p w14:paraId="56BCFFF5"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Calibri"/>
                <w:color w:val="000000"/>
                <w:sz w:val="21"/>
                <w:szCs w:val="21"/>
              </w:rPr>
              <w:t>full price</w:t>
            </w:r>
          </w:p>
        </w:tc>
      </w:tr>
      <w:tr w:rsidR="005500E6" w:rsidRPr="005B291E" w14:paraId="67B60141" w14:textId="77777777" w:rsidTr="00CF0B88">
        <w:trPr>
          <w:trHeight w:val="570"/>
          <w:jc w:val="center"/>
        </w:trPr>
        <w:tc>
          <w:tcPr>
            <w:tcW w:w="725" w:type="pct"/>
            <w:tcBorders>
              <w:top w:val="single" w:sz="4" w:space="0" w:color="auto"/>
              <w:bottom w:val="single" w:sz="4" w:space="0" w:color="auto"/>
            </w:tcBorders>
            <w:shd w:val="clear" w:color="auto" w:fill="FFFFFF" w:themeFill="background1"/>
            <w:vAlign w:val="center"/>
            <w:hideMark/>
          </w:tcPr>
          <w:p w14:paraId="3ED34D80" w14:textId="77777777" w:rsidR="005500E6" w:rsidRPr="005B291E" w:rsidRDefault="005500E6" w:rsidP="00363D34">
            <w:pPr>
              <w:spacing w:after="0" w:line="240" w:lineRule="auto"/>
              <w:rPr>
                <w:rFonts w:ascii="Calibri" w:eastAsia="Times New Roman" w:hAnsi="Calibri" w:cs="Calibri"/>
                <w:i/>
                <w:iCs/>
                <w:color w:val="000000"/>
                <w:sz w:val="21"/>
                <w:szCs w:val="21"/>
              </w:rPr>
            </w:pPr>
            <w:r w:rsidRPr="005B291E">
              <w:rPr>
                <w:rFonts w:ascii="Calibri" w:eastAsia="Times New Roman" w:hAnsi="Calibri" w:cs="Calibri"/>
                <w:i/>
                <w:iCs/>
                <w:color w:val="000000"/>
                <w:sz w:val="21"/>
                <w:szCs w:val="21"/>
              </w:rPr>
              <w:t>Inpatient care (IP) except specialized services</w:t>
            </w:r>
          </w:p>
        </w:tc>
        <w:tc>
          <w:tcPr>
            <w:tcW w:w="786" w:type="pct"/>
            <w:tcBorders>
              <w:top w:val="single" w:sz="4" w:space="0" w:color="auto"/>
              <w:bottom w:val="single" w:sz="4" w:space="0" w:color="auto"/>
            </w:tcBorders>
            <w:shd w:val="clear" w:color="auto" w:fill="FFFFFF" w:themeFill="background1"/>
            <w:vAlign w:val="center"/>
            <w:hideMark/>
          </w:tcPr>
          <w:p w14:paraId="4B50EA43" w14:textId="77777777" w:rsidR="005500E6" w:rsidRPr="005B291E" w:rsidRDefault="005500E6" w:rsidP="00363D34">
            <w:pPr>
              <w:spacing w:after="0" w:line="240" w:lineRule="auto"/>
              <w:rPr>
                <w:rFonts w:ascii="Calibri" w:eastAsia="Times New Roman" w:hAnsi="Calibri" w:cs="Calibri"/>
                <w:i/>
                <w:iCs/>
                <w:color w:val="000000"/>
                <w:sz w:val="21"/>
                <w:szCs w:val="21"/>
              </w:rPr>
            </w:pPr>
            <w:r w:rsidRPr="005B291E">
              <w:rPr>
                <w:rFonts w:ascii="Calibri" w:eastAsia="Times New Roman" w:hAnsi="Calibri" w:cs="Calibri"/>
                <w:i/>
                <w:iCs/>
                <w:color w:val="000000"/>
                <w:sz w:val="21"/>
                <w:szCs w:val="21"/>
              </w:rPr>
              <w:t> </w:t>
            </w:r>
          </w:p>
        </w:tc>
        <w:tc>
          <w:tcPr>
            <w:tcW w:w="1192" w:type="pct"/>
            <w:tcBorders>
              <w:top w:val="single" w:sz="4" w:space="0" w:color="auto"/>
              <w:bottom w:val="single" w:sz="4" w:space="0" w:color="auto"/>
            </w:tcBorders>
            <w:shd w:val="clear" w:color="auto" w:fill="FFFFFF" w:themeFill="background1"/>
            <w:vAlign w:val="center"/>
            <w:hideMark/>
          </w:tcPr>
          <w:p w14:paraId="7A37E01B"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Calibri"/>
                <w:color w:val="000000"/>
                <w:sz w:val="21"/>
                <w:szCs w:val="21"/>
              </w:rPr>
              <w:t>free for 2 IPs/</w:t>
            </w:r>
            <w:proofErr w:type="spellStart"/>
            <w:r w:rsidRPr="005B291E">
              <w:rPr>
                <w:rFonts w:ascii="Calibri" w:eastAsia="Times New Roman" w:hAnsi="Calibri" w:cs="Calibri"/>
                <w:color w:val="000000"/>
                <w:sz w:val="21"/>
                <w:szCs w:val="21"/>
              </w:rPr>
              <w:t>yr</w:t>
            </w:r>
            <w:proofErr w:type="spellEnd"/>
            <w:r w:rsidRPr="005B291E">
              <w:rPr>
                <w:rFonts w:ascii="Calibri" w:eastAsia="Times New Roman" w:hAnsi="Calibri" w:cs="Calibri"/>
                <w:color w:val="000000"/>
                <w:sz w:val="21"/>
                <w:szCs w:val="21"/>
              </w:rPr>
              <w:t>, average copay from 3rd (except U5 and some categories)</w:t>
            </w:r>
          </w:p>
        </w:tc>
        <w:tc>
          <w:tcPr>
            <w:tcW w:w="1132" w:type="pct"/>
            <w:tcBorders>
              <w:top w:val="single" w:sz="4" w:space="0" w:color="auto"/>
              <w:bottom w:val="single" w:sz="4" w:space="0" w:color="auto"/>
            </w:tcBorders>
            <w:shd w:val="clear" w:color="auto" w:fill="FFFFFF" w:themeFill="background1"/>
            <w:vAlign w:val="center"/>
            <w:hideMark/>
          </w:tcPr>
          <w:p w14:paraId="4C9D6EDC"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Calibri"/>
                <w:color w:val="000000"/>
                <w:sz w:val="21"/>
                <w:szCs w:val="21"/>
              </w:rPr>
              <w:t>free, no limit</w:t>
            </w:r>
          </w:p>
        </w:tc>
        <w:tc>
          <w:tcPr>
            <w:tcW w:w="535" w:type="pct"/>
            <w:tcBorders>
              <w:top w:val="single" w:sz="4" w:space="0" w:color="auto"/>
              <w:bottom w:val="single" w:sz="4" w:space="0" w:color="auto"/>
            </w:tcBorders>
            <w:shd w:val="clear" w:color="auto" w:fill="FFFFFF" w:themeFill="background1"/>
            <w:vAlign w:val="center"/>
            <w:hideMark/>
          </w:tcPr>
          <w:p w14:paraId="4EB2BBEC"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Calibri"/>
                <w:color w:val="000000"/>
                <w:sz w:val="21"/>
                <w:szCs w:val="21"/>
              </w:rPr>
              <w:t>average copay</w:t>
            </w:r>
          </w:p>
        </w:tc>
        <w:tc>
          <w:tcPr>
            <w:tcW w:w="629" w:type="pct"/>
            <w:tcBorders>
              <w:top w:val="single" w:sz="4" w:space="0" w:color="auto"/>
              <w:bottom w:val="single" w:sz="4" w:space="0" w:color="auto"/>
            </w:tcBorders>
            <w:shd w:val="clear" w:color="auto" w:fill="FFFFFF" w:themeFill="background1"/>
            <w:vAlign w:val="center"/>
            <w:hideMark/>
          </w:tcPr>
          <w:p w14:paraId="39E029F2"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Calibri"/>
                <w:color w:val="000000"/>
                <w:sz w:val="21"/>
                <w:szCs w:val="21"/>
              </w:rPr>
              <w:t>max copay</w:t>
            </w:r>
          </w:p>
        </w:tc>
      </w:tr>
      <w:tr w:rsidR="005500E6" w:rsidRPr="005B291E" w14:paraId="72FE73C6" w14:textId="77777777" w:rsidTr="00CF0B88">
        <w:trPr>
          <w:trHeight w:val="570"/>
          <w:jc w:val="center"/>
        </w:trPr>
        <w:tc>
          <w:tcPr>
            <w:tcW w:w="725" w:type="pct"/>
            <w:vMerge w:val="restart"/>
            <w:tcBorders>
              <w:top w:val="single" w:sz="4" w:space="0" w:color="auto"/>
              <w:bottom w:val="nil"/>
            </w:tcBorders>
            <w:shd w:val="clear" w:color="auto" w:fill="F2F2F2" w:themeFill="background1" w:themeFillShade="F2"/>
            <w:vAlign w:val="center"/>
            <w:hideMark/>
          </w:tcPr>
          <w:p w14:paraId="4C5AFA5F" w14:textId="77777777" w:rsidR="005500E6" w:rsidRPr="005B291E" w:rsidRDefault="005500E6" w:rsidP="00363D34">
            <w:pPr>
              <w:spacing w:after="0" w:line="240" w:lineRule="auto"/>
              <w:rPr>
                <w:rFonts w:ascii="Calibri" w:eastAsia="Times New Roman" w:hAnsi="Calibri" w:cs="Calibri"/>
                <w:i/>
                <w:iCs/>
                <w:color w:val="000000"/>
                <w:sz w:val="21"/>
                <w:szCs w:val="21"/>
              </w:rPr>
            </w:pPr>
            <w:r w:rsidRPr="005B291E">
              <w:rPr>
                <w:rFonts w:ascii="Calibri" w:eastAsia="Times New Roman" w:hAnsi="Calibri" w:cs="Calibri"/>
                <w:i/>
                <w:iCs/>
                <w:color w:val="000000"/>
                <w:sz w:val="21"/>
                <w:szCs w:val="21"/>
              </w:rPr>
              <w:t>Outpatient drugs</w:t>
            </w:r>
          </w:p>
        </w:tc>
        <w:tc>
          <w:tcPr>
            <w:tcW w:w="786" w:type="pct"/>
            <w:tcBorders>
              <w:top w:val="single" w:sz="4" w:space="0" w:color="auto"/>
              <w:bottom w:val="nil"/>
            </w:tcBorders>
            <w:shd w:val="clear" w:color="auto" w:fill="F2F2F2" w:themeFill="background1" w:themeFillShade="F2"/>
            <w:vAlign w:val="center"/>
            <w:hideMark/>
          </w:tcPr>
          <w:p w14:paraId="5943ED98" w14:textId="77777777" w:rsidR="005500E6" w:rsidRPr="005B291E" w:rsidRDefault="005500E6" w:rsidP="00363D34">
            <w:pPr>
              <w:spacing w:after="0" w:line="240" w:lineRule="auto"/>
              <w:rPr>
                <w:rFonts w:ascii="Calibri" w:eastAsia="Times New Roman" w:hAnsi="Calibri" w:cs="Calibri"/>
                <w:i/>
                <w:iCs/>
                <w:color w:val="000000"/>
                <w:sz w:val="21"/>
                <w:szCs w:val="21"/>
              </w:rPr>
            </w:pPr>
            <w:r w:rsidRPr="005B291E">
              <w:rPr>
                <w:rFonts w:ascii="Calibri" w:eastAsia="Times New Roman" w:hAnsi="Calibri" w:cs="Calibri"/>
                <w:i/>
                <w:iCs/>
                <w:color w:val="000000"/>
                <w:sz w:val="21"/>
                <w:szCs w:val="21"/>
              </w:rPr>
              <w:t>General</w:t>
            </w:r>
          </w:p>
        </w:tc>
        <w:tc>
          <w:tcPr>
            <w:tcW w:w="1192" w:type="pct"/>
            <w:tcBorders>
              <w:top w:val="single" w:sz="4" w:space="0" w:color="auto"/>
              <w:bottom w:val="nil"/>
            </w:tcBorders>
            <w:shd w:val="clear" w:color="auto" w:fill="F2F2F2" w:themeFill="background1" w:themeFillShade="F2"/>
            <w:vAlign w:val="center"/>
            <w:hideMark/>
          </w:tcPr>
          <w:p w14:paraId="1DFECD51"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Calibri"/>
                <w:color w:val="000000"/>
                <w:sz w:val="21"/>
                <w:szCs w:val="21"/>
              </w:rPr>
              <w:t>discount for some beneficiaries categories</w:t>
            </w:r>
          </w:p>
        </w:tc>
        <w:tc>
          <w:tcPr>
            <w:tcW w:w="1132" w:type="pct"/>
            <w:tcBorders>
              <w:top w:val="single" w:sz="4" w:space="0" w:color="auto"/>
              <w:bottom w:val="nil"/>
            </w:tcBorders>
            <w:shd w:val="clear" w:color="auto" w:fill="F2F2F2" w:themeFill="background1" w:themeFillShade="F2"/>
            <w:vAlign w:val="center"/>
            <w:hideMark/>
          </w:tcPr>
          <w:p w14:paraId="531761E2"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Calibri"/>
                <w:color w:val="000000"/>
                <w:sz w:val="21"/>
                <w:szCs w:val="21"/>
              </w:rPr>
              <w:t>discount if among specified diseases</w:t>
            </w:r>
          </w:p>
        </w:tc>
        <w:tc>
          <w:tcPr>
            <w:tcW w:w="535" w:type="pct"/>
            <w:tcBorders>
              <w:top w:val="single" w:sz="4" w:space="0" w:color="auto"/>
              <w:bottom w:val="nil"/>
            </w:tcBorders>
            <w:shd w:val="clear" w:color="auto" w:fill="F2F2F2" w:themeFill="background1" w:themeFillShade="F2"/>
            <w:vAlign w:val="center"/>
            <w:hideMark/>
          </w:tcPr>
          <w:p w14:paraId="4313038D"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Calibri"/>
                <w:color w:val="000000"/>
                <w:sz w:val="21"/>
                <w:szCs w:val="21"/>
              </w:rPr>
              <w:t>discount</w:t>
            </w:r>
          </w:p>
        </w:tc>
        <w:tc>
          <w:tcPr>
            <w:tcW w:w="629" w:type="pct"/>
            <w:tcBorders>
              <w:top w:val="single" w:sz="4" w:space="0" w:color="auto"/>
              <w:bottom w:val="nil"/>
            </w:tcBorders>
            <w:shd w:val="clear" w:color="auto" w:fill="F2F2F2" w:themeFill="background1" w:themeFillShade="F2"/>
            <w:vAlign w:val="center"/>
            <w:hideMark/>
          </w:tcPr>
          <w:p w14:paraId="4B7C1A01"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Calibri"/>
                <w:color w:val="000000"/>
                <w:sz w:val="21"/>
                <w:szCs w:val="21"/>
              </w:rPr>
              <w:t>full price</w:t>
            </w:r>
          </w:p>
        </w:tc>
      </w:tr>
      <w:tr w:rsidR="005500E6" w:rsidRPr="005B291E" w14:paraId="1BFA8BCB" w14:textId="77777777" w:rsidTr="00CF0B88">
        <w:trPr>
          <w:trHeight w:val="300"/>
          <w:jc w:val="center"/>
        </w:trPr>
        <w:tc>
          <w:tcPr>
            <w:tcW w:w="725" w:type="pct"/>
            <w:vMerge/>
            <w:tcBorders>
              <w:top w:val="nil"/>
              <w:bottom w:val="single" w:sz="4" w:space="0" w:color="auto"/>
            </w:tcBorders>
            <w:shd w:val="clear" w:color="auto" w:fill="F2F2F2" w:themeFill="background1" w:themeFillShade="F2"/>
            <w:vAlign w:val="center"/>
            <w:hideMark/>
          </w:tcPr>
          <w:p w14:paraId="26AC63D9" w14:textId="77777777" w:rsidR="005500E6" w:rsidRPr="005B291E" w:rsidRDefault="005500E6" w:rsidP="00363D34">
            <w:pPr>
              <w:spacing w:after="0" w:line="240" w:lineRule="auto"/>
              <w:rPr>
                <w:rFonts w:ascii="Calibri" w:eastAsia="Times New Roman" w:hAnsi="Calibri" w:cs="Calibri"/>
                <w:i/>
                <w:iCs/>
                <w:color w:val="000000"/>
                <w:sz w:val="21"/>
                <w:szCs w:val="21"/>
              </w:rPr>
            </w:pPr>
          </w:p>
        </w:tc>
        <w:tc>
          <w:tcPr>
            <w:tcW w:w="786" w:type="pct"/>
            <w:tcBorders>
              <w:top w:val="nil"/>
              <w:bottom w:val="single" w:sz="4" w:space="0" w:color="auto"/>
            </w:tcBorders>
            <w:shd w:val="clear" w:color="auto" w:fill="F2F2F2" w:themeFill="background1" w:themeFillShade="F2"/>
            <w:vAlign w:val="center"/>
            <w:hideMark/>
          </w:tcPr>
          <w:p w14:paraId="3E7F4B7B" w14:textId="77777777" w:rsidR="005500E6" w:rsidRPr="005B291E" w:rsidRDefault="005500E6" w:rsidP="00363D34">
            <w:pPr>
              <w:spacing w:after="0" w:line="240" w:lineRule="auto"/>
              <w:rPr>
                <w:rFonts w:ascii="Calibri" w:eastAsia="Times New Roman" w:hAnsi="Calibri" w:cs="Calibri"/>
                <w:i/>
                <w:iCs/>
                <w:color w:val="000000"/>
                <w:sz w:val="21"/>
                <w:szCs w:val="21"/>
              </w:rPr>
            </w:pPr>
            <w:r w:rsidRPr="005B291E">
              <w:rPr>
                <w:rFonts w:ascii="Calibri" w:eastAsia="Times New Roman" w:hAnsi="Calibri" w:cs="Calibri"/>
                <w:i/>
                <w:iCs/>
                <w:color w:val="000000"/>
                <w:sz w:val="21"/>
                <w:szCs w:val="21"/>
              </w:rPr>
              <w:t>Specific diseases</w:t>
            </w:r>
          </w:p>
        </w:tc>
        <w:tc>
          <w:tcPr>
            <w:tcW w:w="3488" w:type="pct"/>
            <w:gridSpan w:val="4"/>
            <w:tcBorders>
              <w:top w:val="nil"/>
              <w:bottom w:val="single" w:sz="4" w:space="0" w:color="auto"/>
            </w:tcBorders>
            <w:shd w:val="clear" w:color="auto" w:fill="F2F2F2" w:themeFill="background1" w:themeFillShade="F2"/>
            <w:vAlign w:val="center"/>
            <w:hideMark/>
          </w:tcPr>
          <w:p w14:paraId="347F8ABF"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Calibri"/>
                <w:color w:val="000000"/>
                <w:sz w:val="21"/>
                <w:szCs w:val="21"/>
              </w:rPr>
              <w:t>free or discount depending on diseases</w:t>
            </w:r>
          </w:p>
        </w:tc>
      </w:tr>
      <w:tr w:rsidR="005500E6" w:rsidRPr="005B291E" w14:paraId="6B36F0E8" w14:textId="77777777" w:rsidTr="00CF0B88">
        <w:trPr>
          <w:trHeight w:val="300"/>
          <w:jc w:val="center"/>
        </w:trPr>
        <w:tc>
          <w:tcPr>
            <w:tcW w:w="725" w:type="pct"/>
            <w:tcBorders>
              <w:top w:val="single" w:sz="4" w:space="0" w:color="auto"/>
              <w:bottom w:val="single" w:sz="4" w:space="0" w:color="auto"/>
            </w:tcBorders>
            <w:shd w:val="clear" w:color="auto" w:fill="FFFFFF" w:themeFill="background1"/>
            <w:noWrap/>
            <w:vAlign w:val="center"/>
            <w:hideMark/>
          </w:tcPr>
          <w:p w14:paraId="75D1AC61" w14:textId="77777777" w:rsidR="005500E6" w:rsidRPr="005B291E" w:rsidRDefault="005500E6" w:rsidP="00363D34">
            <w:pPr>
              <w:spacing w:after="0" w:line="240" w:lineRule="auto"/>
              <w:rPr>
                <w:rFonts w:ascii="Calibri" w:eastAsia="Times New Roman" w:hAnsi="Calibri" w:cs="Calibri"/>
                <w:i/>
                <w:iCs/>
                <w:color w:val="000000"/>
                <w:sz w:val="21"/>
                <w:szCs w:val="21"/>
              </w:rPr>
            </w:pPr>
            <w:r w:rsidRPr="005B291E">
              <w:rPr>
                <w:rFonts w:ascii="Calibri" w:eastAsia="Times New Roman" w:hAnsi="Calibri" w:cs="Calibri"/>
                <w:i/>
                <w:iCs/>
                <w:color w:val="000000"/>
                <w:sz w:val="21"/>
                <w:szCs w:val="21"/>
              </w:rPr>
              <w:t>Inpatient drugs</w:t>
            </w:r>
          </w:p>
        </w:tc>
        <w:tc>
          <w:tcPr>
            <w:tcW w:w="786" w:type="pct"/>
            <w:tcBorders>
              <w:top w:val="single" w:sz="4" w:space="0" w:color="auto"/>
              <w:bottom w:val="single" w:sz="4" w:space="0" w:color="auto"/>
            </w:tcBorders>
            <w:shd w:val="clear" w:color="auto" w:fill="FFFFFF" w:themeFill="background1"/>
            <w:noWrap/>
            <w:vAlign w:val="center"/>
            <w:hideMark/>
          </w:tcPr>
          <w:p w14:paraId="07CF09F1" w14:textId="77777777" w:rsidR="005500E6" w:rsidRPr="005B291E" w:rsidRDefault="005500E6" w:rsidP="00363D34">
            <w:pPr>
              <w:spacing w:after="0" w:line="240" w:lineRule="auto"/>
              <w:rPr>
                <w:rFonts w:ascii="Calibri" w:eastAsia="Times New Roman" w:hAnsi="Calibri" w:cs="Calibri"/>
                <w:i/>
                <w:iCs/>
                <w:color w:val="000000"/>
                <w:sz w:val="21"/>
                <w:szCs w:val="21"/>
              </w:rPr>
            </w:pPr>
            <w:r w:rsidRPr="005B291E">
              <w:rPr>
                <w:rFonts w:ascii="Calibri" w:eastAsia="Times New Roman" w:hAnsi="Calibri" w:cs="Calibri"/>
                <w:i/>
                <w:iCs/>
                <w:color w:val="000000"/>
                <w:sz w:val="21"/>
                <w:szCs w:val="21"/>
              </w:rPr>
              <w:t> </w:t>
            </w:r>
          </w:p>
        </w:tc>
        <w:tc>
          <w:tcPr>
            <w:tcW w:w="3488" w:type="pct"/>
            <w:gridSpan w:val="4"/>
            <w:tcBorders>
              <w:top w:val="single" w:sz="4" w:space="0" w:color="auto"/>
              <w:bottom w:val="single" w:sz="4" w:space="0" w:color="auto"/>
            </w:tcBorders>
            <w:shd w:val="clear" w:color="auto" w:fill="FFFFFF" w:themeFill="background1"/>
            <w:vAlign w:val="center"/>
            <w:hideMark/>
          </w:tcPr>
          <w:p w14:paraId="2CBD0A0A"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Calibri"/>
                <w:color w:val="000000"/>
                <w:sz w:val="21"/>
                <w:szCs w:val="21"/>
              </w:rPr>
              <w:t>free up to 3 times average cost</w:t>
            </w:r>
          </w:p>
        </w:tc>
      </w:tr>
      <w:tr w:rsidR="005500E6" w:rsidRPr="005B291E" w14:paraId="2EC3A261" w14:textId="77777777" w:rsidTr="00CF0B88">
        <w:trPr>
          <w:trHeight w:val="300"/>
          <w:jc w:val="center"/>
        </w:trPr>
        <w:tc>
          <w:tcPr>
            <w:tcW w:w="725" w:type="pct"/>
            <w:vMerge w:val="restart"/>
            <w:tcBorders>
              <w:top w:val="single" w:sz="4" w:space="0" w:color="auto"/>
              <w:bottom w:val="nil"/>
            </w:tcBorders>
            <w:shd w:val="clear" w:color="auto" w:fill="F2F2F2" w:themeFill="background1" w:themeFillShade="F2"/>
            <w:vAlign w:val="center"/>
            <w:hideMark/>
          </w:tcPr>
          <w:p w14:paraId="35C4D4DD" w14:textId="77777777" w:rsidR="005500E6" w:rsidRPr="005B291E" w:rsidRDefault="005500E6" w:rsidP="00363D34">
            <w:pPr>
              <w:spacing w:after="0" w:line="240" w:lineRule="auto"/>
              <w:rPr>
                <w:rFonts w:ascii="Calibri" w:eastAsia="Times New Roman" w:hAnsi="Calibri" w:cs="Calibri"/>
                <w:i/>
                <w:iCs/>
                <w:color w:val="000000"/>
                <w:sz w:val="21"/>
                <w:szCs w:val="21"/>
              </w:rPr>
            </w:pPr>
            <w:r w:rsidRPr="005B291E">
              <w:rPr>
                <w:rFonts w:ascii="Calibri" w:eastAsia="Times New Roman" w:hAnsi="Calibri" w:cstheme="minorHAnsi"/>
                <w:i/>
                <w:iCs/>
                <w:color w:val="000000"/>
                <w:sz w:val="21"/>
                <w:szCs w:val="21"/>
              </w:rPr>
              <w:t>Specialized psychiatric care</w:t>
            </w:r>
          </w:p>
        </w:tc>
        <w:tc>
          <w:tcPr>
            <w:tcW w:w="786" w:type="pct"/>
            <w:tcBorders>
              <w:top w:val="single" w:sz="4" w:space="0" w:color="auto"/>
              <w:bottom w:val="nil"/>
            </w:tcBorders>
            <w:shd w:val="clear" w:color="auto" w:fill="F2F2F2" w:themeFill="background1" w:themeFillShade="F2"/>
            <w:vAlign w:val="center"/>
            <w:hideMark/>
          </w:tcPr>
          <w:p w14:paraId="5B27015E" w14:textId="77777777" w:rsidR="005500E6" w:rsidRPr="005B291E" w:rsidRDefault="005500E6" w:rsidP="00363D34">
            <w:pPr>
              <w:spacing w:after="0" w:line="240" w:lineRule="auto"/>
              <w:rPr>
                <w:rFonts w:ascii="Calibri" w:eastAsia="Times New Roman" w:hAnsi="Calibri" w:cs="Calibri"/>
                <w:i/>
                <w:iCs/>
                <w:color w:val="000000"/>
                <w:sz w:val="21"/>
                <w:szCs w:val="21"/>
              </w:rPr>
            </w:pPr>
            <w:r w:rsidRPr="005B291E">
              <w:rPr>
                <w:rFonts w:ascii="Calibri" w:eastAsia="Times New Roman" w:hAnsi="Calibri" w:cs="Calibri"/>
                <w:i/>
                <w:iCs/>
                <w:color w:val="000000"/>
                <w:sz w:val="21"/>
                <w:szCs w:val="21"/>
              </w:rPr>
              <w:t>Outpatient</w:t>
            </w:r>
          </w:p>
        </w:tc>
        <w:tc>
          <w:tcPr>
            <w:tcW w:w="1192" w:type="pct"/>
            <w:tcBorders>
              <w:top w:val="single" w:sz="4" w:space="0" w:color="auto"/>
              <w:bottom w:val="nil"/>
            </w:tcBorders>
            <w:shd w:val="clear" w:color="auto" w:fill="F2F2F2" w:themeFill="background1" w:themeFillShade="F2"/>
            <w:vAlign w:val="center"/>
            <w:hideMark/>
          </w:tcPr>
          <w:p w14:paraId="026C6040"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theme="minorHAnsi"/>
                <w:color w:val="000000"/>
                <w:sz w:val="21"/>
                <w:szCs w:val="21"/>
              </w:rPr>
              <w:t>free</w:t>
            </w:r>
          </w:p>
        </w:tc>
        <w:tc>
          <w:tcPr>
            <w:tcW w:w="1132" w:type="pct"/>
            <w:tcBorders>
              <w:top w:val="single" w:sz="4" w:space="0" w:color="auto"/>
              <w:bottom w:val="nil"/>
            </w:tcBorders>
            <w:shd w:val="clear" w:color="auto" w:fill="F2F2F2" w:themeFill="background1" w:themeFillShade="F2"/>
            <w:vAlign w:val="center"/>
            <w:hideMark/>
          </w:tcPr>
          <w:p w14:paraId="12B51659"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theme="minorHAnsi"/>
                <w:color w:val="000000"/>
                <w:sz w:val="21"/>
                <w:szCs w:val="21"/>
              </w:rPr>
              <w:t>free</w:t>
            </w:r>
          </w:p>
        </w:tc>
        <w:tc>
          <w:tcPr>
            <w:tcW w:w="535" w:type="pct"/>
            <w:tcBorders>
              <w:top w:val="single" w:sz="4" w:space="0" w:color="auto"/>
              <w:bottom w:val="nil"/>
            </w:tcBorders>
            <w:shd w:val="clear" w:color="auto" w:fill="F2F2F2" w:themeFill="background1" w:themeFillShade="F2"/>
            <w:vAlign w:val="center"/>
            <w:hideMark/>
          </w:tcPr>
          <w:p w14:paraId="4827166C"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theme="minorHAnsi"/>
                <w:color w:val="000000"/>
                <w:sz w:val="21"/>
                <w:szCs w:val="21"/>
              </w:rPr>
              <w:t>free</w:t>
            </w:r>
          </w:p>
        </w:tc>
        <w:tc>
          <w:tcPr>
            <w:tcW w:w="629" w:type="pct"/>
            <w:tcBorders>
              <w:top w:val="single" w:sz="4" w:space="0" w:color="auto"/>
              <w:bottom w:val="nil"/>
            </w:tcBorders>
            <w:shd w:val="clear" w:color="auto" w:fill="F2F2F2" w:themeFill="background1" w:themeFillShade="F2"/>
            <w:vAlign w:val="center"/>
            <w:hideMark/>
          </w:tcPr>
          <w:p w14:paraId="1E93FFA8"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theme="minorHAnsi"/>
                <w:color w:val="000000"/>
                <w:sz w:val="21"/>
                <w:szCs w:val="21"/>
              </w:rPr>
              <w:t>free</w:t>
            </w:r>
          </w:p>
        </w:tc>
      </w:tr>
      <w:tr w:rsidR="005500E6" w:rsidRPr="005B291E" w14:paraId="65C96163" w14:textId="77777777" w:rsidTr="00CF0B88">
        <w:trPr>
          <w:trHeight w:val="300"/>
          <w:jc w:val="center"/>
        </w:trPr>
        <w:tc>
          <w:tcPr>
            <w:tcW w:w="725" w:type="pct"/>
            <w:vMerge/>
            <w:tcBorders>
              <w:top w:val="nil"/>
              <w:bottom w:val="single" w:sz="4" w:space="0" w:color="auto"/>
            </w:tcBorders>
            <w:shd w:val="clear" w:color="auto" w:fill="F2F2F2" w:themeFill="background1" w:themeFillShade="F2"/>
            <w:vAlign w:val="center"/>
            <w:hideMark/>
          </w:tcPr>
          <w:p w14:paraId="22392E9E" w14:textId="77777777" w:rsidR="005500E6" w:rsidRPr="005B291E" w:rsidRDefault="005500E6" w:rsidP="00363D34">
            <w:pPr>
              <w:spacing w:after="0" w:line="240" w:lineRule="auto"/>
              <w:rPr>
                <w:rFonts w:ascii="Calibri" w:eastAsia="Times New Roman" w:hAnsi="Calibri" w:cs="Calibri"/>
                <w:i/>
                <w:iCs/>
                <w:color w:val="000000"/>
                <w:sz w:val="21"/>
                <w:szCs w:val="21"/>
              </w:rPr>
            </w:pPr>
          </w:p>
        </w:tc>
        <w:tc>
          <w:tcPr>
            <w:tcW w:w="786" w:type="pct"/>
            <w:tcBorders>
              <w:top w:val="nil"/>
              <w:bottom w:val="single" w:sz="4" w:space="0" w:color="auto"/>
            </w:tcBorders>
            <w:shd w:val="clear" w:color="auto" w:fill="F2F2F2" w:themeFill="background1" w:themeFillShade="F2"/>
            <w:vAlign w:val="center"/>
            <w:hideMark/>
          </w:tcPr>
          <w:p w14:paraId="06BE32E7" w14:textId="77777777" w:rsidR="005500E6" w:rsidRPr="005B291E" w:rsidRDefault="005500E6" w:rsidP="00363D34">
            <w:pPr>
              <w:spacing w:after="0" w:line="240" w:lineRule="auto"/>
              <w:rPr>
                <w:rFonts w:ascii="Calibri" w:eastAsia="Times New Roman" w:hAnsi="Calibri" w:cs="Calibri"/>
                <w:i/>
                <w:iCs/>
                <w:color w:val="000000"/>
                <w:sz w:val="21"/>
                <w:szCs w:val="21"/>
              </w:rPr>
            </w:pPr>
            <w:r w:rsidRPr="005B291E">
              <w:rPr>
                <w:rFonts w:ascii="Calibri" w:eastAsia="Times New Roman" w:hAnsi="Calibri" w:cstheme="minorHAnsi"/>
                <w:i/>
                <w:iCs/>
                <w:color w:val="000000"/>
                <w:sz w:val="21"/>
                <w:szCs w:val="21"/>
              </w:rPr>
              <w:t>Inpatient</w:t>
            </w:r>
          </w:p>
        </w:tc>
        <w:tc>
          <w:tcPr>
            <w:tcW w:w="1192" w:type="pct"/>
            <w:tcBorders>
              <w:top w:val="nil"/>
              <w:bottom w:val="single" w:sz="4" w:space="0" w:color="auto"/>
            </w:tcBorders>
            <w:shd w:val="clear" w:color="auto" w:fill="F2F2F2" w:themeFill="background1" w:themeFillShade="F2"/>
            <w:vAlign w:val="center"/>
            <w:hideMark/>
          </w:tcPr>
          <w:p w14:paraId="49B370AE"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theme="minorHAnsi"/>
                <w:color w:val="000000"/>
                <w:sz w:val="21"/>
                <w:szCs w:val="21"/>
              </w:rPr>
              <w:t>free</w:t>
            </w:r>
          </w:p>
        </w:tc>
        <w:tc>
          <w:tcPr>
            <w:tcW w:w="1132" w:type="pct"/>
            <w:tcBorders>
              <w:top w:val="nil"/>
              <w:bottom w:val="single" w:sz="4" w:space="0" w:color="auto"/>
            </w:tcBorders>
            <w:shd w:val="clear" w:color="auto" w:fill="F2F2F2" w:themeFill="background1" w:themeFillShade="F2"/>
            <w:vAlign w:val="center"/>
            <w:hideMark/>
          </w:tcPr>
          <w:p w14:paraId="03F695DC"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theme="minorHAnsi"/>
                <w:color w:val="000000"/>
                <w:sz w:val="21"/>
                <w:szCs w:val="21"/>
              </w:rPr>
              <w:t>free</w:t>
            </w:r>
          </w:p>
        </w:tc>
        <w:tc>
          <w:tcPr>
            <w:tcW w:w="535" w:type="pct"/>
            <w:tcBorders>
              <w:top w:val="nil"/>
              <w:bottom w:val="single" w:sz="4" w:space="0" w:color="auto"/>
            </w:tcBorders>
            <w:shd w:val="clear" w:color="auto" w:fill="F2F2F2" w:themeFill="background1" w:themeFillShade="F2"/>
            <w:vAlign w:val="center"/>
            <w:hideMark/>
          </w:tcPr>
          <w:p w14:paraId="25DFD9D0"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theme="minorHAnsi"/>
                <w:color w:val="000000"/>
                <w:sz w:val="21"/>
                <w:szCs w:val="21"/>
              </w:rPr>
              <w:t>free</w:t>
            </w:r>
          </w:p>
        </w:tc>
        <w:tc>
          <w:tcPr>
            <w:tcW w:w="629" w:type="pct"/>
            <w:tcBorders>
              <w:top w:val="nil"/>
              <w:bottom w:val="single" w:sz="4" w:space="0" w:color="auto"/>
            </w:tcBorders>
            <w:shd w:val="clear" w:color="auto" w:fill="F2F2F2" w:themeFill="background1" w:themeFillShade="F2"/>
            <w:vAlign w:val="center"/>
            <w:hideMark/>
          </w:tcPr>
          <w:p w14:paraId="17B3BF94"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theme="minorHAnsi"/>
                <w:color w:val="000000"/>
                <w:sz w:val="21"/>
                <w:szCs w:val="21"/>
              </w:rPr>
              <w:t>free</w:t>
            </w:r>
          </w:p>
        </w:tc>
      </w:tr>
      <w:tr w:rsidR="005500E6" w:rsidRPr="005B291E" w14:paraId="78955A50" w14:textId="77777777" w:rsidTr="00CF0B88">
        <w:trPr>
          <w:trHeight w:val="645"/>
          <w:jc w:val="center"/>
        </w:trPr>
        <w:tc>
          <w:tcPr>
            <w:tcW w:w="725" w:type="pct"/>
            <w:vMerge w:val="restart"/>
            <w:tcBorders>
              <w:top w:val="single" w:sz="4" w:space="0" w:color="auto"/>
              <w:bottom w:val="nil"/>
            </w:tcBorders>
            <w:shd w:val="clear" w:color="auto" w:fill="FFFFFF" w:themeFill="background1"/>
            <w:vAlign w:val="center"/>
            <w:hideMark/>
          </w:tcPr>
          <w:p w14:paraId="79A9FDE2" w14:textId="77777777" w:rsidR="005500E6" w:rsidRPr="005B291E" w:rsidRDefault="005500E6" w:rsidP="00363D34">
            <w:pPr>
              <w:spacing w:after="0" w:line="240" w:lineRule="auto"/>
              <w:rPr>
                <w:rFonts w:ascii="Calibri" w:eastAsia="Times New Roman" w:hAnsi="Calibri" w:cs="Calibri"/>
                <w:i/>
                <w:iCs/>
                <w:color w:val="000000"/>
                <w:sz w:val="21"/>
                <w:szCs w:val="21"/>
              </w:rPr>
            </w:pPr>
            <w:r w:rsidRPr="005B291E">
              <w:rPr>
                <w:rFonts w:ascii="Calibri" w:eastAsia="Times New Roman" w:hAnsi="Calibri" w:cstheme="minorHAnsi"/>
                <w:i/>
                <w:iCs/>
                <w:color w:val="000000"/>
                <w:sz w:val="21"/>
                <w:szCs w:val="21"/>
              </w:rPr>
              <w:t>Oncological care</w:t>
            </w:r>
          </w:p>
        </w:tc>
        <w:tc>
          <w:tcPr>
            <w:tcW w:w="786" w:type="pct"/>
            <w:tcBorders>
              <w:top w:val="single" w:sz="4" w:space="0" w:color="auto"/>
              <w:bottom w:val="nil"/>
            </w:tcBorders>
            <w:shd w:val="clear" w:color="auto" w:fill="FFFFFF" w:themeFill="background1"/>
            <w:vAlign w:val="center"/>
            <w:hideMark/>
          </w:tcPr>
          <w:p w14:paraId="097DCF06" w14:textId="77777777" w:rsidR="005500E6" w:rsidRPr="005B291E" w:rsidRDefault="005500E6" w:rsidP="00363D34">
            <w:pPr>
              <w:spacing w:after="0" w:line="240" w:lineRule="auto"/>
              <w:rPr>
                <w:rFonts w:ascii="Calibri" w:eastAsia="Times New Roman" w:hAnsi="Calibri" w:cs="Calibri"/>
                <w:i/>
                <w:iCs/>
                <w:color w:val="000000"/>
                <w:sz w:val="21"/>
                <w:szCs w:val="21"/>
              </w:rPr>
            </w:pPr>
            <w:r w:rsidRPr="005B291E">
              <w:rPr>
                <w:rFonts w:ascii="Calibri" w:eastAsia="Times New Roman" w:hAnsi="Calibri" w:cs="Calibri"/>
                <w:i/>
                <w:iCs/>
                <w:color w:val="000000"/>
                <w:sz w:val="21"/>
                <w:szCs w:val="21"/>
              </w:rPr>
              <w:t>Outpatient</w:t>
            </w:r>
          </w:p>
        </w:tc>
        <w:tc>
          <w:tcPr>
            <w:tcW w:w="1192" w:type="pct"/>
            <w:tcBorders>
              <w:top w:val="single" w:sz="4" w:space="0" w:color="auto"/>
              <w:bottom w:val="nil"/>
            </w:tcBorders>
            <w:shd w:val="clear" w:color="auto" w:fill="FFFFFF" w:themeFill="background1"/>
            <w:vAlign w:val="center"/>
            <w:hideMark/>
          </w:tcPr>
          <w:p w14:paraId="3A7BDFD6"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theme="minorHAnsi"/>
                <w:color w:val="000000"/>
                <w:sz w:val="21"/>
                <w:szCs w:val="21"/>
              </w:rPr>
              <w:t>free for some beneficiaries categories</w:t>
            </w:r>
          </w:p>
        </w:tc>
        <w:tc>
          <w:tcPr>
            <w:tcW w:w="1132" w:type="pct"/>
            <w:tcBorders>
              <w:top w:val="single" w:sz="4" w:space="0" w:color="auto"/>
              <w:bottom w:val="nil"/>
            </w:tcBorders>
            <w:shd w:val="clear" w:color="auto" w:fill="FFFFFF" w:themeFill="background1"/>
            <w:vAlign w:val="center"/>
            <w:hideMark/>
          </w:tcPr>
          <w:p w14:paraId="3D46F999"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theme="minorHAnsi"/>
                <w:color w:val="000000"/>
                <w:sz w:val="21"/>
                <w:szCs w:val="21"/>
              </w:rPr>
              <w:t>free for some beneficiaries categories</w:t>
            </w:r>
          </w:p>
        </w:tc>
        <w:tc>
          <w:tcPr>
            <w:tcW w:w="535" w:type="pct"/>
            <w:tcBorders>
              <w:top w:val="single" w:sz="4" w:space="0" w:color="auto"/>
              <w:bottom w:val="nil"/>
            </w:tcBorders>
            <w:shd w:val="clear" w:color="auto" w:fill="FFFFFF" w:themeFill="background1"/>
            <w:vAlign w:val="center"/>
            <w:hideMark/>
          </w:tcPr>
          <w:p w14:paraId="66E228CA"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theme="minorHAnsi"/>
                <w:color w:val="000000"/>
                <w:sz w:val="21"/>
                <w:szCs w:val="21"/>
              </w:rPr>
              <w:t>free</w:t>
            </w:r>
          </w:p>
        </w:tc>
        <w:tc>
          <w:tcPr>
            <w:tcW w:w="629" w:type="pct"/>
            <w:tcBorders>
              <w:top w:val="single" w:sz="4" w:space="0" w:color="auto"/>
              <w:bottom w:val="nil"/>
            </w:tcBorders>
            <w:shd w:val="clear" w:color="auto" w:fill="FFFFFF" w:themeFill="background1"/>
            <w:vAlign w:val="center"/>
            <w:hideMark/>
          </w:tcPr>
          <w:p w14:paraId="0D43AECB"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theme="minorHAnsi"/>
                <w:color w:val="000000"/>
                <w:sz w:val="21"/>
                <w:szCs w:val="21"/>
              </w:rPr>
              <w:t>full price</w:t>
            </w:r>
          </w:p>
        </w:tc>
      </w:tr>
      <w:tr w:rsidR="005500E6" w:rsidRPr="005B291E" w14:paraId="11F336AB" w14:textId="77777777" w:rsidTr="00CF0B88">
        <w:trPr>
          <w:trHeight w:val="855"/>
          <w:jc w:val="center"/>
        </w:trPr>
        <w:tc>
          <w:tcPr>
            <w:tcW w:w="725" w:type="pct"/>
            <w:vMerge/>
            <w:tcBorders>
              <w:top w:val="nil"/>
              <w:bottom w:val="single" w:sz="4" w:space="0" w:color="auto"/>
            </w:tcBorders>
            <w:shd w:val="clear" w:color="auto" w:fill="FFFFFF" w:themeFill="background1"/>
            <w:vAlign w:val="center"/>
            <w:hideMark/>
          </w:tcPr>
          <w:p w14:paraId="14B6B496" w14:textId="77777777" w:rsidR="005500E6" w:rsidRPr="005B291E" w:rsidRDefault="005500E6" w:rsidP="00363D34">
            <w:pPr>
              <w:spacing w:after="0" w:line="240" w:lineRule="auto"/>
              <w:rPr>
                <w:rFonts w:ascii="Calibri" w:eastAsia="Times New Roman" w:hAnsi="Calibri" w:cs="Calibri"/>
                <w:i/>
                <w:iCs/>
                <w:color w:val="000000"/>
                <w:sz w:val="21"/>
                <w:szCs w:val="21"/>
              </w:rPr>
            </w:pPr>
          </w:p>
        </w:tc>
        <w:tc>
          <w:tcPr>
            <w:tcW w:w="786" w:type="pct"/>
            <w:tcBorders>
              <w:top w:val="nil"/>
              <w:bottom w:val="single" w:sz="4" w:space="0" w:color="auto"/>
            </w:tcBorders>
            <w:shd w:val="clear" w:color="auto" w:fill="FFFFFF" w:themeFill="background1"/>
            <w:vAlign w:val="center"/>
            <w:hideMark/>
          </w:tcPr>
          <w:p w14:paraId="403AAC58" w14:textId="77777777" w:rsidR="005500E6" w:rsidRPr="005B291E" w:rsidRDefault="005500E6" w:rsidP="00363D34">
            <w:pPr>
              <w:spacing w:after="0" w:line="240" w:lineRule="auto"/>
              <w:rPr>
                <w:rFonts w:ascii="Calibri" w:eastAsia="Times New Roman" w:hAnsi="Calibri" w:cs="Calibri"/>
                <w:i/>
                <w:iCs/>
                <w:color w:val="000000"/>
                <w:sz w:val="21"/>
                <w:szCs w:val="21"/>
              </w:rPr>
            </w:pPr>
            <w:r w:rsidRPr="005B291E">
              <w:rPr>
                <w:rFonts w:ascii="Calibri" w:eastAsia="Times New Roman" w:hAnsi="Calibri" w:cstheme="minorHAnsi"/>
                <w:i/>
                <w:iCs/>
                <w:color w:val="000000"/>
                <w:sz w:val="21"/>
                <w:szCs w:val="21"/>
              </w:rPr>
              <w:t>Inpatient</w:t>
            </w:r>
          </w:p>
        </w:tc>
        <w:tc>
          <w:tcPr>
            <w:tcW w:w="1192" w:type="pct"/>
            <w:tcBorders>
              <w:top w:val="nil"/>
              <w:bottom w:val="single" w:sz="4" w:space="0" w:color="auto"/>
            </w:tcBorders>
            <w:shd w:val="clear" w:color="auto" w:fill="FFFFFF" w:themeFill="background1"/>
            <w:vAlign w:val="center"/>
            <w:hideMark/>
          </w:tcPr>
          <w:p w14:paraId="25F27B3F"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theme="minorHAnsi"/>
                <w:color w:val="000000"/>
                <w:sz w:val="21"/>
                <w:szCs w:val="21"/>
              </w:rPr>
              <w:t>free for some beneficiaries categories, some categories have max copay</w:t>
            </w:r>
          </w:p>
        </w:tc>
        <w:tc>
          <w:tcPr>
            <w:tcW w:w="1132" w:type="pct"/>
            <w:tcBorders>
              <w:top w:val="nil"/>
              <w:bottom w:val="single" w:sz="4" w:space="0" w:color="auto"/>
            </w:tcBorders>
            <w:shd w:val="clear" w:color="auto" w:fill="FFFFFF" w:themeFill="background1"/>
            <w:vAlign w:val="center"/>
            <w:hideMark/>
          </w:tcPr>
          <w:p w14:paraId="626EDA1B"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theme="minorHAnsi"/>
                <w:color w:val="000000"/>
                <w:sz w:val="21"/>
                <w:szCs w:val="21"/>
              </w:rPr>
              <w:t>free for some beneficiaries categories, some categories have max copay</w:t>
            </w:r>
          </w:p>
        </w:tc>
        <w:tc>
          <w:tcPr>
            <w:tcW w:w="535" w:type="pct"/>
            <w:tcBorders>
              <w:top w:val="nil"/>
              <w:bottom w:val="single" w:sz="4" w:space="0" w:color="auto"/>
            </w:tcBorders>
            <w:shd w:val="clear" w:color="auto" w:fill="FFFFFF" w:themeFill="background1"/>
            <w:vAlign w:val="center"/>
            <w:hideMark/>
          </w:tcPr>
          <w:p w14:paraId="51B21CD1"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theme="minorHAnsi"/>
                <w:color w:val="000000"/>
                <w:sz w:val="21"/>
                <w:szCs w:val="21"/>
              </w:rPr>
              <w:t>average copay</w:t>
            </w:r>
          </w:p>
        </w:tc>
        <w:tc>
          <w:tcPr>
            <w:tcW w:w="629" w:type="pct"/>
            <w:tcBorders>
              <w:top w:val="nil"/>
              <w:bottom w:val="single" w:sz="4" w:space="0" w:color="auto"/>
            </w:tcBorders>
            <w:shd w:val="clear" w:color="auto" w:fill="FFFFFF" w:themeFill="background1"/>
            <w:vAlign w:val="center"/>
            <w:hideMark/>
          </w:tcPr>
          <w:p w14:paraId="3908640E"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theme="minorHAnsi"/>
                <w:color w:val="000000"/>
                <w:sz w:val="21"/>
                <w:szCs w:val="21"/>
              </w:rPr>
              <w:t>max copay</w:t>
            </w:r>
          </w:p>
        </w:tc>
      </w:tr>
      <w:tr w:rsidR="005500E6" w:rsidRPr="005B291E" w14:paraId="30FE8D89" w14:textId="77777777" w:rsidTr="00CF0B88">
        <w:trPr>
          <w:trHeight w:val="300"/>
          <w:jc w:val="center"/>
        </w:trPr>
        <w:tc>
          <w:tcPr>
            <w:tcW w:w="725" w:type="pct"/>
            <w:vMerge w:val="restart"/>
            <w:tcBorders>
              <w:top w:val="single" w:sz="4" w:space="0" w:color="auto"/>
              <w:bottom w:val="nil"/>
            </w:tcBorders>
            <w:shd w:val="clear" w:color="auto" w:fill="F2F2F2" w:themeFill="background1" w:themeFillShade="F2"/>
            <w:vAlign w:val="center"/>
            <w:hideMark/>
          </w:tcPr>
          <w:p w14:paraId="3A84FFD5" w14:textId="77777777" w:rsidR="005500E6" w:rsidRPr="005B291E" w:rsidRDefault="005500E6" w:rsidP="00363D34">
            <w:pPr>
              <w:spacing w:after="0" w:line="240" w:lineRule="auto"/>
              <w:rPr>
                <w:rFonts w:ascii="Calibri" w:eastAsia="Times New Roman" w:hAnsi="Calibri" w:cs="Calibri"/>
                <w:i/>
                <w:iCs/>
                <w:color w:val="000000"/>
                <w:sz w:val="21"/>
                <w:szCs w:val="21"/>
              </w:rPr>
            </w:pPr>
            <w:r w:rsidRPr="005B291E">
              <w:rPr>
                <w:rFonts w:ascii="Calibri" w:eastAsia="Times New Roman" w:hAnsi="Calibri" w:cstheme="minorHAnsi"/>
                <w:i/>
                <w:iCs/>
                <w:color w:val="000000"/>
                <w:sz w:val="21"/>
                <w:szCs w:val="21"/>
              </w:rPr>
              <w:t>Hematological care</w:t>
            </w:r>
          </w:p>
        </w:tc>
        <w:tc>
          <w:tcPr>
            <w:tcW w:w="786" w:type="pct"/>
            <w:tcBorders>
              <w:top w:val="single" w:sz="4" w:space="0" w:color="auto"/>
              <w:bottom w:val="nil"/>
            </w:tcBorders>
            <w:shd w:val="clear" w:color="auto" w:fill="F2F2F2" w:themeFill="background1" w:themeFillShade="F2"/>
            <w:vAlign w:val="center"/>
            <w:hideMark/>
          </w:tcPr>
          <w:p w14:paraId="1B5773AF" w14:textId="77777777" w:rsidR="005500E6" w:rsidRPr="005B291E" w:rsidRDefault="005500E6" w:rsidP="00363D34">
            <w:pPr>
              <w:spacing w:after="0" w:line="240" w:lineRule="auto"/>
              <w:rPr>
                <w:rFonts w:ascii="Calibri" w:eastAsia="Times New Roman" w:hAnsi="Calibri" w:cs="Calibri"/>
                <w:i/>
                <w:iCs/>
                <w:color w:val="000000"/>
                <w:sz w:val="21"/>
                <w:szCs w:val="21"/>
              </w:rPr>
            </w:pPr>
            <w:r w:rsidRPr="005B291E">
              <w:rPr>
                <w:rFonts w:ascii="Calibri" w:eastAsia="Times New Roman" w:hAnsi="Calibri" w:cs="Calibri"/>
                <w:i/>
                <w:iCs/>
                <w:color w:val="000000"/>
                <w:sz w:val="21"/>
                <w:szCs w:val="21"/>
              </w:rPr>
              <w:t>Outpatient</w:t>
            </w:r>
          </w:p>
        </w:tc>
        <w:tc>
          <w:tcPr>
            <w:tcW w:w="1192" w:type="pct"/>
            <w:tcBorders>
              <w:top w:val="single" w:sz="4" w:space="0" w:color="auto"/>
              <w:bottom w:val="nil"/>
            </w:tcBorders>
            <w:shd w:val="clear" w:color="auto" w:fill="F2F2F2" w:themeFill="background1" w:themeFillShade="F2"/>
            <w:vAlign w:val="center"/>
            <w:hideMark/>
          </w:tcPr>
          <w:p w14:paraId="04FDCA3C"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theme="minorHAnsi"/>
                <w:color w:val="000000"/>
                <w:sz w:val="21"/>
                <w:szCs w:val="21"/>
              </w:rPr>
              <w:t>free</w:t>
            </w:r>
          </w:p>
        </w:tc>
        <w:tc>
          <w:tcPr>
            <w:tcW w:w="1132" w:type="pct"/>
            <w:tcBorders>
              <w:top w:val="single" w:sz="4" w:space="0" w:color="auto"/>
              <w:bottom w:val="nil"/>
            </w:tcBorders>
            <w:shd w:val="clear" w:color="auto" w:fill="F2F2F2" w:themeFill="background1" w:themeFillShade="F2"/>
            <w:vAlign w:val="center"/>
            <w:hideMark/>
          </w:tcPr>
          <w:p w14:paraId="1744021E"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theme="minorHAnsi"/>
                <w:color w:val="000000"/>
                <w:sz w:val="21"/>
                <w:szCs w:val="21"/>
              </w:rPr>
              <w:t>Free</w:t>
            </w:r>
          </w:p>
        </w:tc>
        <w:tc>
          <w:tcPr>
            <w:tcW w:w="535" w:type="pct"/>
            <w:tcBorders>
              <w:top w:val="single" w:sz="4" w:space="0" w:color="auto"/>
              <w:bottom w:val="nil"/>
            </w:tcBorders>
            <w:shd w:val="clear" w:color="auto" w:fill="F2F2F2" w:themeFill="background1" w:themeFillShade="F2"/>
            <w:vAlign w:val="center"/>
            <w:hideMark/>
          </w:tcPr>
          <w:p w14:paraId="2711F3B8"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theme="minorHAnsi"/>
                <w:color w:val="000000"/>
                <w:sz w:val="21"/>
                <w:szCs w:val="21"/>
              </w:rPr>
              <w:t>free</w:t>
            </w:r>
          </w:p>
        </w:tc>
        <w:tc>
          <w:tcPr>
            <w:tcW w:w="629" w:type="pct"/>
            <w:tcBorders>
              <w:top w:val="single" w:sz="4" w:space="0" w:color="auto"/>
              <w:bottom w:val="nil"/>
            </w:tcBorders>
            <w:shd w:val="clear" w:color="auto" w:fill="F2F2F2" w:themeFill="background1" w:themeFillShade="F2"/>
            <w:vAlign w:val="center"/>
            <w:hideMark/>
          </w:tcPr>
          <w:p w14:paraId="76BFA3DF"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theme="minorHAnsi"/>
                <w:color w:val="000000"/>
                <w:sz w:val="21"/>
                <w:szCs w:val="21"/>
              </w:rPr>
              <w:t>free</w:t>
            </w:r>
          </w:p>
        </w:tc>
      </w:tr>
      <w:tr w:rsidR="005500E6" w:rsidRPr="005B291E" w14:paraId="53A60F91" w14:textId="77777777" w:rsidTr="00CF0B88">
        <w:trPr>
          <w:trHeight w:val="855"/>
          <w:jc w:val="center"/>
        </w:trPr>
        <w:tc>
          <w:tcPr>
            <w:tcW w:w="725" w:type="pct"/>
            <w:vMerge/>
            <w:tcBorders>
              <w:top w:val="nil"/>
              <w:bottom w:val="single" w:sz="4" w:space="0" w:color="auto"/>
            </w:tcBorders>
            <w:shd w:val="clear" w:color="auto" w:fill="F2F2F2" w:themeFill="background1" w:themeFillShade="F2"/>
            <w:vAlign w:val="center"/>
            <w:hideMark/>
          </w:tcPr>
          <w:p w14:paraId="30888D6C" w14:textId="77777777" w:rsidR="005500E6" w:rsidRPr="005B291E" w:rsidRDefault="005500E6" w:rsidP="00363D34">
            <w:pPr>
              <w:spacing w:after="0" w:line="240" w:lineRule="auto"/>
              <w:rPr>
                <w:rFonts w:ascii="Calibri" w:eastAsia="Times New Roman" w:hAnsi="Calibri" w:cs="Calibri"/>
                <w:i/>
                <w:iCs/>
                <w:color w:val="000000"/>
                <w:sz w:val="21"/>
                <w:szCs w:val="21"/>
              </w:rPr>
            </w:pPr>
          </w:p>
        </w:tc>
        <w:tc>
          <w:tcPr>
            <w:tcW w:w="786" w:type="pct"/>
            <w:tcBorders>
              <w:top w:val="nil"/>
              <w:bottom w:val="single" w:sz="4" w:space="0" w:color="auto"/>
            </w:tcBorders>
            <w:shd w:val="clear" w:color="auto" w:fill="F2F2F2" w:themeFill="background1" w:themeFillShade="F2"/>
            <w:vAlign w:val="center"/>
            <w:hideMark/>
          </w:tcPr>
          <w:p w14:paraId="01A63B1C" w14:textId="77777777" w:rsidR="005500E6" w:rsidRPr="005B291E" w:rsidRDefault="005500E6" w:rsidP="00363D34">
            <w:pPr>
              <w:spacing w:after="0" w:line="240" w:lineRule="auto"/>
              <w:rPr>
                <w:rFonts w:ascii="Calibri" w:eastAsia="Times New Roman" w:hAnsi="Calibri" w:cs="Calibri"/>
                <w:i/>
                <w:iCs/>
                <w:color w:val="000000"/>
                <w:sz w:val="21"/>
                <w:szCs w:val="21"/>
              </w:rPr>
            </w:pPr>
            <w:r w:rsidRPr="005B291E">
              <w:rPr>
                <w:rFonts w:ascii="Calibri" w:eastAsia="Times New Roman" w:hAnsi="Calibri" w:cstheme="minorHAnsi"/>
                <w:i/>
                <w:iCs/>
                <w:color w:val="000000"/>
                <w:sz w:val="21"/>
                <w:szCs w:val="21"/>
              </w:rPr>
              <w:t>Inpatient</w:t>
            </w:r>
          </w:p>
        </w:tc>
        <w:tc>
          <w:tcPr>
            <w:tcW w:w="1192" w:type="pct"/>
            <w:tcBorders>
              <w:top w:val="nil"/>
              <w:bottom w:val="single" w:sz="4" w:space="0" w:color="auto"/>
            </w:tcBorders>
            <w:shd w:val="clear" w:color="auto" w:fill="F2F2F2" w:themeFill="background1" w:themeFillShade="F2"/>
            <w:vAlign w:val="center"/>
            <w:hideMark/>
          </w:tcPr>
          <w:p w14:paraId="6136509A"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theme="minorHAnsi"/>
                <w:color w:val="000000"/>
                <w:sz w:val="21"/>
                <w:szCs w:val="21"/>
              </w:rPr>
              <w:t>free for some beneficiaries categories, some categories have max copay</w:t>
            </w:r>
          </w:p>
        </w:tc>
        <w:tc>
          <w:tcPr>
            <w:tcW w:w="1132" w:type="pct"/>
            <w:tcBorders>
              <w:top w:val="nil"/>
              <w:bottom w:val="single" w:sz="4" w:space="0" w:color="auto"/>
            </w:tcBorders>
            <w:shd w:val="clear" w:color="auto" w:fill="F2F2F2" w:themeFill="background1" w:themeFillShade="F2"/>
            <w:vAlign w:val="center"/>
            <w:hideMark/>
          </w:tcPr>
          <w:p w14:paraId="7BBEFCF5"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theme="minorHAnsi"/>
                <w:color w:val="000000"/>
                <w:sz w:val="21"/>
                <w:szCs w:val="21"/>
              </w:rPr>
              <w:t>free for some beneficiaries categories, some categories have max copay</w:t>
            </w:r>
          </w:p>
        </w:tc>
        <w:tc>
          <w:tcPr>
            <w:tcW w:w="535" w:type="pct"/>
            <w:tcBorders>
              <w:top w:val="nil"/>
              <w:bottom w:val="single" w:sz="4" w:space="0" w:color="auto"/>
            </w:tcBorders>
            <w:shd w:val="clear" w:color="auto" w:fill="F2F2F2" w:themeFill="background1" w:themeFillShade="F2"/>
            <w:vAlign w:val="center"/>
            <w:hideMark/>
          </w:tcPr>
          <w:p w14:paraId="68FB4693"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theme="minorHAnsi"/>
                <w:color w:val="000000"/>
                <w:sz w:val="21"/>
                <w:szCs w:val="21"/>
              </w:rPr>
              <w:t>average copay</w:t>
            </w:r>
          </w:p>
        </w:tc>
        <w:tc>
          <w:tcPr>
            <w:tcW w:w="629" w:type="pct"/>
            <w:tcBorders>
              <w:top w:val="nil"/>
              <w:bottom w:val="single" w:sz="4" w:space="0" w:color="auto"/>
            </w:tcBorders>
            <w:shd w:val="clear" w:color="auto" w:fill="F2F2F2" w:themeFill="background1" w:themeFillShade="F2"/>
            <w:vAlign w:val="center"/>
            <w:hideMark/>
          </w:tcPr>
          <w:p w14:paraId="0ACF741C"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theme="minorHAnsi"/>
                <w:color w:val="000000"/>
                <w:sz w:val="21"/>
                <w:szCs w:val="21"/>
              </w:rPr>
              <w:t>max copay</w:t>
            </w:r>
          </w:p>
        </w:tc>
      </w:tr>
      <w:tr w:rsidR="005500E6" w:rsidRPr="005B291E" w14:paraId="62EC62BA" w14:textId="77777777" w:rsidTr="00CF0B88">
        <w:trPr>
          <w:trHeight w:val="855"/>
          <w:jc w:val="center"/>
        </w:trPr>
        <w:tc>
          <w:tcPr>
            <w:tcW w:w="725" w:type="pct"/>
            <w:vMerge w:val="restart"/>
            <w:tcBorders>
              <w:top w:val="single" w:sz="4" w:space="0" w:color="auto"/>
            </w:tcBorders>
            <w:shd w:val="clear" w:color="auto" w:fill="FFFFFF" w:themeFill="background1"/>
            <w:vAlign w:val="center"/>
            <w:hideMark/>
          </w:tcPr>
          <w:p w14:paraId="24B00CC3" w14:textId="77777777" w:rsidR="005500E6" w:rsidRPr="005B291E" w:rsidRDefault="005500E6" w:rsidP="00363D34">
            <w:pPr>
              <w:spacing w:after="0" w:line="240" w:lineRule="auto"/>
              <w:rPr>
                <w:rFonts w:ascii="Calibri" w:eastAsia="Times New Roman" w:hAnsi="Calibri" w:cs="Calibri"/>
                <w:i/>
                <w:iCs/>
                <w:color w:val="000000"/>
                <w:sz w:val="21"/>
                <w:szCs w:val="21"/>
              </w:rPr>
            </w:pPr>
            <w:r w:rsidRPr="005B291E">
              <w:rPr>
                <w:rFonts w:ascii="Calibri" w:eastAsia="Times New Roman" w:hAnsi="Calibri" w:cstheme="minorHAnsi"/>
                <w:i/>
                <w:iCs/>
                <w:color w:val="000000"/>
                <w:sz w:val="21"/>
                <w:szCs w:val="21"/>
              </w:rPr>
              <w:t>Cardiac surgery and organ transplantation</w:t>
            </w:r>
          </w:p>
        </w:tc>
        <w:tc>
          <w:tcPr>
            <w:tcW w:w="786" w:type="pct"/>
            <w:tcBorders>
              <w:top w:val="single" w:sz="4" w:space="0" w:color="auto"/>
            </w:tcBorders>
            <w:shd w:val="clear" w:color="auto" w:fill="FFFFFF" w:themeFill="background1"/>
            <w:vAlign w:val="center"/>
            <w:hideMark/>
          </w:tcPr>
          <w:p w14:paraId="10E65B93" w14:textId="77777777" w:rsidR="005500E6" w:rsidRPr="005B291E" w:rsidRDefault="005500E6" w:rsidP="00363D34">
            <w:pPr>
              <w:spacing w:after="0" w:line="240" w:lineRule="auto"/>
              <w:rPr>
                <w:rFonts w:ascii="Calibri" w:eastAsia="Times New Roman" w:hAnsi="Calibri" w:cs="Calibri"/>
                <w:i/>
                <w:iCs/>
                <w:color w:val="000000"/>
                <w:sz w:val="21"/>
                <w:szCs w:val="21"/>
              </w:rPr>
            </w:pPr>
            <w:r w:rsidRPr="005B291E">
              <w:rPr>
                <w:rFonts w:ascii="Calibri" w:eastAsia="Times New Roman" w:hAnsi="Calibri" w:cs="Calibri"/>
                <w:i/>
                <w:iCs/>
                <w:color w:val="000000"/>
                <w:sz w:val="21"/>
                <w:szCs w:val="21"/>
              </w:rPr>
              <w:t>Outpatient</w:t>
            </w:r>
          </w:p>
        </w:tc>
        <w:tc>
          <w:tcPr>
            <w:tcW w:w="1192" w:type="pct"/>
            <w:tcBorders>
              <w:top w:val="single" w:sz="4" w:space="0" w:color="auto"/>
            </w:tcBorders>
            <w:shd w:val="clear" w:color="auto" w:fill="FFFFFF" w:themeFill="background1"/>
            <w:vAlign w:val="center"/>
            <w:hideMark/>
          </w:tcPr>
          <w:p w14:paraId="7053DBDC"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theme="minorHAnsi"/>
                <w:color w:val="000000"/>
                <w:sz w:val="21"/>
                <w:szCs w:val="21"/>
              </w:rPr>
              <w:t>free for some beneficiaries categories, some categories pay full price</w:t>
            </w:r>
          </w:p>
        </w:tc>
        <w:tc>
          <w:tcPr>
            <w:tcW w:w="1132" w:type="pct"/>
            <w:tcBorders>
              <w:top w:val="single" w:sz="4" w:space="0" w:color="auto"/>
            </w:tcBorders>
            <w:shd w:val="clear" w:color="auto" w:fill="FFFFFF" w:themeFill="background1"/>
            <w:vAlign w:val="center"/>
            <w:hideMark/>
          </w:tcPr>
          <w:p w14:paraId="5C266F5F"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theme="minorHAnsi"/>
                <w:color w:val="000000"/>
                <w:sz w:val="21"/>
                <w:szCs w:val="21"/>
              </w:rPr>
              <w:t>free for some beneficiaries categories, some categories pay full price</w:t>
            </w:r>
          </w:p>
        </w:tc>
        <w:tc>
          <w:tcPr>
            <w:tcW w:w="535" w:type="pct"/>
            <w:tcBorders>
              <w:top w:val="single" w:sz="4" w:space="0" w:color="auto"/>
            </w:tcBorders>
            <w:shd w:val="clear" w:color="auto" w:fill="FFFFFF" w:themeFill="background1"/>
            <w:vAlign w:val="center"/>
            <w:hideMark/>
          </w:tcPr>
          <w:p w14:paraId="498B7171"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theme="minorHAnsi"/>
                <w:color w:val="000000"/>
                <w:sz w:val="21"/>
                <w:szCs w:val="21"/>
              </w:rPr>
              <w:t>full price</w:t>
            </w:r>
          </w:p>
        </w:tc>
        <w:tc>
          <w:tcPr>
            <w:tcW w:w="629" w:type="pct"/>
            <w:tcBorders>
              <w:top w:val="single" w:sz="4" w:space="0" w:color="auto"/>
            </w:tcBorders>
            <w:shd w:val="clear" w:color="auto" w:fill="FFFFFF" w:themeFill="background1"/>
            <w:vAlign w:val="center"/>
            <w:hideMark/>
          </w:tcPr>
          <w:p w14:paraId="058BE567"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theme="minorHAnsi"/>
                <w:color w:val="000000"/>
                <w:sz w:val="21"/>
                <w:szCs w:val="21"/>
              </w:rPr>
              <w:t>full price</w:t>
            </w:r>
          </w:p>
        </w:tc>
      </w:tr>
      <w:tr w:rsidR="005500E6" w:rsidRPr="005B291E" w14:paraId="12D68478" w14:textId="77777777" w:rsidTr="00CF0B88">
        <w:trPr>
          <w:trHeight w:val="855"/>
          <w:jc w:val="center"/>
        </w:trPr>
        <w:tc>
          <w:tcPr>
            <w:tcW w:w="725" w:type="pct"/>
            <w:vMerge/>
            <w:shd w:val="clear" w:color="auto" w:fill="FFFFFF" w:themeFill="background1"/>
            <w:vAlign w:val="center"/>
            <w:hideMark/>
          </w:tcPr>
          <w:p w14:paraId="21947042" w14:textId="77777777" w:rsidR="005500E6" w:rsidRPr="005B291E" w:rsidRDefault="005500E6" w:rsidP="00363D34">
            <w:pPr>
              <w:spacing w:after="0" w:line="240" w:lineRule="auto"/>
              <w:rPr>
                <w:rFonts w:ascii="Calibri" w:eastAsia="Times New Roman" w:hAnsi="Calibri" w:cs="Calibri"/>
                <w:i/>
                <w:iCs/>
                <w:color w:val="000000"/>
                <w:sz w:val="21"/>
                <w:szCs w:val="21"/>
              </w:rPr>
            </w:pPr>
          </w:p>
        </w:tc>
        <w:tc>
          <w:tcPr>
            <w:tcW w:w="786" w:type="pct"/>
            <w:shd w:val="clear" w:color="auto" w:fill="FFFFFF" w:themeFill="background1"/>
            <w:vAlign w:val="center"/>
            <w:hideMark/>
          </w:tcPr>
          <w:p w14:paraId="56A36306" w14:textId="77777777" w:rsidR="005500E6" w:rsidRPr="005B291E" w:rsidRDefault="005500E6" w:rsidP="00363D34">
            <w:pPr>
              <w:spacing w:after="0" w:line="240" w:lineRule="auto"/>
              <w:rPr>
                <w:rFonts w:ascii="Calibri" w:eastAsia="Times New Roman" w:hAnsi="Calibri" w:cs="Calibri"/>
                <w:i/>
                <w:iCs/>
                <w:color w:val="000000"/>
                <w:sz w:val="21"/>
                <w:szCs w:val="21"/>
              </w:rPr>
            </w:pPr>
            <w:r w:rsidRPr="005B291E">
              <w:rPr>
                <w:rFonts w:ascii="Calibri" w:eastAsia="Times New Roman" w:hAnsi="Calibri" w:cstheme="minorHAnsi"/>
                <w:i/>
                <w:iCs/>
                <w:color w:val="000000"/>
                <w:sz w:val="21"/>
                <w:szCs w:val="21"/>
              </w:rPr>
              <w:t>Inpatient</w:t>
            </w:r>
          </w:p>
        </w:tc>
        <w:tc>
          <w:tcPr>
            <w:tcW w:w="1192" w:type="pct"/>
            <w:shd w:val="clear" w:color="auto" w:fill="FFFFFF" w:themeFill="background1"/>
            <w:vAlign w:val="center"/>
            <w:hideMark/>
          </w:tcPr>
          <w:p w14:paraId="551ACF38"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theme="minorHAnsi"/>
                <w:color w:val="000000"/>
                <w:sz w:val="21"/>
                <w:szCs w:val="21"/>
              </w:rPr>
              <w:t>free for some beneficiaries categories, some categories have copay based on the specific formula</w:t>
            </w:r>
          </w:p>
        </w:tc>
        <w:tc>
          <w:tcPr>
            <w:tcW w:w="1132" w:type="pct"/>
            <w:shd w:val="clear" w:color="auto" w:fill="FFFFFF" w:themeFill="background1"/>
            <w:vAlign w:val="center"/>
            <w:hideMark/>
          </w:tcPr>
          <w:p w14:paraId="008C82B8"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theme="minorHAnsi"/>
                <w:color w:val="000000"/>
                <w:sz w:val="21"/>
                <w:szCs w:val="21"/>
              </w:rPr>
              <w:t>copay based on the specific formula</w:t>
            </w:r>
          </w:p>
        </w:tc>
        <w:tc>
          <w:tcPr>
            <w:tcW w:w="535" w:type="pct"/>
            <w:shd w:val="clear" w:color="auto" w:fill="FFFFFF" w:themeFill="background1"/>
            <w:vAlign w:val="center"/>
            <w:hideMark/>
          </w:tcPr>
          <w:p w14:paraId="297F8B7C"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theme="minorHAnsi"/>
                <w:color w:val="000000"/>
                <w:sz w:val="21"/>
                <w:szCs w:val="21"/>
              </w:rPr>
              <w:t>copay based on the specific formula</w:t>
            </w:r>
          </w:p>
        </w:tc>
        <w:tc>
          <w:tcPr>
            <w:tcW w:w="629" w:type="pct"/>
            <w:shd w:val="clear" w:color="auto" w:fill="FFFFFF" w:themeFill="background1"/>
            <w:vAlign w:val="center"/>
            <w:hideMark/>
          </w:tcPr>
          <w:p w14:paraId="1D16E832" w14:textId="77777777" w:rsidR="005500E6" w:rsidRPr="005B291E" w:rsidRDefault="005500E6" w:rsidP="00363D34">
            <w:pPr>
              <w:spacing w:after="0" w:line="240" w:lineRule="auto"/>
              <w:rPr>
                <w:rFonts w:ascii="Calibri" w:eastAsia="Times New Roman" w:hAnsi="Calibri" w:cs="Calibri"/>
                <w:color w:val="000000"/>
                <w:sz w:val="21"/>
                <w:szCs w:val="21"/>
              </w:rPr>
            </w:pPr>
            <w:r w:rsidRPr="005B291E">
              <w:rPr>
                <w:rFonts w:ascii="Calibri" w:eastAsia="Times New Roman" w:hAnsi="Calibri" w:cstheme="minorHAnsi"/>
                <w:color w:val="000000"/>
                <w:sz w:val="21"/>
                <w:szCs w:val="21"/>
              </w:rPr>
              <w:t>copay based on the specific formula</w:t>
            </w:r>
          </w:p>
        </w:tc>
      </w:tr>
    </w:tbl>
    <w:p w14:paraId="6955F546" w14:textId="53799B71" w:rsidR="005500E6" w:rsidRPr="001B0064" w:rsidRDefault="00B312C7" w:rsidP="00363D34">
      <w:pPr>
        <w:spacing w:after="120" w:line="240" w:lineRule="auto"/>
        <w:jc w:val="both"/>
        <w:rPr>
          <w:rFonts w:cstheme="minorHAnsi"/>
          <w:sz w:val="20"/>
          <w:szCs w:val="20"/>
        </w:rPr>
      </w:pPr>
      <w:r w:rsidRPr="001B0064">
        <w:rPr>
          <w:rFonts w:cstheme="minorHAnsi"/>
          <w:sz w:val="20"/>
          <w:szCs w:val="20"/>
        </w:rPr>
        <w:t>Source: authors, based on the SGBP description (Government of the Kyrgyz Republic, 2015)</w:t>
      </w:r>
    </w:p>
    <w:p w14:paraId="4A8A00C5" w14:textId="2C762A40" w:rsidR="009D3921" w:rsidRPr="00C9342F" w:rsidRDefault="004A4E9F" w:rsidP="00D92F7A">
      <w:pPr>
        <w:pStyle w:val="Subheading1"/>
      </w:pPr>
      <w:bookmarkStart w:id="9" w:name="_Toc10477894"/>
      <w:r w:rsidRPr="00C9342F">
        <w:t>A critical assessment of the SGBP</w:t>
      </w:r>
      <w:bookmarkEnd w:id="9"/>
    </w:p>
    <w:p w14:paraId="1900493C" w14:textId="75939DFB" w:rsidR="002B624E" w:rsidRDefault="007F140B" w:rsidP="00363D34">
      <w:pPr>
        <w:spacing w:line="240" w:lineRule="auto"/>
        <w:jc w:val="both"/>
        <w:rPr>
          <w:rFonts w:cstheme="minorHAnsi"/>
        </w:rPr>
      </w:pPr>
      <w:r>
        <w:rPr>
          <w:rFonts w:eastAsia="Times New Roman" w:cstheme="minorHAnsi"/>
        </w:rPr>
        <w:t xml:space="preserve">As </w:t>
      </w:r>
      <w:r w:rsidR="008F3667">
        <w:rPr>
          <w:rFonts w:eastAsia="Times New Roman" w:cstheme="minorHAnsi"/>
        </w:rPr>
        <w:t xml:space="preserve">revealed in </w:t>
      </w:r>
      <w:r>
        <w:rPr>
          <w:rFonts w:eastAsia="Times New Roman" w:cstheme="minorHAnsi"/>
        </w:rPr>
        <w:t xml:space="preserve">the description of the statutory </w:t>
      </w:r>
      <w:r w:rsidR="00F77E89">
        <w:rPr>
          <w:rFonts w:eastAsia="Times New Roman" w:cstheme="minorHAnsi"/>
        </w:rPr>
        <w:t>package, t</w:t>
      </w:r>
      <w:r w:rsidR="00C82DA5">
        <w:rPr>
          <w:rFonts w:eastAsia="Times New Roman" w:cstheme="minorHAnsi"/>
        </w:rPr>
        <w:t xml:space="preserve">he basic idea of the SGBP </w:t>
      </w:r>
      <w:r w:rsidR="008F3667">
        <w:rPr>
          <w:rFonts w:eastAsia="Times New Roman" w:cstheme="minorHAnsi"/>
        </w:rPr>
        <w:t xml:space="preserve">can be considered rather </w:t>
      </w:r>
      <w:r w:rsidR="00B46CF8">
        <w:rPr>
          <w:rFonts w:eastAsia="Times New Roman" w:cstheme="minorHAnsi"/>
        </w:rPr>
        <w:t xml:space="preserve">progressive. Given the resource constraints, </w:t>
      </w:r>
      <w:r w:rsidR="008F3667">
        <w:rPr>
          <w:rFonts w:eastAsia="Times New Roman" w:cstheme="minorHAnsi"/>
        </w:rPr>
        <w:t xml:space="preserve">the country chose </w:t>
      </w:r>
      <w:r w:rsidR="00B46CF8">
        <w:rPr>
          <w:rFonts w:eastAsia="Times New Roman" w:cstheme="minorHAnsi"/>
        </w:rPr>
        <w:t xml:space="preserve">to make </w:t>
      </w:r>
      <w:r w:rsidR="00CD73AE" w:rsidRPr="00E6167F">
        <w:rPr>
          <w:rFonts w:cstheme="minorHAnsi"/>
        </w:rPr>
        <w:t>basic services available for free</w:t>
      </w:r>
      <w:r w:rsidR="00B46CF8">
        <w:rPr>
          <w:rFonts w:cstheme="minorHAnsi"/>
        </w:rPr>
        <w:t xml:space="preserve"> </w:t>
      </w:r>
      <w:r w:rsidR="00E52E34">
        <w:rPr>
          <w:rFonts w:cstheme="minorHAnsi"/>
        </w:rPr>
        <w:t xml:space="preserve">to </w:t>
      </w:r>
      <w:r w:rsidR="00C716ED">
        <w:rPr>
          <w:rFonts w:cstheme="minorHAnsi"/>
        </w:rPr>
        <w:t>the whole population</w:t>
      </w:r>
      <w:r w:rsidR="00CD73AE" w:rsidRPr="00E6167F">
        <w:rPr>
          <w:rFonts w:cstheme="minorHAnsi"/>
        </w:rPr>
        <w:t xml:space="preserve"> </w:t>
      </w:r>
      <w:r w:rsidR="00D81DA6">
        <w:rPr>
          <w:rFonts w:cstheme="minorHAnsi"/>
        </w:rPr>
        <w:t xml:space="preserve">while giving further benefits to </w:t>
      </w:r>
      <w:r w:rsidR="00CF6C3E">
        <w:rPr>
          <w:rFonts w:cstheme="minorHAnsi"/>
        </w:rPr>
        <w:t xml:space="preserve">selected groups. </w:t>
      </w:r>
      <w:r w:rsidR="001B4EBF">
        <w:rPr>
          <w:rFonts w:cstheme="minorHAnsi"/>
        </w:rPr>
        <w:t xml:space="preserve">Other </w:t>
      </w:r>
      <w:r w:rsidR="005719F6">
        <w:rPr>
          <w:rFonts w:cstheme="minorHAnsi"/>
        </w:rPr>
        <w:t>features</w:t>
      </w:r>
      <w:r w:rsidR="001B4EBF">
        <w:rPr>
          <w:rFonts w:cstheme="minorHAnsi"/>
        </w:rPr>
        <w:t xml:space="preserve"> of the system</w:t>
      </w:r>
      <w:r w:rsidR="001E4268">
        <w:rPr>
          <w:rFonts w:cstheme="minorHAnsi"/>
        </w:rPr>
        <w:t xml:space="preserve">, established </w:t>
      </w:r>
      <w:r w:rsidR="005719F6">
        <w:rPr>
          <w:rFonts w:cstheme="minorHAnsi"/>
        </w:rPr>
        <w:t xml:space="preserve">some 20 years ago, </w:t>
      </w:r>
      <w:r w:rsidR="000D3413">
        <w:rPr>
          <w:rFonts w:cstheme="minorHAnsi"/>
        </w:rPr>
        <w:t>remain good practice</w:t>
      </w:r>
      <w:r w:rsidR="00205340">
        <w:rPr>
          <w:rFonts w:cstheme="minorHAnsi"/>
        </w:rPr>
        <w:t>s</w:t>
      </w:r>
      <w:r w:rsidR="000D3413">
        <w:rPr>
          <w:rFonts w:cstheme="minorHAnsi"/>
        </w:rPr>
        <w:t xml:space="preserve"> by international standard as of today</w:t>
      </w:r>
      <w:r w:rsidR="00E94250">
        <w:rPr>
          <w:rFonts w:cstheme="minorHAnsi"/>
        </w:rPr>
        <w:t xml:space="preserve">. </w:t>
      </w:r>
      <w:r w:rsidR="004A6A0D">
        <w:rPr>
          <w:rFonts w:cstheme="minorHAnsi"/>
        </w:rPr>
        <w:t>Among others, t</w:t>
      </w:r>
      <w:r w:rsidR="00E94250">
        <w:rPr>
          <w:rFonts w:cstheme="minorHAnsi"/>
        </w:rPr>
        <w:t xml:space="preserve">hese include </w:t>
      </w:r>
      <w:r w:rsidR="00205340">
        <w:rPr>
          <w:rFonts w:cstheme="minorHAnsi"/>
        </w:rPr>
        <w:t>national pooling of fund</w:t>
      </w:r>
      <w:r w:rsidR="000E07BE">
        <w:rPr>
          <w:rFonts w:cstheme="minorHAnsi"/>
        </w:rPr>
        <w:t xml:space="preserve"> and </w:t>
      </w:r>
      <w:r w:rsidR="002237D7">
        <w:rPr>
          <w:rFonts w:cstheme="minorHAnsi"/>
        </w:rPr>
        <w:t>s</w:t>
      </w:r>
      <w:r w:rsidR="002B624E">
        <w:rPr>
          <w:rFonts w:cstheme="minorHAnsi"/>
        </w:rPr>
        <w:t>tandardized service</w:t>
      </w:r>
      <w:r w:rsidR="000E07BE">
        <w:rPr>
          <w:rFonts w:cstheme="minorHAnsi"/>
        </w:rPr>
        <w:t xml:space="preserve"> package </w:t>
      </w:r>
      <w:r w:rsidR="002237D7">
        <w:rPr>
          <w:rFonts w:cstheme="minorHAnsi"/>
        </w:rPr>
        <w:t xml:space="preserve">across regions </w:t>
      </w:r>
      <w:r w:rsidR="00114111">
        <w:rPr>
          <w:rFonts w:cstheme="minorHAnsi"/>
        </w:rPr>
        <w:t>managed by a single purchaser, which</w:t>
      </w:r>
      <w:r w:rsidR="00B14D91">
        <w:rPr>
          <w:rFonts w:cstheme="minorHAnsi"/>
        </w:rPr>
        <w:t xml:space="preserve"> are necessary conditions for </w:t>
      </w:r>
      <w:r w:rsidR="002713EC">
        <w:rPr>
          <w:rFonts w:cstheme="minorHAnsi"/>
        </w:rPr>
        <w:t>geographical equity</w:t>
      </w:r>
      <w:r w:rsidR="001801D2">
        <w:rPr>
          <w:rFonts w:cstheme="minorHAnsi"/>
        </w:rPr>
        <w:t xml:space="preserve">, </w:t>
      </w:r>
      <w:r w:rsidR="00DD7C67">
        <w:rPr>
          <w:rFonts w:cstheme="minorHAnsi"/>
        </w:rPr>
        <w:t>efficiency</w:t>
      </w:r>
      <w:r w:rsidR="001801D2">
        <w:rPr>
          <w:rFonts w:cstheme="minorHAnsi"/>
        </w:rPr>
        <w:t>,</w:t>
      </w:r>
      <w:r w:rsidR="00DD7C67">
        <w:rPr>
          <w:rFonts w:cstheme="minorHAnsi"/>
        </w:rPr>
        <w:t xml:space="preserve"> and quality</w:t>
      </w:r>
      <w:r w:rsidR="002237D7">
        <w:rPr>
          <w:rFonts w:cstheme="minorHAnsi"/>
        </w:rPr>
        <w:t xml:space="preserve">. </w:t>
      </w:r>
      <w:r w:rsidR="00B12397">
        <w:rPr>
          <w:rFonts w:cstheme="minorHAnsi"/>
        </w:rPr>
        <w:t xml:space="preserve"> </w:t>
      </w:r>
    </w:p>
    <w:p w14:paraId="43CBC7D9" w14:textId="6A7CDD03" w:rsidR="009C5817" w:rsidRPr="00E6167F" w:rsidRDefault="004724E0" w:rsidP="00363D34">
      <w:pPr>
        <w:spacing w:line="240" w:lineRule="auto"/>
        <w:jc w:val="both"/>
        <w:rPr>
          <w:rFonts w:cstheme="minorHAnsi"/>
        </w:rPr>
      </w:pPr>
      <w:r>
        <w:rPr>
          <w:rFonts w:cstheme="minorHAnsi"/>
        </w:rPr>
        <w:t>At the same time, l</w:t>
      </w:r>
      <w:r w:rsidR="00A517B6">
        <w:rPr>
          <w:rFonts w:cstheme="minorHAnsi"/>
        </w:rPr>
        <w:t>ooking beyond the stat</w:t>
      </w:r>
      <w:r w:rsidR="0071632A">
        <w:rPr>
          <w:rFonts w:cstheme="minorHAnsi"/>
        </w:rPr>
        <w:t>utory package</w:t>
      </w:r>
      <w:r w:rsidR="005D5F89">
        <w:rPr>
          <w:rFonts w:cstheme="minorHAnsi"/>
        </w:rPr>
        <w:t xml:space="preserve">, </w:t>
      </w:r>
      <w:r w:rsidR="004F2577" w:rsidRPr="00E6167F">
        <w:rPr>
          <w:rFonts w:cstheme="minorHAnsi"/>
        </w:rPr>
        <w:t xml:space="preserve">a critical review of the </w:t>
      </w:r>
      <w:r w:rsidR="0071632A">
        <w:rPr>
          <w:rFonts w:cstheme="minorHAnsi"/>
        </w:rPr>
        <w:t xml:space="preserve">actual manifestation of the </w:t>
      </w:r>
      <w:r w:rsidR="004F2577" w:rsidRPr="00E6167F">
        <w:rPr>
          <w:rFonts w:cstheme="minorHAnsi"/>
        </w:rPr>
        <w:t>SGBP reveals a number of issues</w:t>
      </w:r>
      <w:r w:rsidR="00EC45F1" w:rsidRPr="00E6167F">
        <w:rPr>
          <w:rFonts w:cstheme="minorHAnsi"/>
        </w:rPr>
        <w:t>.</w:t>
      </w:r>
      <w:r w:rsidR="004032C0">
        <w:rPr>
          <w:rFonts w:cstheme="minorHAnsi"/>
        </w:rPr>
        <w:t xml:space="preserve"> Some of them are elaborated below. </w:t>
      </w:r>
    </w:p>
    <w:p w14:paraId="79BC665D" w14:textId="799FF080" w:rsidR="00797B19" w:rsidRPr="00E6167F" w:rsidRDefault="00935678" w:rsidP="006E2D13">
      <w:pPr>
        <w:pStyle w:val="ListParagraph"/>
        <w:numPr>
          <w:ilvl w:val="0"/>
          <w:numId w:val="13"/>
        </w:numPr>
        <w:spacing w:before="240" w:after="120" w:line="240" w:lineRule="auto"/>
        <w:contextualSpacing w:val="0"/>
        <w:jc w:val="both"/>
        <w:rPr>
          <w:rFonts w:eastAsia="Times New Roman" w:cstheme="minorHAnsi"/>
          <w:b/>
        </w:rPr>
      </w:pPr>
      <w:r w:rsidRPr="00E6167F">
        <w:rPr>
          <w:rFonts w:eastAsia="Times New Roman" w:cstheme="minorHAnsi"/>
          <w:b/>
        </w:rPr>
        <w:t>Complicated</w:t>
      </w:r>
      <w:r w:rsidR="00187AC2">
        <w:rPr>
          <w:rFonts w:eastAsia="Times New Roman" w:cstheme="minorHAnsi"/>
          <w:b/>
        </w:rPr>
        <w:t xml:space="preserve"> </w:t>
      </w:r>
      <w:r w:rsidR="009B3310">
        <w:rPr>
          <w:rFonts w:eastAsia="Times New Roman" w:cstheme="minorHAnsi"/>
          <w:b/>
        </w:rPr>
        <w:t xml:space="preserve">and confusing </w:t>
      </w:r>
      <w:r w:rsidRPr="00E6167F">
        <w:rPr>
          <w:rFonts w:eastAsia="Times New Roman" w:cstheme="minorHAnsi"/>
          <w:b/>
        </w:rPr>
        <w:t xml:space="preserve"> </w:t>
      </w:r>
    </w:p>
    <w:p w14:paraId="14149769" w14:textId="2CBCAD10" w:rsidR="00EC45F1" w:rsidRPr="00E6167F" w:rsidRDefault="00C45BAE" w:rsidP="00363D34">
      <w:pPr>
        <w:spacing w:line="240" w:lineRule="auto"/>
        <w:jc w:val="both"/>
        <w:rPr>
          <w:rFonts w:cstheme="minorHAnsi"/>
        </w:rPr>
      </w:pPr>
      <w:r>
        <w:rPr>
          <w:rFonts w:cstheme="minorHAnsi"/>
        </w:rPr>
        <w:t>T</w:t>
      </w:r>
      <w:r w:rsidR="00551FB0" w:rsidRPr="00E6167F">
        <w:rPr>
          <w:rFonts w:cstheme="minorHAnsi"/>
        </w:rPr>
        <w:t xml:space="preserve">he </w:t>
      </w:r>
      <w:r>
        <w:rPr>
          <w:rFonts w:cstheme="minorHAnsi"/>
        </w:rPr>
        <w:t xml:space="preserve">SGBP as described in various legal documents is </w:t>
      </w:r>
      <w:r w:rsidR="007C06B2" w:rsidRPr="00E6167F">
        <w:rPr>
          <w:rFonts w:cstheme="minorHAnsi"/>
        </w:rPr>
        <w:t xml:space="preserve">complicated and confusing to lay </w:t>
      </w:r>
      <w:r w:rsidR="006C5087">
        <w:rPr>
          <w:rFonts w:cstheme="minorHAnsi"/>
        </w:rPr>
        <w:t>people</w:t>
      </w:r>
      <w:r w:rsidR="007C06B2" w:rsidRPr="00E6167F">
        <w:rPr>
          <w:rFonts w:cstheme="minorHAnsi"/>
        </w:rPr>
        <w:t xml:space="preserve">. </w:t>
      </w:r>
      <w:r w:rsidR="0029439A">
        <w:rPr>
          <w:rFonts w:cstheme="minorHAnsi"/>
        </w:rPr>
        <w:t xml:space="preserve">As shown in table </w:t>
      </w:r>
      <w:r w:rsidR="00B22558">
        <w:rPr>
          <w:rFonts w:cstheme="minorHAnsi"/>
        </w:rPr>
        <w:t>5</w:t>
      </w:r>
      <w:r w:rsidR="0029439A">
        <w:rPr>
          <w:rFonts w:cstheme="minorHAnsi"/>
        </w:rPr>
        <w:t xml:space="preserve"> above, e</w:t>
      </w:r>
      <w:r w:rsidR="003C079D" w:rsidRPr="00E6167F">
        <w:rPr>
          <w:rFonts w:cstheme="minorHAnsi"/>
        </w:rPr>
        <w:t xml:space="preserve">ven within primary care, some services are free to the whole population </w:t>
      </w:r>
      <w:r w:rsidR="006C5087">
        <w:rPr>
          <w:rFonts w:cstheme="minorHAnsi"/>
        </w:rPr>
        <w:t xml:space="preserve">while </w:t>
      </w:r>
      <w:r w:rsidR="00C76CA9">
        <w:rPr>
          <w:rFonts w:cstheme="minorHAnsi"/>
        </w:rPr>
        <w:t xml:space="preserve">others </w:t>
      </w:r>
      <w:r w:rsidR="003C079D" w:rsidRPr="00E6167F">
        <w:rPr>
          <w:rFonts w:cstheme="minorHAnsi"/>
        </w:rPr>
        <w:t xml:space="preserve">require payment from certain groups. </w:t>
      </w:r>
      <w:r w:rsidR="0000133B" w:rsidRPr="00E6167F">
        <w:rPr>
          <w:rFonts w:cstheme="minorHAnsi"/>
        </w:rPr>
        <w:t>For inpatient care, some groups have unlimited benefit</w:t>
      </w:r>
      <w:r w:rsidR="00341DFC">
        <w:rPr>
          <w:rFonts w:cstheme="minorHAnsi"/>
        </w:rPr>
        <w:t>s</w:t>
      </w:r>
      <w:r w:rsidR="0000133B" w:rsidRPr="00E6167F">
        <w:rPr>
          <w:rFonts w:cstheme="minorHAnsi"/>
        </w:rPr>
        <w:t xml:space="preserve"> while others are subject to a cap. </w:t>
      </w:r>
      <w:r w:rsidR="008C0FB8" w:rsidRPr="00E6167F">
        <w:rPr>
          <w:rFonts w:cstheme="minorHAnsi"/>
        </w:rPr>
        <w:t xml:space="preserve">Within the ADP, MHIF </w:t>
      </w:r>
      <w:r w:rsidR="00AB73DB" w:rsidRPr="00E6167F">
        <w:rPr>
          <w:rFonts w:cstheme="minorHAnsi"/>
        </w:rPr>
        <w:t>only covers 50% of the price that it agrees with pharmacies</w:t>
      </w:r>
      <w:r w:rsidR="00386D57">
        <w:rPr>
          <w:rFonts w:cstheme="minorHAnsi"/>
        </w:rPr>
        <w:t>,</w:t>
      </w:r>
      <w:r w:rsidR="00AB73DB" w:rsidRPr="00E6167F">
        <w:rPr>
          <w:rFonts w:cstheme="minorHAnsi"/>
        </w:rPr>
        <w:t xml:space="preserve"> and pharmacies are free to </w:t>
      </w:r>
      <w:r w:rsidR="000729D1" w:rsidRPr="00E6167F">
        <w:rPr>
          <w:rFonts w:cstheme="minorHAnsi"/>
        </w:rPr>
        <w:t>set the retail price and collect the difference from patients.</w:t>
      </w:r>
      <w:r w:rsidR="00771702" w:rsidRPr="00E6167F">
        <w:rPr>
          <w:rFonts w:cstheme="minorHAnsi"/>
        </w:rPr>
        <w:t xml:space="preserve"> </w:t>
      </w:r>
      <w:r w:rsidR="00D41E7D">
        <w:rPr>
          <w:rFonts w:cstheme="minorHAnsi"/>
        </w:rPr>
        <w:t xml:space="preserve">Therefore, </w:t>
      </w:r>
      <w:r w:rsidR="00981CD2" w:rsidRPr="00E6167F">
        <w:rPr>
          <w:rFonts w:cstheme="minorHAnsi"/>
        </w:rPr>
        <w:t xml:space="preserve">patients </w:t>
      </w:r>
      <w:r w:rsidR="00D41E7D">
        <w:rPr>
          <w:rFonts w:cstheme="minorHAnsi"/>
        </w:rPr>
        <w:t xml:space="preserve">themselves </w:t>
      </w:r>
      <w:r w:rsidR="00981CD2">
        <w:rPr>
          <w:rFonts w:cstheme="minorHAnsi"/>
        </w:rPr>
        <w:t xml:space="preserve">have </w:t>
      </w:r>
      <w:r w:rsidR="00981CD2" w:rsidRPr="00E6167F">
        <w:rPr>
          <w:rFonts w:cstheme="minorHAnsi"/>
        </w:rPr>
        <w:t>to navigate among participating pharmacies to find the one with lower retail price</w:t>
      </w:r>
      <w:r w:rsidR="00D41E7D">
        <w:rPr>
          <w:rFonts w:cstheme="minorHAnsi"/>
        </w:rPr>
        <w:t xml:space="preserve">, if they know there is such an option. </w:t>
      </w:r>
    </w:p>
    <w:p w14:paraId="28229414" w14:textId="1CF89E6E" w:rsidR="00B35E34" w:rsidRPr="00E6167F" w:rsidRDefault="00D36D6F" w:rsidP="00363D34">
      <w:pPr>
        <w:spacing w:line="240" w:lineRule="auto"/>
        <w:jc w:val="both"/>
        <w:rPr>
          <w:rFonts w:cstheme="minorHAnsi"/>
        </w:rPr>
      </w:pPr>
      <w:r>
        <w:rPr>
          <w:rFonts w:cstheme="minorHAnsi"/>
        </w:rPr>
        <w:t xml:space="preserve">Population’s awareness of the SGBP can be ascertained from household surveys. </w:t>
      </w:r>
      <w:r w:rsidR="002A3790">
        <w:rPr>
          <w:rFonts w:cstheme="minorHAnsi"/>
        </w:rPr>
        <w:t>T</w:t>
      </w:r>
      <w:r w:rsidR="00F32BCA">
        <w:rPr>
          <w:rFonts w:cstheme="minorHAnsi"/>
        </w:rPr>
        <w:t xml:space="preserve">able </w:t>
      </w:r>
      <w:r w:rsidR="007F28F4">
        <w:rPr>
          <w:rFonts w:cstheme="minorHAnsi"/>
        </w:rPr>
        <w:t>6</w:t>
      </w:r>
      <w:r w:rsidR="00F32BCA">
        <w:rPr>
          <w:rFonts w:cstheme="minorHAnsi"/>
        </w:rPr>
        <w:t xml:space="preserve"> below </w:t>
      </w:r>
      <w:r w:rsidR="000A3B6E">
        <w:rPr>
          <w:rFonts w:cstheme="minorHAnsi"/>
        </w:rPr>
        <w:t xml:space="preserve">presents </w:t>
      </w:r>
      <w:r w:rsidR="00F32BCA">
        <w:rPr>
          <w:rFonts w:cstheme="minorHAnsi"/>
        </w:rPr>
        <w:t xml:space="preserve">the results from </w:t>
      </w:r>
      <w:r w:rsidR="0003171E">
        <w:rPr>
          <w:rFonts w:cstheme="minorHAnsi"/>
        </w:rPr>
        <w:t>a nationally represe</w:t>
      </w:r>
      <w:r w:rsidR="0003171E" w:rsidRPr="00126B30">
        <w:rPr>
          <w:rFonts w:cstheme="minorHAnsi"/>
        </w:rPr>
        <w:t>ntative survey conducted with 4,665 households in 2014</w:t>
      </w:r>
      <w:r w:rsidR="001A42A7" w:rsidRPr="00126B30">
        <w:rPr>
          <w:rFonts w:cstheme="minorHAnsi"/>
        </w:rPr>
        <w:t xml:space="preserve">, the </w:t>
      </w:r>
      <w:r w:rsidR="001A42A7" w:rsidRPr="00126B30">
        <w:rPr>
          <w:rFonts w:eastAsia="Times New Roman" w:cstheme="minorHAnsi"/>
        </w:rPr>
        <w:t>Kyrgyz Integrated Household Survey (KIHS)</w:t>
      </w:r>
      <w:r w:rsidR="00652418" w:rsidRPr="00126B30">
        <w:rPr>
          <w:rFonts w:eastAsia="Times New Roman" w:cstheme="minorHAnsi"/>
        </w:rPr>
        <w:t xml:space="preserve">. </w:t>
      </w:r>
      <w:r w:rsidR="00DE44D2">
        <w:rPr>
          <w:rFonts w:eastAsia="Times New Roman" w:cstheme="minorHAnsi"/>
        </w:rPr>
        <w:t xml:space="preserve">The </w:t>
      </w:r>
      <w:r w:rsidR="00E84BB1">
        <w:rPr>
          <w:rFonts w:eastAsia="Times New Roman" w:cstheme="minorHAnsi"/>
        </w:rPr>
        <w:t xml:space="preserve">survey </w:t>
      </w:r>
      <w:r w:rsidR="00DE44D2">
        <w:rPr>
          <w:rFonts w:eastAsia="Times New Roman" w:cstheme="minorHAnsi"/>
        </w:rPr>
        <w:t>asked the household head - presumably the most knowledgeable person of the household</w:t>
      </w:r>
      <w:r w:rsidR="00302EFD">
        <w:rPr>
          <w:rFonts w:eastAsia="Times New Roman" w:cstheme="minorHAnsi"/>
        </w:rPr>
        <w:t xml:space="preserve"> –</w:t>
      </w:r>
      <w:r w:rsidR="00E84BB1">
        <w:rPr>
          <w:rFonts w:eastAsia="Times New Roman" w:cstheme="minorHAnsi"/>
        </w:rPr>
        <w:t xml:space="preserve"> </w:t>
      </w:r>
      <w:r w:rsidR="00302EFD">
        <w:rPr>
          <w:rFonts w:eastAsia="Times New Roman" w:cstheme="minorHAnsi"/>
        </w:rPr>
        <w:t>if the person kn</w:t>
      </w:r>
      <w:r w:rsidR="0087000D">
        <w:rPr>
          <w:rFonts w:eastAsia="Times New Roman" w:cstheme="minorHAnsi"/>
        </w:rPr>
        <w:t>ew</w:t>
      </w:r>
      <w:r w:rsidR="00302EFD">
        <w:rPr>
          <w:rFonts w:eastAsia="Times New Roman" w:cstheme="minorHAnsi"/>
        </w:rPr>
        <w:t xml:space="preserve"> whether certain services at PHC </w:t>
      </w:r>
      <w:r w:rsidR="000A3B6E">
        <w:rPr>
          <w:rFonts w:eastAsia="Times New Roman" w:cstheme="minorHAnsi"/>
        </w:rPr>
        <w:t xml:space="preserve">were </w:t>
      </w:r>
      <w:r w:rsidR="00302EFD">
        <w:rPr>
          <w:rFonts w:eastAsia="Times New Roman" w:cstheme="minorHAnsi"/>
        </w:rPr>
        <w:t xml:space="preserve">free or not. </w:t>
      </w:r>
      <w:r w:rsidR="00DE44D2">
        <w:rPr>
          <w:rFonts w:eastAsia="Times New Roman" w:cstheme="minorHAnsi"/>
        </w:rPr>
        <w:t xml:space="preserve"> </w:t>
      </w:r>
    </w:p>
    <w:p w14:paraId="73AD5B56" w14:textId="77777777" w:rsidR="006E2D13" w:rsidRDefault="006E2D13">
      <w:pPr>
        <w:rPr>
          <w:rFonts w:cstheme="minorHAnsi"/>
        </w:rPr>
      </w:pPr>
      <w:r>
        <w:rPr>
          <w:rFonts w:cstheme="minorHAnsi"/>
        </w:rPr>
        <w:br w:type="page"/>
      </w:r>
    </w:p>
    <w:p w14:paraId="169958E6" w14:textId="7BB62B60" w:rsidR="00BB2F1F" w:rsidRPr="00132B20" w:rsidRDefault="001E05E7" w:rsidP="00132B20">
      <w:pPr>
        <w:spacing w:before="240" w:after="120" w:line="240" w:lineRule="auto"/>
        <w:contextualSpacing/>
        <w:jc w:val="both"/>
        <w:rPr>
          <w:rFonts w:cstheme="minorHAnsi"/>
          <w:b/>
        </w:rPr>
      </w:pPr>
      <w:r w:rsidRPr="00132B20">
        <w:rPr>
          <w:rFonts w:cstheme="minorHAnsi"/>
          <w:b/>
        </w:rPr>
        <w:lastRenderedPageBreak/>
        <w:t xml:space="preserve">Table </w:t>
      </w:r>
      <w:r w:rsidR="007F28F4">
        <w:rPr>
          <w:rFonts w:cstheme="minorHAnsi"/>
          <w:b/>
        </w:rPr>
        <w:t>6</w:t>
      </w:r>
      <w:r w:rsidRPr="00132B20">
        <w:rPr>
          <w:rFonts w:cstheme="minorHAnsi"/>
          <w:b/>
        </w:rPr>
        <w:t>.</w:t>
      </w:r>
      <w:r w:rsidR="00BB2F1F" w:rsidRPr="00132B20">
        <w:rPr>
          <w:rFonts w:cstheme="minorHAnsi"/>
          <w:b/>
        </w:rPr>
        <w:t xml:space="preserve"> Population knowledge about the SGBP at PHC </w:t>
      </w:r>
    </w:p>
    <w:p w14:paraId="3E92DC14" w14:textId="153BAFDA" w:rsidR="00B35E34" w:rsidRPr="0023184C" w:rsidRDefault="00BB2F1F" w:rsidP="00363D34">
      <w:pPr>
        <w:spacing w:line="240" w:lineRule="auto"/>
        <w:contextualSpacing/>
        <w:jc w:val="both"/>
        <w:rPr>
          <w:rFonts w:cstheme="minorHAnsi"/>
          <w:i/>
        </w:rPr>
      </w:pPr>
      <w:r w:rsidRPr="0023184C">
        <w:rPr>
          <w:rFonts w:cstheme="minorHAnsi"/>
          <w:i/>
        </w:rPr>
        <w:t>(</w:t>
      </w:r>
      <w:r w:rsidR="00D829DF" w:rsidRPr="0023184C">
        <w:rPr>
          <w:rFonts w:cstheme="minorHAnsi"/>
          <w:i/>
        </w:rPr>
        <w:t>Survey respondents’ answer to the question: “If the following services at PHC are free or not?”</w:t>
      </w:r>
    </w:p>
    <w:p w14:paraId="2DD60561" w14:textId="77777777" w:rsidR="00D829DF" w:rsidRPr="00E6167F" w:rsidRDefault="00D829DF" w:rsidP="00363D34">
      <w:pPr>
        <w:spacing w:line="240" w:lineRule="auto"/>
        <w:contextualSpacing/>
        <w:jc w:val="both"/>
        <w:rPr>
          <w:rFonts w:cstheme="minorHAnsi"/>
        </w:rPr>
      </w:pPr>
    </w:p>
    <w:tbl>
      <w:tblPr>
        <w:tblW w:w="9538" w:type="dxa"/>
        <w:tblBorders>
          <w:top w:val="single" w:sz="4" w:space="0" w:color="auto"/>
          <w:bottom w:val="single" w:sz="4" w:space="0" w:color="auto"/>
        </w:tblBorders>
        <w:tblLook w:val="04A0" w:firstRow="1" w:lastRow="0" w:firstColumn="1" w:lastColumn="0" w:noHBand="0" w:noVBand="1"/>
      </w:tblPr>
      <w:tblGrid>
        <w:gridCol w:w="4950"/>
        <w:gridCol w:w="170"/>
        <w:gridCol w:w="820"/>
        <w:gridCol w:w="380"/>
        <w:gridCol w:w="1154"/>
        <w:gridCol w:w="126"/>
        <w:gridCol w:w="1810"/>
        <w:gridCol w:w="128"/>
      </w:tblGrid>
      <w:tr w:rsidR="006B3BC5" w:rsidRPr="0023184C" w14:paraId="591C877C" w14:textId="77777777" w:rsidTr="001637EC">
        <w:trPr>
          <w:gridAfter w:val="1"/>
          <w:wAfter w:w="128" w:type="dxa"/>
          <w:trHeight w:val="535"/>
        </w:trPr>
        <w:tc>
          <w:tcPr>
            <w:tcW w:w="4950" w:type="dxa"/>
            <w:tcBorders>
              <w:top w:val="single" w:sz="4" w:space="0" w:color="auto"/>
              <w:bottom w:val="single" w:sz="4" w:space="0" w:color="auto"/>
            </w:tcBorders>
            <w:shd w:val="clear" w:color="auto" w:fill="F2F2F2" w:themeFill="background1" w:themeFillShade="F2"/>
            <w:noWrap/>
            <w:vAlign w:val="bottom"/>
            <w:hideMark/>
          </w:tcPr>
          <w:p w14:paraId="3F3F934D" w14:textId="77777777" w:rsidR="006B3BC5" w:rsidRPr="0023184C" w:rsidRDefault="006B3BC5" w:rsidP="00363D34">
            <w:pPr>
              <w:spacing w:after="0" w:line="240" w:lineRule="auto"/>
              <w:jc w:val="both"/>
              <w:rPr>
                <w:rFonts w:eastAsia="Times New Roman" w:cstheme="minorHAnsi"/>
                <w:b/>
                <w:color w:val="000000"/>
              </w:rPr>
            </w:pPr>
            <w:r w:rsidRPr="0023184C">
              <w:rPr>
                <w:rFonts w:eastAsia="Times New Roman" w:cstheme="minorHAnsi"/>
                <w:b/>
                <w:color w:val="000000"/>
              </w:rPr>
              <w:t>Type of the services</w:t>
            </w:r>
          </w:p>
        </w:tc>
        <w:tc>
          <w:tcPr>
            <w:tcW w:w="990" w:type="dxa"/>
            <w:gridSpan w:val="2"/>
            <w:tcBorders>
              <w:top w:val="single" w:sz="4" w:space="0" w:color="auto"/>
              <w:bottom w:val="single" w:sz="4" w:space="0" w:color="auto"/>
            </w:tcBorders>
            <w:shd w:val="clear" w:color="auto" w:fill="F2F2F2" w:themeFill="background1" w:themeFillShade="F2"/>
            <w:noWrap/>
            <w:vAlign w:val="bottom"/>
            <w:hideMark/>
          </w:tcPr>
          <w:p w14:paraId="0502BB3B" w14:textId="77777777" w:rsidR="006B3BC5" w:rsidRPr="0023184C" w:rsidRDefault="006B3BC5" w:rsidP="00CF0B88">
            <w:pPr>
              <w:spacing w:after="0" w:line="240" w:lineRule="auto"/>
              <w:jc w:val="right"/>
              <w:rPr>
                <w:rFonts w:eastAsia="Times New Roman" w:cstheme="minorHAnsi"/>
                <w:b/>
                <w:color w:val="000000"/>
              </w:rPr>
            </w:pPr>
            <w:r w:rsidRPr="0023184C">
              <w:rPr>
                <w:rFonts w:eastAsia="Times New Roman" w:cstheme="minorHAnsi"/>
                <w:b/>
                <w:color w:val="000000"/>
              </w:rPr>
              <w:t>Free (%)</w:t>
            </w:r>
          </w:p>
        </w:tc>
        <w:tc>
          <w:tcPr>
            <w:tcW w:w="1534" w:type="dxa"/>
            <w:gridSpan w:val="2"/>
            <w:tcBorders>
              <w:top w:val="single" w:sz="4" w:space="0" w:color="auto"/>
              <w:bottom w:val="single" w:sz="4" w:space="0" w:color="auto"/>
            </w:tcBorders>
            <w:shd w:val="clear" w:color="auto" w:fill="F2F2F2" w:themeFill="background1" w:themeFillShade="F2"/>
            <w:noWrap/>
            <w:vAlign w:val="bottom"/>
            <w:hideMark/>
          </w:tcPr>
          <w:p w14:paraId="54D57A22" w14:textId="77777777" w:rsidR="006B3BC5" w:rsidRPr="0023184C" w:rsidRDefault="006B3BC5" w:rsidP="00CF0B88">
            <w:pPr>
              <w:spacing w:after="0" w:line="240" w:lineRule="auto"/>
              <w:jc w:val="right"/>
              <w:rPr>
                <w:rFonts w:eastAsia="Times New Roman" w:cstheme="minorHAnsi"/>
                <w:b/>
                <w:color w:val="000000"/>
              </w:rPr>
            </w:pPr>
            <w:r w:rsidRPr="0023184C">
              <w:rPr>
                <w:rFonts w:eastAsia="Times New Roman" w:cstheme="minorHAnsi"/>
                <w:b/>
                <w:color w:val="000000"/>
              </w:rPr>
              <w:t>Not free (%)</w:t>
            </w:r>
          </w:p>
        </w:tc>
        <w:tc>
          <w:tcPr>
            <w:tcW w:w="1936" w:type="dxa"/>
            <w:gridSpan w:val="2"/>
            <w:tcBorders>
              <w:top w:val="single" w:sz="4" w:space="0" w:color="auto"/>
              <w:bottom w:val="single" w:sz="4" w:space="0" w:color="auto"/>
            </w:tcBorders>
            <w:shd w:val="clear" w:color="auto" w:fill="F2F2F2" w:themeFill="background1" w:themeFillShade="F2"/>
            <w:noWrap/>
            <w:vAlign w:val="bottom"/>
            <w:hideMark/>
          </w:tcPr>
          <w:p w14:paraId="1CBB50EE" w14:textId="770B5E16" w:rsidR="006B3BC5" w:rsidRPr="0023184C" w:rsidRDefault="0023184C" w:rsidP="00CF0B88">
            <w:pPr>
              <w:spacing w:after="0" w:line="240" w:lineRule="auto"/>
              <w:jc w:val="right"/>
              <w:rPr>
                <w:rFonts w:eastAsia="Times New Roman" w:cstheme="minorHAnsi"/>
                <w:b/>
                <w:color w:val="000000"/>
              </w:rPr>
            </w:pPr>
            <w:r>
              <w:rPr>
                <w:rFonts w:eastAsia="Times New Roman" w:cstheme="minorHAnsi"/>
                <w:b/>
                <w:color w:val="000000"/>
              </w:rPr>
              <w:t>D</w:t>
            </w:r>
            <w:r w:rsidR="006B3BC5" w:rsidRPr="0023184C">
              <w:rPr>
                <w:rFonts w:eastAsia="Times New Roman" w:cstheme="minorHAnsi"/>
                <w:b/>
                <w:color w:val="000000"/>
              </w:rPr>
              <w:t>o not know (%)</w:t>
            </w:r>
          </w:p>
        </w:tc>
      </w:tr>
      <w:tr w:rsidR="006B3BC5" w:rsidRPr="006B3BC5" w14:paraId="56C11B4A" w14:textId="77777777" w:rsidTr="0023184C">
        <w:trPr>
          <w:trHeight w:val="288"/>
        </w:trPr>
        <w:tc>
          <w:tcPr>
            <w:tcW w:w="5120" w:type="dxa"/>
            <w:gridSpan w:val="2"/>
            <w:tcBorders>
              <w:top w:val="single" w:sz="4" w:space="0" w:color="auto"/>
            </w:tcBorders>
            <w:shd w:val="clear" w:color="auto" w:fill="auto"/>
            <w:noWrap/>
            <w:vAlign w:val="bottom"/>
            <w:hideMark/>
          </w:tcPr>
          <w:p w14:paraId="368695C3" w14:textId="77777777" w:rsidR="006B3BC5" w:rsidRPr="006B3BC5" w:rsidRDefault="006B3BC5" w:rsidP="00B920E2">
            <w:pPr>
              <w:spacing w:after="0" w:line="240" w:lineRule="auto"/>
              <w:rPr>
                <w:rFonts w:eastAsia="Times New Roman" w:cstheme="minorHAnsi"/>
                <w:color w:val="000000"/>
              </w:rPr>
            </w:pPr>
            <w:r w:rsidRPr="006B3BC5">
              <w:rPr>
                <w:rFonts w:eastAsia="Times New Roman" w:cstheme="minorHAnsi"/>
                <w:color w:val="000000"/>
              </w:rPr>
              <w:t>Consultation with primary care practitioner</w:t>
            </w:r>
          </w:p>
        </w:tc>
        <w:tc>
          <w:tcPr>
            <w:tcW w:w="1200" w:type="dxa"/>
            <w:gridSpan w:val="2"/>
            <w:tcBorders>
              <w:top w:val="single" w:sz="4" w:space="0" w:color="auto"/>
            </w:tcBorders>
            <w:shd w:val="clear" w:color="auto" w:fill="auto"/>
            <w:noWrap/>
            <w:vAlign w:val="bottom"/>
            <w:hideMark/>
          </w:tcPr>
          <w:p w14:paraId="642C1B07" w14:textId="77777777" w:rsidR="006B3BC5" w:rsidRPr="006B3BC5" w:rsidRDefault="006B3BC5" w:rsidP="00CF0B88">
            <w:pPr>
              <w:spacing w:after="0" w:line="240" w:lineRule="auto"/>
              <w:jc w:val="right"/>
              <w:rPr>
                <w:rFonts w:eastAsia="Times New Roman" w:cstheme="minorHAnsi"/>
                <w:color w:val="000000"/>
              </w:rPr>
            </w:pPr>
            <w:r w:rsidRPr="006B3BC5">
              <w:rPr>
                <w:rFonts w:eastAsia="Times New Roman" w:cstheme="minorHAnsi"/>
                <w:color w:val="000000"/>
              </w:rPr>
              <w:t>93.7</w:t>
            </w:r>
          </w:p>
        </w:tc>
        <w:tc>
          <w:tcPr>
            <w:tcW w:w="1280" w:type="dxa"/>
            <w:gridSpan w:val="2"/>
            <w:tcBorders>
              <w:top w:val="single" w:sz="4" w:space="0" w:color="auto"/>
            </w:tcBorders>
            <w:shd w:val="clear" w:color="auto" w:fill="auto"/>
            <w:noWrap/>
            <w:vAlign w:val="bottom"/>
            <w:hideMark/>
          </w:tcPr>
          <w:p w14:paraId="0B15B66F" w14:textId="77777777" w:rsidR="006B3BC5" w:rsidRPr="006B3BC5" w:rsidRDefault="006B3BC5" w:rsidP="00CF0B88">
            <w:pPr>
              <w:spacing w:after="0" w:line="240" w:lineRule="auto"/>
              <w:jc w:val="right"/>
              <w:rPr>
                <w:rFonts w:eastAsia="Times New Roman" w:cstheme="minorHAnsi"/>
                <w:color w:val="000000"/>
              </w:rPr>
            </w:pPr>
            <w:r w:rsidRPr="006B3BC5">
              <w:rPr>
                <w:rFonts w:eastAsia="Times New Roman" w:cstheme="minorHAnsi"/>
                <w:color w:val="000000"/>
              </w:rPr>
              <w:t>2.9</w:t>
            </w:r>
          </w:p>
        </w:tc>
        <w:tc>
          <w:tcPr>
            <w:tcW w:w="1938" w:type="dxa"/>
            <w:gridSpan w:val="2"/>
            <w:tcBorders>
              <w:top w:val="single" w:sz="4" w:space="0" w:color="auto"/>
            </w:tcBorders>
            <w:shd w:val="clear" w:color="auto" w:fill="auto"/>
            <w:noWrap/>
            <w:vAlign w:val="bottom"/>
            <w:hideMark/>
          </w:tcPr>
          <w:p w14:paraId="5B048076" w14:textId="77777777" w:rsidR="006B3BC5" w:rsidRPr="006B3BC5" w:rsidRDefault="006B3BC5" w:rsidP="00CF0B88">
            <w:pPr>
              <w:spacing w:after="0" w:line="240" w:lineRule="auto"/>
              <w:jc w:val="right"/>
              <w:rPr>
                <w:rFonts w:eastAsia="Times New Roman" w:cstheme="minorHAnsi"/>
                <w:color w:val="000000"/>
              </w:rPr>
            </w:pPr>
            <w:r w:rsidRPr="006B3BC5">
              <w:rPr>
                <w:rFonts w:eastAsia="Times New Roman" w:cstheme="minorHAnsi"/>
                <w:color w:val="000000"/>
              </w:rPr>
              <w:t>3.4</w:t>
            </w:r>
          </w:p>
        </w:tc>
      </w:tr>
      <w:tr w:rsidR="006B3BC5" w:rsidRPr="006B3BC5" w14:paraId="738CC15E" w14:textId="77777777" w:rsidTr="0023184C">
        <w:trPr>
          <w:trHeight w:val="288"/>
        </w:trPr>
        <w:tc>
          <w:tcPr>
            <w:tcW w:w="5120" w:type="dxa"/>
            <w:gridSpan w:val="2"/>
            <w:shd w:val="clear" w:color="auto" w:fill="auto"/>
            <w:noWrap/>
            <w:vAlign w:val="bottom"/>
            <w:hideMark/>
          </w:tcPr>
          <w:p w14:paraId="4940B95A" w14:textId="77777777" w:rsidR="006B3BC5" w:rsidRPr="006B3BC5" w:rsidRDefault="006B3BC5" w:rsidP="00B920E2">
            <w:pPr>
              <w:spacing w:after="0" w:line="240" w:lineRule="auto"/>
              <w:rPr>
                <w:rFonts w:eastAsia="Times New Roman" w:cstheme="minorHAnsi"/>
                <w:color w:val="000000"/>
              </w:rPr>
            </w:pPr>
            <w:r w:rsidRPr="006B3BC5">
              <w:rPr>
                <w:rFonts w:eastAsia="Times New Roman" w:cstheme="minorHAnsi"/>
                <w:color w:val="000000"/>
              </w:rPr>
              <w:t>Consultation with specialist</w:t>
            </w:r>
          </w:p>
        </w:tc>
        <w:tc>
          <w:tcPr>
            <w:tcW w:w="1200" w:type="dxa"/>
            <w:gridSpan w:val="2"/>
            <w:shd w:val="clear" w:color="auto" w:fill="auto"/>
            <w:noWrap/>
            <w:vAlign w:val="bottom"/>
            <w:hideMark/>
          </w:tcPr>
          <w:p w14:paraId="531398DF" w14:textId="77777777" w:rsidR="006B3BC5" w:rsidRPr="006B3BC5" w:rsidRDefault="006B3BC5" w:rsidP="00CF0B88">
            <w:pPr>
              <w:spacing w:after="0" w:line="240" w:lineRule="auto"/>
              <w:jc w:val="right"/>
              <w:rPr>
                <w:rFonts w:eastAsia="Times New Roman" w:cstheme="minorHAnsi"/>
                <w:color w:val="000000"/>
              </w:rPr>
            </w:pPr>
            <w:r w:rsidRPr="006B3BC5">
              <w:rPr>
                <w:rFonts w:eastAsia="Times New Roman" w:cstheme="minorHAnsi"/>
                <w:color w:val="000000"/>
              </w:rPr>
              <w:t>60.3</w:t>
            </w:r>
          </w:p>
        </w:tc>
        <w:tc>
          <w:tcPr>
            <w:tcW w:w="1280" w:type="dxa"/>
            <w:gridSpan w:val="2"/>
            <w:shd w:val="clear" w:color="auto" w:fill="auto"/>
            <w:noWrap/>
            <w:vAlign w:val="bottom"/>
            <w:hideMark/>
          </w:tcPr>
          <w:p w14:paraId="31DC816C" w14:textId="77777777" w:rsidR="006B3BC5" w:rsidRPr="006B3BC5" w:rsidRDefault="006B3BC5" w:rsidP="00CF0B88">
            <w:pPr>
              <w:spacing w:after="0" w:line="240" w:lineRule="auto"/>
              <w:jc w:val="right"/>
              <w:rPr>
                <w:rFonts w:eastAsia="Times New Roman" w:cstheme="minorHAnsi"/>
                <w:color w:val="000000"/>
              </w:rPr>
            </w:pPr>
            <w:r w:rsidRPr="006B3BC5">
              <w:rPr>
                <w:rFonts w:eastAsia="Times New Roman" w:cstheme="minorHAnsi"/>
                <w:color w:val="000000"/>
              </w:rPr>
              <w:t>27.2</w:t>
            </w:r>
          </w:p>
        </w:tc>
        <w:tc>
          <w:tcPr>
            <w:tcW w:w="1938" w:type="dxa"/>
            <w:gridSpan w:val="2"/>
            <w:shd w:val="clear" w:color="auto" w:fill="auto"/>
            <w:noWrap/>
            <w:vAlign w:val="bottom"/>
            <w:hideMark/>
          </w:tcPr>
          <w:p w14:paraId="735DE0FA" w14:textId="77777777" w:rsidR="006B3BC5" w:rsidRPr="006B3BC5" w:rsidRDefault="006B3BC5" w:rsidP="00CF0B88">
            <w:pPr>
              <w:spacing w:after="0" w:line="240" w:lineRule="auto"/>
              <w:jc w:val="right"/>
              <w:rPr>
                <w:rFonts w:eastAsia="Times New Roman" w:cstheme="minorHAnsi"/>
                <w:color w:val="000000"/>
              </w:rPr>
            </w:pPr>
            <w:r w:rsidRPr="006B3BC5">
              <w:rPr>
                <w:rFonts w:eastAsia="Times New Roman" w:cstheme="minorHAnsi"/>
                <w:color w:val="000000"/>
              </w:rPr>
              <w:t>12.5</w:t>
            </w:r>
          </w:p>
        </w:tc>
      </w:tr>
      <w:tr w:rsidR="006B3BC5" w:rsidRPr="006B3BC5" w14:paraId="341E4E6E" w14:textId="77777777" w:rsidTr="0023184C">
        <w:trPr>
          <w:trHeight w:val="288"/>
        </w:trPr>
        <w:tc>
          <w:tcPr>
            <w:tcW w:w="5120" w:type="dxa"/>
            <w:gridSpan w:val="2"/>
            <w:shd w:val="clear" w:color="auto" w:fill="auto"/>
            <w:noWrap/>
            <w:vAlign w:val="bottom"/>
            <w:hideMark/>
          </w:tcPr>
          <w:p w14:paraId="79E31860" w14:textId="77777777" w:rsidR="006B3BC5" w:rsidRPr="006B3BC5" w:rsidRDefault="006B3BC5" w:rsidP="00B920E2">
            <w:pPr>
              <w:spacing w:after="0" w:line="240" w:lineRule="auto"/>
              <w:rPr>
                <w:rFonts w:eastAsia="Times New Roman" w:cstheme="minorHAnsi"/>
                <w:color w:val="000000"/>
              </w:rPr>
            </w:pPr>
            <w:r w:rsidRPr="006B3BC5">
              <w:rPr>
                <w:rFonts w:eastAsia="Times New Roman" w:cstheme="minorHAnsi"/>
                <w:color w:val="000000"/>
              </w:rPr>
              <w:t>Blood or urine test</w:t>
            </w:r>
          </w:p>
        </w:tc>
        <w:tc>
          <w:tcPr>
            <w:tcW w:w="1200" w:type="dxa"/>
            <w:gridSpan w:val="2"/>
            <w:shd w:val="clear" w:color="auto" w:fill="auto"/>
            <w:noWrap/>
            <w:vAlign w:val="bottom"/>
            <w:hideMark/>
          </w:tcPr>
          <w:p w14:paraId="182B0401" w14:textId="77777777" w:rsidR="006B3BC5" w:rsidRPr="006B3BC5" w:rsidRDefault="006B3BC5" w:rsidP="00CF0B88">
            <w:pPr>
              <w:spacing w:after="0" w:line="240" w:lineRule="auto"/>
              <w:jc w:val="right"/>
              <w:rPr>
                <w:rFonts w:eastAsia="Times New Roman" w:cstheme="minorHAnsi"/>
                <w:color w:val="000000"/>
              </w:rPr>
            </w:pPr>
            <w:r w:rsidRPr="006B3BC5">
              <w:rPr>
                <w:rFonts w:eastAsia="Times New Roman" w:cstheme="minorHAnsi"/>
                <w:color w:val="000000"/>
              </w:rPr>
              <w:t>51.6</w:t>
            </w:r>
          </w:p>
        </w:tc>
        <w:tc>
          <w:tcPr>
            <w:tcW w:w="1280" w:type="dxa"/>
            <w:gridSpan w:val="2"/>
            <w:shd w:val="clear" w:color="auto" w:fill="auto"/>
            <w:noWrap/>
            <w:vAlign w:val="bottom"/>
            <w:hideMark/>
          </w:tcPr>
          <w:p w14:paraId="454547D8" w14:textId="77777777" w:rsidR="006B3BC5" w:rsidRPr="006B3BC5" w:rsidRDefault="006B3BC5" w:rsidP="00CF0B88">
            <w:pPr>
              <w:spacing w:after="0" w:line="240" w:lineRule="auto"/>
              <w:jc w:val="right"/>
              <w:rPr>
                <w:rFonts w:eastAsia="Times New Roman" w:cstheme="minorHAnsi"/>
                <w:color w:val="000000"/>
              </w:rPr>
            </w:pPr>
            <w:r w:rsidRPr="006B3BC5">
              <w:rPr>
                <w:rFonts w:eastAsia="Times New Roman" w:cstheme="minorHAnsi"/>
                <w:color w:val="000000"/>
              </w:rPr>
              <w:t>43.4</w:t>
            </w:r>
          </w:p>
        </w:tc>
        <w:tc>
          <w:tcPr>
            <w:tcW w:w="1938" w:type="dxa"/>
            <w:gridSpan w:val="2"/>
            <w:shd w:val="clear" w:color="auto" w:fill="auto"/>
            <w:noWrap/>
            <w:vAlign w:val="bottom"/>
            <w:hideMark/>
          </w:tcPr>
          <w:p w14:paraId="0DE20D20" w14:textId="77777777" w:rsidR="006B3BC5" w:rsidRPr="006B3BC5" w:rsidRDefault="006B3BC5" w:rsidP="00CF0B88">
            <w:pPr>
              <w:spacing w:after="0" w:line="240" w:lineRule="auto"/>
              <w:jc w:val="right"/>
              <w:rPr>
                <w:rFonts w:eastAsia="Times New Roman" w:cstheme="minorHAnsi"/>
                <w:color w:val="000000"/>
              </w:rPr>
            </w:pPr>
            <w:r w:rsidRPr="006B3BC5">
              <w:rPr>
                <w:rFonts w:eastAsia="Times New Roman" w:cstheme="minorHAnsi"/>
                <w:color w:val="000000"/>
              </w:rPr>
              <w:t>5.0</w:t>
            </w:r>
          </w:p>
        </w:tc>
      </w:tr>
      <w:tr w:rsidR="006B3BC5" w:rsidRPr="006B3BC5" w14:paraId="513EDF32" w14:textId="77777777" w:rsidTr="0023184C">
        <w:trPr>
          <w:trHeight w:val="288"/>
        </w:trPr>
        <w:tc>
          <w:tcPr>
            <w:tcW w:w="5120" w:type="dxa"/>
            <w:gridSpan w:val="2"/>
            <w:shd w:val="clear" w:color="auto" w:fill="auto"/>
            <w:noWrap/>
            <w:vAlign w:val="bottom"/>
            <w:hideMark/>
          </w:tcPr>
          <w:p w14:paraId="09B3A895" w14:textId="77777777" w:rsidR="006B3BC5" w:rsidRPr="006B3BC5" w:rsidRDefault="006B3BC5" w:rsidP="00B920E2">
            <w:pPr>
              <w:spacing w:after="0" w:line="240" w:lineRule="auto"/>
              <w:rPr>
                <w:rFonts w:eastAsia="Times New Roman" w:cstheme="minorHAnsi"/>
                <w:color w:val="000000"/>
              </w:rPr>
            </w:pPr>
            <w:r w:rsidRPr="006B3BC5">
              <w:rPr>
                <w:rFonts w:eastAsia="Times New Roman" w:cstheme="minorHAnsi"/>
                <w:color w:val="000000"/>
              </w:rPr>
              <w:t>Hormone analysis, kidney test, test for rheumatism</w:t>
            </w:r>
          </w:p>
        </w:tc>
        <w:tc>
          <w:tcPr>
            <w:tcW w:w="1200" w:type="dxa"/>
            <w:gridSpan w:val="2"/>
            <w:shd w:val="clear" w:color="auto" w:fill="auto"/>
            <w:noWrap/>
            <w:vAlign w:val="bottom"/>
            <w:hideMark/>
          </w:tcPr>
          <w:p w14:paraId="4C570EB5" w14:textId="77777777" w:rsidR="006B3BC5" w:rsidRPr="006B3BC5" w:rsidRDefault="006B3BC5" w:rsidP="00CF0B88">
            <w:pPr>
              <w:spacing w:after="0" w:line="240" w:lineRule="auto"/>
              <w:jc w:val="right"/>
              <w:rPr>
                <w:rFonts w:eastAsia="Times New Roman" w:cstheme="minorHAnsi"/>
                <w:color w:val="000000"/>
              </w:rPr>
            </w:pPr>
            <w:r w:rsidRPr="006B3BC5">
              <w:rPr>
                <w:rFonts w:eastAsia="Times New Roman" w:cstheme="minorHAnsi"/>
                <w:color w:val="000000"/>
              </w:rPr>
              <w:t>12.9</w:t>
            </w:r>
          </w:p>
        </w:tc>
        <w:tc>
          <w:tcPr>
            <w:tcW w:w="1280" w:type="dxa"/>
            <w:gridSpan w:val="2"/>
            <w:shd w:val="clear" w:color="auto" w:fill="auto"/>
            <w:noWrap/>
            <w:vAlign w:val="bottom"/>
            <w:hideMark/>
          </w:tcPr>
          <w:p w14:paraId="42DC0088" w14:textId="77777777" w:rsidR="006B3BC5" w:rsidRPr="006B3BC5" w:rsidRDefault="006B3BC5" w:rsidP="00CF0B88">
            <w:pPr>
              <w:spacing w:after="0" w:line="240" w:lineRule="auto"/>
              <w:jc w:val="right"/>
              <w:rPr>
                <w:rFonts w:eastAsia="Times New Roman" w:cstheme="minorHAnsi"/>
                <w:color w:val="000000"/>
              </w:rPr>
            </w:pPr>
            <w:r w:rsidRPr="006B3BC5">
              <w:rPr>
                <w:rFonts w:eastAsia="Times New Roman" w:cstheme="minorHAnsi"/>
                <w:color w:val="000000"/>
              </w:rPr>
              <w:t>65.1</w:t>
            </w:r>
          </w:p>
        </w:tc>
        <w:tc>
          <w:tcPr>
            <w:tcW w:w="1938" w:type="dxa"/>
            <w:gridSpan w:val="2"/>
            <w:shd w:val="clear" w:color="auto" w:fill="auto"/>
            <w:noWrap/>
            <w:vAlign w:val="bottom"/>
            <w:hideMark/>
          </w:tcPr>
          <w:p w14:paraId="0D0D45E3" w14:textId="77777777" w:rsidR="006B3BC5" w:rsidRPr="006B3BC5" w:rsidRDefault="006B3BC5" w:rsidP="00CF0B88">
            <w:pPr>
              <w:spacing w:after="0" w:line="240" w:lineRule="auto"/>
              <w:jc w:val="right"/>
              <w:rPr>
                <w:rFonts w:eastAsia="Times New Roman" w:cstheme="minorHAnsi"/>
                <w:color w:val="000000"/>
              </w:rPr>
            </w:pPr>
            <w:r w:rsidRPr="006B3BC5">
              <w:rPr>
                <w:rFonts w:eastAsia="Times New Roman" w:cstheme="minorHAnsi"/>
                <w:color w:val="000000"/>
              </w:rPr>
              <w:t>22.0</w:t>
            </w:r>
          </w:p>
        </w:tc>
      </w:tr>
      <w:tr w:rsidR="006B3BC5" w:rsidRPr="006B3BC5" w14:paraId="500B6B1D" w14:textId="77777777" w:rsidTr="0023184C">
        <w:trPr>
          <w:trHeight w:val="288"/>
        </w:trPr>
        <w:tc>
          <w:tcPr>
            <w:tcW w:w="5120" w:type="dxa"/>
            <w:gridSpan w:val="2"/>
            <w:shd w:val="clear" w:color="auto" w:fill="auto"/>
            <w:noWrap/>
            <w:vAlign w:val="bottom"/>
            <w:hideMark/>
          </w:tcPr>
          <w:p w14:paraId="740550CF" w14:textId="0A257A97" w:rsidR="006B3BC5" w:rsidRPr="006B3BC5" w:rsidRDefault="006B3BC5" w:rsidP="00B920E2">
            <w:pPr>
              <w:spacing w:after="0" w:line="240" w:lineRule="auto"/>
              <w:rPr>
                <w:rFonts w:eastAsia="Times New Roman" w:cstheme="minorHAnsi"/>
                <w:color w:val="000000"/>
              </w:rPr>
            </w:pPr>
            <w:r w:rsidRPr="006B3BC5">
              <w:rPr>
                <w:rFonts w:eastAsia="Times New Roman" w:cstheme="minorHAnsi"/>
                <w:color w:val="000000"/>
              </w:rPr>
              <w:t>Blood pressure measurement</w:t>
            </w:r>
          </w:p>
        </w:tc>
        <w:tc>
          <w:tcPr>
            <w:tcW w:w="1200" w:type="dxa"/>
            <w:gridSpan w:val="2"/>
            <w:shd w:val="clear" w:color="auto" w:fill="auto"/>
            <w:noWrap/>
            <w:vAlign w:val="bottom"/>
            <w:hideMark/>
          </w:tcPr>
          <w:p w14:paraId="0AFA18A1" w14:textId="77777777" w:rsidR="006B3BC5" w:rsidRPr="006B3BC5" w:rsidRDefault="006B3BC5" w:rsidP="00CF0B88">
            <w:pPr>
              <w:spacing w:after="0" w:line="240" w:lineRule="auto"/>
              <w:jc w:val="right"/>
              <w:rPr>
                <w:rFonts w:eastAsia="Times New Roman" w:cstheme="minorHAnsi"/>
                <w:color w:val="000000"/>
              </w:rPr>
            </w:pPr>
            <w:r w:rsidRPr="006B3BC5">
              <w:rPr>
                <w:rFonts w:eastAsia="Times New Roman" w:cstheme="minorHAnsi"/>
                <w:color w:val="000000"/>
              </w:rPr>
              <w:t>87.5</w:t>
            </w:r>
          </w:p>
        </w:tc>
        <w:tc>
          <w:tcPr>
            <w:tcW w:w="1280" w:type="dxa"/>
            <w:gridSpan w:val="2"/>
            <w:shd w:val="clear" w:color="auto" w:fill="auto"/>
            <w:noWrap/>
            <w:vAlign w:val="bottom"/>
            <w:hideMark/>
          </w:tcPr>
          <w:p w14:paraId="378F7CAE" w14:textId="77777777" w:rsidR="006B3BC5" w:rsidRPr="006B3BC5" w:rsidRDefault="006B3BC5" w:rsidP="00CF0B88">
            <w:pPr>
              <w:spacing w:after="0" w:line="240" w:lineRule="auto"/>
              <w:jc w:val="right"/>
              <w:rPr>
                <w:rFonts w:eastAsia="Times New Roman" w:cstheme="minorHAnsi"/>
                <w:color w:val="000000"/>
              </w:rPr>
            </w:pPr>
            <w:r w:rsidRPr="006B3BC5">
              <w:rPr>
                <w:rFonts w:eastAsia="Times New Roman" w:cstheme="minorHAnsi"/>
                <w:color w:val="000000"/>
              </w:rPr>
              <w:t>5.9</w:t>
            </w:r>
          </w:p>
        </w:tc>
        <w:tc>
          <w:tcPr>
            <w:tcW w:w="1938" w:type="dxa"/>
            <w:gridSpan w:val="2"/>
            <w:shd w:val="clear" w:color="auto" w:fill="auto"/>
            <w:noWrap/>
            <w:vAlign w:val="bottom"/>
            <w:hideMark/>
          </w:tcPr>
          <w:p w14:paraId="16AEEECA" w14:textId="77777777" w:rsidR="006B3BC5" w:rsidRPr="006B3BC5" w:rsidRDefault="006B3BC5" w:rsidP="00CF0B88">
            <w:pPr>
              <w:spacing w:after="0" w:line="240" w:lineRule="auto"/>
              <w:jc w:val="right"/>
              <w:rPr>
                <w:rFonts w:eastAsia="Times New Roman" w:cstheme="minorHAnsi"/>
                <w:color w:val="000000"/>
              </w:rPr>
            </w:pPr>
            <w:r w:rsidRPr="006B3BC5">
              <w:rPr>
                <w:rFonts w:eastAsia="Times New Roman" w:cstheme="minorHAnsi"/>
                <w:color w:val="000000"/>
              </w:rPr>
              <w:t>6.6</w:t>
            </w:r>
          </w:p>
        </w:tc>
      </w:tr>
      <w:tr w:rsidR="006B3BC5" w:rsidRPr="006B3BC5" w14:paraId="6EEA155A" w14:textId="77777777" w:rsidTr="0023184C">
        <w:trPr>
          <w:trHeight w:val="288"/>
        </w:trPr>
        <w:tc>
          <w:tcPr>
            <w:tcW w:w="5120" w:type="dxa"/>
            <w:gridSpan w:val="2"/>
            <w:shd w:val="clear" w:color="auto" w:fill="auto"/>
            <w:noWrap/>
            <w:vAlign w:val="bottom"/>
            <w:hideMark/>
          </w:tcPr>
          <w:p w14:paraId="6119060F" w14:textId="77777777" w:rsidR="006B3BC5" w:rsidRPr="006B3BC5" w:rsidRDefault="006B3BC5" w:rsidP="00B920E2">
            <w:pPr>
              <w:spacing w:after="0" w:line="240" w:lineRule="auto"/>
              <w:rPr>
                <w:rFonts w:eastAsia="Times New Roman" w:cstheme="minorHAnsi"/>
                <w:color w:val="000000"/>
              </w:rPr>
            </w:pPr>
            <w:r w:rsidRPr="006B3BC5">
              <w:rPr>
                <w:rFonts w:eastAsia="Times New Roman" w:cstheme="minorHAnsi"/>
                <w:color w:val="000000"/>
              </w:rPr>
              <w:t>Ambulance services (except private)</w:t>
            </w:r>
          </w:p>
        </w:tc>
        <w:tc>
          <w:tcPr>
            <w:tcW w:w="1200" w:type="dxa"/>
            <w:gridSpan w:val="2"/>
            <w:shd w:val="clear" w:color="auto" w:fill="auto"/>
            <w:noWrap/>
            <w:vAlign w:val="bottom"/>
            <w:hideMark/>
          </w:tcPr>
          <w:p w14:paraId="180A5514" w14:textId="77777777" w:rsidR="006B3BC5" w:rsidRPr="006B3BC5" w:rsidRDefault="006B3BC5" w:rsidP="00CF0B88">
            <w:pPr>
              <w:spacing w:after="0" w:line="240" w:lineRule="auto"/>
              <w:jc w:val="right"/>
              <w:rPr>
                <w:rFonts w:eastAsia="Times New Roman" w:cstheme="minorHAnsi"/>
                <w:color w:val="000000"/>
              </w:rPr>
            </w:pPr>
            <w:r w:rsidRPr="006B3BC5">
              <w:rPr>
                <w:rFonts w:eastAsia="Times New Roman" w:cstheme="minorHAnsi"/>
                <w:color w:val="000000"/>
              </w:rPr>
              <w:t>70.2</w:t>
            </w:r>
          </w:p>
        </w:tc>
        <w:tc>
          <w:tcPr>
            <w:tcW w:w="1280" w:type="dxa"/>
            <w:gridSpan w:val="2"/>
            <w:shd w:val="clear" w:color="auto" w:fill="auto"/>
            <w:noWrap/>
            <w:vAlign w:val="bottom"/>
            <w:hideMark/>
          </w:tcPr>
          <w:p w14:paraId="5F6E9BC2" w14:textId="77777777" w:rsidR="006B3BC5" w:rsidRPr="006B3BC5" w:rsidRDefault="006B3BC5" w:rsidP="00CF0B88">
            <w:pPr>
              <w:spacing w:after="0" w:line="240" w:lineRule="auto"/>
              <w:jc w:val="right"/>
              <w:rPr>
                <w:rFonts w:eastAsia="Times New Roman" w:cstheme="minorHAnsi"/>
                <w:color w:val="000000"/>
              </w:rPr>
            </w:pPr>
            <w:r w:rsidRPr="006B3BC5">
              <w:rPr>
                <w:rFonts w:eastAsia="Times New Roman" w:cstheme="minorHAnsi"/>
                <w:color w:val="000000"/>
              </w:rPr>
              <w:t>16.1</w:t>
            </w:r>
          </w:p>
        </w:tc>
        <w:tc>
          <w:tcPr>
            <w:tcW w:w="1938" w:type="dxa"/>
            <w:gridSpan w:val="2"/>
            <w:shd w:val="clear" w:color="auto" w:fill="auto"/>
            <w:noWrap/>
            <w:vAlign w:val="bottom"/>
            <w:hideMark/>
          </w:tcPr>
          <w:p w14:paraId="315A43DC" w14:textId="77777777" w:rsidR="006B3BC5" w:rsidRPr="006B3BC5" w:rsidRDefault="006B3BC5" w:rsidP="00CF0B88">
            <w:pPr>
              <w:spacing w:after="0" w:line="240" w:lineRule="auto"/>
              <w:jc w:val="right"/>
              <w:rPr>
                <w:rFonts w:eastAsia="Times New Roman" w:cstheme="minorHAnsi"/>
                <w:color w:val="000000"/>
              </w:rPr>
            </w:pPr>
            <w:r w:rsidRPr="006B3BC5">
              <w:rPr>
                <w:rFonts w:eastAsia="Times New Roman" w:cstheme="minorHAnsi"/>
                <w:color w:val="000000"/>
              </w:rPr>
              <w:t>13.7</w:t>
            </w:r>
          </w:p>
        </w:tc>
      </w:tr>
      <w:tr w:rsidR="006B3BC5" w:rsidRPr="006B3BC5" w14:paraId="7D7944B4" w14:textId="77777777" w:rsidTr="0023184C">
        <w:trPr>
          <w:trHeight w:val="288"/>
        </w:trPr>
        <w:tc>
          <w:tcPr>
            <w:tcW w:w="5120" w:type="dxa"/>
            <w:gridSpan w:val="2"/>
            <w:shd w:val="clear" w:color="auto" w:fill="auto"/>
            <w:noWrap/>
            <w:vAlign w:val="bottom"/>
            <w:hideMark/>
          </w:tcPr>
          <w:p w14:paraId="25421402" w14:textId="77777777" w:rsidR="006B3BC5" w:rsidRPr="006B3BC5" w:rsidRDefault="006B3BC5" w:rsidP="00B920E2">
            <w:pPr>
              <w:spacing w:after="0" w:line="240" w:lineRule="auto"/>
              <w:rPr>
                <w:rFonts w:eastAsia="Times New Roman" w:cstheme="minorHAnsi"/>
                <w:color w:val="000000"/>
              </w:rPr>
            </w:pPr>
            <w:r w:rsidRPr="006B3BC5">
              <w:rPr>
                <w:rFonts w:eastAsia="Times New Roman" w:cstheme="minorHAnsi"/>
                <w:color w:val="000000"/>
              </w:rPr>
              <w:t>Ultrasound for pregnant women</w:t>
            </w:r>
          </w:p>
        </w:tc>
        <w:tc>
          <w:tcPr>
            <w:tcW w:w="1200" w:type="dxa"/>
            <w:gridSpan w:val="2"/>
            <w:shd w:val="clear" w:color="auto" w:fill="auto"/>
            <w:noWrap/>
            <w:vAlign w:val="bottom"/>
            <w:hideMark/>
          </w:tcPr>
          <w:p w14:paraId="7306635F" w14:textId="77777777" w:rsidR="006B3BC5" w:rsidRPr="006B3BC5" w:rsidRDefault="006B3BC5" w:rsidP="00CF0B88">
            <w:pPr>
              <w:spacing w:after="0" w:line="240" w:lineRule="auto"/>
              <w:jc w:val="right"/>
              <w:rPr>
                <w:rFonts w:eastAsia="Times New Roman" w:cstheme="minorHAnsi"/>
                <w:color w:val="000000"/>
              </w:rPr>
            </w:pPr>
            <w:r w:rsidRPr="006B3BC5">
              <w:rPr>
                <w:rFonts w:eastAsia="Times New Roman" w:cstheme="minorHAnsi"/>
                <w:color w:val="000000"/>
              </w:rPr>
              <w:t>33.1</w:t>
            </w:r>
          </w:p>
        </w:tc>
        <w:tc>
          <w:tcPr>
            <w:tcW w:w="1280" w:type="dxa"/>
            <w:gridSpan w:val="2"/>
            <w:shd w:val="clear" w:color="auto" w:fill="auto"/>
            <w:noWrap/>
            <w:vAlign w:val="bottom"/>
            <w:hideMark/>
          </w:tcPr>
          <w:p w14:paraId="571F1AC3" w14:textId="77777777" w:rsidR="006B3BC5" w:rsidRPr="006B3BC5" w:rsidRDefault="006B3BC5" w:rsidP="00CF0B88">
            <w:pPr>
              <w:spacing w:after="0" w:line="240" w:lineRule="auto"/>
              <w:jc w:val="right"/>
              <w:rPr>
                <w:rFonts w:eastAsia="Times New Roman" w:cstheme="minorHAnsi"/>
                <w:color w:val="000000"/>
              </w:rPr>
            </w:pPr>
            <w:r w:rsidRPr="006B3BC5">
              <w:rPr>
                <w:rFonts w:eastAsia="Times New Roman" w:cstheme="minorHAnsi"/>
                <w:color w:val="000000"/>
              </w:rPr>
              <w:t>42.5</w:t>
            </w:r>
          </w:p>
        </w:tc>
        <w:tc>
          <w:tcPr>
            <w:tcW w:w="1938" w:type="dxa"/>
            <w:gridSpan w:val="2"/>
            <w:shd w:val="clear" w:color="auto" w:fill="auto"/>
            <w:noWrap/>
            <w:vAlign w:val="bottom"/>
            <w:hideMark/>
          </w:tcPr>
          <w:p w14:paraId="5F52905E" w14:textId="77777777" w:rsidR="006B3BC5" w:rsidRPr="006B3BC5" w:rsidRDefault="006B3BC5" w:rsidP="00CF0B88">
            <w:pPr>
              <w:spacing w:after="0" w:line="240" w:lineRule="auto"/>
              <w:jc w:val="right"/>
              <w:rPr>
                <w:rFonts w:eastAsia="Times New Roman" w:cstheme="minorHAnsi"/>
                <w:color w:val="000000"/>
              </w:rPr>
            </w:pPr>
            <w:r w:rsidRPr="006B3BC5">
              <w:rPr>
                <w:rFonts w:eastAsia="Times New Roman" w:cstheme="minorHAnsi"/>
                <w:color w:val="000000"/>
              </w:rPr>
              <w:t>24.4</w:t>
            </w:r>
          </w:p>
        </w:tc>
      </w:tr>
    </w:tbl>
    <w:p w14:paraId="7634DE74" w14:textId="4CD10CF7" w:rsidR="00EC45F1" w:rsidRPr="001B0064" w:rsidRDefault="006C3523" w:rsidP="00363D34">
      <w:pPr>
        <w:pStyle w:val="ListParagraph"/>
        <w:spacing w:line="240" w:lineRule="auto"/>
        <w:ind w:left="0"/>
        <w:contextualSpacing w:val="0"/>
        <w:jc w:val="both"/>
        <w:rPr>
          <w:rFonts w:eastAsia="Times New Roman" w:cstheme="minorHAnsi"/>
          <w:sz w:val="20"/>
          <w:szCs w:val="20"/>
        </w:rPr>
      </w:pPr>
      <w:r w:rsidRPr="001B0064">
        <w:rPr>
          <w:rFonts w:eastAsia="Times New Roman" w:cstheme="minorHAnsi"/>
          <w:sz w:val="20"/>
          <w:szCs w:val="20"/>
        </w:rPr>
        <w:t>Source of data: KIHS 2014</w:t>
      </w:r>
    </w:p>
    <w:p w14:paraId="0933CC63" w14:textId="40E027F7" w:rsidR="00B35E34" w:rsidRDefault="00F70760" w:rsidP="00363D34">
      <w:pPr>
        <w:pStyle w:val="ListParagraph"/>
        <w:spacing w:line="240" w:lineRule="auto"/>
        <w:ind w:left="0"/>
        <w:contextualSpacing w:val="0"/>
        <w:jc w:val="both"/>
        <w:rPr>
          <w:rFonts w:eastAsia="Times New Roman" w:cstheme="minorHAnsi"/>
        </w:rPr>
      </w:pPr>
      <w:r>
        <w:rPr>
          <w:rFonts w:eastAsia="Times New Roman" w:cstheme="minorHAnsi"/>
        </w:rPr>
        <w:t xml:space="preserve">The first point to note </w:t>
      </w:r>
      <w:r w:rsidR="005B1B80">
        <w:rPr>
          <w:rFonts w:eastAsia="Times New Roman" w:cstheme="minorHAnsi"/>
        </w:rPr>
        <w:t xml:space="preserve">from the table is that </w:t>
      </w:r>
      <w:r w:rsidR="000B76E8">
        <w:rPr>
          <w:rFonts w:eastAsia="Times New Roman" w:cstheme="minorHAnsi"/>
        </w:rPr>
        <w:t xml:space="preserve">there was a large percentage of people giving </w:t>
      </w:r>
      <w:r w:rsidR="00EF61F8">
        <w:rPr>
          <w:rFonts w:eastAsia="Times New Roman" w:cstheme="minorHAnsi"/>
        </w:rPr>
        <w:t xml:space="preserve">a </w:t>
      </w:r>
      <w:r w:rsidR="000B76E8">
        <w:rPr>
          <w:rFonts w:eastAsia="Times New Roman" w:cstheme="minorHAnsi"/>
        </w:rPr>
        <w:t xml:space="preserve">wrong answer. </w:t>
      </w:r>
      <w:r w:rsidR="00BF3CD8">
        <w:rPr>
          <w:rFonts w:eastAsia="Times New Roman" w:cstheme="minorHAnsi"/>
        </w:rPr>
        <w:t xml:space="preserve">For example, </w:t>
      </w:r>
      <w:r w:rsidR="00F671EC">
        <w:rPr>
          <w:rFonts w:eastAsia="Times New Roman" w:cstheme="minorHAnsi"/>
        </w:rPr>
        <w:t xml:space="preserve">the percentage of respondents </w:t>
      </w:r>
      <w:r w:rsidR="00870177">
        <w:rPr>
          <w:rFonts w:eastAsia="Times New Roman" w:cstheme="minorHAnsi"/>
        </w:rPr>
        <w:t xml:space="preserve">who thought fees would be required for services that are free by the SGBP regulation </w:t>
      </w:r>
      <w:r w:rsidR="00930651">
        <w:rPr>
          <w:rFonts w:eastAsia="Times New Roman" w:cstheme="minorHAnsi"/>
        </w:rPr>
        <w:t xml:space="preserve">was </w:t>
      </w:r>
      <w:r w:rsidR="003B09E5">
        <w:rPr>
          <w:rFonts w:eastAsia="Times New Roman" w:cstheme="minorHAnsi"/>
        </w:rPr>
        <w:t xml:space="preserve">43.4% </w:t>
      </w:r>
      <w:r w:rsidR="00930651">
        <w:rPr>
          <w:rFonts w:eastAsia="Times New Roman" w:cstheme="minorHAnsi"/>
        </w:rPr>
        <w:t>for basic</w:t>
      </w:r>
      <w:r w:rsidR="003B09E5">
        <w:rPr>
          <w:rFonts w:eastAsia="Times New Roman" w:cstheme="minorHAnsi"/>
        </w:rPr>
        <w:t xml:space="preserve"> blood and urine tests</w:t>
      </w:r>
      <w:r w:rsidR="00930651">
        <w:rPr>
          <w:rFonts w:eastAsia="Times New Roman" w:cstheme="minorHAnsi"/>
        </w:rPr>
        <w:t>, 16% for am</w:t>
      </w:r>
      <w:r>
        <w:rPr>
          <w:rFonts w:eastAsia="Times New Roman" w:cstheme="minorHAnsi"/>
        </w:rPr>
        <w:t xml:space="preserve">bulance service, and 42.5% for ultrasound for pregnant women. </w:t>
      </w:r>
      <w:r w:rsidR="00750662">
        <w:rPr>
          <w:rFonts w:eastAsia="Times New Roman" w:cstheme="minorHAnsi"/>
        </w:rPr>
        <w:t xml:space="preserve">But </w:t>
      </w:r>
      <w:r w:rsidR="008658B1">
        <w:rPr>
          <w:rFonts w:eastAsia="Times New Roman" w:cstheme="minorHAnsi"/>
        </w:rPr>
        <w:t xml:space="preserve">this could be </w:t>
      </w:r>
      <w:r w:rsidR="00686CCC">
        <w:rPr>
          <w:rFonts w:eastAsia="Times New Roman" w:cstheme="minorHAnsi"/>
        </w:rPr>
        <w:t xml:space="preserve">due </w:t>
      </w:r>
      <w:r w:rsidR="008658B1">
        <w:rPr>
          <w:rFonts w:eastAsia="Times New Roman" w:cstheme="minorHAnsi"/>
        </w:rPr>
        <w:t xml:space="preserve">to the fact that people do have to pay </w:t>
      </w:r>
      <w:r w:rsidR="00B569E3">
        <w:rPr>
          <w:rFonts w:eastAsia="Times New Roman" w:cstheme="minorHAnsi"/>
        </w:rPr>
        <w:t xml:space="preserve">extra </w:t>
      </w:r>
      <w:r w:rsidR="00686CCC">
        <w:rPr>
          <w:rFonts w:eastAsia="Times New Roman" w:cstheme="minorHAnsi"/>
        </w:rPr>
        <w:t>for free services</w:t>
      </w:r>
      <w:r w:rsidR="00B569E3">
        <w:rPr>
          <w:rFonts w:eastAsia="Times New Roman" w:cstheme="minorHAnsi"/>
        </w:rPr>
        <w:t xml:space="preserve"> </w:t>
      </w:r>
      <w:r w:rsidR="00EA4F5B">
        <w:rPr>
          <w:rFonts w:eastAsia="Times New Roman" w:cstheme="minorHAnsi"/>
        </w:rPr>
        <w:t>rather than poor understanding of the SGBP. M</w:t>
      </w:r>
      <w:r w:rsidR="00750662">
        <w:rPr>
          <w:rFonts w:eastAsia="Times New Roman" w:cstheme="minorHAnsi"/>
        </w:rPr>
        <w:t>ore remarkable is</w:t>
      </w:r>
      <w:r w:rsidR="00806C86">
        <w:rPr>
          <w:rFonts w:eastAsia="Times New Roman" w:cstheme="minorHAnsi"/>
        </w:rPr>
        <w:t xml:space="preserve"> that an appreciable </w:t>
      </w:r>
      <w:r w:rsidR="00AE2744">
        <w:rPr>
          <w:rFonts w:eastAsia="Times New Roman" w:cstheme="minorHAnsi"/>
        </w:rPr>
        <w:t xml:space="preserve">proportion </w:t>
      </w:r>
      <w:r w:rsidR="00806C86">
        <w:rPr>
          <w:rFonts w:eastAsia="Times New Roman" w:cstheme="minorHAnsi"/>
        </w:rPr>
        <w:t xml:space="preserve">of respondents actually did not know if </w:t>
      </w:r>
      <w:r w:rsidR="00AE2744">
        <w:rPr>
          <w:rFonts w:eastAsia="Times New Roman" w:cstheme="minorHAnsi"/>
        </w:rPr>
        <w:t>common service</w:t>
      </w:r>
      <w:r w:rsidR="00626AB7">
        <w:rPr>
          <w:rFonts w:eastAsia="Times New Roman" w:cstheme="minorHAnsi"/>
        </w:rPr>
        <w:t>s</w:t>
      </w:r>
      <w:r w:rsidR="009A3A89">
        <w:rPr>
          <w:rFonts w:eastAsia="Times New Roman" w:cstheme="minorHAnsi"/>
        </w:rPr>
        <w:t xml:space="preserve"> </w:t>
      </w:r>
      <w:r w:rsidR="00AE2744">
        <w:rPr>
          <w:rFonts w:eastAsia="Times New Roman" w:cstheme="minorHAnsi"/>
        </w:rPr>
        <w:t xml:space="preserve">at PHC </w:t>
      </w:r>
      <w:r w:rsidR="00FD620A">
        <w:rPr>
          <w:rFonts w:eastAsia="Times New Roman" w:cstheme="minorHAnsi"/>
        </w:rPr>
        <w:t xml:space="preserve">were </w:t>
      </w:r>
      <w:r w:rsidR="00AE2744">
        <w:rPr>
          <w:rFonts w:eastAsia="Times New Roman" w:cstheme="minorHAnsi"/>
        </w:rPr>
        <w:t>free</w:t>
      </w:r>
      <w:r w:rsidR="003D089A">
        <w:rPr>
          <w:rFonts w:eastAsia="Times New Roman" w:cstheme="minorHAnsi"/>
        </w:rPr>
        <w:t xml:space="preserve"> </w:t>
      </w:r>
      <w:r w:rsidR="002A0874">
        <w:rPr>
          <w:rFonts w:eastAsia="Times New Roman" w:cstheme="minorHAnsi"/>
        </w:rPr>
        <w:t xml:space="preserve">(13.7% for </w:t>
      </w:r>
      <w:r w:rsidR="00A45788">
        <w:rPr>
          <w:rFonts w:eastAsia="Times New Roman" w:cstheme="minorHAnsi"/>
        </w:rPr>
        <w:t>ambulance services</w:t>
      </w:r>
      <w:r w:rsidR="002A0874">
        <w:rPr>
          <w:rFonts w:eastAsia="Times New Roman" w:cstheme="minorHAnsi"/>
        </w:rPr>
        <w:t xml:space="preserve"> and 24.4% for </w:t>
      </w:r>
      <w:r w:rsidR="00A45788">
        <w:rPr>
          <w:rFonts w:eastAsia="Times New Roman" w:cstheme="minorHAnsi"/>
        </w:rPr>
        <w:t xml:space="preserve">ultrasound for </w:t>
      </w:r>
      <w:r w:rsidR="009C5202">
        <w:rPr>
          <w:rFonts w:eastAsia="Times New Roman" w:cstheme="minorHAnsi"/>
        </w:rPr>
        <w:t xml:space="preserve">pregnant women). </w:t>
      </w:r>
      <w:r w:rsidR="004066D4">
        <w:rPr>
          <w:rFonts w:eastAsia="Times New Roman" w:cstheme="minorHAnsi"/>
        </w:rPr>
        <w:t xml:space="preserve">Given that PHC </w:t>
      </w:r>
      <w:r w:rsidR="00E42A58">
        <w:rPr>
          <w:rFonts w:eastAsia="Times New Roman" w:cstheme="minorHAnsi"/>
        </w:rPr>
        <w:t xml:space="preserve">should be the most frequent </w:t>
      </w:r>
      <w:r w:rsidR="009F3A7C">
        <w:rPr>
          <w:rFonts w:eastAsia="Times New Roman" w:cstheme="minorHAnsi"/>
        </w:rPr>
        <w:t>provider</w:t>
      </w:r>
      <w:r w:rsidR="003023AE">
        <w:rPr>
          <w:rFonts w:eastAsia="Times New Roman" w:cstheme="minorHAnsi"/>
        </w:rPr>
        <w:t xml:space="preserve">, </w:t>
      </w:r>
      <w:r w:rsidR="009F3A7C">
        <w:rPr>
          <w:rFonts w:eastAsia="Times New Roman" w:cstheme="minorHAnsi"/>
        </w:rPr>
        <w:t xml:space="preserve">the </w:t>
      </w:r>
      <w:r w:rsidR="00285765">
        <w:rPr>
          <w:rFonts w:eastAsia="Times New Roman" w:cstheme="minorHAnsi"/>
        </w:rPr>
        <w:t xml:space="preserve">low awareness of the SGBP </w:t>
      </w:r>
      <w:r w:rsidR="009F3A7C">
        <w:rPr>
          <w:rFonts w:eastAsia="Times New Roman" w:cstheme="minorHAnsi"/>
        </w:rPr>
        <w:t xml:space="preserve">at PHC is concerning </w:t>
      </w:r>
      <w:r w:rsidR="00285765">
        <w:rPr>
          <w:rFonts w:eastAsia="Times New Roman" w:cstheme="minorHAnsi"/>
        </w:rPr>
        <w:t xml:space="preserve">and this could partly explain why PHC is not attractive to the population. </w:t>
      </w:r>
    </w:p>
    <w:p w14:paraId="6F315838" w14:textId="3A41E204" w:rsidR="00E22B0F" w:rsidRDefault="00EC60A5" w:rsidP="00363D34">
      <w:pPr>
        <w:pStyle w:val="ListParagraph"/>
        <w:spacing w:line="240" w:lineRule="auto"/>
        <w:ind w:left="0"/>
        <w:contextualSpacing w:val="0"/>
        <w:jc w:val="both"/>
        <w:rPr>
          <w:rFonts w:eastAsia="Times New Roman" w:cstheme="minorHAnsi"/>
        </w:rPr>
      </w:pPr>
      <w:r>
        <w:rPr>
          <w:rFonts w:eastAsia="Times New Roman" w:cstheme="minorHAnsi"/>
        </w:rPr>
        <w:t xml:space="preserve">Similar patterns can be seen from table </w:t>
      </w:r>
      <w:r w:rsidR="007F28F4">
        <w:rPr>
          <w:rFonts w:eastAsia="Times New Roman" w:cstheme="minorHAnsi"/>
        </w:rPr>
        <w:t>7</w:t>
      </w:r>
      <w:r w:rsidR="00A703C5">
        <w:rPr>
          <w:rFonts w:eastAsia="Times New Roman" w:cstheme="minorHAnsi"/>
        </w:rPr>
        <w:t xml:space="preserve"> below, which ask</w:t>
      </w:r>
      <w:r w:rsidR="003D235C">
        <w:rPr>
          <w:rFonts w:eastAsia="Times New Roman" w:cstheme="minorHAnsi"/>
        </w:rPr>
        <w:t>s about payment for outpatient drugs and inpatient care.</w:t>
      </w:r>
      <w:r w:rsidR="00BF2D8C">
        <w:rPr>
          <w:rFonts w:eastAsia="Times New Roman" w:cstheme="minorHAnsi"/>
        </w:rPr>
        <w:t xml:space="preserve"> Between 11%-23% of the survey respondents reported not knowing </w:t>
      </w:r>
      <w:r w:rsidR="001A77BA">
        <w:rPr>
          <w:rFonts w:eastAsia="Times New Roman" w:cstheme="minorHAnsi"/>
        </w:rPr>
        <w:t xml:space="preserve">if they </w:t>
      </w:r>
      <w:r w:rsidR="00C52BA9">
        <w:rPr>
          <w:rFonts w:eastAsia="Times New Roman" w:cstheme="minorHAnsi"/>
        </w:rPr>
        <w:t xml:space="preserve">were </w:t>
      </w:r>
      <w:r w:rsidR="001A77BA">
        <w:rPr>
          <w:rFonts w:eastAsia="Times New Roman" w:cstheme="minorHAnsi"/>
        </w:rPr>
        <w:t xml:space="preserve">entitled to subsidized drug prices or would have to pay </w:t>
      </w:r>
      <w:r w:rsidR="00486DA6">
        <w:rPr>
          <w:rFonts w:eastAsia="Times New Roman" w:cstheme="minorHAnsi"/>
        </w:rPr>
        <w:t xml:space="preserve">beyond </w:t>
      </w:r>
      <w:r w:rsidR="00E22B0F">
        <w:rPr>
          <w:rFonts w:eastAsia="Times New Roman" w:cstheme="minorHAnsi"/>
        </w:rPr>
        <w:t xml:space="preserve">the official co-payment when being hospitalized. </w:t>
      </w:r>
      <w:r w:rsidR="005A3DFE">
        <w:rPr>
          <w:rFonts w:eastAsia="Times New Roman" w:cstheme="minorHAnsi"/>
        </w:rPr>
        <w:t xml:space="preserve"> </w:t>
      </w:r>
    </w:p>
    <w:p w14:paraId="39CC3CC0" w14:textId="6B3183FB" w:rsidR="00572AAD" w:rsidRPr="00132B20" w:rsidRDefault="00E22B0F" w:rsidP="00132B20">
      <w:pPr>
        <w:pStyle w:val="ListParagraph"/>
        <w:spacing w:before="240" w:after="120" w:line="240" w:lineRule="auto"/>
        <w:ind w:left="0"/>
        <w:contextualSpacing w:val="0"/>
        <w:jc w:val="both"/>
        <w:rPr>
          <w:rFonts w:eastAsia="Times New Roman" w:cstheme="minorHAnsi"/>
          <w:b/>
        </w:rPr>
      </w:pPr>
      <w:r w:rsidRPr="00132B20">
        <w:rPr>
          <w:rFonts w:eastAsia="Times New Roman" w:cstheme="minorHAnsi"/>
          <w:b/>
        </w:rPr>
        <w:t>Table</w:t>
      </w:r>
      <w:r w:rsidR="003A0977" w:rsidRPr="00132B20">
        <w:rPr>
          <w:rFonts w:eastAsia="Times New Roman" w:cstheme="minorHAnsi"/>
          <w:b/>
        </w:rPr>
        <w:t xml:space="preserve"> </w:t>
      </w:r>
      <w:r w:rsidR="007F28F4">
        <w:rPr>
          <w:rFonts w:eastAsia="Times New Roman" w:cstheme="minorHAnsi"/>
          <w:b/>
        </w:rPr>
        <w:t>7</w:t>
      </w:r>
      <w:r w:rsidRPr="00132B20">
        <w:rPr>
          <w:rFonts w:eastAsia="Times New Roman" w:cstheme="minorHAnsi"/>
          <w:b/>
        </w:rPr>
        <w:t>: Population knowledge about outpatient drug and inpatients be</w:t>
      </w:r>
      <w:r w:rsidR="00E16CEA" w:rsidRPr="00132B20">
        <w:rPr>
          <w:rFonts w:eastAsia="Times New Roman" w:cstheme="minorHAnsi"/>
          <w:b/>
        </w:rPr>
        <w:t xml:space="preserve">nefits </w:t>
      </w:r>
      <w:r w:rsidR="00572AAD" w:rsidRPr="00132B20">
        <w:rPr>
          <w:rFonts w:eastAsia="Times New Roman" w:cstheme="minorHAnsi"/>
          <w:b/>
        </w:rPr>
        <w:t>under the SGBP</w:t>
      </w:r>
    </w:p>
    <w:tbl>
      <w:tblPr>
        <w:tblW w:w="9445" w:type="dxa"/>
        <w:tblBorders>
          <w:top w:val="single" w:sz="4" w:space="0" w:color="auto"/>
          <w:bottom w:val="single" w:sz="4" w:space="0" w:color="auto"/>
        </w:tblBorders>
        <w:tblLook w:val="04A0" w:firstRow="1" w:lastRow="0" w:firstColumn="1" w:lastColumn="0" w:noHBand="0" w:noVBand="1"/>
      </w:tblPr>
      <w:tblGrid>
        <w:gridCol w:w="5485"/>
        <w:gridCol w:w="900"/>
        <w:gridCol w:w="900"/>
        <w:gridCol w:w="990"/>
        <w:gridCol w:w="1170"/>
      </w:tblGrid>
      <w:tr w:rsidR="00E0154E" w:rsidRPr="00BB36FD" w14:paraId="649144AF" w14:textId="77777777" w:rsidTr="006A0DF2">
        <w:trPr>
          <w:trHeight w:val="288"/>
        </w:trPr>
        <w:tc>
          <w:tcPr>
            <w:tcW w:w="5485" w:type="dxa"/>
            <w:tcBorders>
              <w:top w:val="single" w:sz="4" w:space="0" w:color="auto"/>
              <w:bottom w:val="single" w:sz="4" w:space="0" w:color="auto"/>
            </w:tcBorders>
            <w:shd w:val="clear" w:color="auto" w:fill="F2F2F2" w:themeFill="background1" w:themeFillShade="F2"/>
            <w:noWrap/>
            <w:vAlign w:val="bottom"/>
            <w:hideMark/>
          </w:tcPr>
          <w:p w14:paraId="06E52BEF" w14:textId="1030AE7A" w:rsidR="00E0154E" w:rsidRPr="00BB36FD" w:rsidRDefault="00BB36FD" w:rsidP="00363D34">
            <w:pPr>
              <w:spacing w:after="0" w:line="240" w:lineRule="auto"/>
              <w:jc w:val="both"/>
              <w:rPr>
                <w:rFonts w:eastAsia="Times New Roman" w:cstheme="minorHAnsi"/>
                <w:b/>
              </w:rPr>
            </w:pPr>
            <w:r>
              <w:rPr>
                <w:rFonts w:eastAsia="Times New Roman" w:cstheme="minorHAnsi"/>
                <w:b/>
              </w:rPr>
              <w:t>Questions</w:t>
            </w:r>
          </w:p>
        </w:tc>
        <w:tc>
          <w:tcPr>
            <w:tcW w:w="900" w:type="dxa"/>
            <w:tcBorders>
              <w:top w:val="single" w:sz="4" w:space="0" w:color="auto"/>
              <w:bottom w:val="single" w:sz="4" w:space="0" w:color="auto"/>
            </w:tcBorders>
            <w:shd w:val="clear" w:color="auto" w:fill="F2F2F2" w:themeFill="background1" w:themeFillShade="F2"/>
            <w:noWrap/>
            <w:vAlign w:val="bottom"/>
            <w:hideMark/>
          </w:tcPr>
          <w:p w14:paraId="20D32CAB" w14:textId="77777777" w:rsidR="00E0154E" w:rsidRPr="00BB36FD" w:rsidRDefault="00E0154E" w:rsidP="00BB36FD">
            <w:pPr>
              <w:spacing w:after="0" w:line="240" w:lineRule="auto"/>
              <w:jc w:val="right"/>
              <w:rPr>
                <w:rFonts w:eastAsia="Times New Roman" w:cstheme="minorHAnsi"/>
                <w:b/>
                <w:color w:val="000000"/>
              </w:rPr>
            </w:pPr>
            <w:r w:rsidRPr="00BB36FD">
              <w:rPr>
                <w:rFonts w:eastAsia="Times New Roman" w:cstheme="minorHAnsi"/>
                <w:b/>
                <w:color w:val="000000"/>
              </w:rPr>
              <w:t>Yes</w:t>
            </w:r>
          </w:p>
        </w:tc>
        <w:tc>
          <w:tcPr>
            <w:tcW w:w="900" w:type="dxa"/>
            <w:tcBorders>
              <w:top w:val="single" w:sz="4" w:space="0" w:color="auto"/>
              <w:bottom w:val="single" w:sz="4" w:space="0" w:color="auto"/>
            </w:tcBorders>
            <w:shd w:val="clear" w:color="auto" w:fill="F2F2F2" w:themeFill="background1" w:themeFillShade="F2"/>
            <w:noWrap/>
            <w:vAlign w:val="bottom"/>
            <w:hideMark/>
          </w:tcPr>
          <w:p w14:paraId="6065627A" w14:textId="77777777" w:rsidR="00E0154E" w:rsidRPr="00BB36FD" w:rsidRDefault="00E0154E" w:rsidP="00BB36FD">
            <w:pPr>
              <w:spacing w:after="0" w:line="240" w:lineRule="auto"/>
              <w:jc w:val="right"/>
              <w:rPr>
                <w:rFonts w:eastAsia="Times New Roman" w:cstheme="minorHAnsi"/>
                <w:b/>
                <w:color w:val="000000"/>
              </w:rPr>
            </w:pPr>
            <w:r w:rsidRPr="00BB36FD">
              <w:rPr>
                <w:rFonts w:eastAsia="Times New Roman" w:cstheme="minorHAnsi"/>
                <w:b/>
                <w:color w:val="000000"/>
              </w:rPr>
              <w:t>No</w:t>
            </w:r>
          </w:p>
        </w:tc>
        <w:tc>
          <w:tcPr>
            <w:tcW w:w="990" w:type="dxa"/>
            <w:tcBorders>
              <w:top w:val="single" w:sz="4" w:space="0" w:color="auto"/>
              <w:bottom w:val="single" w:sz="4" w:space="0" w:color="auto"/>
            </w:tcBorders>
            <w:shd w:val="clear" w:color="auto" w:fill="F2F2F2" w:themeFill="background1" w:themeFillShade="F2"/>
            <w:noWrap/>
            <w:vAlign w:val="bottom"/>
            <w:hideMark/>
          </w:tcPr>
          <w:p w14:paraId="2C7FD1AA" w14:textId="3A101DB4" w:rsidR="00E0154E" w:rsidRPr="00BB36FD" w:rsidRDefault="00BB36FD" w:rsidP="00BB36FD">
            <w:pPr>
              <w:spacing w:after="0" w:line="240" w:lineRule="auto"/>
              <w:jc w:val="right"/>
              <w:rPr>
                <w:rFonts w:eastAsia="Times New Roman" w:cstheme="minorHAnsi"/>
                <w:b/>
                <w:color w:val="000000"/>
              </w:rPr>
            </w:pPr>
            <w:r w:rsidRPr="00BB36FD">
              <w:rPr>
                <w:rFonts w:eastAsia="Times New Roman" w:cstheme="minorHAnsi"/>
                <w:b/>
                <w:color w:val="000000"/>
              </w:rPr>
              <w:t>D</w:t>
            </w:r>
            <w:r w:rsidR="00E0154E" w:rsidRPr="00BB36FD">
              <w:rPr>
                <w:rFonts w:eastAsia="Times New Roman" w:cstheme="minorHAnsi"/>
                <w:b/>
                <w:color w:val="000000"/>
              </w:rPr>
              <w:t>o not know</w:t>
            </w:r>
          </w:p>
        </w:tc>
        <w:tc>
          <w:tcPr>
            <w:tcW w:w="1170" w:type="dxa"/>
            <w:tcBorders>
              <w:top w:val="single" w:sz="4" w:space="0" w:color="auto"/>
              <w:bottom w:val="single" w:sz="4" w:space="0" w:color="auto"/>
            </w:tcBorders>
            <w:shd w:val="clear" w:color="auto" w:fill="F2F2F2" w:themeFill="background1" w:themeFillShade="F2"/>
            <w:noWrap/>
            <w:vAlign w:val="bottom"/>
            <w:hideMark/>
          </w:tcPr>
          <w:p w14:paraId="3E9B3D73" w14:textId="307FAF3E" w:rsidR="00E0154E" w:rsidRPr="00BB36FD" w:rsidRDefault="00E16CEA" w:rsidP="00BB36FD">
            <w:pPr>
              <w:spacing w:after="0" w:line="240" w:lineRule="auto"/>
              <w:jc w:val="right"/>
              <w:rPr>
                <w:rFonts w:eastAsia="Times New Roman" w:cstheme="minorHAnsi"/>
                <w:b/>
                <w:color w:val="000000"/>
              </w:rPr>
            </w:pPr>
            <w:r w:rsidRPr="00BB36FD">
              <w:rPr>
                <w:rFonts w:eastAsia="Times New Roman" w:cstheme="minorHAnsi"/>
                <w:b/>
                <w:color w:val="000000"/>
              </w:rPr>
              <w:t>Not applicable</w:t>
            </w:r>
          </w:p>
        </w:tc>
      </w:tr>
      <w:tr w:rsidR="00E0154E" w:rsidRPr="00E0154E" w14:paraId="6289522F" w14:textId="77777777" w:rsidTr="006A0DF2">
        <w:trPr>
          <w:trHeight w:val="288"/>
        </w:trPr>
        <w:tc>
          <w:tcPr>
            <w:tcW w:w="5485" w:type="dxa"/>
            <w:tcBorders>
              <w:top w:val="single" w:sz="4" w:space="0" w:color="auto"/>
            </w:tcBorders>
            <w:shd w:val="clear" w:color="auto" w:fill="auto"/>
            <w:noWrap/>
            <w:vAlign w:val="bottom"/>
            <w:hideMark/>
          </w:tcPr>
          <w:p w14:paraId="3404DA99" w14:textId="2CF5F528" w:rsidR="00E0154E" w:rsidRPr="00E0154E" w:rsidRDefault="00E0154E" w:rsidP="00363D34">
            <w:pPr>
              <w:spacing w:after="0" w:line="240" w:lineRule="auto"/>
              <w:jc w:val="both"/>
              <w:rPr>
                <w:rFonts w:eastAsia="Times New Roman" w:cstheme="minorHAnsi"/>
                <w:color w:val="000000"/>
              </w:rPr>
            </w:pPr>
            <w:r w:rsidRPr="00E0154E">
              <w:rPr>
                <w:rFonts w:eastAsia="Times New Roman" w:cstheme="minorHAnsi"/>
                <w:color w:val="000000"/>
              </w:rPr>
              <w:t xml:space="preserve">Are you entitled to receive outpatient drugs at subsidized prices? </w:t>
            </w:r>
          </w:p>
        </w:tc>
        <w:tc>
          <w:tcPr>
            <w:tcW w:w="900" w:type="dxa"/>
            <w:tcBorders>
              <w:top w:val="single" w:sz="4" w:space="0" w:color="auto"/>
            </w:tcBorders>
            <w:shd w:val="clear" w:color="auto" w:fill="auto"/>
            <w:noWrap/>
            <w:vAlign w:val="bottom"/>
            <w:hideMark/>
          </w:tcPr>
          <w:p w14:paraId="3942DE13" w14:textId="77777777" w:rsidR="00E0154E" w:rsidRPr="00E0154E" w:rsidRDefault="00E0154E" w:rsidP="00BB36FD">
            <w:pPr>
              <w:spacing w:after="0" w:line="240" w:lineRule="auto"/>
              <w:jc w:val="right"/>
              <w:rPr>
                <w:rFonts w:eastAsia="Times New Roman" w:cstheme="minorHAnsi"/>
                <w:color w:val="000000"/>
              </w:rPr>
            </w:pPr>
            <w:r w:rsidRPr="00E0154E">
              <w:rPr>
                <w:rFonts w:eastAsia="Times New Roman" w:cstheme="minorHAnsi"/>
                <w:color w:val="000000"/>
              </w:rPr>
              <w:t>46.0</w:t>
            </w:r>
          </w:p>
        </w:tc>
        <w:tc>
          <w:tcPr>
            <w:tcW w:w="900" w:type="dxa"/>
            <w:tcBorders>
              <w:top w:val="single" w:sz="4" w:space="0" w:color="auto"/>
            </w:tcBorders>
            <w:shd w:val="clear" w:color="auto" w:fill="auto"/>
            <w:noWrap/>
            <w:vAlign w:val="bottom"/>
            <w:hideMark/>
          </w:tcPr>
          <w:p w14:paraId="554E451C" w14:textId="77777777" w:rsidR="00E0154E" w:rsidRPr="00E0154E" w:rsidRDefault="00E0154E" w:rsidP="00BB36FD">
            <w:pPr>
              <w:spacing w:after="0" w:line="240" w:lineRule="auto"/>
              <w:jc w:val="right"/>
              <w:rPr>
                <w:rFonts w:eastAsia="Times New Roman" w:cstheme="minorHAnsi"/>
                <w:color w:val="000000"/>
              </w:rPr>
            </w:pPr>
            <w:r w:rsidRPr="00E0154E">
              <w:rPr>
                <w:rFonts w:eastAsia="Times New Roman" w:cstheme="minorHAnsi"/>
                <w:color w:val="000000"/>
              </w:rPr>
              <w:t>42.2</w:t>
            </w:r>
          </w:p>
        </w:tc>
        <w:tc>
          <w:tcPr>
            <w:tcW w:w="990" w:type="dxa"/>
            <w:tcBorders>
              <w:top w:val="single" w:sz="4" w:space="0" w:color="auto"/>
            </w:tcBorders>
            <w:shd w:val="clear" w:color="auto" w:fill="auto"/>
            <w:noWrap/>
            <w:vAlign w:val="bottom"/>
            <w:hideMark/>
          </w:tcPr>
          <w:p w14:paraId="36BE2494" w14:textId="77777777" w:rsidR="00E0154E" w:rsidRPr="00E0154E" w:rsidRDefault="00E0154E" w:rsidP="00BB36FD">
            <w:pPr>
              <w:spacing w:after="0" w:line="240" w:lineRule="auto"/>
              <w:jc w:val="right"/>
              <w:rPr>
                <w:rFonts w:eastAsia="Times New Roman" w:cstheme="minorHAnsi"/>
                <w:color w:val="000000"/>
              </w:rPr>
            </w:pPr>
            <w:r w:rsidRPr="00E0154E">
              <w:rPr>
                <w:rFonts w:eastAsia="Times New Roman" w:cstheme="minorHAnsi"/>
                <w:color w:val="000000"/>
              </w:rPr>
              <w:t>11.8</w:t>
            </w:r>
          </w:p>
        </w:tc>
        <w:tc>
          <w:tcPr>
            <w:tcW w:w="1170" w:type="dxa"/>
            <w:tcBorders>
              <w:top w:val="single" w:sz="4" w:space="0" w:color="auto"/>
            </w:tcBorders>
            <w:shd w:val="clear" w:color="auto" w:fill="auto"/>
            <w:noWrap/>
            <w:vAlign w:val="bottom"/>
            <w:hideMark/>
          </w:tcPr>
          <w:p w14:paraId="378E20B3" w14:textId="77777777" w:rsidR="00E0154E" w:rsidRPr="00E0154E" w:rsidRDefault="00E0154E" w:rsidP="00BB36FD">
            <w:pPr>
              <w:spacing w:after="0" w:line="240" w:lineRule="auto"/>
              <w:jc w:val="right"/>
              <w:rPr>
                <w:rFonts w:eastAsia="Times New Roman" w:cstheme="minorHAnsi"/>
                <w:color w:val="000000"/>
              </w:rPr>
            </w:pPr>
          </w:p>
        </w:tc>
      </w:tr>
      <w:tr w:rsidR="00E0154E" w:rsidRPr="00E0154E" w14:paraId="53C734E5" w14:textId="77777777" w:rsidTr="006A0DF2">
        <w:trPr>
          <w:trHeight w:val="288"/>
        </w:trPr>
        <w:tc>
          <w:tcPr>
            <w:tcW w:w="5485" w:type="dxa"/>
            <w:shd w:val="clear" w:color="auto" w:fill="auto"/>
            <w:noWrap/>
            <w:vAlign w:val="bottom"/>
            <w:hideMark/>
          </w:tcPr>
          <w:p w14:paraId="4922C923" w14:textId="72890348" w:rsidR="00E0154E" w:rsidRPr="00E0154E" w:rsidRDefault="00E0154E" w:rsidP="00363D34">
            <w:pPr>
              <w:spacing w:after="0" w:line="240" w:lineRule="auto"/>
              <w:jc w:val="both"/>
              <w:rPr>
                <w:rFonts w:eastAsia="Times New Roman" w:cstheme="minorHAnsi"/>
                <w:color w:val="000000"/>
              </w:rPr>
            </w:pPr>
            <w:r w:rsidRPr="00E0154E">
              <w:rPr>
                <w:rFonts w:eastAsia="Times New Roman" w:cstheme="minorHAnsi"/>
                <w:color w:val="000000"/>
              </w:rPr>
              <w:t xml:space="preserve">Are your children under 16 years of age entitled to receive outpatient drugs at reduced prices? </w:t>
            </w:r>
          </w:p>
        </w:tc>
        <w:tc>
          <w:tcPr>
            <w:tcW w:w="900" w:type="dxa"/>
            <w:shd w:val="clear" w:color="auto" w:fill="auto"/>
            <w:noWrap/>
            <w:vAlign w:val="bottom"/>
            <w:hideMark/>
          </w:tcPr>
          <w:p w14:paraId="568B2B6A" w14:textId="77777777" w:rsidR="00E0154E" w:rsidRPr="00E0154E" w:rsidRDefault="00E0154E" w:rsidP="00BB36FD">
            <w:pPr>
              <w:spacing w:after="0" w:line="240" w:lineRule="auto"/>
              <w:jc w:val="right"/>
              <w:rPr>
                <w:rFonts w:eastAsia="Times New Roman" w:cstheme="minorHAnsi"/>
                <w:color w:val="000000"/>
              </w:rPr>
            </w:pPr>
            <w:r w:rsidRPr="00E0154E">
              <w:rPr>
                <w:rFonts w:eastAsia="Times New Roman" w:cstheme="minorHAnsi"/>
                <w:color w:val="000000"/>
              </w:rPr>
              <w:t>28.4</w:t>
            </w:r>
          </w:p>
        </w:tc>
        <w:tc>
          <w:tcPr>
            <w:tcW w:w="900" w:type="dxa"/>
            <w:shd w:val="clear" w:color="auto" w:fill="auto"/>
            <w:noWrap/>
            <w:vAlign w:val="bottom"/>
            <w:hideMark/>
          </w:tcPr>
          <w:p w14:paraId="340D6A55" w14:textId="77777777" w:rsidR="00E0154E" w:rsidRPr="00E0154E" w:rsidRDefault="00E0154E" w:rsidP="00BB36FD">
            <w:pPr>
              <w:spacing w:after="0" w:line="240" w:lineRule="auto"/>
              <w:jc w:val="right"/>
              <w:rPr>
                <w:rFonts w:eastAsia="Times New Roman" w:cstheme="minorHAnsi"/>
                <w:color w:val="000000"/>
              </w:rPr>
            </w:pPr>
            <w:r w:rsidRPr="00E0154E">
              <w:rPr>
                <w:rFonts w:eastAsia="Times New Roman" w:cstheme="minorHAnsi"/>
                <w:color w:val="000000"/>
              </w:rPr>
              <w:t>33.2</w:t>
            </w:r>
          </w:p>
        </w:tc>
        <w:tc>
          <w:tcPr>
            <w:tcW w:w="990" w:type="dxa"/>
            <w:shd w:val="clear" w:color="auto" w:fill="auto"/>
            <w:noWrap/>
            <w:vAlign w:val="bottom"/>
            <w:hideMark/>
          </w:tcPr>
          <w:p w14:paraId="01B51D25" w14:textId="77777777" w:rsidR="00E0154E" w:rsidRPr="00E0154E" w:rsidRDefault="00E0154E" w:rsidP="00BB36FD">
            <w:pPr>
              <w:spacing w:after="0" w:line="240" w:lineRule="auto"/>
              <w:jc w:val="right"/>
              <w:rPr>
                <w:rFonts w:eastAsia="Times New Roman" w:cstheme="minorHAnsi"/>
                <w:color w:val="000000"/>
              </w:rPr>
            </w:pPr>
            <w:r w:rsidRPr="00E0154E">
              <w:rPr>
                <w:rFonts w:eastAsia="Times New Roman" w:cstheme="minorHAnsi"/>
                <w:color w:val="000000"/>
              </w:rPr>
              <w:t>22.7</w:t>
            </w:r>
          </w:p>
        </w:tc>
        <w:tc>
          <w:tcPr>
            <w:tcW w:w="1170" w:type="dxa"/>
            <w:shd w:val="clear" w:color="auto" w:fill="auto"/>
            <w:noWrap/>
            <w:vAlign w:val="bottom"/>
            <w:hideMark/>
          </w:tcPr>
          <w:p w14:paraId="1C2BB4E3" w14:textId="77777777" w:rsidR="00E0154E" w:rsidRPr="00E0154E" w:rsidRDefault="00E0154E" w:rsidP="00BB36FD">
            <w:pPr>
              <w:spacing w:after="0" w:line="240" w:lineRule="auto"/>
              <w:jc w:val="right"/>
              <w:rPr>
                <w:rFonts w:eastAsia="Times New Roman" w:cstheme="minorHAnsi"/>
                <w:color w:val="000000"/>
              </w:rPr>
            </w:pPr>
            <w:r w:rsidRPr="00E0154E">
              <w:rPr>
                <w:rFonts w:eastAsia="Times New Roman" w:cstheme="minorHAnsi"/>
                <w:color w:val="000000"/>
              </w:rPr>
              <w:t>15.8</w:t>
            </w:r>
          </w:p>
        </w:tc>
      </w:tr>
      <w:tr w:rsidR="00E0154E" w:rsidRPr="00E0154E" w14:paraId="1DCDC27F" w14:textId="77777777" w:rsidTr="006A0DF2">
        <w:trPr>
          <w:trHeight w:val="288"/>
        </w:trPr>
        <w:tc>
          <w:tcPr>
            <w:tcW w:w="5485" w:type="dxa"/>
            <w:shd w:val="clear" w:color="auto" w:fill="auto"/>
            <w:noWrap/>
            <w:vAlign w:val="bottom"/>
            <w:hideMark/>
          </w:tcPr>
          <w:p w14:paraId="1C450A2A" w14:textId="30CF62E5" w:rsidR="00E0154E" w:rsidRPr="00E0154E" w:rsidRDefault="00E0154E" w:rsidP="00363D34">
            <w:pPr>
              <w:spacing w:after="0" w:line="240" w:lineRule="auto"/>
              <w:jc w:val="both"/>
              <w:rPr>
                <w:rFonts w:eastAsia="Times New Roman" w:cstheme="minorHAnsi"/>
                <w:color w:val="000000"/>
              </w:rPr>
            </w:pPr>
            <w:r w:rsidRPr="00E0154E">
              <w:rPr>
                <w:rFonts w:eastAsia="Times New Roman" w:cstheme="minorHAnsi"/>
                <w:color w:val="000000"/>
              </w:rPr>
              <w:t>Imagine that you have been hospitalized.  You have already paid an official co-payment.  Do you have to pay in addition to medical personnel?</w:t>
            </w:r>
          </w:p>
        </w:tc>
        <w:tc>
          <w:tcPr>
            <w:tcW w:w="900" w:type="dxa"/>
            <w:shd w:val="clear" w:color="auto" w:fill="auto"/>
            <w:noWrap/>
            <w:vAlign w:val="bottom"/>
            <w:hideMark/>
          </w:tcPr>
          <w:p w14:paraId="1FA39FFD" w14:textId="77777777" w:rsidR="00E0154E" w:rsidRPr="00E0154E" w:rsidRDefault="00E0154E" w:rsidP="00BB36FD">
            <w:pPr>
              <w:spacing w:after="0" w:line="240" w:lineRule="auto"/>
              <w:jc w:val="right"/>
              <w:rPr>
                <w:rFonts w:eastAsia="Times New Roman" w:cstheme="minorHAnsi"/>
                <w:color w:val="000000"/>
              </w:rPr>
            </w:pPr>
            <w:r w:rsidRPr="00E0154E">
              <w:rPr>
                <w:rFonts w:eastAsia="Times New Roman" w:cstheme="minorHAnsi"/>
                <w:color w:val="000000"/>
              </w:rPr>
              <w:t>14.1</w:t>
            </w:r>
          </w:p>
        </w:tc>
        <w:tc>
          <w:tcPr>
            <w:tcW w:w="900" w:type="dxa"/>
            <w:shd w:val="clear" w:color="auto" w:fill="auto"/>
            <w:noWrap/>
            <w:vAlign w:val="bottom"/>
            <w:hideMark/>
          </w:tcPr>
          <w:p w14:paraId="633D5F43" w14:textId="77777777" w:rsidR="00E0154E" w:rsidRPr="00E0154E" w:rsidRDefault="00E0154E" w:rsidP="00BB36FD">
            <w:pPr>
              <w:spacing w:after="0" w:line="240" w:lineRule="auto"/>
              <w:jc w:val="right"/>
              <w:rPr>
                <w:rFonts w:eastAsia="Times New Roman" w:cstheme="minorHAnsi"/>
                <w:color w:val="000000"/>
              </w:rPr>
            </w:pPr>
            <w:r w:rsidRPr="00E0154E">
              <w:rPr>
                <w:rFonts w:eastAsia="Times New Roman" w:cstheme="minorHAnsi"/>
                <w:color w:val="000000"/>
              </w:rPr>
              <w:t>74.8</w:t>
            </w:r>
          </w:p>
        </w:tc>
        <w:tc>
          <w:tcPr>
            <w:tcW w:w="990" w:type="dxa"/>
            <w:shd w:val="clear" w:color="auto" w:fill="auto"/>
            <w:noWrap/>
            <w:vAlign w:val="bottom"/>
            <w:hideMark/>
          </w:tcPr>
          <w:p w14:paraId="447C6994" w14:textId="77777777" w:rsidR="00E0154E" w:rsidRPr="00E0154E" w:rsidRDefault="00E0154E" w:rsidP="00BB36FD">
            <w:pPr>
              <w:spacing w:after="0" w:line="240" w:lineRule="auto"/>
              <w:jc w:val="right"/>
              <w:rPr>
                <w:rFonts w:eastAsia="Times New Roman" w:cstheme="minorHAnsi"/>
                <w:color w:val="000000"/>
              </w:rPr>
            </w:pPr>
            <w:r w:rsidRPr="00E0154E">
              <w:rPr>
                <w:rFonts w:eastAsia="Times New Roman" w:cstheme="minorHAnsi"/>
                <w:color w:val="000000"/>
              </w:rPr>
              <w:t>11.1</w:t>
            </w:r>
          </w:p>
        </w:tc>
        <w:tc>
          <w:tcPr>
            <w:tcW w:w="1170" w:type="dxa"/>
            <w:shd w:val="clear" w:color="auto" w:fill="auto"/>
            <w:noWrap/>
            <w:vAlign w:val="bottom"/>
            <w:hideMark/>
          </w:tcPr>
          <w:p w14:paraId="73EB1D3E" w14:textId="77777777" w:rsidR="00E0154E" w:rsidRPr="00E0154E" w:rsidRDefault="00E0154E" w:rsidP="00BB36FD">
            <w:pPr>
              <w:spacing w:after="0" w:line="240" w:lineRule="auto"/>
              <w:jc w:val="right"/>
              <w:rPr>
                <w:rFonts w:eastAsia="Times New Roman" w:cstheme="minorHAnsi"/>
                <w:color w:val="000000"/>
              </w:rPr>
            </w:pPr>
          </w:p>
        </w:tc>
      </w:tr>
      <w:tr w:rsidR="00E0154E" w:rsidRPr="00E0154E" w14:paraId="3C5774CB" w14:textId="77777777" w:rsidTr="006A0DF2">
        <w:trPr>
          <w:trHeight w:val="288"/>
        </w:trPr>
        <w:tc>
          <w:tcPr>
            <w:tcW w:w="5485" w:type="dxa"/>
            <w:shd w:val="clear" w:color="auto" w:fill="auto"/>
            <w:noWrap/>
            <w:vAlign w:val="bottom"/>
            <w:hideMark/>
          </w:tcPr>
          <w:p w14:paraId="79AB360F" w14:textId="5F40705D" w:rsidR="00E0154E" w:rsidRPr="00E0154E" w:rsidRDefault="00E0154E" w:rsidP="00363D34">
            <w:pPr>
              <w:spacing w:after="0" w:line="240" w:lineRule="auto"/>
              <w:jc w:val="both"/>
              <w:rPr>
                <w:rFonts w:eastAsia="Times New Roman" w:cstheme="minorHAnsi"/>
                <w:color w:val="000000"/>
              </w:rPr>
            </w:pPr>
            <w:r w:rsidRPr="00E0154E">
              <w:rPr>
                <w:rFonts w:eastAsia="Times New Roman" w:cstheme="minorHAnsi"/>
                <w:color w:val="000000"/>
              </w:rPr>
              <w:t xml:space="preserve">Imagine that you have been hospitalized.  You have already paid an official co-payment.  Do you have to pay in addition for medicines during your hospitalization? </w:t>
            </w:r>
          </w:p>
        </w:tc>
        <w:tc>
          <w:tcPr>
            <w:tcW w:w="900" w:type="dxa"/>
            <w:shd w:val="clear" w:color="auto" w:fill="auto"/>
            <w:noWrap/>
            <w:vAlign w:val="bottom"/>
            <w:hideMark/>
          </w:tcPr>
          <w:p w14:paraId="3845D8EF" w14:textId="77777777" w:rsidR="00E0154E" w:rsidRPr="00E0154E" w:rsidRDefault="00E0154E" w:rsidP="00BB36FD">
            <w:pPr>
              <w:spacing w:after="0" w:line="240" w:lineRule="auto"/>
              <w:jc w:val="right"/>
              <w:rPr>
                <w:rFonts w:eastAsia="Times New Roman" w:cstheme="minorHAnsi"/>
                <w:color w:val="000000"/>
              </w:rPr>
            </w:pPr>
            <w:r w:rsidRPr="00E0154E">
              <w:rPr>
                <w:rFonts w:eastAsia="Times New Roman" w:cstheme="minorHAnsi"/>
                <w:color w:val="000000"/>
              </w:rPr>
              <w:t>36.6</w:t>
            </w:r>
          </w:p>
        </w:tc>
        <w:tc>
          <w:tcPr>
            <w:tcW w:w="900" w:type="dxa"/>
            <w:shd w:val="clear" w:color="auto" w:fill="auto"/>
            <w:noWrap/>
            <w:vAlign w:val="bottom"/>
            <w:hideMark/>
          </w:tcPr>
          <w:p w14:paraId="6AA0097C" w14:textId="77777777" w:rsidR="00E0154E" w:rsidRPr="00E0154E" w:rsidRDefault="00E0154E" w:rsidP="00BB36FD">
            <w:pPr>
              <w:spacing w:after="0" w:line="240" w:lineRule="auto"/>
              <w:jc w:val="right"/>
              <w:rPr>
                <w:rFonts w:eastAsia="Times New Roman" w:cstheme="minorHAnsi"/>
                <w:color w:val="000000"/>
              </w:rPr>
            </w:pPr>
            <w:r w:rsidRPr="00E0154E">
              <w:rPr>
                <w:rFonts w:eastAsia="Times New Roman" w:cstheme="minorHAnsi"/>
                <w:color w:val="000000"/>
              </w:rPr>
              <w:t>51.4</w:t>
            </w:r>
          </w:p>
        </w:tc>
        <w:tc>
          <w:tcPr>
            <w:tcW w:w="990" w:type="dxa"/>
            <w:shd w:val="clear" w:color="auto" w:fill="auto"/>
            <w:noWrap/>
            <w:vAlign w:val="bottom"/>
            <w:hideMark/>
          </w:tcPr>
          <w:p w14:paraId="1898D0E3" w14:textId="77777777" w:rsidR="00E0154E" w:rsidRPr="00E0154E" w:rsidRDefault="00E0154E" w:rsidP="00BB36FD">
            <w:pPr>
              <w:spacing w:after="0" w:line="240" w:lineRule="auto"/>
              <w:jc w:val="right"/>
              <w:rPr>
                <w:rFonts w:eastAsia="Times New Roman" w:cstheme="minorHAnsi"/>
                <w:color w:val="000000"/>
              </w:rPr>
            </w:pPr>
            <w:r w:rsidRPr="00E0154E">
              <w:rPr>
                <w:rFonts w:eastAsia="Times New Roman" w:cstheme="minorHAnsi"/>
                <w:color w:val="000000"/>
              </w:rPr>
              <w:t>12.0</w:t>
            </w:r>
          </w:p>
        </w:tc>
        <w:tc>
          <w:tcPr>
            <w:tcW w:w="1170" w:type="dxa"/>
            <w:shd w:val="clear" w:color="auto" w:fill="auto"/>
            <w:noWrap/>
            <w:vAlign w:val="bottom"/>
            <w:hideMark/>
          </w:tcPr>
          <w:p w14:paraId="39924B17" w14:textId="77777777" w:rsidR="00E0154E" w:rsidRPr="00E0154E" w:rsidRDefault="00E0154E" w:rsidP="00BB36FD">
            <w:pPr>
              <w:spacing w:after="0" w:line="240" w:lineRule="auto"/>
              <w:jc w:val="right"/>
              <w:rPr>
                <w:rFonts w:eastAsia="Times New Roman" w:cstheme="minorHAnsi"/>
                <w:color w:val="000000"/>
              </w:rPr>
            </w:pPr>
          </w:p>
        </w:tc>
      </w:tr>
    </w:tbl>
    <w:p w14:paraId="38CC6E6B" w14:textId="35A0B9AA" w:rsidR="00B35E34" w:rsidRPr="001B0064" w:rsidRDefault="007F45BF" w:rsidP="00363D34">
      <w:pPr>
        <w:pStyle w:val="ListParagraph"/>
        <w:spacing w:line="240" w:lineRule="auto"/>
        <w:contextualSpacing w:val="0"/>
        <w:jc w:val="both"/>
        <w:rPr>
          <w:rFonts w:eastAsia="Times New Roman" w:cstheme="minorHAnsi"/>
          <w:sz w:val="20"/>
          <w:szCs w:val="20"/>
        </w:rPr>
      </w:pPr>
      <w:r w:rsidRPr="001B0064">
        <w:rPr>
          <w:rFonts w:eastAsia="Times New Roman" w:cstheme="minorHAnsi"/>
          <w:sz w:val="20"/>
          <w:szCs w:val="20"/>
        </w:rPr>
        <w:t>Source of data: KIHS 2014</w:t>
      </w:r>
    </w:p>
    <w:p w14:paraId="5AB8008E" w14:textId="26621737" w:rsidR="00B14AA6" w:rsidRPr="00E6167F" w:rsidRDefault="00B14AA6" w:rsidP="006E2D13">
      <w:pPr>
        <w:pStyle w:val="ListParagraph"/>
        <w:numPr>
          <w:ilvl w:val="0"/>
          <w:numId w:val="13"/>
        </w:numPr>
        <w:spacing w:before="240" w:after="120" w:line="240" w:lineRule="auto"/>
        <w:contextualSpacing w:val="0"/>
        <w:jc w:val="both"/>
        <w:rPr>
          <w:rFonts w:eastAsia="Times New Roman" w:cstheme="minorHAnsi"/>
          <w:b/>
        </w:rPr>
      </w:pPr>
      <w:r w:rsidRPr="00E6167F">
        <w:rPr>
          <w:rFonts w:eastAsia="Times New Roman" w:cstheme="minorHAnsi"/>
          <w:b/>
        </w:rPr>
        <w:t xml:space="preserve">Not explicit and hence not transparent </w:t>
      </w:r>
      <w:r w:rsidR="006A7392">
        <w:rPr>
          <w:rFonts w:eastAsia="Times New Roman" w:cstheme="minorHAnsi"/>
          <w:b/>
        </w:rPr>
        <w:t xml:space="preserve">and guaranteed </w:t>
      </w:r>
    </w:p>
    <w:p w14:paraId="7C5E0E45" w14:textId="7ED8FA62" w:rsidR="00766E42" w:rsidRPr="00E6167F" w:rsidRDefault="009A0391" w:rsidP="00363D34">
      <w:pPr>
        <w:spacing w:line="240" w:lineRule="auto"/>
        <w:jc w:val="both"/>
        <w:rPr>
          <w:rFonts w:cstheme="minorHAnsi"/>
        </w:rPr>
      </w:pPr>
      <w:r w:rsidRPr="00E6167F">
        <w:rPr>
          <w:rFonts w:cstheme="minorHAnsi"/>
        </w:rPr>
        <w:t xml:space="preserve">The statutory benefit package is </w:t>
      </w:r>
      <w:r w:rsidR="00A65D20">
        <w:rPr>
          <w:rFonts w:cstheme="minorHAnsi"/>
        </w:rPr>
        <w:t xml:space="preserve">largely </w:t>
      </w:r>
      <w:r w:rsidRPr="00E6167F">
        <w:rPr>
          <w:rFonts w:cstheme="minorHAnsi"/>
        </w:rPr>
        <w:t>defined by level of care</w:t>
      </w:r>
      <w:r w:rsidR="00EC5992" w:rsidRPr="00E6167F">
        <w:rPr>
          <w:rFonts w:cstheme="minorHAnsi"/>
        </w:rPr>
        <w:t xml:space="preserve">. </w:t>
      </w:r>
      <w:r w:rsidR="00A65D20">
        <w:rPr>
          <w:rFonts w:cstheme="minorHAnsi"/>
        </w:rPr>
        <w:t xml:space="preserve">Even though there is </w:t>
      </w:r>
      <w:r w:rsidR="00595D1A">
        <w:rPr>
          <w:rFonts w:cstheme="minorHAnsi"/>
        </w:rPr>
        <w:t xml:space="preserve">a </w:t>
      </w:r>
      <w:r w:rsidR="00EC5992" w:rsidRPr="00E6167F">
        <w:rPr>
          <w:rFonts w:cstheme="minorHAnsi"/>
        </w:rPr>
        <w:t>list</w:t>
      </w:r>
      <w:r w:rsidR="00595D1A">
        <w:rPr>
          <w:rFonts w:cstheme="minorHAnsi"/>
        </w:rPr>
        <w:t xml:space="preserve"> </w:t>
      </w:r>
      <w:r w:rsidR="00EC5992" w:rsidRPr="00E6167F">
        <w:rPr>
          <w:rFonts w:cstheme="minorHAnsi"/>
        </w:rPr>
        <w:t xml:space="preserve">of some basic lab tests at PHC, the package </w:t>
      </w:r>
      <w:r w:rsidR="00010AD4" w:rsidRPr="00E6167F">
        <w:rPr>
          <w:rFonts w:cstheme="minorHAnsi"/>
        </w:rPr>
        <w:t>is best characterized as broad and implicit.</w:t>
      </w:r>
      <w:r w:rsidR="005C3A6A" w:rsidRPr="00E6167F">
        <w:rPr>
          <w:rFonts w:cstheme="minorHAnsi"/>
        </w:rPr>
        <w:t xml:space="preserve"> Lack of a</w:t>
      </w:r>
      <w:r w:rsidR="007C1ED5">
        <w:rPr>
          <w:rFonts w:cstheme="minorHAnsi"/>
        </w:rPr>
        <w:t xml:space="preserve"> clear </w:t>
      </w:r>
      <w:r w:rsidR="005C3A6A" w:rsidRPr="00E6167F">
        <w:rPr>
          <w:rFonts w:cstheme="minorHAnsi"/>
        </w:rPr>
        <w:t xml:space="preserve">positive list of covered services makes it </w:t>
      </w:r>
      <w:r w:rsidR="0085351F" w:rsidRPr="00E6167F">
        <w:rPr>
          <w:rFonts w:cstheme="minorHAnsi"/>
        </w:rPr>
        <w:t>difficult for the patients to know what they are entitled to</w:t>
      </w:r>
      <w:r w:rsidR="00CF07BB">
        <w:rPr>
          <w:rFonts w:cstheme="minorHAnsi"/>
        </w:rPr>
        <w:t xml:space="preserve">, as we have seen in </w:t>
      </w:r>
      <w:r w:rsidR="00CF07BB">
        <w:rPr>
          <w:rFonts w:cstheme="minorHAnsi"/>
        </w:rPr>
        <w:lastRenderedPageBreak/>
        <w:t>the sub-section above</w:t>
      </w:r>
      <w:r w:rsidR="00CB6623" w:rsidRPr="00E6167F">
        <w:rPr>
          <w:rFonts w:cstheme="minorHAnsi"/>
        </w:rPr>
        <w:t xml:space="preserve">. </w:t>
      </w:r>
      <w:r w:rsidR="005F389B">
        <w:rPr>
          <w:rFonts w:cstheme="minorHAnsi"/>
        </w:rPr>
        <w:t xml:space="preserve">The situation </w:t>
      </w:r>
      <w:r w:rsidR="00CB6623" w:rsidRPr="00E6167F">
        <w:rPr>
          <w:rFonts w:cstheme="minorHAnsi"/>
        </w:rPr>
        <w:t xml:space="preserve">creates a murky area as whether certain </w:t>
      </w:r>
      <w:r w:rsidR="00FA0675">
        <w:rPr>
          <w:rFonts w:cstheme="minorHAnsi"/>
        </w:rPr>
        <w:t xml:space="preserve">therapeutic </w:t>
      </w:r>
      <w:r w:rsidR="006B7090">
        <w:rPr>
          <w:rFonts w:cstheme="minorHAnsi"/>
        </w:rPr>
        <w:t xml:space="preserve">services, procedures, </w:t>
      </w:r>
      <w:r w:rsidR="00CB6623" w:rsidRPr="00E6167F">
        <w:rPr>
          <w:rFonts w:cstheme="minorHAnsi"/>
        </w:rPr>
        <w:t>tests</w:t>
      </w:r>
      <w:r w:rsidR="006B7090">
        <w:rPr>
          <w:rFonts w:cstheme="minorHAnsi"/>
        </w:rPr>
        <w:t>, and supplies</w:t>
      </w:r>
      <w:r w:rsidR="00CB6623" w:rsidRPr="00E6167F">
        <w:rPr>
          <w:rFonts w:cstheme="minorHAnsi"/>
        </w:rPr>
        <w:t xml:space="preserve"> are </w:t>
      </w:r>
      <w:r w:rsidR="00E35612" w:rsidRPr="00E6167F">
        <w:rPr>
          <w:rFonts w:cstheme="minorHAnsi"/>
        </w:rPr>
        <w:t xml:space="preserve">subject to MHIF reimbursement. </w:t>
      </w:r>
    </w:p>
    <w:p w14:paraId="708432DD" w14:textId="35E572B5" w:rsidR="00E35612" w:rsidRPr="00E6167F" w:rsidRDefault="00E35612" w:rsidP="00363D34">
      <w:pPr>
        <w:spacing w:after="0" w:line="240" w:lineRule="auto"/>
        <w:jc w:val="both"/>
        <w:rPr>
          <w:rFonts w:cstheme="minorHAnsi"/>
        </w:rPr>
      </w:pPr>
      <w:r w:rsidRPr="00E6167F">
        <w:rPr>
          <w:rFonts w:cstheme="minorHAnsi"/>
        </w:rPr>
        <w:t xml:space="preserve">For example, even though “women admitted for childbirth” are among the </w:t>
      </w:r>
      <w:r w:rsidR="00CC4DB8" w:rsidRPr="00E6167F">
        <w:rPr>
          <w:rFonts w:cstheme="minorHAnsi"/>
        </w:rPr>
        <w:t xml:space="preserve">16 </w:t>
      </w:r>
      <w:r w:rsidRPr="00E6167F">
        <w:rPr>
          <w:rFonts w:cstheme="minorHAnsi"/>
        </w:rPr>
        <w:t>categor</w:t>
      </w:r>
      <w:r w:rsidR="00CC4DB8" w:rsidRPr="00E6167F">
        <w:rPr>
          <w:rFonts w:cstheme="minorHAnsi"/>
        </w:rPr>
        <w:t xml:space="preserve">ies </w:t>
      </w:r>
      <w:r w:rsidRPr="00E6167F">
        <w:rPr>
          <w:rFonts w:cstheme="minorHAnsi"/>
        </w:rPr>
        <w:t xml:space="preserve">of population entitled to </w:t>
      </w:r>
      <w:r w:rsidR="00CC4DB8" w:rsidRPr="00E6167F">
        <w:rPr>
          <w:rFonts w:cstheme="minorHAnsi"/>
        </w:rPr>
        <w:t>fee exemption based on health condition</w:t>
      </w:r>
      <w:r w:rsidRPr="00E6167F">
        <w:rPr>
          <w:rFonts w:cstheme="minorHAnsi"/>
        </w:rPr>
        <w:t xml:space="preserve">, </w:t>
      </w:r>
      <w:r w:rsidR="00561A02" w:rsidRPr="00E6167F">
        <w:rPr>
          <w:rFonts w:cstheme="minorHAnsi"/>
        </w:rPr>
        <w:t xml:space="preserve">it is written nowhere that </w:t>
      </w:r>
      <w:r w:rsidRPr="00E6167F">
        <w:rPr>
          <w:rFonts w:cstheme="minorHAnsi"/>
        </w:rPr>
        <w:t xml:space="preserve">blood transfusion </w:t>
      </w:r>
      <w:r w:rsidR="00561A02" w:rsidRPr="00E6167F">
        <w:rPr>
          <w:rFonts w:cstheme="minorHAnsi"/>
        </w:rPr>
        <w:t xml:space="preserve">during delivery </w:t>
      </w:r>
      <w:r w:rsidRPr="00E6167F">
        <w:rPr>
          <w:rFonts w:cstheme="minorHAnsi"/>
        </w:rPr>
        <w:t xml:space="preserve">is included </w:t>
      </w:r>
      <w:r w:rsidR="00561A02" w:rsidRPr="00E6167F">
        <w:rPr>
          <w:rFonts w:cstheme="minorHAnsi"/>
        </w:rPr>
        <w:t xml:space="preserve">in the SGBP. Therefore, if </w:t>
      </w:r>
      <w:r w:rsidR="005833FD" w:rsidRPr="00E6167F">
        <w:rPr>
          <w:rFonts w:cstheme="minorHAnsi"/>
        </w:rPr>
        <w:t xml:space="preserve">a woman needs blood transfusion during delivery, most likely she would have to pay for it out of pocket. </w:t>
      </w:r>
      <w:r w:rsidR="003E3C90" w:rsidRPr="00E6167F">
        <w:rPr>
          <w:rFonts w:cstheme="minorHAnsi"/>
        </w:rPr>
        <w:t>“Diabetics” is another example</w:t>
      </w:r>
      <w:r w:rsidR="00662949" w:rsidRPr="00E6167F">
        <w:rPr>
          <w:rFonts w:cstheme="minorHAnsi"/>
        </w:rPr>
        <w:t xml:space="preserve"> – the condition is listed among those eligible </w:t>
      </w:r>
      <w:r w:rsidR="00662949" w:rsidRPr="003F3598">
        <w:rPr>
          <w:rFonts w:cstheme="minorHAnsi"/>
        </w:rPr>
        <w:t xml:space="preserve">for free/subsidized services at outpatient and inpatient facilities, yet </w:t>
      </w:r>
      <w:r w:rsidR="0038263A" w:rsidRPr="003F3598">
        <w:rPr>
          <w:rFonts w:cstheme="minorHAnsi"/>
        </w:rPr>
        <w:t xml:space="preserve">the </w:t>
      </w:r>
      <w:r w:rsidR="0038263A" w:rsidRPr="003F3598">
        <w:rPr>
          <w:rFonts w:eastAsia="Times New Roman" w:cs="Calibri"/>
        </w:rPr>
        <w:t>Glycated Hemoglobin Test</w:t>
      </w:r>
      <w:r w:rsidR="0038263A" w:rsidRPr="003F3598">
        <w:rPr>
          <w:rFonts w:cstheme="minorHAnsi"/>
        </w:rPr>
        <w:t xml:space="preserve"> (</w:t>
      </w:r>
      <w:r w:rsidR="00C3035C" w:rsidRPr="003F3598">
        <w:rPr>
          <w:rFonts w:cstheme="minorHAnsi"/>
        </w:rPr>
        <w:t>HbA1C</w:t>
      </w:r>
      <w:r w:rsidR="0038263A" w:rsidRPr="003F3598">
        <w:rPr>
          <w:rFonts w:cstheme="minorHAnsi"/>
        </w:rPr>
        <w:t>)</w:t>
      </w:r>
      <w:r w:rsidR="005909FF">
        <w:rPr>
          <w:rFonts w:cstheme="minorHAnsi"/>
        </w:rPr>
        <w:t>,</w:t>
      </w:r>
      <w:r w:rsidR="00C3035C" w:rsidRPr="003F3598">
        <w:rPr>
          <w:rFonts w:cstheme="minorHAnsi"/>
        </w:rPr>
        <w:t xml:space="preserve"> which</w:t>
      </w:r>
      <w:r w:rsidR="00C3035C" w:rsidRPr="00E6167F">
        <w:rPr>
          <w:rFonts w:cstheme="minorHAnsi"/>
        </w:rPr>
        <w:t xml:space="preserve"> is </w:t>
      </w:r>
      <w:r w:rsidR="004A0AB7">
        <w:rPr>
          <w:rFonts w:cstheme="minorHAnsi"/>
        </w:rPr>
        <w:t xml:space="preserve">a </w:t>
      </w:r>
      <w:r w:rsidR="00C3035C" w:rsidRPr="00E6167F">
        <w:rPr>
          <w:rFonts w:cstheme="minorHAnsi"/>
        </w:rPr>
        <w:t xml:space="preserve">common and reliable test for monitoring </w:t>
      </w:r>
      <w:r w:rsidR="001D6CB8">
        <w:rPr>
          <w:rFonts w:cstheme="minorHAnsi"/>
        </w:rPr>
        <w:t xml:space="preserve">blood sugar among </w:t>
      </w:r>
      <w:r w:rsidR="00C3035C" w:rsidRPr="00E6167F">
        <w:rPr>
          <w:rFonts w:cstheme="minorHAnsi"/>
        </w:rPr>
        <w:t>diabet</w:t>
      </w:r>
      <w:r w:rsidR="001D6CB8">
        <w:rPr>
          <w:rFonts w:cstheme="minorHAnsi"/>
        </w:rPr>
        <w:t>ic patients</w:t>
      </w:r>
      <w:r w:rsidR="005909FF">
        <w:rPr>
          <w:rFonts w:cstheme="minorHAnsi"/>
        </w:rPr>
        <w:t>,</w:t>
      </w:r>
      <w:r w:rsidR="001D6CB8">
        <w:rPr>
          <w:rFonts w:cstheme="minorHAnsi"/>
        </w:rPr>
        <w:t xml:space="preserve"> </w:t>
      </w:r>
      <w:r w:rsidR="00C3035C" w:rsidRPr="00E6167F">
        <w:rPr>
          <w:rFonts w:cstheme="minorHAnsi"/>
        </w:rPr>
        <w:t xml:space="preserve">is not </w:t>
      </w:r>
      <w:r w:rsidR="003C0A7C" w:rsidRPr="00E6167F">
        <w:rPr>
          <w:rFonts w:cstheme="minorHAnsi"/>
        </w:rPr>
        <w:t>offered at the PHC</w:t>
      </w:r>
      <w:r w:rsidR="00724231">
        <w:rPr>
          <w:rFonts w:cstheme="minorHAnsi"/>
        </w:rPr>
        <w:t>. I</w:t>
      </w:r>
      <w:r w:rsidR="003C0A7C" w:rsidRPr="00E6167F">
        <w:rPr>
          <w:rFonts w:cstheme="minorHAnsi"/>
        </w:rPr>
        <w:t>n rare cases where it is offered</w:t>
      </w:r>
      <w:r w:rsidR="00A044C4">
        <w:rPr>
          <w:rFonts w:cstheme="minorHAnsi"/>
        </w:rPr>
        <w:t xml:space="preserve"> in a public facility</w:t>
      </w:r>
      <w:r w:rsidR="003C0A7C" w:rsidRPr="00E6167F">
        <w:rPr>
          <w:rFonts w:cstheme="minorHAnsi"/>
        </w:rPr>
        <w:t xml:space="preserve">, the patient is subject to the full cost of the test </w:t>
      </w:r>
      <w:r w:rsidR="00B37345" w:rsidRPr="00E6167F">
        <w:rPr>
          <w:rFonts w:cstheme="minorHAnsi"/>
        </w:rPr>
        <w:t>(</w:t>
      </w:r>
      <w:r w:rsidR="00F66909">
        <w:rPr>
          <w:rFonts w:cstheme="minorHAnsi"/>
        </w:rPr>
        <w:t xml:space="preserve">The </w:t>
      </w:r>
      <w:r w:rsidR="00EF7D41">
        <w:rPr>
          <w:rFonts w:cstheme="minorHAnsi"/>
        </w:rPr>
        <w:t>World Bank, 2019a</w:t>
      </w:r>
      <w:r w:rsidR="00B37345" w:rsidRPr="00E6167F">
        <w:rPr>
          <w:rFonts w:cstheme="minorHAnsi"/>
        </w:rPr>
        <w:t xml:space="preserve">). </w:t>
      </w:r>
    </w:p>
    <w:p w14:paraId="296F548C" w14:textId="552A01CE" w:rsidR="00B14AA6" w:rsidRPr="00E6167F" w:rsidRDefault="00B14AA6" w:rsidP="006E2D13">
      <w:pPr>
        <w:pStyle w:val="ListParagraph"/>
        <w:numPr>
          <w:ilvl w:val="0"/>
          <w:numId w:val="13"/>
        </w:numPr>
        <w:spacing w:before="240" w:after="120" w:line="240" w:lineRule="auto"/>
        <w:contextualSpacing w:val="0"/>
        <w:jc w:val="both"/>
        <w:rPr>
          <w:rFonts w:eastAsia="Times New Roman" w:cstheme="minorHAnsi"/>
          <w:b/>
        </w:rPr>
      </w:pPr>
      <w:r w:rsidRPr="00E6167F">
        <w:rPr>
          <w:rFonts w:eastAsia="Times New Roman" w:cstheme="minorHAnsi"/>
          <w:b/>
        </w:rPr>
        <w:t>Limited coverage</w:t>
      </w:r>
      <w:r w:rsidR="00D10A76">
        <w:rPr>
          <w:rFonts w:eastAsia="Times New Roman" w:cstheme="minorHAnsi"/>
          <w:b/>
        </w:rPr>
        <w:t xml:space="preserve"> </w:t>
      </w:r>
      <w:r w:rsidR="00E07402">
        <w:rPr>
          <w:rFonts w:eastAsia="Times New Roman" w:cstheme="minorHAnsi"/>
          <w:b/>
        </w:rPr>
        <w:t xml:space="preserve">even for </w:t>
      </w:r>
      <w:r w:rsidR="00AA6182">
        <w:rPr>
          <w:rFonts w:eastAsia="Times New Roman" w:cstheme="minorHAnsi"/>
          <w:b/>
        </w:rPr>
        <w:t xml:space="preserve">included </w:t>
      </w:r>
      <w:r w:rsidR="00914D18" w:rsidRPr="00E6167F">
        <w:rPr>
          <w:rFonts w:eastAsia="Times New Roman" w:cstheme="minorHAnsi"/>
          <w:b/>
        </w:rPr>
        <w:t xml:space="preserve">services </w:t>
      </w:r>
    </w:p>
    <w:p w14:paraId="415B6439" w14:textId="150D7389" w:rsidR="00DA17F1" w:rsidRDefault="00E271C7" w:rsidP="00363D34">
      <w:pPr>
        <w:pStyle w:val="ListParagraph"/>
        <w:spacing w:line="240" w:lineRule="auto"/>
        <w:ind w:left="0"/>
        <w:contextualSpacing w:val="0"/>
        <w:jc w:val="both"/>
        <w:rPr>
          <w:rFonts w:eastAsia="Times New Roman" w:cstheme="minorHAnsi"/>
        </w:rPr>
      </w:pPr>
      <w:r w:rsidRPr="00E6167F">
        <w:rPr>
          <w:rFonts w:eastAsia="Times New Roman" w:cstheme="minorHAnsi"/>
        </w:rPr>
        <w:t xml:space="preserve">The SGBP in </w:t>
      </w:r>
      <w:r w:rsidR="00F74C36">
        <w:rPr>
          <w:rFonts w:eastAsia="Times New Roman" w:cstheme="minorHAnsi"/>
        </w:rPr>
        <w:t xml:space="preserve">perceived by stakeholders in the country as having a </w:t>
      </w:r>
      <w:r w:rsidRPr="00E6167F">
        <w:rPr>
          <w:rFonts w:eastAsia="Times New Roman" w:cstheme="minorHAnsi"/>
        </w:rPr>
        <w:t xml:space="preserve">“declaratory nature” </w:t>
      </w:r>
      <w:r w:rsidR="001C6CD6">
        <w:rPr>
          <w:rFonts w:eastAsia="Times New Roman" w:cstheme="minorHAnsi"/>
        </w:rPr>
        <w:t xml:space="preserve">- </w:t>
      </w:r>
      <w:r w:rsidRPr="00E6167F">
        <w:rPr>
          <w:rFonts w:eastAsia="Times New Roman" w:cstheme="minorHAnsi"/>
        </w:rPr>
        <w:t xml:space="preserve">a promise </w:t>
      </w:r>
      <w:r w:rsidR="006277EF" w:rsidRPr="00E6167F">
        <w:rPr>
          <w:rFonts w:eastAsia="Times New Roman" w:cstheme="minorHAnsi"/>
        </w:rPr>
        <w:t xml:space="preserve">that is not accompanied with adequate funding. </w:t>
      </w:r>
      <w:r w:rsidR="00A43843">
        <w:rPr>
          <w:rFonts w:eastAsia="Times New Roman" w:cstheme="minorHAnsi"/>
        </w:rPr>
        <w:t xml:space="preserve">Despite the </w:t>
      </w:r>
      <w:r w:rsidR="006277EF" w:rsidRPr="00E6167F">
        <w:rPr>
          <w:rFonts w:eastAsia="Times New Roman" w:cstheme="minorHAnsi"/>
        </w:rPr>
        <w:t xml:space="preserve">ambition to cover all </w:t>
      </w:r>
      <w:r w:rsidR="001C0A6A">
        <w:rPr>
          <w:rFonts w:eastAsia="Times New Roman" w:cstheme="minorHAnsi"/>
        </w:rPr>
        <w:t xml:space="preserve">citizens </w:t>
      </w:r>
      <w:r w:rsidR="006277EF" w:rsidRPr="00E6167F">
        <w:rPr>
          <w:rFonts w:eastAsia="Times New Roman" w:cstheme="minorHAnsi"/>
        </w:rPr>
        <w:t xml:space="preserve">with basic services and </w:t>
      </w:r>
      <w:r w:rsidR="00D2584D">
        <w:rPr>
          <w:rFonts w:eastAsia="Times New Roman" w:cstheme="minorHAnsi"/>
        </w:rPr>
        <w:t xml:space="preserve">provide </w:t>
      </w:r>
      <w:r w:rsidR="005D4623" w:rsidRPr="00E6167F">
        <w:rPr>
          <w:rFonts w:eastAsia="Times New Roman" w:cstheme="minorHAnsi"/>
        </w:rPr>
        <w:t>generous inpatient benefits for a large share of the population</w:t>
      </w:r>
      <w:r w:rsidR="00D2584D">
        <w:rPr>
          <w:rFonts w:eastAsia="Times New Roman" w:cstheme="minorHAnsi"/>
        </w:rPr>
        <w:t xml:space="preserve">, </w:t>
      </w:r>
      <w:r w:rsidR="00873E41">
        <w:rPr>
          <w:rFonts w:eastAsia="Times New Roman" w:cstheme="minorHAnsi"/>
        </w:rPr>
        <w:t>public funding</w:t>
      </w:r>
      <w:r w:rsidR="005D4623" w:rsidRPr="00E6167F">
        <w:rPr>
          <w:rFonts w:eastAsia="Times New Roman" w:cstheme="minorHAnsi"/>
        </w:rPr>
        <w:t xml:space="preserve"> allocated to the SGBP</w:t>
      </w:r>
      <w:r w:rsidR="00BB2FE9" w:rsidRPr="00E6167F">
        <w:rPr>
          <w:rFonts w:eastAsia="Times New Roman" w:cstheme="minorHAnsi"/>
        </w:rPr>
        <w:t xml:space="preserve"> is </w:t>
      </w:r>
      <w:r w:rsidR="00414FB1">
        <w:rPr>
          <w:rFonts w:eastAsia="Times New Roman" w:cstheme="minorHAnsi"/>
        </w:rPr>
        <w:t xml:space="preserve">merely </w:t>
      </w:r>
      <w:r w:rsidR="00B04F75" w:rsidRPr="00E6167F">
        <w:rPr>
          <w:rFonts w:eastAsia="Times New Roman" w:cstheme="minorHAnsi"/>
        </w:rPr>
        <w:t xml:space="preserve">US$30 </w:t>
      </w:r>
      <w:r w:rsidR="00504DC4">
        <w:rPr>
          <w:rFonts w:eastAsia="Times New Roman" w:cstheme="minorHAnsi"/>
        </w:rPr>
        <w:t xml:space="preserve">per person </w:t>
      </w:r>
      <w:r w:rsidR="00B04F75" w:rsidRPr="00E6167F">
        <w:rPr>
          <w:rFonts w:eastAsia="Times New Roman" w:cstheme="minorHAnsi"/>
        </w:rPr>
        <w:t>in 2018</w:t>
      </w:r>
      <w:r w:rsidR="00141CCF">
        <w:rPr>
          <w:rFonts w:eastAsia="Times New Roman" w:cstheme="minorHAnsi"/>
        </w:rPr>
        <w:t xml:space="preserve">. </w:t>
      </w:r>
      <w:r w:rsidR="00FB0C3E">
        <w:rPr>
          <w:rFonts w:eastAsia="Times New Roman" w:cstheme="minorHAnsi"/>
        </w:rPr>
        <w:t>F</w:t>
      </w:r>
      <w:r w:rsidR="00A55BB2" w:rsidRPr="00E6167F">
        <w:rPr>
          <w:rFonts w:eastAsia="Times New Roman" w:cstheme="minorHAnsi"/>
        </w:rPr>
        <w:t xml:space="preserve">unding </w:t>
      </w:r>
      <w:r w:rsidR="001C568D">
        <w:rPr>
          <w:rFonts w:eastAsia="Times New Roman" w:cstheme="minorHAnsi"/>
        </w:rPr>
        <w:t xml:space="preserve">allocated </w:t>
      </w:r>
      <w:r w:rsidR="00A55BB2" w:rsidRPr="00E6167F">
        <w:rPr>
          <w:rFonts w:eastAsia="Times New Roman" w:cstheme="minorHAnsi"/>
        </w:rPr>
        <w:t xml:space="preserve">to </w:t>
      </w:r>
      <w:r w:rsidR="001C568D">
        <w:rPr>
          <w:rFonts w:eastAsia="Times New Roman" w:cstheme="minorHAnsi"/>
        </w:rPr>
        <w:t xml:space="preserve">providers </w:t>
      </w:r>
      <w:r w:rsidR="00A55BB2" w:rsidRPr="00E6167F">
        <w:rPr>
          <w:rFonts w:eastAsia="Times New Roman" w:cstheme="minorHAnsi"/>
        </w:rPr>
        <w:t xml:space="preserve">does not cover </w:t>
      </w:r>
      <w:r w:rsidR="00FC6E4B">
        <w:rPr>
          <w:rFonts w:eastAsia="Times New Roman" w:cstheme="minorHAnsi"/>
        </w:rPr>
        <w:t xml:space="preserve">the needs for drugs or </w:t>
      </w:r>
      <w:r w:rsidR="00414FB1">
        <w:rPr>
          <w:rFonts w:eastAsia="Times New Roman" w:cstheme="minorHAnsi"/>
        </w:rPr>
        <w:t xml:space="preserve">the </w:t>
      </w:r>
      <w:r w:rsidR="00FC6E4B">
        <w:rPr>
          <w:rFonts w:eastAsia="Times New Roman" w:cstheme="minorHAnsi"/>
        </w:rPr>
        <w:t xml:space="preserve">full </w:t>
      </w:r>
      <w:r w:rsidR="00A55BB2" w:rsidRPr="00E6167F">
        <w:rPr>
          <w:rFonts w:eastAsia="Times New Roman" w:cstheme="minorHAnsi"/>
        </w:rPr>
        <w:t>cost of services</w:t>
      </w:r>
      <w:r w:rsidR="00064601">
        <w:rPr>
          <w:rFonts w:eastAsia="Times New Roman" w:cstheme="minorHAnsi"/>
        </w:rPr>
        <w:t xml:space="preserve">. </w:t>
      </w:r>
      <w:r w:rsidR="00A06990">
        <w:rPr>
          <w:rFonts w:eastAsia="Times New Roman" w:cstheme="minorHAnsi"/>
        </w:rPr>
        <w:t xml:space="preserve">As can be seen in the description of the statutory package, for example, </w:t>
      </w:r>
      <w:r w:rsidR="00A06990" w:rsidRPr="001A69D8">
        <w:rPr>
          <w:rFonts w:eastAsia="Times New Roman" w:cstheme="minorHAnsi"/>
        </w:rPr>
        <w:t xml:space="preserve">the list of drugs </w:t>
      </w:r>
      <w:r w:rsidR="00611AF6" w:rsidRPr="001A69D8">
        <w:rPr>
          <w:rFonts w:eastAsia="Times New Roman" w:cstheme="minorHAnsi"/>
        </w:rPr>
        <w:t xml:space="preserve">under free prescription categories is extremely limited. </w:t>
      </w:r>
      <w:r w:rsidR="00064601" w:rsidRPr="001A69D8">
        <w:rPr>
          <w:rFonts w:eastAsia="Times New Roman" w:cstheme="minorHAnsi"/>
        </w:rPr>
        <w:t xml:space="preserve">This </w:t>
      </w:r>
      <w:r w:rsidR="00243C3C" w:rsidRPr="001A69D8">
        <w:rPr>
          <w:rFonts w:eastAsia="Times New Roman" w:cstheme="minorHAnsi"/>
        </w:rPr>
        <w:t xml:space="preserve">necessitates </w:t>
      </w:r>
      <w:r w:rsidR="00A55BB2" w:rsidRPr="001A69D8">
        <w:rPr>
          <w:rFonts w:eastAsia="Times New Roman" w:cstheme="minorHAnsi"/>
        </w:rPr>
        <w:t xml:space="preserve">implicit rationing </w:t>
      </w:r>
      <w:r w:rsidR="00A33CE9" w:rsidRPr="001A69D8">
        <w:rPr>
          <w:rFonts w:eastAsia="Times New Roman" w:cstheme="minorHAnsi"/>
        </w:rPr>
        <w:t>by the providers</w:t>
      </w:r>
      <w:r w:rsidR="00243C3C" w:rsidRPr="001A69D8">
        <w:rPr>
          <w:rFonts w:eastAsia="Times New Roman" w:cstheme="minorHAnsi"/>
        </w:rPr>
        <w:t xml:space="preserve">, in addition to all forms of extra collections for </w:t>
      </w:r>
      <w:r w:rsidR="00DA17F1" w:rsidRPr="001A69D8">
        <w:rPr>
          <w:rFonts w:eastAsia="Times New Roman" w:cstheme="minorHAnsi"/>
        </w:rPr>
        <w:t>drugs, services, foods, and personnel (</w:t>
      </w:r>
      <w:proofErr w:type="spellStart"/>
      <w:r w:rsidR="007B7C05" w:rsidRPr="001A69D8">
        <w:rPr>
          <w:rFonts w:eastAsia="Times New Roman" w:cstheme="minorHAnsi"/>
        </w:rPr>
        <w:t>Jacab</w:t>
      </w:r>
      <w:proofErr w:type="spellEnd"/>
      <w:r w:rsidR="007B7C05" w:rsidRPr="001A69D8">
        <w:rPr>
          <w:rFonts w:eastAsia="Times New Roman" w:cstheme="minorHAnsi"/>
        </w:rPr>
        <w:t xml:space="preserve">, </w:t>
      </w:r>
      <w:proofErr w:type="spellStart"/>
      <w:r w:rsidR="007B7C05" w:rsidRPr="001A69D8">
        <w:rPr>
          <w:rFonts w:eastAsia="Times New Roman" w:cstheme="minorHAnsi"/>
        </w:rPr>
        <w:t>Akkazieva</w:t>
      </w:r>
      <w:proofErr w:type="spellEnd"/>
      <w:r w:rsidR="007B7C05" w:rsidRPr="001A69D8">
        <w:rPr>
          <w:rFonts w:eastAsia="Times New Roman" w:cstheme="minorHAnsi"/>
        </w:rPr>
        <w:t xml:space="preserve">, and </w:t>
      </w:r>
      <w:proofErr w:type="spellStart"/>
      <w:r w:rsidR="007B7C05" w:rsidRPr="001A69D8">
        <w:rPr>
          <w:rFonts w:eastAsia="Times New Roman" w:cstheme="minorHAnsi"/>
        </w:rPr>
        <w:t>Kutzin</w:t>
      </w:r>
      <w:proofErr w:type="spellEnd"/>
      <w:r w:rsidR="00483687" w:rsidRPr="001A69D8">
        <w:rPr>
          <w:rFonts w:eastAsia="Times New Roman" w:cstheme="minorHAnsi"/>
        </w:rPr>
        <w:t>, 2016</w:t>
      </w:r>
      <w:r w:rsidR="00DA17F1" w:rsidRPr="001A69D8">
        <w:rPr>
          <w:rFonts w:eastAsia="Times New Roman" w:cstheme="minorHAnsi"/>
        </w:rPr>
        <w:t>).</w:t>
      </w:r>
      <w:r w:rsidR="00DA17F1">
        <w:rPr>
          <w:rFonts w:eastAsia="Times New Roman" w:cstheme="minorHAnsi"/>
        </w:rPr>
        <w:t xml:space="preserve"> </w:t>
      </w:r>
    </w:p>
    <w:p w14:paraId="2AE40F8B" w14:textId="2F8222A9" w:rsidR="00FD13C9" w:rsidRDefault="009F486C" w:rsidP="00611AF6">
      <w:pPr>
        <w:spacing w:line="240" w:lineRule="auto"/>
        <w:jc w:val="both"/>
      </w:pPr>
      <w:r>
        <w:t>For example, i</w:t>
      </w:r>
      <w:r w:rsidR="003A204E" w:rsidRPr="00E6167F">
        <w:t>n 2017, spending on the ADP accounted for less than 1.8% of MHIF spending and only 900,000 prescriptions were</w:t>
      </w:r>
      <w:r w:rsidR="006E73B5">
        <w:t xml:space="preserve"> reimbursed</w:t>
      </w:r>
      <w:r w:rsidR="007277E2" w:rsidRPr="00E6167F">
        <w:t xml:space="preserve">. Given that </w:t>
      </w:r>
      <w:r w:rsidR="00F35AF5" w:rsidRPr="00E6167F">
        <w:t xml:space="preserve">there were about </w:t>
      </w:r>
      <w:r w:rsidR="003A204E" w:rsidRPr="00E6167F">
        <w:t>4.5 million</w:t>
      </w:r>
      <w:r w:rsidR="00F35AF5" w:rsidRPr="00E6167F">
        <w:t xml:space="preserve"> insured people, this translates to 0.2 prescription per person</w:t>
      </w:r>
      <w:r w:rsidR="007D2355">
        <w:t xml:space="preserve"> per year</w:t>
      </w:r>
      <w:r w:rsidR="003A204E" w:rsidRPr="00E6167F">
        <w:t xml:space="preserve">. </w:t>
      </w:r>
      <w:r w:rsidR="00202F00">
        <w:t>The normative used by the MHIF is US$ 1 per insured patient</w:t>
      </w:r>
      <w:r w:rsidR="003A204E" w:rsidRPr="00E6167F">
        <w:t xml:space="preserve">. </w:t>
      </w:r>
      <w:r w:rsidR="00ED0A6D" w:rsidRPr="00E6167F">
        <w:t xml:space="preserve">Furthermore, due to the lack of a </w:t>
      </w:r>
      <w:r w:rsidR="003A204E" w:rsidRPr="00E6167F">
        <w:t>mechanism to control price</w:t>
      </w:r>
      <w:r w:rsidR="00180A0E">
        <w:t xml:space="preserve"> and</w:t>
      </w:r>
      <w:r w:rsidR="003A204E" w:rsidRPr="00E6167F">
        <w:t xml:space="preserve"> regulate </w:t>
      </w:r>
      <w:r w:rsidR="003A204E" w:rsidRPr="00E6167F">
        <w:rPr>
          <w:noProof/>
        </w:rPr>
        <w:t>mark-up</w:t>
      </w:r>
      <w:r w:rsidR="003A204E" w:rsidRPr="00E6167F">
        <w:t xml:space="preserve">, </w:t>
      </w:r>
      <w:r w:rsidR="00180A0E">
        <w:t>e</w:t>
      </w:r>
      <w:r w:rsidR="00FD13C9" w:rsidRPr="00F12568">
        <w:t xml:space="preserve">ffectively, </w:t>
      </w:r>
      <w:r w:rsidR="00180A0E">
        <w:t xml:space="preserve">reimbursement from the MHIF </w:t>
      </w:r>
      <w:r w:rsidR="00FD13C9" w:rsidRPr="00F12568">
        <w:t xml:space="preserve">is often less than 50% of the retail price. Anecdotal evidence reveals that the retail price of some </w:t>
      </w:r>
      <w:r w:rsidR="0081015E">
        <w:t xml:space="preserve">basic </w:t>
      </w:r>
      <w:r w:rsidR="00FD13C9" w:rsidRPr="00F12568">
        <w:t>drugs in the Kyrgyz Republic is higher than in</w:t>
      </w:r>
      <w:r w:rsidR="00A550D2">
        <w:t xml:space="preserve"> higher income countries</w:t>
      </w:r>
      <w:r w:rsidR="002C5E88">
        <w:t>, yet imposing another layer of financial burden on the patients</w:t>
      </w:r>
      <w:r w:rsidR="00A550D2">
        <w:t xml:space="preserve">. </w:t>
      </w:r>
    </w:p>
    <w:p w14:paraId="3AD306A1" w14:textId="2D757B87" w:rsidR="00966357" w:rsidRDefault="00966357" w:rsidP="00611AF6">
      <w:pPr>
        <w:spacing w:line="240" w:lineRule="auto"/>
        <w:jc w:val="both"/>
      </w:pPr>
      <w:r>
        <w:t xml:space="preserve">To illustrate the point, table </w:t>
      </w:r>
      <w:r w:rsidR="00EE5DA8">
        <w:t>8</w:t>
      </w:r>
      <w:r>
        <w:t xml:space="preserve"> provides a rough comparison between the actual spending o</w:t>
      </w:r>
      <w:r w:rsidR="00DE622B">
        <w:t>f</w:t>
      </w:r>
      <w:r>
        <w:t xml:space="preserve"> the ADP and </w:t>
      </w:r>
      <w:r w:rsidR="00DE622B">
        <w:t xml:space="preserve">the </w:t>
      </w:r>
      <w:r w:rsidR="00526EDA">
        <w:t xml:space="preserve">estimated </w:t>
      </w:r>
      <w:r>
        <w:t xml:space="preserve">need </w:t>
      </w:r>
      <w:r w:rsidR="00526EDA">
        <w:t xml:space="preserve">for some common </w:t>
      </w:r>
      <w:r w:rsidR="00575452">
        <w:t xml:space="preserve">items – drugs for hypertension, diabetes mellitus, anemia, and contraceptives </w:t>
      </w:r>
      <w:r w:rsidR="00E63260">
        <w:t xml:space="preserve">(injection and oral). </w:t>
      </w:r>
      <w:r w:rsidR="00FB5E7D">
        <w:t xml:space="preserve">For hypertension and diabetes, “population in need” is taken from the number of </w:t>
      </w:r>
      <w:r w:rsidR="00ED1E52">
        <w:t>registered cases</w:t>
      </w:r>
      <w:r w:rsidR="00351D47">
        <w:t xml:space="preserve">, </w:t>
      </w:r>
      <w:r w:rsidR="006B717C">
        <w:t xml:space="preserve">which are </w:t>
      </w:r>
      <w:r w:rsidR="00351D47">
        <w:t xml:space="preserve">likely </w:t>
      </w:r>
      <w:r w:rsidR="006B717C">
        <w:t>to be greatly underestimated</w:t>
      </w:r>
      <w:r w:rsidR="009458FE">
        <w:t>.</w:t>
      </w:r>
      <w:r w:rsidR="00E75375">
        <w:t xml:space="preserve"> </w:t>
      </w:r>
      <w:r w:rsidR="007C023E">
        <w:t>N</w:t>
      </w:r>
      <w:r w:rsidR="00C6149C">
        <w:t>eed</w:t>
      </w:r>
      <w:r w:rsidR="007C023E">
        <w:t>s</w:t>
      </w:r>
      <w:r w:rsidR="00C6149C">
        <w:t xml:space="preserve"> for anemia drugs and </w:t>
      </w:r>
      <w:r w:rsidR="007C023E">
        <w:t xml:space="preserve">contraceptives are estimated from population data. </w:t>
      </w:r>
    </w:p>
    <w:p w14:paraId="0ED06274" w14:textId="77777777" w:rsidR="004A4317" w:rsidRPr="00E6167F" w:rsidRDefault="004A4317" w:rsidP="004A4317">
      <w:pPr>
        <w:pStyle w:val="ListParagraph"/>
        <w:spacing w:before="240" w:line="240" w:lineRule="auto"/>
        <w:ind w:left="0"/>
        <w:contextualSpacing w:val="0"/>
        <w:jc w:val="both"/>
        <w:rPr>
          <w:rFonts w:eastAsia="Times New Roman" w:cstheme="minorHAnsi"/>
        </w:rPr>
      </w:pPr>
      <w:r>
        <w:rPr>
          <w:rFonts w:eastAsia="Times New Roman" w:cstheme="minorHAnsi"/>
        </w:rPr>
        <w:t xml:space="preserve">As revealed in table 8, in 2017 MHIF reimbursed on average 1.7 prescriptions per registered hypertensive patient. While it is not clear from the database how long one prescription lasts for, the amount is just a little over US$4 equivalent. For diabetes and anemia, the two common and high burden conditions in the country, coverage is much less. And for contraceptives, less than 6,000 prescriptions were reimbursed in 2017 compared to over 1.5 million women of reproductive age. Even though not all women of reproductive age would need contraceptives, the amount spent by MHIF was just low by any standard. </w:t>
      </w:r>
    </w:p>
    <w:p w14:paraId="0F10B3DA" w14:textId="77777777" w:rsidR="004A4317" w:rsidRPr="00F12568" w:rsidRDefault="004A4317" w:rsidP="00611AF6">
      <w:pPr>
        <w:spacing w:line="240" w:lineRule="auto"/>
        <w:jc w:val="both"/>
      </w:pPr>
    </w:p>
    <w:p w14:paraId="2E30FB0D" w14:textId="6924EED5" w:rsidR="00006735" w:rsidRPr="00F84B5A" w:rsidRDefault="00D92F7A" w:rsidP="00D10297">
      <w:pPr>
        <w:rPr>
          <w:rFonts w:cstheme="minorHAnsi"/>
          <w:b/>
        </w:rPr>
      </w:pPr>
      <w:r>
        <w:rPr>
          <w:rFonts w:cstheme="minorHAnsi"/>
          <w:b/>
        </w:rPr>
        <w:br w:type="page"/>
      </w:r>
      <w:r w:rsidR="00F84B5A">
        <w:rPr>
          <w:rFonts w:cstheme="minorHAnsi"/>
          <w:b/>
        </w:rPr>
        <w:lastRenderedPageBreak/>
        <w:t xml:space="preserve">Table </w:t>
      </w:r>
      <w:r w:rsidR="00EE5DA8">
        <w:rPr>
          <w:rFonts w:cstheme="minorHAnsi"/>
          <w:b/>
        </w:rPr>
        <w:t>8</w:t>
      </w:r>
      <w:r w:rsidR="00F84B5A">
        <w:rPr>
          <w:rFonts w:cstheme="minorHAnsi"/>
          <w:b/>
        </w:rPr>
        <w:t>. MHIF’s reimbursement under the ADP compared to estimated need</w:t>
      </w:r>
    </w:p>
    <w:tbl>
      <w:tblPr>
        <w:tblStyle w:val="TableGrid"/>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1440"/>
        <w:gridCol w:w="1350"/>
        <w:gridCol w:w="1530"/>
        <w:gridCol w:w="1350"/>
        <w:gridCol w:w="1751"/>
      </w:tblGrid>
      <w:tr w:rsidR="0073219F" w:rsidRPr="009458FE" w14:paraId="7D244495" w14:textId="1A2E3D4F" w:rsidTr="009458FE">
        <w:tc>
          <w:tcPr>
            <w:tcW w:w="1975" w:type="dxa"/>
            <w:tcBorders>
              <w:top w:val="single" w:sz="4" w:space="0" w:color="auto"/>
              <w:bottom w:val="single" w:sz="4" w:space="0" w:color="auto"/>
            </w:tcBorders>
            <w:shd w:val="clear" w:color="auto" w:fill="F2F2F2" w:themeFill="background1" w:themeFillShade="F2"/>
          </w:tcPr>
          <w:p w14:paraId="34B59B1B" w14:textId="68168FE5" w:rsidR="001A560E" w:rsidRPr="009458FE" w:rsidRDefault="00526EDA" w:rsidP="00363D34">
            <w:pPr>
              <w:contextualSpacing/>
              <w:jc w:val="both"/>
              <w:rPr>
                <w:rFonts w:cstheme="minorHAnsi"/>
                <w:b/>
                <w:sz w:val="21"/>
                <w:szCs w:val="21"/>
              </w:rPr>
            </w:pPr>
            <w:r w:rsidRPr="009458FE">
              <w:rPr>
                <w:rFonts w:cstheme="minorHAnsi"/>
                <w:b/>
                <w:sz w:val="21"/>
                <w:szCs w:val="21"/>
              </w:rPr>
              <w:t xml:space="preserve">Conditions </w:t>
            </w:r>
          </w:p>
        </w:tc>
        <w:tc>
          <w:tcPr>
            <w:tcW w:w="1440" w:type="dxa"/>
            <w:tcBorders>
              <w:top w:val="single" w:sz="4" w:space="0" w:color="auto"/>
              <w:bottom w:val="single" w:sz="4" w:space="0" w:color="auto"/>
            </w:tcBorders>
            <w:shd w:val="clear" w:color="auto" w:fill="F2F2F2" w:themeFill="background1" w:themeFillShade="F2"/>
          </w:tcPr>
          <w:p w14:paraId="360C2D02" w14:textId="0EA8AC75" w:rsidR="001A560E" w:rsidRPr="009458FE" w:rsidRDefault="002A05FA" w:rsidP="009458FE">
            <w:pPr>
              <w:contextualSpacing/>
              <w:jc w:val="right"/>
              <w:rPr>
                <w:rFonts w:cstheme="minorHAnsi"/>
                <w:b/>
                <w:bCs/>
                <w:sz w:val="21"/>
                <w:szCs w:val="21"/>
              </w:rPr>
            </w:pPr>
            <w:r w:rsidRPr="009458FE">
              <w:rPr>
                <w:rFonts w:cstheme="minorHAnsi"/>
                <w:b/>
                <w:sz w:val="21"/>
                <w:szCs w:val="21"/>
              </w:rPr>
              <w:t xml:space="preserve">Reimbursed </w:t>
            </w:r>
            <w:r w:rsidR="001A560E" w:rsidRPr="009458FE">
              <w:rPr>
                <w:rFonts w:cstheme="minorHAnsi"/>
                <w:b/>
                <w:sz w:val="21"/>
                <w:szCs w:val="21"/>
              </w:rPr>
              <w:t>prescriptions</w:t>
            </w:r>
          </w:p>
        </w:tc>
        <w:tc>
          <w:tcPr>
            <w:tcW w:w="1350" w:type="dxa"/>
            <w:tcBorders>
              <w:top w:val="single" w:sz="4" w:space="0" w:color="auto"/>
              <w:bottom w:val="single" w:sz="4" w:space="0" w:color="auto"/>
            </w:tcBorders>
            <w:shd w:val="clear" w:color="auto" w:fill="F2F2F2" w:themeFill="background1" w:themeFillShade="F2"/>
          </w:tcPr>
          <w:p w14:paraId="1959A70C" w14:textId="04C0AD53" w:rsidR="001A560E" w:rsidRPr="009458FE" w:rsidRDefault="001A560E" w:rsidP="009458FE">
            <w:pPr>
              <w:contextualSpacing/>
              <w:jc w:val="right"/>
              <w:rPr>
                <w:rFonts w:cstheme="minorHAnsi"/>
                <w:b/>
                <w:bCs/>
                <w:sz w:val="21"/>
                <w:szCs w:val="21"/>
              </w:rPr>
            </w:pPr>
            <w:r w:rsidRPr="009458FE">
              <w:rPr>
                <w:rFonts w:cstheme="minorHAnsi"/>
                <w:b/>
                <w:bCs/>
                <w:sz w:val="21"/>
                <w:szCs w:val="21"/>
              </w:rPr>
              <w:t xml:space="preserve">Amount  </w:t>
            </w:r>
            <w:r w:rsidR="00A013D4" w:rsidRPr="009458FE">
              <w:rPr>
                <w:rFonts w:cstheme="minorHAnsi"/>
                <w:b/>
                <w:bCs/>
                <w:sz w:val="21"/>
                <w:szCs w:val="21"/>
              </w:rPr>
              <w:t>(US$</w:t>
            </w:r>
            <w:r w:rsidR="00EB684E" w:rsidRPr="009458FE">
              <w:rPr>
                <w:rFonts w:cstheme="minorHAnsi"/>
                <w:b/>
                <w:bCs/>
                <w:sz w:val="21"/>
                <w:szCs w:val="21"/>
              </w:rPr>
              <w:t xml:space="preserve"> equivalent</w:t>
            </w:r>
            <w:r w:rsidR="00A013D4" w:rsidRPr="009458FE">
              <w:rPr>
                <w:rFonts w:cstheme="minorHAnsi"/>
                <w:b/>
                <w:bCs/>
                <w:sz w:val="21"/>
                <w:szCs w:val="21"/>
              </w:rPr>
              <w:t>)</w:t>
            </w:r>
          </w:p>
        </w:tc>
        <w:tc>
          <w:tcPr>
            <w:tcW w:w="1530" w:type="dxa"/>
            <w:tcBorders>
              <w:top w:val="single" w:sz="4" w:space="0" w:color="auto"/>
              <w:bottom w:val="single" w:sz="4" w:space="0" w:color="auto"/>
            </w:tcBorders>
            <w:shd w:val="clear" w:color="auto" w:fill="F2F2F2" w:themeFill="background1" w:themeFillShade="F2"/>
          </w:tcPr>
          <w:p w14:paraId="0C27632C" w14:textId="2AC31717" w:rsidR="001A560E" w:rsidRPr="009458FE" w:rsidRDefault="001A560E" w:rsidP="009458FE">
            <w:pPr>
              <w:contextualSpacing/>
              <w:jc w:val="right"/>
              <w:rPr>
                <w:rFonts w:cstheme="minorHAnsi"/>
                <w:b/>
                <w:bCs/>
                <w:sz w:val="21"/>
                <w:szCs w:val="21"/>
              </w:rPr>
            </w:pPr>
            <w:r w:rsidRPr="009458FE">
              <w:rPr>
                <w:rFonts w:cstheme="minorHAnsi"/>
                <w:b/>
                <w:bCs/>
                <w:sz w:val="21"/>
                <w:szCs w:val="21"/>
              </w:rPr>
              <w:t>Estimated population in need</w:t>
            </w:r>
          </w:p>
        </w:tc>
        <w:tc>
          <w:tcPr>
            <w:tcW w:w="1350" w:type="dxa"/>
            <w:tcBorders>
              <w:top w:val="single" w:sz="4" w:space="0" w:color="auto"/>
              <w:bottom w:val="single" w:sz="4" w:space="0" w:color="auto"/>
            </w:tcBorders>
            <w:shd w:val="clear" w:color="auto" w:fill="F2F2F2" w:themeFill="background1" w:themeFillShade="F2"/>
          </w:tcPr>
          <w:p w14:paraId="2BC87489" w14:textId="2E4ABA9E" w:rsidR="001A560E" w:rsidRPr="009458FE" w:rsidRDefault="00817592" w:rsidP="009458FE">
            <w:pPr>
              <w:contextualSpacing/>
              <w:jc w:val="right"/>
              <w:rPr>
                <w:rFonts w:cstheme="minorHAnsi"/>
                <w:b/>
                <w:bCs/>
                <w:sz w:val="21"/>
                <w:szCs w:val="21"/>
              </w:rPr>
            </w:pPr>
            <w:r w:rsidRPr="009458FE">
              <w:rPr>
                <w:rFonts w:cstheme="minorHAnsi"/>
                <w:b/>
                <w:bCs/>
                <w:sz w:val="21"/>
                <w:szCs w:val="21"/>
              </w:rPr>
              <w:t>Prescription per person in need</w:t>
            </w:r>
          </w:p>
        </w:tc>
        <w:tc>
          <w:tcPr>
            <w:tcW w:w="1751" w:type="dxa"/>
            <w:tcBorders>
              <w:top w:val="single" w:sz="4" w:space="0" w:color="auto"/>
              <w:bottom w:val="single" w:sz="4" w:space="0" w:color="auto"/>
            </w:tcBorders>
            <w:shd w:val="clear" w:color="auto" w:fill="F2F2F2" w:themeFill="background1" w:themeFillShade="F2"/>
          </w:tcPr>
          <w:p w14:paraId="7AF2D198" w14:textId="6C4A6C4F" w:rsidR="001A560E" w:rsidRPr="009458FE" w:rsidRDefault="00817592" w:rsidP="009458FE">
            <w:pPr>
              <w:contextualSpacing/>
              <w:jc w:val="right"/>
              <w:rPr>
                <w:rFonts w:cstheme="minorHAnsi"/>
                <w:b/>
                <w:bCs/>
                <w:sz w:val="21"/>
                <w:szCs w:val="21"/>
              </w:rPr>
            </w:pPr>
            <w:r w:rsidRPr="009458FE">
              <w:rPr>
                <w:rFonts w:cstheme="minorHAnsi"/>
                <w:b/>
                <w:bCs/>
                <w:sz w:val="21"/>
                <w:szCs w:val="21"/>
              </w:rPr>
              <w:t>Amount per person in need (US$</w:t>
            </w:r>
            <w:r w:rsidR="00EB684E" w:rsidRPr="009458FE">
              <w:rPr>
                <w:rFonts w:cstheme="minorHAnsi"/>
                <w:b/>
                <w:bCs/>
                <w:sz w:val="21"/>
                <w:szCs w:val="21"/>
              </w:rPr>
              <w:t xml:space="preserve"> equivalent</w:t>
            </w:r>
            <w:r w:rsidRPr="009458FE">
              <w:rPr>
                <w:rFonts w:cstheme="minorHAnsi"/>
                <w:b/>
                <w:bCs/>
                <w:sz w:val="21"/>
                <w:szCs w:val="21"/>
              </w:rPr>
              <w:t>)</w:t>
            </w:r>
          </w:p>
        </w:tc>
      </w:tr>
      <w:tr w:rsidR="0073219F" w:rsidRPr="006E2D13" w14:paraId="2A81B488" w14:textId="5E0415CD" w:rsidTr="009458FE">
        <w:tc>
          <w:tcPr>
            <w:tcW w:w="1975" w:type="dxa"/>
            <w:tcBorders>
              <w:top w:val="single" w:sz="4" w:space="0" w:color="auto"/>
            </w:tcBorders>
          </w:tcPr>
          <w:p w14:paraId="70343FEA" w14:textId="3117A12E" w:rsidR="003922F2" w:rsidRPr="006E2D13" w:rsidRDefault="003922F2" w:rsidP="00363D34">
            <w:pPr>
              <w:contextualSpacing/>
              <w:jc w:val="both"/>
              <w:rPr>
                <w:rFonts w:cstheme="minorHAnsi"/>
                <w:sz w:val="21"/>
                <w:szCs w:val="21"/>
                <w:lang w:val="ru-RU"/>
              </w:rPr>
            </w:pPr>
            <w:r w:rsidRPr="006E2D13">
              <w:rPr>
                <w:rFonts w:cstheme="minorHAnsi"/>
                <w:sz w:val="21"/>
                <w:szCs w:val="21"/>
              </w:rPr>
              <w:t>Hypertension</w:t>
            </w:r>
            <w:r w:rsidRPr="006E2D13">
              <w:rPr>
                <w:rFonts w:cstheme="minorHAnsi"/>
                <w:sz w:val="21"/>
                <w:szCs w:val="21"/>
                <w:lang w:val="ru-RU"/>
              </w:rPr>
              <w:t xml:space="preserve"> </w:t>
            </w:r>
          </w:p>
        </w:tc>
        <w:tc>
          <w:tcPr>
            <w:tcW w:w="1440" w:type="dxa"/>
            <w:tcBorders>
              <w:top w:val="single" w:sz="4" w:space="0" w:color="auto"/>
            </w:tcBorders>
          </w:tcPr>
          <w:p w14:paraId="1F84E30E" w14:textId="00B2E5B1" w:rsidR="003922F2" w:rsidRPr="006E2D13" w:rsidRDefault="003922F2" w:rsidP="009458FE">
            <w:pPr>
              <w:contextualSpacing/>
              <w:jc w:val="right"/>
              <w:rPr>
                <w:rFonts w:cstheme="minorHAnsi"/>
                <w:bCs/>
                <w:sz w:val="21"/>
                <w:szCs w:val="21"/>
              </w:rPr>
            </w:pPr>
            <w:r w:rsidRPr="006E2D13">
              <w:rPr>
                <w:rFonts w:cstheme="minorHAnsi"/>
                <w:bCs/>
                <w:sz w:val="21"/>
                <w:szCs w:val="21"/>
              </w:rPr>
              <w:t>284,434</w:t>
            </w:r>
          </w:p>
          <w:p w14:paraId="48074B0E" w14:textId="77777777" w:rsidR="003922F2" w:rsidRPr="006E2D13" w:rsidRDefault="003922F2" w:rsidP="009458FE">
            <w:pPr>
              <w:contextualSpacing/>
              <w:jc w:val="right"/>
              <w:rPr>
                <w:rFonts w:cstheme="minorHAnsi"/>
                <w:sz w:val="21"/>
                <w:szCs w:val="21"/>
                <w:lang w:val="ru-RU"/>
              </w:rPr>
            </w:pPr>
          </w:p>
        </w:tc>
        <w:tc>
          <w:tcPr>
            <w:tcW w:w="1350" w:type="dxa"/>
            <w:tcBorders>
              <w:top w:val="single" w:sz="4" w:space="0" w:color="auto"/>
            </w:tcBorders>
          </w:tcPr>
          <w:p w14:paraId="40FD3E57" w14:textId="5040DF82" w:rsidR="003922F2" w:rsidRPr="006E2D13" w:rsidRDefault="003922F2" w:rsidP="009458FE">
            <w:pPr>
              <w:contextualSpacing/>
              <w:jc w:val="right"/>
              <w:rPr>
                <w:rFonts w:cstheme="minorHAnsi"/>
                <w:sz w:val="21"/>
                <w:szCs w:val="21"/>
              </w:rPr>
            </w:pPr>
            <w:r w:rsidRPr="006E2D13">
              <w:rPr>
                <w:rFonts w:ascii="Calibri" w:hAnsi="Calibri" w:cs="Calibri"/>
                <w:sz w:val="21"/>
                <w:szCs w:val="21"/>
              </w:rPr>
              <w:t>705,153</w:t>
            </w:r>
          </w:p>
        </w:tc>
        <w:tc>
          <w:tcPr>
            <w:tcW w:w="1530" w:type="dxa"/>
            <w:tcBorders>
              <w:top w:val="single" w:sz="4" w:space="0" w:color="auto"/>
            </w:tcBorders>
          </w:tcPr>
          <w:p w14:paraId="0C5B4602" w14:textId="63CB6759" w:rsidR="003922F2" w:rsidRPr="006E2D13" w:rsidRDefault="003922F2" w:rsidP="009458FE">
            <w:pPr>
              <w:contextualSpacing/>
              <w:jc w:val="right"/>
              <w:rPr>
                <w:rFonts w:cstheme="minorHAnsi"/>
                <w:sz w:val="21"/>
                <w:szCs w:val="21"/>
                <w:lang w:val="ru-RU"/>
              </w:rPr>
            </w:pPr>
            <w:r w:rsidRPr="006E2D13">
              <w:rPr>
                <w:rFonts w:cstheme="minorHAnsi"/>
                <w:sz w:val="21"/>
                <w:szCs w:val="21"/>
              </w:rPr>
              <w:t>169,412</w:t>
            </w:r>
          </w:p>
        </w:tc>
        <w:tc>
          <w:tcPr>
            <w:tcW w:w="1350" w:type="dxa"/>
            <w:tcBorders>
              <w:top w:val="single" w:sz="4" w:space="0" w:color="auto"/>
            </w:tcBorders>
          </w:tcPr>
          <w:p w14:paraId="7640462B" w14:textId="250A6DC1" w:rsidR="003922F2" w:rsidRPr="006E2D13" w:rsidRDefault="003922F2" w:rsidP="009458FE">
            <w:pPr>
              <w:contextualSpacing/>
              <w:jc w:val="right"/>
              <w:rPr>
                <w:rFonts w:cstheme="minorHAnsi"/>
                <w:sz w:val="21"/>
                <w:szCs w:val="21"/>
              </w:rPr>
            </w:pPr>
            <w:r w:rsidRPr="006E2D13">
              <w:rPr>
                <w:rFonts w:ascii="Calibri" w:hAnsi="Calibri" w:cs="Calibri"/>
                <w:sz w:val="21"/>
                <w:szCs w:val="21"/>
              </w:rPr>
              <w:t>1.68</w:t>
            </w:r>
          </w:p>
        </w:tc>
        <w:tc>
          <w:tcPr>
            <w:tcW w:w="1751" w:type="dxa"/>
            <w:tcBorders>
              <w:top w:val="single" w:sz="4" w:space="0" w:color="auto"/>
            </w:tcBorders>
          </w:tcPr>
          <w:p w14:paraId="5DC54166" w14:textId="1C214C86" w:rsidR="003922F2" w:rsidRPr="006E2D13" w:rsidRDefault="003922F2" w:rsidP="009458FE">
            <w:pPr>
              <w:contextualSpacing/>
              <w:jc w:val="right"/>
              <w:rPr>
                <w:rFonts w:cstheme="minorHAnsi"/>
                <w:sz w:val="21"/>
                <w:szCs w:val="21"/>
              </w:rPr>
            </w:pPr>
            <w:r w:rsidRPr="006E2D13">
              <w:rPr>
                <w:rFonts w:ascii="Calibri" w:hAnsi="Calibri" w:cs="Calibri"/>
                <w:sz w:val="21"/>
                <w:szCs w:val="21"/>
              </w:rPr>
              <w:t>4.16</w:t>
            </w:r>
          </w:p>
        </w:tc>
      </w:tr>
      <w:tr w:rsidR="0073219F" w:rsidRPr="006E2D13" w14:paraId="0F3D2D90" w14:textId="3218A25C" w:rsidTr="009458FE">
        <w:tc>
          <w:tcPr>
            <w:tcW w:w="1975" w:type="dxa"/>
          </w:tcPr>
          <w:p w14:paraId="10020C62" w14:textId="77777777" w:rsidR="003922F2" w:rsidRPr="006E2D13" w:rsidRDefault="003922F2" w:rsidP="00363D34">
            <w:pPr>
              <w:contextualSpacing/>
              <w:jc w:val="both"/>
              <w:rPr>
                <w:rFonts w:cstheme="minorHAnsi"/>
                <w:sz w:val="21"/>
                <w:szCs w:val="21"/>
              </w:rPr>
            </w:pPr>
            <w:r w:rsidRPr="006E2D13">
              <w:rPr>
                <w:rFonts w:cstheme="minorHAnsi"/>
                <w:sz w:val="21"/>
                <w:szCs w:val="21"/>
              </w:rPr>
              <w:t>Diabetes mellitus</w:t>
            </w:r>
          </w:p>
        </w:tc>
        <w:tc>
          <w:tcPr>
            <w:tcW w:w="1440" w:type="dxa"/>
          </w:tcPr>
          <w:p w14:paraId="39A1D029" w14:textId="288C441E" w:rsidR="003922F2" w:rsidRPr="006E2D13" w:rsidRDefault="003922F2" w:rsidP="009458FE">
            <w:pPr>
              <w:contextualSpacing/>
              <w:jc w:val="right"/>
              <w:rPr>
                <w:rFonts w:cstheme="minorHAnsi"/>
                <w:sz w:val="21"/>
                <w:szCs w:val="21"/>
              </w:rPr>
            </w:pPr>
            <w:r w:rsidRPr="006E2D13">
              <w:rPr>
                <w:rFonts w:cstheme="minorHAnsi"/>
                <w:sz w:val="21"/>
                <w:szCs w:val="21"/>
              </w:rPr>
              <w:t>1</w:t>
            </w:r>
            <w:r w:rsidR="00D5044A" w:rsidRPr="006E2D13">
              <w:rPr>
                <w:rFonts w:cstheme="minorHAnsi"/>
                <w:sz w:val="21"/>
                <w:szCs w:val="21"/>
              </w:rPr>
              <w:t>,</w:t>
            </w:r>
            <w:r w:rsidRPr="006E2D13">
              <w:rPr>
                <w:rFonts w:cstheme="minorHAnsi"/>
                <w:sz w:val="21"/>
                <w:szCs w:val="21"/>
              </w:rPr>
              <w:t>140</w:t>
            </w:r>
          </w:p>
          <w:p w14:paraId="0FBB9674" w14:textId="77777777" w:rsidR="003922F2" w:rsidRPr="006E2D13" w:rsidRDefault="003922F2" w:rsidP="009458FE">
            <w:pPr>
              <w:contextualSpacing/>
              <w:jc w:val="right"/>
              <w:rPr>
                <w:rFonts w:cstheme="minorHAnsi"/>
                <w:sz w:val="21"/>
                <w:szCs w:val="21"/>
                <w:lang w:val="ru-RU"/>
              </w:rPr>
            </w:pPr>
          </w:p>
        </w:tc>
        <w:tc>
          <w:tcPr>
            <w:tcW w:w="1350" w:type="dxa"/>
          </w:tcPr>
          <w:p w14:paraId="4927ACD6" w14:textId="3A4CA0EB" w:rsidR="003922F2" w:rsidRPr="006E2D13" w:rsidRDefault="003922F2" w:rsidP="009458FE">
            <w:pPr>
              <w:contextualSpacing/>
              <w:jc w:val="right"/>
              <w:rPr>
                <w:rFonts w:cstheme="minorHAnsi"/>
                <w:sz w:val="21"/>
                <w:szCs w:val="21"/>
                <w:lang w:val="ru-RU"/>
              </w:rPr>
            </w:pPr>
            <w:r w:rsidRPr="006E2D13">
              <w:rPr>
                <w:rFonts w:ascii="Calibri" w:hAnsi="Calibri" w:cs="Calibri"/>
                <w:sz w:val="21"/>
                <w:szCs w:val="21"/>
              </w:rPr>
              <w:t>13,328</w:t>
            </w:r>
          </w:p>
        </w:tc>
        <w:tc>
          <w:tcPr>
            <w:tcW w:w="1530" w:type="dxa"/>
          </w:tcPr>
          <w:p w14:paraId="31110539" w14:textId="28C6254C" w:rsidR="003922F2" w:rsidRPr="006E2D13" w:rsidRDefault="003922F2" w:rsidP="009458FE">
            <w:pPr>
              <w:contextualSpacing/>
              <w:jc w:val="right"/>
              <w:rPr>
                <w:rFonts w:cstheme="minorHAnsi"/>
                <w:sz w:val="21"/>
                <w:szCs w:val="21"/>
                <w:lang w:val="ru-RU"/>
              </w:rPr>
            </w:pPr>
            <w:r w:rsidRPr="006E2D13">
              <w:rPr>
                <w:rFonts w:cstheme="minorHAnsi"/>
                <w:sz w:val="21"/>
                <w:szCs w:val="21"/>
                <w:lang w:val="en"/>
              </w:rPr>
              <w:t>56448</w:t>
            </w:r>
          </w:p>
        </w:tc>
        <w:tc>
          <w:tcPr>
            <w:tcW w:w="1350" w:type="dxa"/>
          </w:tcPr>
          <w:p w14:paraId="0D12DFDC" w14:textId="44816820" w:rsidR="003922F2" w:rsidRPr="006E2D13" w:rsidRDefault="003922F2" w:rsidP="009458FE">
            <w:pPr>
              <w:contextualSpacing/>
              <w:jc w:val="right"/>
              <w:rPr>
                <w:rFonts w:cstheme="minorHAnsi"/>
                <w:sz w:val="21"/>
                <w:szCs w:val="21"/>
                <w:lang w:val="en"/>
              </w:rPr>
            </w:pPr>
            <w:r w:rsidRPr="006E2D13">
              <w:rPr>
                <w:rFonts w:ascii="Calibri" w:hAnsi="Calibri" w:cs="Calibri"/>
                <w:sz w:val="21"/>
                <w:szCs w:val="21"/>
              </w:rPr>
              <w:t>0.02</w:t>
            </w:r>
          </w:p>
        </w:tc>
        <w:tc>
          <w:tcPr>
            <w:tcW w:w="1751" w:type="dxa"/>
          </w:tcPr>
          <w:p w14:paraId="76196C40" w14:textId="33847D5A" w:rsidR="003922F2" w:rsidRPr="006E2D13" w:rsidRDefault="003922F2" w:rsidP="009458FE">
            <w:pPr>
              <w:contextualSpacing/>
              <w:jc w:val="right"/>
              <w:rPr>
                <w:rFonts w:cstheme="minorHAnsi"/>
                <w:sz w:val="21"/>
                <w:szCs w:val="21"/>
                <w:lang w:val="en"/>
              </w:rPr>
            </w:pPr>
            <w:r w:rsidRPr="006E2D13">
              <w:rPr>
                <w:rFonts w:ascii="Calibri" w:hAnsi="Calibri" w:cs="Calibri"/>
                <w:sz w:val="21"/>
                <w:szCs w:val="21"/>
              </w:rPr>
              <w:t>0.24</w:t>
            </w:r>
          </w:p>
        </w:tc>
      </w:tr>
      <w:tr w:rsidR="0073219F" w:rsidRPr="006E2D13" w14:paraId="22214F9E" w14:textId="0419C7C1" w:rsidTr="009458FE">
        <w:tc>
          <w:tcPr>
            <w:tcW w:w="1975" w:type="dxa"/>
          </w:tcPr>
          <w:p w14:paraId="07DE9110" w14:textId="2DE0652A" w:rsidR="003922F2" w:rsidRPr="006E2D13" w:rsidRDefault="003922F2" w:rsidP="00363D34">
            <w:pPr>
              <w:contextualSpacing/>
              <w:jc w:val="both"/>
              <w:rPr>
                <w:rFonts w:cstheme="minorHAnsi"/>
                <w:sz w:val="21"/>
                <w:szCs w:val="21"/>
              </w:rPr>
            </w:pPr>
            <w:r w:rsidRPr="006E2D13">
              <w:rPr>
                <w:rFonts w:cstheme="minorHAnsi"/>
                <w:sz w:val="21"/>
                <w:szCs w:val="21"/>
              </w:rPr>
              <w:t>Anemia</w:t>
            </w:r>
          </w:p>
        </w:tc>
        <w:tc>
          <w:tcPr>
            <w:tcW w:w="1440" w:type="dxa"/>
          </w:tcPr>
          <w:p w14:paraId="1495BF52" w14:textId="281DF67C" w:rsidR="003922F2" w:rsidRPr="006E2D13" w:rsidRDefault="003922F2" w:rsidP="009458FE">
            <w:pPr>
              <w:contextualSpacing/>
              <w:jc w:val="right"/>
              <w:rPr>
                <w:rFonts w:cstheme="minorHAnsi"/>
                <w:sz w:val="21"/>
                <w:szCs w:val="21"/>
              </w:rPr>
            </w:pPr>
            <w:r w:rsidRPr="006E2D13">
              <w:rPr>
                <w:rFonts w:cstheme="minorHAnsi"/>
                <w:sz w:val="21"/>
                <w:szCs w:val="21"/>
              </w:rPr>
              <w:t>131</w:t>
            </w:r>
            <w:r w:rsidR="00D5044A" w:rsidRPr="006E2D13">
              <w:rPr>
                <w:rFonts w:cstheme="minorHAnsi"/>
                <w:sz w:val="21"/>
                <w:szCs w:val="21"/>
              </w:rPr>
              <w:t>,</w:t>
            </w:r>
            <w:r w:rsidRPr="006E2D13">
              <w:rPr>
                <w:rFonts w:cstheme="minorHAnsi"/>
                <w:sz w:val="21"/>
                <w:szCs w:val="21"/>
              </w:rPr>
              <w:t>323</w:t>
            </w:r>
          </w:p>
          <w:p w14:paraId="006FC3BF" w14:textId="77777777" w:rsidR="003922F2" w:rsidRPr="006E2D13" w:rsidRDefault="003922F2" w:rsidP="009458FE">
            <w:pPr>
              <w:contextualSpacing/>
              <w:jc w:val="right"/>
              <w:rPr>
                <w:rFonts w:cstheme="minorHAnsi"/>
                <w:sz w:val="21"/>
                <w:szCs w:val="21"/>
              </w:rPr>
            </w:pPr>
          </w:p>
        </w:tc>
        <w:tc>
          <w:tcPr>
            <w:tcW w:w="1350" w:type="dxa"/>
          </w:tcPr>
          <w:p w14:paraId="5AB51AF3" w14:textId="735449A7" w:rsidR="003922F2" w:rsidRPr="006E2D13" w:rsidRDefault="003922F2" w:rsidP="009458FE">
            <w:pPr>
              <w:contextualSpacing/>
              <w:jc w:val="right"/>
              <w:rPr>
                <w:rFonts w:cstheme="minorHAnsi"/>
                <w:sz w:val="21"/>
                <w:szCs w:val="21"/>
              </w:rPr>
            </w:pPr>
            <w:r w:rsidRPr="006E2D13">
              <w:rPr>
                <w:rFonts w:ascii="Calibri" w:hAnsi="Calibri" w:cs="Calibri"/>
                <w:sz w:val="21"/>
                <w:szCs w:val="21"/>
              </w:rPr>
              <w:t>568,575</w:t>
            </w:r>
          </w:p>
        </w:tc>
        <w:tc>
          <w:tcPr>
            <w:tcW w:w="1530" w:type="dxa"/>
          </w:tcPr>
          <w:p w14:paraId="70D7CEB1" w14:textId="64935CBD" w:rsidR="003922F2" w:rsidRPr="006E2D13" w:rsidRDefault="003922F2" w:rsidP="009458FE">
            <w:pPr>
              <w:contextualSpacing/>
              <w:jc w:val="right"/>
              <w:rPr>
                <w:rFonts w:cstheme="minorHAnsi"/>
                <w:sz w:val="21"/>
                <w:szCs w:val="21"/>
                <w:lang w:val="en"/>
              </w:rPr>
            </w:pPr>
            <w:r w:rsidRPr="006E2D13">
              <w:rPr>
                <w:rFonts w:cstheme="minorHAnsi"/>
                <w:sz w:val="21"/>
                <w:szCs w:val="21"/>
              </w:rPr>
              <w:t>812,800</w:t>
            </w:r>
          </w:p>
        </w:tc>
        <w:tc>
          <w:tcPr>
            <w:tcW w:w="1350" w:type="dxa"/>
          </w:tcPr>
          <w:p w14:paraId="62B435A3" w14:textId="09DDECD5" w:rsidR="003922F2" w:rsidRPr="006E2D13" w:rsidRDefault="003922F2" w:rsidP="009458FE">
            <w:pPr>
              <w:contextualSpacing/>
              <w:jc w:val="right"/>
              <w:rPr>
                <w:rFonts w:cstheme="minorHAnsi"/>
                <w:sz w:val="21"/>
                <w:szCs w:val="21"/>
              </w:rPr>
            </w:pPr>
            <w:r w:rsidRPr="006E2D13">
              <w:rPr>
                <w:rFonts w:ascii="Calibri" w:hAnsi="Calibri" w:cs="Calibri"/>
                <w:sz w:val="21"/>
                <w:szCs w:val="21"/>
              </w:rPr>
              <w:t>0.16</w:t>
            </w:r>
          </w:p>
        </w:tc>
        <w:tc>
          <w:tcPr>
            <w:tcW w:w="1751" w:type="dxa"/>
          </w:tcPr>
          <w:p w14:paraId="6C10F886" w14:textId="21D35457" w:rsidR="003922F2" w:rsidRPr="006E2D13" w:rsidRDefault="003922F2" w:rsidP="009458FE">
            <w:pPr>
              <w:contextualSpacing/>
              <w:jc w:val="right"/>
              <w:rPr>
                <w:rFonts w:cstheme="minorHAnsi"/>
                <w:sz w:val="21"/>
                <w:szCs w:val="21"/>
              </w:rPr>
            </w:pPr>
            <w:r w:rsidRPr="006E2D13">
              <w:rPr>
                <w:rFonts w:ascii="Calibri" w:hAnsi="Calibri" w:cs="Calibri"/>
                <w:sz w:val="21"/>
                <w:szCs w:val="21"/>
              </w:rPr>
              <w:t>0.70</w:t>
            </w:r>
          </w:p>
        </w:tc>
      </w:tr>
      <w:tr w:rsidR="0073219F" w:rsidRPr="006E2D13" w14:paraId="2A284CD5" w14:textId="7DAF0E43" w:rsidTr="009458FE">
        <w:tc>
          <w:tcPr>
            <w:tcW w:w="1975" w:type="dxa"/>
          </w:tcPr>
          <w:p w14:paraId="7C26ABC5" w14:textId="1F5090F1" w:rsidR="003922F2" w:rsidRPr="006E2D13" w:rsidRDefault="003922F2" w:rsidP="00363D34">
            <w:pPr>
              <w:contextualSpacing/>
              <w:jc w:val="both"/>
              <w:rPr>
                <w:rFonts w:cstheme="minorHAnsi"/>
                <w:sz w:val="21"/>
                <w:szCs w:val="21"/>
              </w:rPr>
            </w:pPr>
            <w:r w:rsidRPr="006E2D13">
              <w:rPr>
                <w:rFonts w:cstheme="minorHAnsi"/>
                <w:sz w:val="21"/>
                <w:szCs w:val="21"/>
              </w:rPr>
              <w:t>Contraceptives (injection and oral)</w:t>
            </w:r>
          </w:p>
        </w:tc>
        <w:tc>
          <w:tcPr>
            <w:tcW w:w="1440" w:type="dxa"/>
          </w:tcPr>
          <w:p w14:paraId="729896D4" w14:textId="2085C6BE" w:rsidR="003922F2" w:rsidRPr="006E2D13" w:rsidRDefault="003922F2" w:rsidP="009458FE">
            <w:pPr>
              <w:contextualSpacing/>
              <w:jc w:val="right"/>
              <w:rPr>
                <w:rFonts w:cstheme="minorHAnsi"/>
                <w:sz w:val="21"/>
                <w:szCs w:val="21"/>
              </w:rPr>
            </w:pPr>
            <w:r w:rsidRPr="006E2D13">
              <w:rPr>
                <w:rFonts w:cstheme="minorHAnsi"/>
                <w:sz w:val="21"/>
                <w:szCs w:val="21"/>
              </w:rPr>
              <w:t>5</w:t>
            </w:r>
            <w:r w:rsidR="00D5044A" w:rsidRPr="006E2D13">
              <w:rPr>
                <w:rFonts w:cstheme="minorHAnsi"/>
                <w:sz w:val="21"/>
                <w:szCs w:val="21"/>
              </w:rPr>
              <w:t>,</w:t>
            </w:r>
            <w:r w:rsidRPr="006E2D13">
              <w:rPr>
                <w:rFonts w:cstheme="minorHAnsi"/>
                <w:sz w:val="21"/>
                <w:szCs w:val="21"/>
              </w:rPr>
              <w:t>959</w:t>
            </w:r>
          </w:p>
        </w:tc>
        <w:tc>
          <w:tcPr>
            <w:tcW w:w="1350" w:type="dxa"/>
          </w:tcPr>
          <w:p w14:paraId="3F0EF8E2" w14:textId="5BC97230" w:rsidR="003922F2" w:rsidRPr="006E2D13" w:rsidRDefault="003922F2" w:rsidP="009458FE">
            <w:pPr>
              <w:contextualSpacing/>
              <w:jc w:val="right"/>
              <w:rPr>
                <w:rFonts w:cstheme="minorHAnsi"/>
                <w:sz w:val="21"/>
                <w:szCs w:val="21"/>
                <w:lang w:val="ru-RU"/>
              </w:rPr>
            </w:pPr>
            <w:r w:rsidRPr="006E2D13">
              <w:rPr>
                <w:rFonts w:ascii="Calibri" w:hAnsi="Calibri" w:cs="Calibri"/>
                <w:sz w:val="21"/>
                <w:szCs w:val="21"/>
              </w:rPr>
              <w:t>50,279</w:t>
            </w:r>
          </w:p>
        </w:tc>
        <w:tc>
          <w:tcPr>
            <w:tcW w:w="1530" w:type="dxa"/>
          </w:tcPr>
          <w:p w14:paraId="62DF435E" w14:textId="449AC7DA" w:rsidR="003922F2" w:rsidRPr="006E2D13" w:rsidRDefault="003922F2" w:rsidP="009458FE">
            <w:pPr>
              <w:contextualSpacing/>
              <w:jc w:val="right"/>
              <w:rPr>
                <w:rFonts w:ascii="Calibri" w:hAnsi="Calibri" w:cs="Calibri"/>
                <w:sz w:val="21"/>
                <w:szCs w:val="21"/>
              </w:rPr>
            </w:pPr>
            <w:r w:rsidRPr="006E2D13">
              <w:rPr>
                <w:rFonts w:ascii="Calibri" w:hAnsi="Calibri" w:cs="Calibri"/>
                <w:sz w:val="21"/>
                <w:szCs w:val="21"/>
              </w:rPr>
              <w:t>1,569,594</w:t>
            </w:r>
          </w:p>
        </w:tc>
        <w:tc>
          <w:tcPr>
            <w:tcW w:w="1350" w:type="dxa"/>
          </w:tcPr>
          <w:p w14:paraId="7A0D13ED" w14:textId="4357407B" w:rsidR="003922F2" w:rsidRPr="006E2D13" w:rsidRDefault="003922F2" w:rsidP="009458FE">
            <w:pPr>
              <w:contextualSpacing/>
              <w:jc w:val="right"/>
              <w:rPr>
                <w:rFonts w:ascii="Calibri" w:hAnsi="Calibri" w:cs="Calibri"/>
                <w:sz w:val="21"/>
                <w:szCs w:val="21"/>
              </w:rPr>
            </w:pPr>
            <w:r w:rsidRPr="006E2D13">
              <w:rPr>
                <w:rFonts w:ascii="Calibri" w:hAnsi="Calibri" w:cs="Calibri"/>
                <w:sz w:val="21"/>
                <w:szCs w:val="21"/>
              </w:rPr>
              <w:t>0.00</w:t>
            </w:r>
          </w:p>
        </w:tc>
        <w:tc>
          <w:tcPr>
            <w:tcW w:w="1751" w:type="dxa"/>
          </w:tcPr>
          <w:p w14:paraId="3FC30F9C" w14:textId="05519557" w:rsidR="003922F2" w:rsidRPr="006E2D13" w:rsidRDefault="003922F2" w:rsidP="009458FE">
            <w:pPr>
              <w:contextualSpacing/>
              <w:jc w:val="right"/>
              <w:rPr>
                <w:rFonts w:ascii="Calibri" w:hAnsi="Calibri" w:cs="Calibri"/>
                <w:sz w:val="21"/>
                <w:szCs w:val="21"/>
              </w:rPr>
            </w:pPr>
            <w:r w:rsidRPr="006E2D13">
              <w:rPr>
                <w:rFonts w:ascii="Calibri" w:hAnsi="Calibri" w:cs="Calibri"/>
                <w:sz w:val="21"/>
                <w:szCs w:val="21"/>
              </w:rPr>
              <w:t>0.03</w:t>
            </w:r>
          </w:p>
        </w:tc>
      </w:tr>
    </w:tbl>
    <w:p w14:paraId="2618D276" w14:textId="2BF36E68" w:rsidR="0088552E" w:rsidRPr="0073219F" w:rsidRDefault="00BD298C" w:rsidP="00363D34">
      <w:pPr>
        <w:pStyle w:val="ListParagraph"/>
        <w:spacing w:line="240" w:lineRule="auto"/>
        <w:ind w:left="0"/>
        <w:contextualSpacing w:val="0"/>
        <w:jc w:val="both"/>
        <w:rPr>
          <w:rFonts w:eastAsia="Times New Roman" w:cstheme="minorHAnsi"/>
          <w:sz w:val="20"/>
        </w:rPr>
      </w:pPr>
      <w:r w:rsidRPr="0073219F">
        <w:rPr>
          <w:rFonts w:eastAsia="Times New Roman" w:cstheme="minorHAnsi"/>
          <w:sz w:val="20"/>
        </w:rPr>
        <w:t xml:space="preserve">Source of data: </w:t>
      </w:r>
      <w:r w:rsidR="00E50C88" w:rsidRPr="0073219F">
        <w:rPr>
          <w:rFonts w:eastAsia="Times New Roman" w:cstheme="minorHAnsi"/>
          <w:sz w:val="20"/>
        </w:rPr>
        <w:t xml:space="preserve">(1) </w:t>
      </w:r>
      <w:r w:rsidR="0055655A" w:rsidRPr="0073219F">
        <w:rPr>
          <w:rFonts w:eastAsia="Times New Roman" w:cstheme="minorHAnsi"/>
          <w:sz w:val="20"/>
        </w:rPr>
        <w:t>for MHIF’s reimbursement</w:t>
      </w:r>
      <w:r w:rsidR="00E50C88" w:rsidRPr="0073219F">
        <w:rPr>
          <w:rFonts w:eastAsia="Times New Roman" w:cstheme="minorHAnsi"/>
          <w:sz w:val="20"/>
        </w:rPr>
        <w:t>:</w:t>
      </w:r>
      <w:r w:rsidR="0055655A" w:rsidRPr="0073219F">
        <w:rPr>
          <w:rFonts w:eastAsia="Times New Roman" w:cstheme="minorHAnsi"/>
          <w:sz w:val="20"/>
        </w:rPr>
        <w:t xml:space="preserve"> </w:t>
      </w:r>
      <w:r w:rsidR="00A63B58" w:rsidRPr="0073219F">
        <w:rPr>
          <w:rFonts w:eastAsia="Times New Roman" w:cstheme="minorHAnsi"/>
          <w:sz w:val="20"/>
        </w:rPr>
        <w:t>ADP database</w:t>
      </w:r>
      <w:r w:rsidR="00E50C88" w:rsidRPr="0073219F">
        <w:rPr>
          <w:rFonts w:eastAsia="Times New Roman" w:cstheme="minorHAnsi"/>
          <w:sz w:val="20"/>
        </w:rPr>
        <w:t xml:space="preserve">; (2) For </w:t>
      </w:r>
      <w:r w:rsidR="00D23AA0" w:rsidRPr="0073219F">
        <w:rPr>
          <w:rFonts w:eastAsia="Times New Roman" w:cstheme="minorHAnsi"/>
          <w:sz w:val="20"/>
        </w:rPr>
        <w:t>population in need</w:t>
      </w:r>
      <w:r w:rsidR="00E50C88" w:rsidRPr="0073219F">
        <w:rPr>
          <w:rFonts w:eastAsia="Times New Roman" w:cstheme="minorHAnsi"/>
          <w:sz w:val="20"/>
        </w:rPr>
        <w:t xml:space="preserve">: number of people with </w:t>
      </w:r>
      <w:r w:rsidR="00CB2CCB" w:rsidRPr="0073219F">
        <w:rPr>
          <w:rFonts w:eastAsia="Times New Roman" w:cstheme="minorHAnsi"/>
          <w:sz w:val="20"/>
        </w:rPr>
        <w:t>hypertension</w:t>
      </w:r>
      <w:r w:rsidR="00EE10DC" w:rsidRPr="0073219F">
        <w:rPr>
          <w:rFonts w:eastAsia="Times New Roman" w:cstheme="minorHAnsi"/>
          <w:sz w:val="20"/>
        </w:rPr>
        <w:t xml:space="preserve"> and diabetes</w:t>
      </w:r>
      <w:r w:rsidR="00E50C88" w:rsidRPr="0073219F">
        <w:rPr>
          <w:rFonts w:eastAsia="Times New Roman" w:cstheme="minorHAnsi"/>
          <w:sz w:val="20"/>
        </w:rPr>
        <w:t xml:space="preserve"> represents the </w:t>
      </w:r>
      <w:r w:rsidR="00EE10DC" w:rsidRPr="0073219F">
        <w:rPr>
          <w:rFonts w:eastAsia="Times New Roman" w:cstheme="minorHAnsi"/>
          <w:sz w:val="20"/>
        </w:rPr>
        <w:t>registered</w:t>
      </w:r>
      <w:r w:rsidR="00CB2CCB" w:rsidRPr="0073219F">
        <w:rPr>
          <w:rFonts w:eastAsia="Times New Roman" w:cstheme="minorHAnsi"/>
          <w:sz w:val="20"/>
        </w:rPr>
        <w:t xml:space="preserve"> cases recorded by eHealth center</w:t>
      </w:r>
      <w:r w:rsidR="00ED5FF2" w:rsidRPr="0073219F">
        <w:rPr>
          <w:rFonts w:eastAsia="Times New Roman" w:cstheme="minorHAnsi"/>
          <w:sz w:val="20"/>
        </w:rPr>
        <w:t xml:space="preserve">; number of people with anemia is a sum of estimated number of children ages 0-5 with anemia and estimated number of women ages 15-49 with anemia </w:t>
      </w:r>
      <w:r w:rsidR="00811571" w:rsidRPr="0073219F">
        <w:rPr>
          <w:rFonts w:eastAsia="Times New Roman" w:cstheme="minorHAnsi"/>
          <w:sz w:val="20"/>
        </w:rPr>
        <w:t>(source: WDI)</w:t>
      </w:r>
      <w:r w:rsidR="00ED15CD" w:rsidRPr="0073219F">
        <w:rPr>
          <w:rFonts w:eastAsia="Times New Roman" w:cstheme="minorHAnsi"/>
          <w:sz w:val="20"/>
        </w:rPr>
        <w:t xml:space="preserve">; people in need of oral and injection contraceptives are women ages </w:t>
      </w:r>
      <w:r w:rsidR="00687318" w:rsidRPr="0073219F">
        <w:rPr>
          <w:rFonts w:eastAsia="Times New Roman" w:cstheme="minorHAnsi"/>
          <w:sz w:val="20"/>
        </w:rPr>
        <w:t xml:space="preserve">15-49. All data are for 2017 except the estimated population in need </w:t>
      </w:r>
      <w:r w:rsidR="0073219F" w:rsidRPr="0073219F">
        <w:rPr>
          <w:rFonts w:eastAsia="Times New Roman" w:cstheme="minorHAnsi"/>
          <w:sz w:val="20"/>
        </w:rPr>
        <w:t>for anemia drugs and contraceptives (2016)</w:t>
      </w:r>
      <w:r w:rsidR="0073512B">
        <w:rPr>
          <w:rFonts w:eastAsia="Times New Roman" w:cstheme="minorHAnsi"/>
          <w:sz w:val="20"/>
        </w:rPr>
        <w:t>.</w:t>
      </w:r>
      <w:r w:rsidR="009019CD">
        <w:rPr>
          <w:rFonts w:eastAsia="Times New Roman" w:cstheme="minorHAnsi"/>
          <w:sz w:val="20"/>
        </w:rPr>
        <w:t xml:space="preserve"> Exchange rate: US$1=Kyrgyz </w:t>
      </w:r>
      <w:proofErr w:type="spellStart"/>
      <w:r w:rsidR="009019CD">
        <w:rPr>
          <w:rFonts w:eastAsia="Times New Roman" w:cstheme="minorHAnsi"/>
          <w:sz w:val="20"/>
        </w:rPr>
        <w:t>soms</w:t>
      </w:r>
      <w:proofErr w:type="spellEnd"/>
      <w:r w:rsidR="009019CD">
        <w:rPr>
          <w:rFonts w:eastAsia="Times New Roman" w:cstheme="minorHAnsi"/>
          <w:sz w:val="20"/>
        </w:rPr>
        <w:t xml:space="preserve"> 70.</w:t>
      </w:r>
    </w:p>
    <w:p w14:paraId="3A47A75C" w14:textId="4375D54B" w:rsidR="0097668B" w:rsidRDefault="00DE6B3D" w:rsidP="00363D34">
      <w:pPr>
        <w:spacing w:after="120" w:line="240" w:lineRule="auto"/>
        <w:jc w:val="both"/>
        <w:rPr>
          <w:rFonts w:eastAsia="Times New Roman" w:cstheme="minorHAnsi"/>
        </w:rPr>
      </w:pPr>
      <w:r w:rsidRPr="00E6167F">
        <w:rPr>
          <w:rFonts w:cstheme="minorHAnsi"/>
        </w:rPr>
        <w:t xml:space="preserve">The inclusion of specialized services (psychiatry, oncology, </w:t>
      </w:r>
      <w:r w:rsidR="005D40F0" w:rsidRPr="00E6167F">
        <w:rPr>
          <w:rFonts w:cstheme="minorHAnsi"/>
        </w:rPr>
        <w:t>hematology, and cardiac surgery</w:t>
      </w:r>
      <w:r w:rsidR="00595CF2">
        <w:rPr>
          <w:rFonts w:cstheme="minorHAnsi"/>
        </w:rPr>
        <w:t>)</w:t>
      </w:r>
      <w:r w:rsidR="005D40F0" w:rsidRPr="00E6167F">
        <w:rPr>
          <w:rFonts w:cstheme="minorHAnsi"/>
        </w:rPr>
        <w:t xml:space="preserve"> </w:t>
      </w:r>
      <w:r w:rsidR="003376C1" w:rsidRPr="00E6167F">
        <w:rPr>
          <w:rFonts w:cstheme="minorHAnsi"/>
        </w:rPr>
        <w:t xml:space="preserve">under the Single Purchaser system in </w:t>
      </w:r>
      <w:r w:rsidR="0097668B" w:rsidRPr="00E6167F">
        <w:rPr>
          <w:rFonts w:cstheme="minorHAnsi"/>
        </w:rPr>
        <w:t>2016</w:t>
      </w:r>
      <w:r w:rsidR="005D40F0" w:rsidRPr="00E6167F">
        <w:rPr>
          <w:rFonts w:cstheme="minorHAnsi"/>
        </w:rPr>
        <w:t xml:space="preserve"> was not accompanied with </w:t>
      </w:r>
      <w:r w:rsidR="003376C1" w:rsidRPr="00E6167F">
        <w:rPr>
          <w:rFonts w:cstheme="minorHAnsi"/>
        </w:rPr>
        <w:t xml:space="preserve">adequate funding. </w:t>
      </w:r>
      <w:r w:rsidR="00D75BDE">
        <w:rPr>
          <w:rFonts w:cstheme="minorHAnsi"/>
        </w:rPr>
        <w:t>For example, i</w:t>
      </w:r>
      <w:r w:rsidR="0097668B" w:rsidRPr="00E6167F">
        <w:rPr>
          <w:rFonts w:eastAsia="Times New Roman" w:cstheme="minorHAnsi"/>
        </w:rPr>
        <w:t>n 2016</w:t>
      </w:r>
      <w:r w:rsidR="00164D27" w:rsidRPr="00E6167F">
        <w:rPr>
          <w:rFonts w:eastAsia="Times New Roman" w:cstheme="minorHAnsi"/>
        </w:rPr>
        <w:t>,</w:t>
      </w:r>
      <w:r w:rsidR="0097668B" w:rsidRPr="00E6167F">
        <w:rPr>
          <w:rFonts w:eastAsia="Times New Roman" w:cstheme="minorHAnsi"/>
        </w:rPr>
        <w:t xml:space="preserve"> there were </w:t>
      </w:r>
      <w:r w:rsidR="00697E3A" w:rsidRPr="00E6167F">
        <w:rPr>
          <w:rFonts w:eastAsia="Times New Roman" w:cstheme="minorHAnsi"/>
        </w:rPr>
        <w:t xml:space="preserve">roughly </w:t>
      </w:r>
      <w:r w:rsidR="0097668B" w:rsidRPr="00E6167F">
        <w:rPr>
          <w:rFonts w:eastAsia="Times New Roman" w:cstheme="minorHAnsi"/>
        </w:rPr>
        <w:t>4</w:t>
      </w:r>
      <w:r w:rsidR="00697E3A" w:rsidRPr="00E6167F">
        <w:rPr>
          <w:rFonts w:eastAsia="Times New Roman" w:cstheme="minorHAnsi"/>
        </w:rPr>
        <w:t>,</w:t>
      </w:r>
      <w:r w:rsidR="0097668B" w:rsidRPr="00E6167F">
        <w:rPr>
          <w:rFonts w:eastAsia="Times New Roman" w:cstheme="minorHAnsi"/>
        </w:rPr>
        <w:t>200 surgeries, 1</w:t>
      </w:r>
      <w:r w:rsidR="00697E3A" w:rsidRPr="00E6167F">
        <w:rPr>
          <w:rFonts w:eastAsia="Times New Roman" w:cstheme="minorHAnsi"/>
        </w:rPr>
        <w:t>,</w:t>
      </w:r>
      <w:r w:rsidR="0097668B" w:rsidRPr="00E6167F">
        <w:rPr>
          <w:rFonts w:eastAsia="Times New Roman" w:cstheme="minorHAnsi"/>
        </w:rPr>
        <w:t>500 patients on chemotherapy, and 600 patients on radiotherapy</w:t>
      </w:r>
      <w:r w:rsidR="00D75BDE">
        <w:rPr>
          <w:rFonts w:eastAsia="Times New Roman" w:cstheme="minorHAnsi"/>
        </w:rPr>
        <w:t xml:space="preserve"> </w:t>
      </w:r>
      <w:r w:rsidR="000B3610">
        <w:rPr>
          <w:rFonts w:eastAsia="Times New Roman" w:cstheme="minorHAnsi"/>
        </w:rPr>
        <w:t xml:space="preserve">at the </w:t>
      </w:r>
      <w:r w:rsidR="00D75BDE" w:rsidRPr="00E6167F">
        <w:rPr>
          <w:rFonts w:eastAsia="Times New Roman" w:cstheme="minorHAnsi"/>
        </w:rPr>
        <w:t xml:space="preserve">National Center for Oncology and Hematology </w:t>
      </w:r>
      <w:r w:rsidR="000B3610">
        <w:rPr>
          <w:rFonts w:eastAsia="Times New Roman" w:cstheme="minorHAnsi"/>
        </w:rPr>
        <w:t xml:space="preserve">- </w:t>
      </w:r>
      <w:r w:rsidR="00D75BDE" w:rsidRPr="00E6167F">
        <w:rPr>
          <w:rFonts w:eastAsia="Times New Roman" w:cstheme="minorHAnsi"/>
        </w:rPr>
        <w:t>the only facility provid</w:t>
      </w:r>
      <w:r w:rsidR="000B3610">
        <w:rPr>
          <w:rFonts w:eastAsia="Times New Roman" w:cstheme="minorHAnsi"/>
        </w:rPr>
        <w:t>ing</w:t>
      </w:r>
      <w:r w:rsidR="00D75BDE" w:rsidRPr="00E6167F">
        <w:rPr>
          <w:rFonts w:eastAsia="Times New Roman" w:cstheme="minorHAnsi"/>
        </w:rPr>
        <w:t xml:space="preserve"> complete cancer treatment. </w:t>
      </w:r>
      <w:r w:rsidR="000E6E94" w:rsidRPr="00E6167F">
        <w:rPr>
          <w:rFonts w:eastAsia="Times New Roman" w:cstheme="minorHAnsi"/>
        </w:rPr>
        <w:t xml:space="preserve">While there is no accurate data on the number of cancer patients in the country, </w:t>
      </w:r>
      <w:r w:rsidR="0097668B" w:rsidRPr="00E6167F">
        <w:rPr>
          <w:rFonts w:eastAsia="Times New Roman" w:cstheme="minorHAnsi"/>
        </w:rPr>
        <w:t>there are approximately 11</w:t>
      </w:r>
      <w:r w:rsidR="008043F3">
        <w:rPr>
          <w:rFonts w:eastAsia="Times New Roman" w:cstheme="minorHAnsi"/>
        </w:rPr>
        <w:t>,</w:t>
      </w:r>
      <w:r w:rsidR="0097668B" w:rsidRPr="00E6167F">
        <w:rPr>
          <w:rFonts w:eastAsia="Times New Roman" w:cstheme="minorHAnsi"/>
        </w:rPr>
        <w:t xml:space="preserve">000 new cancer patients in </w:t>
      </w:r>
      <w:r w:rsidR="000E6E94" w:rsidRPr="00E6167F">
        <w:rPr>
          <w:rFonts w:eastAsia="Times New Roman" w:cstheme="minorHAnsi"/>
        </w:rPr>
        <w:t xml:space="preserve">the </w:t>
      </w:r>
      <w:r w:rsidR="0097668B" w:rsidRPr="00E6167F">
        <w:rPr>
          <w:rFonts w:eastAsia="Times New Roman" w:cstheme="minorHAnsi"/>
        </w:rPr>
        <w:t>Kyrgyz</w:t>
      </w:r>
      <w:r w:rsidR="000E6E94" w:rsidRPr="00E6167F">
        <w:rPr>
          <w:rFonts w:eastAsia="Times New Roman" w:cstheme="minorHAnsi"/>
        </w:rPr>
        <w:t xml:space="preserve"> Republic</w:t>
      </w:r>
      <w:r w:rsidR="0097668B" w:rsidRPr="00E6167F">
        <w:rPr>
          <w:rFonts w:eastAsia="Times New Roman" w:cstheme="minorHAnsi"/>
        </w:rPr>
        <w:t xml:space="preserve"> per year</w:t>
      </w:r>
      <w:r w:rsidR="00EC0473" w:rsidRPr="00E6167F">
        <w:rPr>
          <w:rFonts w:eastAsia="Times New Roman" w:cstheme="minorHAnsi"/>
        </w:rPr>
        <w:t>, far more than the number receiving treatment</w:t>
      </w:r>
      <w:r w:rsidR="0092313A">
        <w:rPr>
          <w:rStyle w:val="FootnoteReference"/>
          <w:rFonts w:eastAsia="Times New Roman" w:cstheme="minorHAnsi"/>
        </w:rPr>
        <w:footnoteReference w:id="2"/>
      </w:r>
      <w:r w:rsidR="00EC0473" w:rsidRPr="00E6167F">
        <w:rPr>
          <w:rFonts w:eastAsia="Times New Roman" w:cstheme="minorHAnsi"/>
        </w:rPr>
        <w:t xml:space="preserve">. </w:t>
      </w:r>
      <w:r w:rsidR="00595CF2">
        <w:rPr>
          <w:rFonts w:eastAsia="Times New Roman" w:cstheme="minorHAnsi"/>
        </w:rPr>
        <w:t xml:space="preserve">Similarly, </w:t>
      </w:r>
      <w:r w:rsidR="007556F5">
        <w:rPr>
          <w:rFonts w:eastAsia="Times New Roman" w:cstheme="minorHAnsi"/>
        </w:rPr>
        <w:t>a</w:t>
      </w:r>
      <w:r w:rsidR="0097668B" w:rsidRPr="00E6167F">
        <w:rPr>
          <w:rFonts w:eastAsia="Times New Roman" w:cstheme="minorHAnsi"/>
        </w:rPr>
        <w:t xml:space="preserve">ccording to the </w:t>
      </w:r>
      <w:r w:rsidR="000C5B44" w:rsidRPr="00E6167F">
        <w:rPr>
          <w:rFonts w:eastAsia="Times New Roman" w:cstheme="minorHAnsi"/>
        </w:rPr>
        <w:t>description of the SGBP</w:t>
      </w:r>
      <w:r w:rsidR="00422DB8" w:rsidRPr="00E6167F">
        <w:rPr>
          <w:rFonts w:eastAsia="Times New Roman" w:cstheme="minorHAnsi"/>
        </w:rPr>
        <w:t xml:space="preserve">, </w:t>
      </w:r>
      <w:r w:rsidR="0097668B" w:rsidRPr="00E6167F">
        <w:rPr>
          <w:rFonts w:eastAsia="Times New Roman" w:cstheme="minorHAnsi"/>
        </w:rPr>
        <w:t xml:space="preserve">heart surgery for children under </w:t>
      </w:r>
      <w:r w:rsidR="000C5B44" w:rsidRPr="00E6167F">
        <w:rPr>
          <w:rFonts w:eastAsia="Times New Roman" w:cstheme="minorHAnsi"/>
        </w:rPr>
        <w:t xml:space="preserve">one </w:t>
      </w:r>
      <w:r w:rsidR="0097668B" w:rsidRPr="00E6167F">
        <w:rPr>
          <w:rFonts w:eastAsia="Times New Roman" w:cstheme="minorHAnsi"/>
        </w:rPr>
        <w:t>year of age should be 100% covered by MHIF</w:t>
      </w:r>
      <w:r w:rsidR="000C5B44" w:rsidRPr="00E6167F">
        <w:rPr>
          <w:rFonts w:eastAsia="Times New Roman" w:cstheme="minorHAnsi"/>
        </w:rPr>
        <w:t>. However,</w:t>
      </w:r>
      <w:r w:rsidR="0097668B" w:rsidRPr="00E6167F">
        <w:rPr>
          <w:rFonts w:eastAsia="Times New Roman" w:cstheme="minorHAnsi"/>
        </w:rPr>
        <w:t xml:space="preserve"> in reality only 10</w:t>
      </w:r>
      <w:r w:rsidR="000C5B44" w:rsidRPr="00E6167F">
        <w:rPr>
          <w:rFonts w:eastAsia="Times New Roman" w:cstheme="minorHAnsi"/>
        </w:rPr>
        <w:t>%</w:t>
      </w:r>
      <w:r w:rsidR="0097668B" w:rsidRPr="00E6167F">
        <w:rPr>
          <w:rFonts w:eastAsia="Times New Roman" w:cstheme="minorHAnsi"/>
        </w:rPr>
        <w:t>-15% is covered</w:t>
      </w:r>
      <w:r w:rsidR="007556F5">
        <w:rPr>
          <w:rFonts w:eastAsia="Times New Roman" w:cstheme="minorHAnsi"/>
        </w:rPr>
        <w:t xml:space="preserve">. </w:t>
      </w:r>
    </w:p>
    <w:p w14:paraId="1B158D07" w14:textId="6A34724F" w:rsidR="004F1146" w:rsidRPr="00E6167F" w:rsidRDefault="004F1146" w:rsidP="00DD3FAA">
      <w:pPr>
        <w:spacing w:line="240" w:lineRule="auto"/>
        <w:jc w:val="both"/>
      </w:pPr>
      <w:r w:rsidRPr="00E6167F">
        <w:t xml:space="preserve">A costing study of 35 inpatient services </w:t>
      </w:r>
      <w:r w:rsidR="005C1FDA">
        <w:t xml:space="preserve">conducted </w:t>
      </w:r>
      <w:r w:rsidRPr="00E6167F">
        <w:t xml:space="preserve">by the World Bank </w:t>
      </w:r>
      <w:r>
        <w:t>(</w:t>
      </w:r>
      <w:r w:rsidR="00DD3FAA">
        <w:t>forthcoming</w:t>
      </w:r>
      <w:r>
        <w:t xml:space="preserve">) </w:t>
      </w:r>
      <w:r w:rsidRPr="00E6167F">
        <w:t xml:space="preserve">documented that MHIF pays below the median cost </w:t>
      </w:r>
      <w:r w:rsidR="00A13FF2">
        <w:t xml:space="preserve">among studied hospitals </w:t>
      </w:r>
      <w:r w:rsidRPr="00E6167F">
        <w:t xml:space="preserve">for most services. </w:t>
      </w:r>
      <w:r>
        <w:t xml:space="preserve">Some of </w:t>
      </w:r>
      <w:r w:rsidRPr="00E6167F">
        <w:t>the difference</w:t>
      </w:r>
      <w:r>
        <w:t>s</w:t>
      </w:r>
      <w:r w:rsidRPr="00E6167F">
        <w:t xml:space="preserve"> </w:t>
      </w:r>
      <w:r>
        <w:t xml:space="preserve">are rather </w:t>
      </w:r>
      <w:r w:rsidRPr="00E6167F">
        <w:t>large, such as in the case of acute upper respiratory infection or pneumonia</w:t>
      </w:r>
      <w:r w:rsidR="00A13FF2">
        <w:t xml:space="preserve"> (table </w:t>
      </w:r>
      <w:r w:rsidR="00EE5DA8">
        <w:t>9</w:t>
      </w:r>
      <w:r w:rsidR="00A13FF2">
        <w:t>)</w:t>
      </w:r>
      <w:r w:rsidRPr="00E6167F">
        <w:t xml:space="preserve">. However, </w:t>
      </w:r>
      <w:r>
        <w:t xml:space="preserve">the study also revealed that </w:t>
      </w:r>
      <w:r w:rsidRPr="00E6167F">
        <w:t>MHIF does pay higher than the median level for some services and the</w:t>
      </w:r>
      <w:r w:rsidR="00E60055">
        <w:t>re is a large</w:t>
      </w:r>
      <w:r w:rsidRPr="00E6167F">
        <w:t xml:space="preserve"> cost variation among studied hospitals. Th</w:t>
      </w:r>
      <w:r w:rsidR="00D4651B">
        <w:t>ese</w:t>
      </w:r>
      <w:r w:rsidRPr="00E6167F">
        <w:t xml:space="preserve"> </w:t>
      </w:r>
      <w:r>
        <w:t xml:space="preserve">patterns </w:t>
      </w:r>
      <w:r w:rsidRPr="00E6167F">
        <w:t>suggest that the</w:t>
      </w:r>
      <w:r>
        <w:t>re</w:t>
      </w:r>
      <w:r w:rsidRPr="00E6167F">
        <w:t xml:space="preserve"> is more than </w:t>
      </w:r>
      <w:r>
        <w:t xml:space="preserve">just the </w:t>
      </w:r>
      <w:r w:rsidRPr="00E6167F">
        <w:t>under-funding</w:t>
      </w:r>
      <w:r>
        <w:t xml:space="preserve"> issue </w:t>
      </w:r>
      <w:r w:rsidR="005D42A6">
        <w:t xml:space="preserve">and </w:t>
      </w:r>
      <w:r>
        <w:t xml:space="preserve">further investigation is warranted into the hospital operation and pricing mechanism of the MHIF. </w:t>
      </w:r>
    </w:p>
    <w:p w14:paraId="165D21ED" w14:textId="77777777" w:rsidR="00132B20" w:rsidRDefault="00132B20">
      <w:pPr>
        <w:rPr>
          <w:b/>
        </w:rPr>
      </w:pPr>
      <w:r>
        <w:rPr>
          <w:b/>
        </w:rPr>
        <w:br w:type="page"/>
      </w:r>
    </w:p>
    <w:p w14:paraId="24D00D2D" w14:textId="4B005EB8" w:rsidR="004F1146" w:rsidRPr="00132B20" w:rsidRDefault="003A0977" w:rsidP="00132B20">
      <w:pPr>
        <w:spacing w:before="240" w:after="120" w:line="240" w:lineRule="auto"/>
        <w:rPr>
          <w:b/>
        </w:rPr>
      </w:pPr>
      <w:r w:rsidRPr="00132B20">
        <w:rPr>
          <w:b/>
        </w:rPr>
        <w:lastRenderedPageBreak/>
        <w:t xml:space="preserve">Table </w:t>
      </w:r>
      <w:r w:rsidR="00EE5DA8">
        <w:rPr>
          <w:b/>
        </w:rPr>
        <w:t>9</w:t>
      </w:r>
      <w:r w:rsidRPr="00132B20">
        <w:rPr>
          <w:b/>
        </w:rPr>
        <w:t>.</w:t>
      </w:r>
      <w:r w:rsidR="0051500C" w:rsidRPr="00132B20">
        <w:rPr>
          <w:b/>
        </w:rPr>
        <w:t xml:space="preserve"> </w:t>
      </w:r>
      <w:r w:rsidR="006C1FD9" w:rsidRPr="00132B20">
        <w:rPr>
          <w:b/>
        </w:rPr>
        <w:t xml:space="preserve">MHIF payment and median cost of certain inpatient services, 2018 (Kyrgyz </w:t>
      </w:r>
      <w:proofErr w:type="spellStart"/>
      <w:r w:rsidR="006C1FD9" w:rsidRPr="00132B20">
        <w:rPr>
          <w:b/>
        </w:rPr>
        <w:t>soms</w:t>
      </w:r>
      <w:proofErr w:type="spellEnd"/>
      <w:r w:rsidR="006C1FD9" w:rsidRPr="00132B20">
        <w:rPr>
          <w:b/>
        </w:rPr>
        <w:t>)</w:t>
      </w:r>
      <w:r w:rsidR="004F1146" w:rsidRPr="00132B20">
        <w:rPr>
          <w:b/>
        </w:rPr>
        <w:t xml:space="preserve"> </w:t>
      </w:r>
    </w:p>
    <w:tbl>
      <w:tblPr>
        <w:tblW w:w="0" w:type="auto"/>
        <w:tblBorders>
          <w:top w:val="single" w:sz="4" w:space="0" w:color="auto"/>
          <w:bottom w:val="single" w:sz="4" w:space="0" w:color="auto"/>
        </w:tblBorders>
        <w:tblLook w:val="04A0" w:firstRow="1" w:lastRow="0" w:firstColumn="1" w:lastColumn="0" w:noHBand="0" w:noVBand="1"/>
      </w:tblPr>
      <w:tblGrid>
        <w:gridCol w:w="4916"/>
        <w:gridCol w:w="1572"/>
        <w:gridCol w:w="1342"/>
      </w:tblGrid>
      <w:tr w:rsidR="003269E1" w:rsidRPr="00CB30EC" w14:paraId="6D71ED0A" w14:textId="77777777" w:rsidTr="00CB30EC">
        <w:trPr>
          <w:trHeight w:val="288"/>
        </w:trPr>
        <w:tc>
          <w:tcPr>
            <w:tcW w:w="0" w:type="auto"/>
            <w:tcBorders>
              <w:top w:val="single" w:sz="4" w:space="0" w:color="auto"/>
              <w:bottom w:val="single" w:sz="4" w:space="0" w:color="auto"/>
            </w:tcBorders>
            <w:shd w:val="clear" w:color="auto" w:fill="F2F2F2" w:themeFill="background1" w:themeFillShade="F2"/>
            <w:noWrap/>
            <w:vAlign w:val="bottom"/>
          </w:tcPr>
          <w:p w14:paraId="4E46EE8E" w14:textId="77777777" w:rsidR="004F1146" w:rsidRDefault="004F1146" w:rsidP="00363D34">
            <w:pPr>
              <w:spacing w:after="0" w:line="240" w:lineRule="auto"/>
              <w:contextualSpacing/>
              <w:jc w:val="both"/>
              <w:rPr>
                <w:rFonts w:eastAsia="Times New Roman" w:cstheme="minorHAnsi"/>
                <w:b/>
              </w:rPr>
            </w:pPr>
            <w:r w:rsidRPr="00CB30EC">
              <w:rPr>
                <w:rFonts w:eastAsia="Times New Roman" w:cstheme="minorHAnsi"/>
                <w:b/>
              </w:rPr>
              <w:t xml:space="preserve">Diagnosis and procedure </w:t>
            </w:r>
          </w:p>
          <w:p w14:paraId="5C9643B3" w14:textId="5F9ABCB9" w:rsidR="00CB30EC" w:rsidRPr="00CB30EC" w:rsidRDefault="00CB30EC" w:rsidP="00363D34">
            <w:pPr>
              <w:spacing w:after="0" w:line="240" w:lineRule="auto"/>
              <w:contextualSpacing/>
              <w:jc w:val="both"/>
              <w:rPr>
                <w:rFonts w:eastAsia="Times New Roman" w:cstheme="minorHAnsi"/>
                <w:b/>
              </w:rPr>
            </w:pPr>
          </w:p>
        </w:tc>
        <w:tc>
          <w:tcPr>
            <w:tcW w:w="0" w:type="auto"/>
            <w:tcBorders>
              <w:top w:val="single" w:sz="4" w:space="0" w:color="auto"/>
              <w:bottom w:val="single" w:sz="4" w:space="0" w:color="auto"/>
            </w:tcBorders>
            <w:shd w:val="clear" w:color="auto" w:fill="F2F2F2" w:themeFill="background1" w:themeFillShade="F2"/>
            <w:noWrap/>
            <w:vAlign w:val="bottom"/>
          </w:tcPr>
          <w:p w14:paraId="2F0EA348" w14:textId="77777777" w:rsidR="004F1146" w:rsidRDefault="004F1146" w:rsidP="00F17634">
            <w:pPr>
              <w:spacing w:after="0" w:line="240" w:lineRule="auto"/>
              <w:contextualSpacing/>
              <w:jc w:val="right"/>
              <w:rPr>
                <w:rFonts w:eastAsia="Times New Roman" w:cstheme="minorHAnsi"/>
                <w:b/>
              </w:rPr>
            </w:pPr>
            <w:r w:rsidRPr="00CB30EC">
              <w:rPr>
                <w:rFonts w:eastAsia="Times New Roman" w:cstheme="minorHAnsi"/>
                <w:b/>
              </w:rPr>
              <w:t>MHIF payment</w:t>
            </w:r>
          </w:p>
          <w:p w14:paraId="0BB00764" w14:textId="5A98B2C2" w:rsidR="00CB30EC" w:rsidRPr="00CB30EC" w:rsidRDefault="00CB30EC" w:rsidP="00F17634">
            <w:pPr>
              <w:spacing w:after="0" w:line="240" w:lineRule="auto"/>
              <w:contextualSpacing/>
              <w:jc w:val="right"/>
              <w:rPr>
                <w:rFonts w:eastAsia="Times New Roman" w:cstheme="minorHAnsi"/>
                <w:b/>
              </w:rPr>
            </w:pPr>
          </w:p>
        </w:tc>
        <w:tc>
          <w:tcPr>
            <w:tcW w:w="0" w:type="auto"/>
            <w:tcBorders>
              <w:top w:val="single" w:sz="4" w:space="0" w:color="auto"/>
              <w:bottom w:val="single" w:sz="4" w:space="0" w:color="auto"/>
            </w:tcBorders>
            <w:shd w:val="clear" w:color="auto" w:fill="F2F2F2" w:themeFill="background1" w:themeFillShade="F2"/>
            <w:noWrap/>
            <w:vAlign w:val="center"/>
          </w:tcPr>
          <w:p w14:paraId="1ED7DF28" w14:textId="77777777" w:rsidR="004F1146" w:rsidRDefault="004F1146" w:rsidP="00F17634">
            <w:pPr>
              <w:spacing w:after="0" w:line="240" w:lineRule="auto"/>
              <w:contextualSpacing/>
              <w:jc w:val="right"/>
              <w:rPr>
                <w:rFonts w:eastAsia="Times New Roman" w:cstheme="minorHAnsi"/>
                <w:b/>
              </w:rPr>
            </w:pPr>
            <w:r w:rsidRPr="00CB30EC">
              <w:rPr>
                <w:rFonts w:eastAsia="Times New Roman" w:cstheme="minorHAnsi"/>
                <w:b/>
              </w:rPr>
              <w:t>Median cost</w:t>
            </w:r>
          </w:p>
          <w:p w14:paraId="7B18473D" w14:textId="5A237F4F" w:rsidR="00CB30EC" w:rsidRPr="00CB30EC" w:rsidRDefault="00CB30EC" w:rsidP="00F17634">
            <w:pPr>
              <w:spacing w:after="0" w:line="240" w:lineRule="auto"/>
              <w:contextualSpacing/>
              <w:jc w:val="right"/>
              <w:rPr>
                <w:rFonts w:eastAsia="Times New Roman" w:cstheme="minorHAnsi"/>
                <w:b/>
              </w:rPr>
            </w:pPr>
          </w:p>
        </w:tc>
      </w:tr>
      <w:tr w:rsidR="003269E1" w:rsidRPr="003269E1" w14:paraId="44937A3A" w14:textId="77777777" w:rsidTr="00CB30EC">
        <w:trPr>
          <w:trHeight w:val="288"/>
        </w:trPr>
        <w:tc>
          <w:tcPr>
            <w:tcW w:w="0" w:type="auto"/>
            <w:tcBorders>
              <w:top w:val="single" w:sz="4" w:space="0" w:color="auto"/>
            </w:tcBorders>
            <w:shd w:val="clear" w:color="auto" w:fill="auto"/>
            <w:noWrap/>
            <w:vAlign w:val="bottom"/>
            <w:hideMark/>
          </w:tcPr>
          <w:p w14:paraId="469F7877" w14:textId="77777777" w:rsidR="003269E1" w:rsidRPr="003269E1" w:rsidRDefault="003269E1" w:rsidP="003269E1">
            <w:pPr>
              <w:spacing w:after="0" w:line="240" w:lineRule="auto"/>
              <w:contextualSpacing/>
              <w:jc w:val="both"/>
              <w:rPr>
                <w:rFonts w:eastAsia="Times New Roman" w:cstheme="minorHAnsi"/>
              </w:rPr>
            </w:pPr>
            <w:r w:rsidRPr="003269E1">
              <w:rPr>
                <w:rFonts w:eastAsia="Times New Roman" w:cstheme="minorHAnsi"/>
              </w:rPr>
              <w:t>Acute upper respiratory infection, unspecified</w:t>
            </w:r>
          </w:p>
        </w:tc>
        <w:tc>
          <w:tcPr>
            <w:tcW w:w="0" w:type="auto"/>
            <w:tcBorders>
              <w:top w:val="single" w:sz="4" w:space="0" w:color="auto"/>
            </w:tcBorders>
            <w:shd w:val="clear" w:color="auto" w:fill="auto"/>
            <w:noWrap/>
            <w:vAlign w:val="bottom"/>
            <w:hideMark/>
          </w:tcPr>
          <w:p w14:paraId="6EDD535B" w14:textId="49205370" w:rsidR="003269E1" w:rsidRPr="003269E1" w:rsidRDefault="003269E1" w:rsidP="00F17634">
            <w:pPr>
              <w:spacing w:after="0" w:line="240" w:lineRule="auto"/>
              <w:contextualSpacing/>
              <w:jc w:val="right"/>
              <w:rPr>
                <w:rFonts w:eastAsia="Times New Roman" w:cstheme="minorHAnsi"/>
              </w:rPr>
            </w:pPr>
            <w:r w:rsidRPr="003269E1">
              <w:rPr>
                <w:rFonts w:eastAsia="Times New Roman" w:cstheme="minorHAnsi"/>
              </w:rPr>
              <w:t>4,745</w:t>
            </w:r>
          </w:p>
        </w:tc>
        <w:tc>
          <w:tcPr>
            <w:tcW w:w="0" w:type="auto"/>
            <w:tcBorders>
              <w:top w:val="single" w:sz="4" w:space="0" w:color="auto"/>
            </w:tcBorders>
            <w:shd w:val="clear" w:color="auto" w:fill="auto"/>
            <w:noWrap/>
            <w:vAlign w:val="center"/>
            <w:hideMark/>
          </w:tcPr>
          <w:p w14:paraId="3BD3BA01" w14:textId="04E6A2E2" w:rsidR="003269E1" w:rsidRPr="003269E1" w:rsidRDefault="003269E1" w:rsidP="00F17634">
            <w:pPr>
              <w:spacing w:after="0" w:line="240" w:lineRule="auto"/>
              <w:contextualSpacing/>
              <w:jc w:val="right"/>
              <w:rPr>
                <w:rFonts w:eastAsia="Times New Roman" w:cstheme="minorHAnsi"/>
              </w:rPr>
            </w:pPr>
            <w:r w:rsidRPr="003269E1">
              <w:rPr>
                <w:rFonts w:cstheme="minorHAnsi"/>
              </w:rPr>
              <w:t>9,271</w:t>
            </w:r>
          </w:p>
        </w:tc>
      </w:tr>
      <w:tr w:rsidR="003269E1" w:rsidRPr="003269E1" w14:paraId="74146112" w14:textId="77777777" w:rsidTr="00CB30EC">
        <w:trPr>
          <w:trHeight w:val="288"/>
        </w:trPr>
        <w:tc>
          <w:tcPr>
            <w:tcW w:w="0" w:type="auto"/>
            <w:shd w:val="clear" w:color="auto" w:fill="auto"/>
            <w:noWrap/>
            <w:vAlign w:val="bottom"/>
            <w:hideMark/>
          </w:tcPr>
          <w:p w14:paraId="68C4CFF2" w14:textId="77777777" w:rsidR="003269E1" w:rsidRPr="003269E1" w:rsidRDefault="003269E1" w:rsidP="003269E1">
            <w:pPr>
              <w:spacing w:after="0" w:line="240" w:lineRule="auto"/>
              <w:contextualSpacing/>
              <w:jc w:val="both"/>
              <w:rPr>
                <w:rFonts w:eastAsia="Times New Roman" w:cstheme="minorHAnsi"/>
              </w:rPr>
            </w:pPr>
            <w:r w:rsidRPr="003269E1">
              <w:rPr>
                <w:rFonts w:eastAsia="Times New Roman" w:cstheme="minorHAnsi"/>
              </w:rPr>
              <w:t>Hepatitis A without hepatic coma</w:t>
            </w:r>
          </w:p>
        </w:tc>
        <w:tc>
          <w:tcPr>
            <w:tcW w:w="0" w:type="auto"/>
            <w:shd w:val="clear" w:color="auto" w:fill="auto"/>
            <w:noWrap/>
            <w:vAlign w:val="bottom"/>
            <w:hideMark/>
          </w:tcPr>
          <w:p w14:paraId="616A5EB0" w14:textId="782DBDFC" w:rsidR="003269E1" w:rsidRPr="003269E1" w:rsidRDefault="003269E1" w:rsidP="00F17634">
            <w:pPr>
              <w:spacing w:after="0" w:line="240" w:lineRule="auto"/>
              <w:contextualSpacing/>
              <w:jc w:val="right"/>
              <w:rPr>
                <w:rFonts w:eastAsia="Times New Roman" w:cstheme="minorHAnsi"/>
              </w:rPr>
            </w:pPr>
            <w:r w:rsidRPr="003269E1">
              <w:rPr>
                <w:rFonts w:eastAsia="Times New Roman" w:cstheme="minorHAnsi"/>
              </w:rPr>
              <w:t>11,351</w:t>
            </w:r>
          </w:p>
        </w:tc>
        <w:tc>
          <w:tcPr>
            <w:tcW w:w="0" w:type="auto"/>
            <w:shd w:val="clear" w:color="auto" w:fill="auto"/>
            <w:noWrap/>
            <w:vAlign w:val="center"/>
            <w:hideMark/>
          </w:tcPr>
          <w:p w14:paraId="48BF75BB" w14:textId="60BEA463" w:rsidR="003269E1" w:rsidRPr="003269E1" w:rsidRDefault="003269E1" w:rsidP="00F17634">
            <w:pPr>
              <w:spacing w:after="0" w:line="240" w:lineRule="auto"/>
              <w:contextualSpacing/>
              <w:jc w:val="right"/>
              <w:rPr>
                <w:rFonts w:eastAsia="Times New Roman" w:cstheme="minorHAnsi"/>
              </w:rPr>
            </w:pPr>
            <w:r w:rsidRPr="003269E1">
              <w:rPr>
                <w:rFonts w:cstheme="minorHAnsi"/>
              </w:rPr>
              <w:t>11,198</w:t>
            </w:r>
          </w:p>
        </w:tc>
      </w:tr>
      <w:tr w:rsidR="003269E1" w:rsidRPr="003269E1" w14:paraId="1AB72B9B" w14:textId="77777777" w:rsidTr="00CB30EC">
        <w:trPr>
          <w:trHeight w:val="288"/>
        </w:trPr>
        <w:tc>
          <w:tcPr>
            <w:tcW w:w="0" w:type="auto"/>
            <w:shd w:val="clear" w:color="auto" w:fill="auto"/>
            <w:noWrap/>
            <w:vAlign w:val="bottom"/>
            <w:hideMark/>
          </w:tcPr>
          <w:p w14:paraId="4CDCDD15" w14:textId="77777777" w:rsidR="003269E1" w:rsidRPr="003269E1" w:rsidRDefault="003269E1" w:rsidP="003269E1">
            <w:pPr>
              <w:spacing w:after="0" w:line="240" w:lineRule="auto"/>
              <w:contextualSpacing/>
              <w:jc w:val="both"/>
              <w:rPr>
                <w:rFonts w:eastAsia="Times New Roman" w:cstheme="minorHAnsi"/>
              </w:rPr>
            </w:pPr>
            <w:r w:rsidRPr="003269E1">
              <w:rPr>
                <w:rFonts w:eastAsia="Times New Roman" w:cstheme="minorHAnsi"/>
              </w:rPr>
              <w:t xml:space="preserve">Type 2 diabetes mellitus with multiple complications  </w:t>
            </w:r>
          </w:p>
        </w:tc>
        <w:tc>
          <w:tcPr>
            <w:tcW w:w="0" w:type="auto"/>
            <w:shd w:val="clear" w:color="auto" w:fill="auto"/>
            <w:noWrap/>
            <w:vAlign w:val="bottom"/>
            <w:hideMark/>
          </w:tcPr>
          <w:p w14:paraId="501A5E0C" w14:textId="27EDBFB6" w:rsidR="003269E1" w:rsidRPr="003269E1" w:rsidRDefault="003269E1" w:rsidP="00F17634">
            <w:pPr>
              <w:spacing w:after="0" w:line="240" w:lineRule="auto"/>
              <w:contextualSpacing/>
              <w:jc w:val="right"/>
              <w:rPr>
                <w:rFonts w:eastAsia="Times New Roman" w:cstheme="minorHAnsi"/>
              </w:rPr>
            </w:pPr>
            <w:r w:rsidRPr="003269E1">
              <w:rPr>
                <w:rFonts w:eastAsia="Times New Roman" w:cstheme="minorHAnsi"/>
              </w:rPr>
              <w:t>9,208</w:t>
            </w:r>
          </w:p>
        </w:tc>
        <w:tc>
          <w:tcPr>
            <w:tcW w:w="0" w:type="auto"/>
            <w:shd w:val="clear" w:color="auto" w:fill="auto"/>
            <w:noWrap/>
            <w:vAlign w:val="center"/>
            <w:hideMark/>
          </w:tcPr>
          <w:p w14:paraId="1E96D006" w14:textId="208F8C2A" w:rsidR="003269E1" w:rsidRPr="003269E1" w:rsidRDefault="003269E1" w:rsidP="00F17634">
            <w:pPr>
              <w:spacing w:after="0" w:line="240" w:lineRule="auto"/>
              <w:contextualSpacing/>
              <w:jc w:val="right"/>
              <w:rPr>
                <w:rFonts w:eastAsia="Times New Roman" w:cstheme="minorHAnsi"/>
              </w:rPr>
            </w:pPr>
            <w:r w:rsidRPr="003269E1">
              <w:rPr>
                <w:rFonts w:cstheme="minorHAnsi"/>
              </w:rPr>
              <w:t>12,154</w:t>
            </w:r>
          </w:p>
        </w:tc>
      </w:tr>
      <w:tr w:rsidR="003269E1" w:rsidRPr="003269E1" w14:paraId="16F5D61B" w14:textId="77777777" w:rsidTr="00CB30EC">
        <w:trPr>
          <w:trHeight w:val="288"/>
        </w:trPr>
        <w:tc>
          <w:tcPr>
            <w:tcW w:w="0" w:type="auto"/>
            <w:shd w:val="clear" w:color="auto" w:fill="auto"/>
            <w:noWrap/>
            <w:vAlign w:val="bottom"/>
            <w:hideMark/>
          </w:tcPr>
          <w:p w14:paraId="0010A058" w14:textId="77777777" w:rsidR="003269E1" w:rsidRPr="003269E1" w:rsidRDefault="003269E1" w:rsidP="003269E1">
            <w:pPr>
              <w:spacing w:after="0" w:line="240" w:lineRule="auto"/>
              <w:contextualSpacing/>
              <w:jc w:val="both"/>
              <w:rPr>
                <w:rFonts w:eastAsia="Times New Roman" w:cstheme="minorHAnsi"/>
              </w:rPr>
            </w:pPr>
            <w:r w:rsidRPr="003269E1">
              <w:rPr>
                <w:rFonts w:eastAsia="Times New Roman" w:cstheme="minorHAnsi"/>
              </w:rPr>
              <w:t>Pneumonia, unspecified</w:t>
            </w:r>
          </w:p>
        </w:tc>
        <w:tc>
          <w:tcPr>
            <w:tcW w:w="0" w:type="auto"/>
            <w:shd w:val="clear" w:color="auto" w:fill="auto"/>
            <w:noWrap/>
            <w:vAlign w:val="bottom"/>
            <w:hideMark/>
          </w:tcPr>
          <w:p w14:paraId="18E40AF1" w14:textId="49699816" w:rsidR="003269E1" w:rsidRPr="003269E1" w:rsidRDefault="003269E1" w:rsidP="00F17634">
            <w:pPr>
              <w:spacing w:after="0" w:line="240" w:lineRule="auto"/>
              <w:contextualSpacing/>
              <w:jc w:val="right"/>
              <w:rPr>
                <w:rFonts w:eastAsia="Times New Roman" w:cstheme="minorHAnsi"/>
              </w:rPr>
            </w:pPr>
            <w:r w:rsidRPr="003269E1">
              <w:rPr>
                <w:rFonts w:eastAsia="Times New Roman" w:cstheme="minorHAnsi"/>
              </w:rPr>
              <w:t>6,30</w:t>
            </w:r>
            <w:r w:rsidR="00F17634">
              <w:rPr>
                <w:rFonts w:eastAsia="Times New Roman" w:cstheme="minorHAnsi"/>
              </w:rPr>
              <w:t>9</w:t>
            </w:r>
          </w:p>
        </w:tc>
        <w:tc>
          <w:tcPr>
            <w:tcW w:w="0" w:type="auto"/>
            <w:shd w:val="clear" w:color="auto" w:fill="auto"/>
            <w:noWrap/>
            <w:vAlign w:val="center"/>
            <w:hideMark/>
          </w:tcPr>
          <w:p w14:paraId="7F847127" w14:textId="46BF3753" w:rsidR="003269E1" w:rsidRPr="003269E1" w:rsidRDefault="003269E1" w:rsidP="00F17634">
            <w:pPr>
              <w:spacing w:after="0" w:line="240" w:lineRule="auto"/>
              <w:contextualSpacing/>
              <w:jc w:val="right"/>
              <w:rPr>
                <w:rFonts w:eastAsia="Times New Roman" w:cstheme="minorHAnsi"/>
              </w:rPr>
            </w:pPr>
            <w:r w:rsidRPr="003269E1">
              <w:rPr>
                <w:rFonts w:cstheme="minorHAnsi"/>
              </w:rPr>
              <w:t>11,915</w:t>
            </w:r>
          </w:p>
        </w:tc>
      </w:tr>
      <w:tr w:rsidR="003269E1" w:rsidRPr="003269E1" w14:paraId="7105ACEB" w14:textId="77777777" w:rsidTr="00CB30EC">
        <w:trPr>
          <w:trHeight w:val="288"/>
        </w:trPr>
        <w:tc>
          <w:tcPr>
            <w:tcW w:w="0" w:type="auto"/>
            <w:shd w:val="clear" w:color="auto" w:fill="auto"/>
            <w:noWrap/>
            <w:vAlign w:val="bottom"/>
            <w:hideMark/>
          </w:tcPr>
          <w:p w14:paraId="702391AA" w14:textId="77777777" w:rsidR="003269E1" w:rsidRPr="003269E1" w:rsidRDefault="003269E1" w:rsidP="003269E1">
            <w:pPr>
              <w:spacing w:after="0" w:line="240" w:lineRule="auto"/>
              <w:contextualSpacing/>
              <w:jc w:val="both"/>
              <w:rPr>
                <w:rFonts w:eastAsia="Times New Roman" w:cstheme="minorHAnsi"/>
              </w:rPr>
            </w:pPr>
            <w:r w:rsidRPr="003269E1">
              <w:rPr>
                <w:rFonts w:eastAsia="Times New Roman" w:cstheme="minorHAnsi"/>
              </w:rPr>
              <w:t>Classical cesarean section</w:t>
            </w:r>
          </w:p>
        </w:tc>
        <w:tc>
          <w:tcPr>
            <w:tcW w:w="0" w:type="auto"/>
            <w:shd w:val="clear" w:color="auto" w:fill="auto"/>
            <w:noWrap/>
            <w:vAlign w:val="bottom"/>
            <w:hideMark/>
          </w:tcPr>
          <w:p w14:paraId="1F980804" w14:textId="58B0CEA4" w:rsidR="003269E1" w:rsidRPr="003269E1" w:rsidRDefault="003269E1" w:rsidP="00F17634">
            <w:pPr>
              <w:spacing w:after="0" w:line="240" w:lineRule="auto"/>
              <w:contextualSpacing/>
              <w:jc w:val="right"/>
              <w:rPr>
                <w:rFonts w:eastAsia="Times New Roman" w:cstheme="minorHAnsi"/>
              </w:rPr>
            </w:pPr>
            <w:r w:rsidRPr="003269E1">
              <w:rPr>
                <w:rFonts w:eastAsia="Times New Roman" w:cstheme="minorHAnsi"/>
              </w:rPr>
              <w:t>7,515</w:t>
            </w:r>
          </w:p>
        </w:tc>
        <w:tc>
          <w:tcPr>
            <w:tcW w:w="0" w:type="auto"/>
            <w:vAlign w:val="center"/>
          </w:tcPr>
          <w:p w14:paraId="2678529A" w14:textId="74999A15" w:rsidR="003269E1" w:rsidRPr="003269E1" w:rsidRDefault="003269E1" w:rsidP="00F17634">
            <w:pPr>
              <w:spacing w:line="240" w:lineRule="auto"/>
              <w:contextualSpacing/>
              <w:jc w:val="right"/>
              <w:rPr>
                <w:rFonts w:eastAsia="Times New Roman" w:cstheme="minorHAnsi"/>
              </w:rPr>
            </w:pPr>
            <w:r w:rsidRPr="003269E1">
              <w:rPr>
                <w:rFonts w:cstheme="minorHAnsi"/>
              </w:rPr>
              <w:t>8,049</w:t>
            </w:r>
          </w:p>
        </w:tc>
      </w:tr>
      <w:tr w:rsidR="003269E1" w:rsidRPr="003269E1" w14:paraId="15BDBD30" w14:textId="77777777" w:rsidTr="00CB30EC">
        <w:trPr>
          <w:trHeight w:val="288"/>
        </w:trPr>
        <w:tc>
          <w:tcPr>
            <w:tcW w:w="0" w:type="auto"/>
            <w:shd w:val="clear" w:color="auto" w:fill="auto"/>
            <w:noWrap/>
            <w:vAlign w:val="bottom"/>
            <w:hideMark/>
          </w:tcPr>
          <w:p w14:paraId="01C79E73" w14:textId="220334C7" w:rsidR="003269E1" w:rsidRPr="003269E1" w:rsidRDefault="003269E1" w:rsidP="003269E1">
            <w:pPr>
              <w:spacing w:after="0" w:line="240" w:lineRule="auto"/>
              <w:contextualSpacing/>
              <w:jc w:val="both"/>
              <w:rPr>
                <w:rFonts w:eastAsia="Times New Roman" w:cstheme="minorHAnsi"/>
              </w:rPr>
            </w:pPr>
            <w:r w:rsidRPr="003269E1">
              <w:rPr>
                <w:rFonts w:eastAsia="Times New Roman" w:cstheme="minorHAnsi"/>
              </w:rPr>
              <w:t>Appendectomy</w:t>
            </w:r>
          </w:p>
        </w:tc>
        <w:tc>
          <w:tcPr>
            <w:tcW w:w="0" w:type="auto"/>
            <w:shd w:val="clear" w:color="auto" w:fill="auto"/>
            <w:noWrap/>
            <w:vAlign w:val="bottom"/>
            <w:hideMark/>
          </w:tcPr>
          <w:p w14:paraId="6216449E" w14:textId="65F00D54" w:rsidR="003269E1" w:rsidRPr="003269E1" w:rsidRDefault="003269E1" w:rsidP="00F17634">
            <w:pPr>
              <w:spacing w:after="0" w:line="240" w:lineRule="auto"/>
              <w:contextualSpacing/>
              <w:jc w:val="right"/>
              <w:rPr>
                <w:rFonts w:eastAsia="Times New Roman" w:cstheme="minorHAnsi"/>
              </w:rPr>
            </w:pPr>
            <w:r w:rsidRPr="003269E1">
              <w:rPr>
                <w:rFonts w:eastAsia="Times New Roman" w:cstheme="minorHAnsi"/>
              </w:rPr>
              <w:t>5,382</w:t>
            </w:r>
          </w:p>
        </w:tc>
        <w:tc>
          <w:tcPr>
            <w:tcW w:w="0" w:type="auto"/>
            <w:vAlign w:val="center"/>
          </w:tcPr>
          <w:p w14:paraId="0B534D00" w14:textId="2B86FE26" w:rsidR="003269E1" w:rsidRPr="003269E1" w:rsidRDefault="003269E1" w:rsidP="00F17634">
            <w:pPr>
              <w:spacing w:line="240" w:lineRule="auto"/>
              <w:contextualSpacing/>
              <w:jc w:val="right"/>
              <w:rPr>
                <w:rFonts w:eastAsia="Times New Roman" w:cstheme="minorHAnsi"/>
              </w:rPr>
            </w:pPr>
            <w:r w:rsidRPr="003269E1">
              <w:rPr>
                <w:rFonts w:cstheme="minorHAnsi"/>
              </w:rPr>
              <w:t>9,419</w:t>
            </w:r>
          </w:p>
        </w:tc>
      </w:tr>
      <w:tr w:rsidR="003269E1" w:rsidRPr="003269E1" w14:paraId="32EECF96" w14:textId="77777777" w:rsidTr="00CB30EC">
        <w:trPr>
          <w:trHeight w:val="288"/>
        </w:trPr>
        <w:tc>
          <w:tcPr>
            <w:tcW w:w="0" w:type="auto"/>
            <w:shd w:val="clear" w:color="auto" w:fill="auto"/>
            <w:noWrap/>
            <w:vAlign w:val="bottom"/>
            <w:hideMark/>
          </w:tcPr>
          <w:p w14:paraId="2B0F9927" w14:textId="700C6D5D" w:rsidR="003269E1" w:rsidRPr="003269E1" w:rsidRDefault="003269E1" w:rsidP="003269E1">
            <w:pPr>
              <w:spacing w:after="0" w:line="240" w:lineRule="auto"/>
              <w:contextualSpacing/>
              <w:jc w:val="both"/>
              <w:rPr>
                <w:rFonts w:eastAsia="Times New Roman" w:cstheme="minorHAnsi"/>
              </w:rPr>
            </w:pPr>
            <w:r w:rsidRPr="003269E1">
              <w:rPr>
                <w:rFonts w:eastAsia="Times New Roman" w:cstheme="minorHAnsi"/>
              </w:rPr>
              <w:t>Cholecystectomy</w:t>
            </w:r>
          </w:p>
        </w:tc>
        <w:tc>
          <w:tcPr>
            <w:tcW w:w="0" w:type="auto"/>
            <w:shd w:val="clear" w:color="auto" w:fill="auto"/>
            <w:noWrap/>
            <w:vAlign w:val="bottom"/>
            <w:hideMark/>
          </w:tcPr>
          <w:p w14:paraId="10734849" w14:textId="3546DD77" w:rsidR="003269E1" w:rsidRPr="003269E1" w:rsidRDefault="003269E1" w:rsidP="00F17634">
            <w:pPr>
              <w:spacing w:after="0" w:line="240" w:lineRule="auto"/>
              <w:contextualSpacing/>
              <w:jc w:val="right"/>
              <w:rPr>
                <w:rFonts w:eastAsia="Times New Roman" w:cstheme="minorHAnsi"/>
              </w:rPr>
            </w:pPr>
            <w:r w:rsidRPr="003269E1">
              <w:rPr>
                <w:rFonts w:eastAsia="Times New Roman" w:cstheme="minorHAnsi"/>
              </w:rPr>
              <w:t>6,510</w:t>
            </w:r>
          </w:p>
        </w:tc>
        <w:tc>
          <w:tcPr>
            <w:tcW w:w="0" w:type="auto"/>
            <w:vAlign w:val="center"/>
          </w:tcPr>
          <w:p w14:paraId="31A8C733" w14:textId="089A690B" w:rsidR="003269E1" w:rsidRPr="003269E1" w:rsidRDefault="003269E1" w:rsidP="00F17634">
            <w:pPr>
              <w:spacing w:line="240" w:lineRule="auto"/>
              <w:contextualSpacing/>
              <w:jc w:val="right"/>
              <w:rPr>
                <w:rFonts w:eastAsia="Times New Roman" w:cstheme="minorHAnsi"/>
              </w:rPr>
            </w:pPr>
            <w:r w:rsidRPr="003269E1">
              <w:rPr>
                <w:rFonts w:cstheme="minorHAnsi"/>
              </w:rPr>
              <w:t>9,440</w:t>
            </w:r>
          </w:p>
        </w:tc>
      </w:tr>
      <w:tr w:rsidR="003269E1" w:rsidRPr="003269E1" w14:paraId="19315A25" w14:textId="77777777" w:rsidTr="00CB30EC">
        <w:trPr>
          <w:trHeight w:val="288"/>
        </w:trPr>
        <w:tc>
          <w:tcPr>
            <w:tcW w:w="0" w:type="auto"/>
            <w:shd w:val="clear" w:color="auto" w:fill="auto"/>
            <w:noWrap/>
            <w:vAlign w:val="bottom"/>
            <w:hideMark/>
          </w:tcPr>
          <w:p w14:paraId="0E9E8217" w14:textId="27CC7608" w:rsidR="003269E1" w:rsidRPr="003269E1" w:rsidRDefault="003269E1" w:rsidP="003269E1">
            <w:pPr>
              <w:spacing w:after="0" w:line="240" w:lineRule="auto"/>
              <w:contextualSpacing/>
              <w:jc w:val="both"/>
              <w:rPr>
                <w:rFonts w:eastAsia="Times New Roman" w:cstheme="minorHAnsi"/>
              </w:rPr>
            </w:pPr>
            <w:r w:rsidRPr="003269E1">
              <w:rPr>
                <w:rFonts w:eastAsia="Times New Roman" w:cstheme="minorHAnsi"/>
              </w:rPr>
              <w:t>Laparoscopic cholecystectomy</w:t>
            </w:r>
          </w:p>
        </w:tc>
        <w:tc>
          <w:tcPr>
            <w:tcW w:w="0" w:type="auto"/>
            <w:shd w:val="clear" w:color="auto" w:fill="auto"/>
            <w:noWrap/>
            <w:vAlign w:val="bottom"/>
            <w:hideMark/>
          </w:tcPr>
          <w:p w14:paraId="71F1629A" w14:textId="0B9420DF" w:rsidR="003269E1" w:rsidRPr="003269E1" w:rsidRDefault="003269E1" w:rsidP="00F17634">
            <w:pPr>
              <w:spacing w:after="0" w:line="240" w:lineRule="auto"/>
              <w:contextualSpacing/>
              <w:jc w:val="right"/>
              <w:rPr>
                <w:rFonts w:eastAsia="Times New Roman" w:cstheme="minorHAnsi"/>
              </w:rPr>
            </w:pPr>
            <w:r w:rsidRPr="003269E1">
              <w:rPr>
                <w:rFonts w:eastAsia="Times New Roman" w:cstheme="minorHAnsi"/>
              </w:rPr>
              <w:t>6,070</w:t>
            </w:r>
          </w:p>
        </w:tc>
        <w:tc>
          <w:tcPr>
            <w:tcW w:w="0" w:type="auto"/>
            <w:vAlign w:val="center"/>
          </w:tcPr>
          <w:p w14:paraId="54609B44" w14:textId="263051F2" w:rsidR="003269E1" w:rsidRPr="003269E1" w:rsidRDefault="003269E1" w:rsidP="00F17634">
            <w:pPr>
              <w:spacing w:line="240" w:lineRule="auto"/>
              <w:contextualSpacing/>
              <w:jc w:val="right"/>
              <w:rPr>
                <w:rFonts w:eastAsia="Times New Roman" w:cstheme="minorHAnsi"/>
              </w:rPr>
            </w:pPr>
            <w:r w:rsidRPr="003269E1">
              <w:rPr>
                <w:rFonts w:cstheme="minorHAnsi"/>
              </w:rPr>
              <w:t>14,829</w:t>
            </w:r>
          </w:p>
        </w:tc>
      </w:tr>
    </w:tbl>
    <w:p w14:paraId="155BFA23" w14:textId="7BB32056" w:rsidR="004F1146" w:rsidRPr="001B0064" w:rsidRDefault="004F1146" w:rsidP="005D42A6">
      <w:pPr>
        <w:pStyle w:val="ListParagraph"/>
        <w:spacing w:line="240" w:lineRule="auto"/>
        <w:ind w:left="0"/>
        <w:jc w:val="both"/>
        <w:rPr>
          <w:rFonts w:cstheme="minorHAnsi"/>
          <w:sz w:val="20"/>
          <w:szCs w:val="20"/>
        </w:rPr>
      </w:pPr>
      <w:r w:rsidRPr="001B0064">
        <w:rPr>
          <w:rFonts w:cstheme="minorHAnsi"/>
          <w:sz w:val="20"/>
          <w:szCs w:val="20"/>
        </w:rPr>
        <w:t>Source</w:t>
      </w:r>
      <w:r w:rsidR="005D42A6" w:rsidRPr="001B0064">
        <w:rPr>
          <w:rFonts w:cstheme="minorHAnsi"/>
          <w:sz w:val="20"/>
          <w:szCs w:val="20"/>
        </w:rPr>
        <w:t xml:space="preserve"> of data</w:t>
      </w:r>
      <w:r w:rsidRPr="001B0064">
        <w:rPr>
          <w:rFonts w:cstheme="minorHAnsi"/>
          <w:sz w:val="20"/>
          <w:szCs w:val="20"/>
        </w:rPr>
        <w:t xml:space="preserve">: </w:t>
      </w:r>
      <w:r w:rsidR="00B62C70" w:rsidRPr="001B0064">
        <w:rPr>
          <w:rFonts w:cstheme="minorHAnsi"/>
          <w:sz w:val="20"/>
          <w:szCs w:val="20"/>
        </w:rPr>
        <w:t xml:space="preserve">The </w:t>
      </w:r>
      <w:r w:rsidRPr="001B0064">
        <w:rPr>
          <w:rFonts w:cstheme="minorHAnsi"/>
          <w:sz w:val="20"/>
          <w:szCs w:val="20"/>
        </w:rPr>
        <w:t xml:space="preserve">World Bank </w:t>
      </w:r>
      <w:r w:rsidR="00B62C70" w:rsidRPr="001B0064">
        <w:rPr>
          <w:rFonts w:cstheme="minorHAnsi"/>
          <w:sz w:val="20"/>
          <w:szCs w:val="20"/>
        </w:rPr>
        <w:t>(</w:t>
      </w:r>
      <w:r w:rsidR="00483687" w:rsidRPr="001B0064">
        <w:rPr>
          <w:rFonts w:cstheme="minorHAnsi"/>
          <w:sz w:val="20"/>
          <w:szCs w:val="20"/>
        </w:rPr>
        <w:t>2019b</w:t>
      </w:r>
      <w:r w:rsidR="00487814" w:rsidRPr="001B0064">
        <w:rPr>
          <w:rFonts w:cstheme="minorHAnsi"/>
          <w:sz w:val="20"/>
          <w:szCs w:val="20"/>
        </w:rPr>
        <w:t>,</w:t>
      </w:r>
      <w:r w:rsidR="00483687" w:rsidRPr="001B0064">
        <w:rPr>
          <w:rFonts w:cstheme="minorHAnsi"/>
          <w:sz w:val="20"/>
          <w:szCs w:val="20"/>
        </w:rPr>
        <w:t xml:space="preserve"> </w:t>
      </w:r>
      <w:r w:rsidR="005D42A6" w:rsidRPr="001B0064">
        <w:rPr>
          <w:rFonts w:cstheme="minorHAnsi"/>
          <w:sz w:val="20"/>
          <w:szCs w:val="20"/>
        </w:rPr>
        <w:t>forthcoming</w:t>
      </w:r>
      <w:r w:rsidRPr="001B0064">
        <w:rPr>
          <w:rFonts w:cstheme="minorHAnsi"/>
          <w:sz w:val="20"/>
          <w:szCs w:val="20"/>
        </w:rPr>
        <w:t>)</w:t>
      </w:r>
      <w:r w:rsidR="00B62C70" w:rsidRPr="001B0064">
        <w:rPr>
          <w:rFonts w:cstheme="minorHAnsi"/>
          <w:sz w:val="20"/>
          <w:szCs w:val="20"/>
        </w:rPr>
        <w:t xml:space="preserve"> preliminary results</w:t>
      </w:r>
    </w:p>
    <w:p w14:paraId="520C69F1" w14:textId="77777777" w:rsidR="001B0064" w:rsidRDefault="001B0064" w:rsidP="00363D34">
      <w:pPr>
        <w:pStyle w:val="ListParagraph"/>
        <w:spacing w:line="240" w:lineRule="auto"/>
        <w:ind w:left="0"/>
        <w:contextualSpacing w:val="0"/>
        <w:jc w:val="both"/>
        <w:rPr>
          <w:rFonts w:eastAsia="Times New Roman" w:cstheme="minorHAnsi"/>
        </w:rPr>
      </w:pPr>
    </w:p>
    <w:p w14:paraId="2BA67183" w14:textId="3506698F" w:rsidR="00480970" w:rsidRPr="00E6167F" w:rsidRDefault="00D229E9" w:rsidP="00363D34">
      <w:pPr>
        <w:pStyle w:val="ListParagraph"/>
        <w:spacing w:line="240" w:lineRule="auto"/>
        <w:ind w:left="0"/>
        <w:contextualSpacing w:val="0"/>
        <w:jc w:val="both"/>
        <w:rPr>
          <w:rFonts w:eastAsia="Times New Roman" w:cstheme="minorHAnsi"/>
        </w:rPr>
      </w:pPr>
      <w:r>
        <w:rPr>
          <w:rFonts w:eastAsia="Times New Roman" w:cstheme="minorHAnsi"/>
          <w:noProof/>
        </w:rPr>
        <mc:AlternateContent>
          <mc:Choice Requires="wpi">
            <w:drawing>
              <wp:anchor distT="0" distB="0" distL="114300" distR="114300" simplePos="0" relativeHeight="251667456" behindDoc="0" locked="0" layoutInCell="1" allowOverlap="1" wp14:anchorId="67E5CC36" wp14:editId="0A4BEE01">
                <wp:simplePos x="0" y="0"/>
                <wp:positionH relativeFrom="column">
                  <wp:posOffset>719845</wp:posOffset>
                </wp:positionH>
                <wp:positionV relativeFrom="paragraph">
                  <wp:posOffset>84850</wp:posOffset>
                </wp:positionV>
                <wp:extent cx="3240" cy="360"/>
                <wp:effectExtent l="57150" t="57150" r="73025" b="76200"/>
                <wp:wrapNone/>
                <wp:docPr id="18" name="Ink 18"/>
                <wp:cNvGraphicFramePr/>
                <a:graphic xmlns:a="http://schemas.openxmlformats.org/drawingml/2006/main">
                  <a:graphicData uri="http://schemas.microsoft.com/office/word/2010/wordprocessingInk">
                    <w14:contentPart bwMode="auto" r:id="rId14">
                      <w14:nvContentPartPr>
                        <w14:cNvContentPartPr/>
                      </w14:nvContentPartPr>
                      <w14:xfrm>
                        <a:off x="0" y="0"/>
                        <a:ext cx="3240" cy="360"/>
                      </w14:xfrm>
                    </w14:contentPart>
                  </a:graphicData>
                </a:graphic>
              </wp:anchor>
            </w:drawing>
          </mc:Choice>
          <mc:Fallback>
            <w:pict>
              <v:shapetype w14:anchorId="1756329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55.3pt;margin-top:5.3pt;width:3.05pt;height:2.9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J1/aEAQAALQMAAA4AAABkcnMvZTJvRG9jLnhtbJxSQW7CMBC8V+of&#10;LN9LEqAURSQciipxaMuhfYDr2MRq7I3WhsDvuwmkQKuqEpfIuxOPZ3Z2Nt/Zim0VegMu48kg5kw5&#10;CYVx64y/vz3dTTnzQbhCVOBUxvfK83l+ezNr6lQNoYSqUMiIxPm0qTNehlCnUeRlqazwA6iVI1AD&#10;WhGoxHVUoGiI3VbRMI4nUQNY1AhSeU/dxQHkecevtZLhVWuvAqtI3cNkTPoCnaZxTCfsTpN7zj76&#10;XpTPRLpGUZdGHmWJK1RZYRyJ+KZaiCDYBs0vKmskggcdBhJsBFobqTpP5C6Jf7hbus/WWTKWG0wl&#10;uKBcWAkM/fw64JonbEUjaJ6hoITEJgA/MtKA/g/kIHoBcmNJzyEVVJUItBK+NLWnQaemyDgui+Sk&#10;320fTw5WePL1sl0ha/9PaHecsKSJjDOqKJze/MvlbUKiI/QX706jbRMhuWyXcYp/3367wNUuMEnN&#10;0bBdEEnAaNJBPenhcl+djZ7evQj5vG41nW15/gU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BRCrwbcAAAACQEAAA8AAABkcnMvZG93bnJldi54bWxMj0FPg0AQhe8m/ofNmHiz&#10;C6ahFVkaq+Fotaj3LTsCkZ2l7Lagv97hpKd5L/Py5ptsM9lOnHHwrSMF8SICgVQ501Kt4P2tuFmD&#10;8EGT0Z0jVPCNHjb55UWmU+NG2uO5DLXgEvKpVtCE0KdS+qpBq/3C9Ui8+3SD1YHtUEsz6JHLbSdv&#10;oyiRVrfEFxrd42OD1Vd5sgo+np+2u3G1PK5ft3fHXfxS/JT7Qqnrq+nhHkTAKfyFYcZndMiZ6eBO&#10;ZLzo2MdRwlEW85wDcbICcWCRLEHmmfz/Qf4LAAD//wMAUEsDBBQABgAIAAAAIQCg9FqRxwEAADsE&#10;AAAQAAAAZHJzL2luay9pbmsxLnhtbKRTTW+cMBC9V+p/sJxDLgEMu2kCCptTV6rUSlE+pOZIYAJW&#10;sL2yTdj99x0MeFcKPbThgOwZz5t5b2ZubveiJe+gDVcyp3HIKAFZqorLOqdPj9vgmhJjC1kVrZKQ&#10;0wMYerv5+uWGyzfRZvgniCDNcBJtThtrd1kU9X0f9qtQ6TpKGFtFP+Tbr590M0VV8Molt5jSzKZS&#10;SQt7O4BlvMppaffMv0fsB9XpErx7sOjy+MLqooSt0qKwHrEppISWyEJg3b8psYcdHjjmqUFTIjgS&#10;DpIwXl+tr7+naCj2OT25d1iiwUoEjZYxnz+JGTnNsr/XfqfVDrTlcJRpJDU5DqQc747fSFSDUW03&#10;aEvJe9F2SDlmDNs60YmjBUIf8ZDbv+FNZKaCTiufPL6Js5iWC8DREjvfVWuwzsH8YLUbwITFacC+&#10;BSx5ZEl2mWZJGq4ur4aGzPnGuZkxX3RnGo/3oo8T4jye58it55VtvEwsjL1KpxotRTbA68b+V2ip&#10;WoXjN/XmbOu+44gtZeO1VBrusLWm0+Bj4xMdXJhXZWHB3JSRac3u4TWnZ27HiIscDU6vlMQX58H6&#10;nF1QRtmsswv3+NjLzR8AAAD//wMAUEsBAi0AFAAGAAgAAAAhAJszJzcMAQAALQIAABMAAAAAAAAA&#10;AAAAAAAAAAAAAFtDb250ZW50X1R5cGVzXS54bWxQSwECLQAUAAYACAAAACEAOP0h/9YAAACUAQAA&#10;CwAAAAAAAAAAAAAAAAA9AQAAX3JlbHMvLnJlbHNQSwECLQAUAAYACAAAACEAvknX9oQBAAAtAwAA&#10;DgAAAAAAAAAAAAAAAAA8AgAAZHJzL2Uyb0RvYy54bWxQSwECLQAUAAYACAAAACEAeRi8nb8AAAAh&#10;AQAAGQAAAAAAAAAAAAAAAADsAwAAZHJzL19yZWxzL2Uyb0RvYy54bWwucmVsc1BLAQItABQABgAI&#10;AAAAIQAUQq8G3AAAAAkBAAAPAAAAAAAAAAAAAAAAAOIEAABkcnMvZG93bnJldi54bWxQSwECLQAU&#10;AAYACAAAACEAoPRakccBAAA7BAAAEAAAAAAAAAAAAAAAAADrBQAAZHJzL2luay9pbmsxLnhtbFBL&#10;BQYAAAAABgAGAHgBAADgBwAAAAA=&#10;">
                <v:imagedata r:id="rId15" o:title=""/>
              </v:shape>
            </w:pict>
          </mc:Fallback>
        </mc:AlternateContent>
      </w:r>
      <w:r w:rsidR="00A54E6D">
        <w:rPr>
          <w:rFonts w:eastAsia="Times New Roman" w:cstheme="minorHAnsi"/>
        </w:rPr>
        <w:t xml:space="preserve">The lack of </w:t>
      </w:r>
      <w:r w:rsidR="00BB3BEF" w:rsidRPr="00D962F8">
        <w:t>a</w:t>
      </w:r>
      <w:r w:rsidR="00A54E6D" w:rsidRPr="00D962F8">
        <w:t xml:space="preserve">n </w:t>
      </w:r>
      <w:r w:rsidR="00A54E6D">
        <w:rPr>
          <w:rFonts w:eastAsia="Times New Roman" w:cstheme="minorHAnsi"/>
        </w:rPr>
        <w:t xml:space="preserve">explicit list of covered benefits makes it impossible to cost </w:t>
      </w:r>
      <w:r w:rsidR="00BB3BEF">
        <w:rPr>
          <w:rFonts w:eastAsia="Times New Roman" w:cstheme="minorHAnsi"/>
        </w:rPr>
        <w:t xml:space="preserve">the SGBP and estimate its financing gap. </w:t>
      </w:r>
      <w:r w:rsidR="005B23F5">
        <w:rPr>
          <w:rFonts w:eastAsia="Times New Roman" w:cstheme="minorHAnsi"/>
        </w:rPr>
        <w:t xml:space="preserve">However, an attempt was made to estimate the share of </w:t>
      </w:r>
      <w:r w:rsidR="004478DC">
        <w:rPr>
          <w:rFonts w:eastAsia="Times New Roman" w:cstheme="minorHAnsi"/>
        </w:rPr>
        <w:t xml:space="preserve">informal payment in the </w:t>
      </w:r>
      <w:r w:rsidR="00E05B46">
        <w:rPr>
          <w:rFonts w:eastAsia="Times New Roman" w:cstheme="minorHAnsi"/>
        </w:rPr>
        <w:t xml:space="preserve">total hospital financing as a proxy </w:t>
      </w:r>
      <w:r w:rsidR="009D51E5">
        <w:rPr>
          <w:rFonts w:eastAsia="Times New Roman" w:cstheme="minorHAnsi"/>
        </w:rPr>
        <w:t xml:space="preserve">for </w:t>
      </w:r>
      <w:r w:rsidR="00E05B46">
        <w:rPr>
          <w:rFonts w:eastAsia="Times New Roman" w:cstheme="minorHAnsi"/>
        </w:rPr>
        <w:t>hospital financing gap (</w:t>
      </w:r>
      <w:proofErr w:type="spellStart"/>
      <w:r w:rsidR="00487814">
        <w:rPr>
          <w:rFonts w:eastAsia="Times New Roman" w:cstheme="minorHAnsi"/>
        </w:rPr>
        <w:t>Jacab</w:t>
      </w:r>
      <w:proofErr w:type="spellEnd"/>
      <w:r w:rsidR="00487814">
        <w:rPr>
          <w:rFonts w:eastAsia="Times New Roman" w:cstheme="minorHAnsi"/>
        </w:rPr>
        <w:t xml:space="preserve">, </w:t>
      </w:r>
      <w:proofErr w:type="spellStart"/>
      <w:r w:rsidR="00487814">
        <w:rPr>
          <w:rFonts w:eastAsia="Times New Roman" w:cstheme="minorHAnsi"/>
        </w:rPr>
        <w:t>Akkazieva</w:t>
      </w:r>
      <w:proofErr w:type="spellEnd"/>
      <w:r w:rsidR="00487814">
        <w:rPr>
          <w:rFonts w:eastAsia="Times New Roman" w:cstheme="minorHAnsi"/>
        </w:rPr>
        <w:t xml:space="preserve">, and </w:t>
      </w:r>
      <w:proofErr w:type="spellStart"/>
      <w:r w:rsidR="00487814">
        <w:rPr>
          <w:rFonts w:eastAsia="Times New Roman" w:cstheme="minorHAnsi"/>
        </w:rPr>
        <w:t>Kutzin</w:t>
      </w:r>
      <w:proofErr w:type="spellEnd"/>
      <w:r w:rsidR="00E05B46">
        <w:rPr>
          <w:rFonts w:eastAsia="Times New Roman" w:cstheme="minorHAnsi"/>
        </w:rPr>
        <w:t xml:space="preserve">, 2016). </w:t>
      </w:r>
      <w:r w:rsidR="009D51E5">
        <w:rPr>
          <w:rFonts w:eastAsia="Times New Roman" w:cstheme="minorHAnsi"/>
        </w:rPr>
        <w:t xml:space="preserve">The informal payment in this case includes not only </w:t>
      </w:r>
      <w:r w:rsidR="00C2602F">
        <w:rPr>
          <w:rFonts w:eastAsia="Times New Roman" w:cstheme="minorHAnsi"/>
        </w:rPr>
        <w:t xml:space="preserve">“under the table” payment to health personnel, but also </w:t>
      </w:r>
      <w:r w:rsidR="00A04F8E">
        <w:rPr>
          <w:rFonts w:eastAsia="Times New Roman" w:cstheme="minorHAnsi"/>
        </w:rPr>
        <w:t>extra payment for drugs and supplies that hospitals collected from patients. As shown in figure 2 below,</w:t>
      </w:r>
      <w:r w:rsidR="00470682">
        <w:rPr>
          <w:rFonts w:eastAsia="Times New Roman" w:cstheme="minorHAnsi"/>
        </w:rPr>
        <w:t xml:space="preserve"> </w:t>
      </w:r>
      <w:r w:rsidR="001B3316">
        <w:rPr>
          <w:rFonts w:eastAsia="Times New Roman" w:cstheme="minorHAnsi"/>
        </w:rPr>
        <w:t>informal payment accounted for some 35% of total hospital financing</w:t>
      </w:r>
      <w:r w:rsidR="00921793">
        <w:rPr>
          <w:rFonts w:eastAsia="Times New Roman" w:cstheme="minorHAnsi"/>
        </w:rPr>
        <w:t xml:space="preserve"> in 2013</w:t>
      </w:r>
      <w:r w:rsidR="001B3316">
        <w:rPr>
          <w:rFonts w:eastAsia="Times New Roman" w:cstheme="minorHAnsi"/>
        </w:rPr>
        <w:t>, as opposed to only 4% generated by official co-payment</w:t>
      </w:r>
      <w:r w:rsidR="00375687">
        <w:rPr>
          <w:rFonts w:eastAsia="Times New Roman" w:cstheme="minorHAnsi"/>
        </w:rPr>
        <w:t>.</w:t>
      </w:r>
    </w:p>
    <w:p w14:paraId="50ABC606" w14:textId="6467E66E" w:rsidR="00B87908" w:rsidRPr="00E41C4D" w:rsidRDefault="00533FF2" w:rsidP="00E41C4D">
      <w:pPr>
        <w:pStyle w:val="ListParagraph"/>
        <w:spacing w:line="240" w:lineRule="auto"/>
        <w:contextualSpacing w:val="0"/>
        <w:jc w:val="center"/>
        <w:rPr>
          <w:rFonts w:eastAsia="Times New Roman" w:cstheme="minorHAnsi"/>
          <w:b/>
        </w:rPr>
      </w:pPr>
      <w:r w:rsidRPr="00E41C4D">
        <w:rPr>
          <w:rFonts w:eastAsia="Times New Roman" w:cstheme="minorHAnsi"/>
          <w:b/>
        </w:rPr>
        <w:t>Figure</w:t>
      </w:r>
      <w:r w:rsidR="003A0977" w:rsidRPr="00E41C4D">
        <w:rPr>
          <w:rFonts w:eastAsia="Times New Roman" w:cstheme="minorHAnsi"/>
          <w:b/>
        </w:rPr>
        <w:t xml:space="preserve"> 2</w:t>
      </w:r>
      <w:r w:rsidRPr="00E41C4D">
        <w:rPr>
          <w:rFonts w:eastAsia="Times New Roman" w:cstheme="minorHAnsi"/>
          <w:b/>
        </w:rPr>
        <w:t xml:space="preserve">: Source of inpatient </w:t>
      </w:r>
      <w:r w:rsidR="00E843F0" w:rsidRPr="00E41C4D">
        <w:rPr>
          <w:rFonts w:eastAsia="Times New Roman" w:cstheme="minorHAnsi"/>
          <w:b/>
        </w:rPr>
        <w:t>financing</w:t>
      </w:r>
    </w:p>
    <w:p w14:paraId="5EBDA347" w14:textId="153BF4A0" w:rsidR="00B87908" w:rsidRPr="00E6167F" w:rsidRDefault="002170D8" w:rsidP="00E41C4D">
      <w:pPr>
        <w:pStyle w:val="ListParagraph"/>
        <w:spacing w:line="240" w:lineRule="auto"/>
        <w:contextualSpacing w:val="0"/>
        <w:jc w:val="center"/>
        <w:rPr>
          <w:rFonts w:eastAsia="Times New Roman" w:cstheme="minorHAnsi"/>
        </w:rPr>
      </w:pPr>
      <w:r>
        <w:rPr>
          <w:rFonts w:eastAsia="Times New Roman" w:cstheme="minorHAnsi"/>
          <w:noProof/>
        </w:rPr>
        <mc:AlternateContent>
          <mc:Choice Requires="wpi">
            <w:drawing>
              <wp:anchor distT="0" distB="0" distL="114300" distR="114300" simplePos="0" relativeHeight="251674624" behindDoc="0" locked="0" layoutInCell="1" allowOverlap="1" wp14:anchorId="347EECE5" wp14:editId="08D6D573">
                <wp:simplePos x="0" y="0"/>
                <wp:positionH relativeFrom="column">
                  <wp:posOffset>1470025</wp:posOffset>
                </wp:positionH>
                <wp:positionV relativeFrom="paragraph">
                  <wp:posOffset>1701800</wp:posOffset>
                </wp:positionV>
                <wp:extent cx="264240" cy="309960"/>
                <wp:effectExtent l="38100" t="57150" r="21590" b="52070"/>
                <wp:wrapNone/>
                <wp:docPr id="25" name="Ink 25"/>
                <wp:cNvGraphicFramePr/>
                <a:graphic xmlns:a="http://schemas.openxmlformats.org/drawingml/2006/main">
                  <a:graphicData uri="http://schemas.microsoft.com/office/word/2010/wordprocessingInk">
                    <w14:contentPart bwMode="auto" r:id="rId16">
                      <w14:nvContentPartPr>
                        <w14:cNvContentPartPr/>
                      </w14:nvContentPartPr>
                      <w14:xfrm>
                        <a:off x="0" y="0"/>
                        <a:ext cx="264240" cy="309960"/>
                      </w14:xfrm>
                    </w14:contentPart>
                  </a:graphicData>
                </a:graphic>
              </wp:anchor>
            </w:drawing>
          </mc:Choice>
          <mc:Fallback>
            <w:pict>
              <v:shape w14:anchorId="42F0079B" id="Ink 25" o:spid="_x0000_s1026" type="#_x0000_t75" style="position:absolute;margin-left:115.05pt;margin-top:133.3pt;width:22.2pt;height:25.8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pgCFAQAALgMAAA4AAABkcnMvZTJvRG9jLnhtbJxSQW7CMBC8V+of&#10;LN9LQkopRAQORZU4lHJoH+A6NrEae6O1IfD7bgIp0KqqxMXy7tjjmR1PZjtbsq1Cb8BlvN+LOVNO&#10;Qm7cOuPvb893I858EC4XJTiV8b3yfDa9vZnUVaoSKKDMFTIicT6tq4wXIVRpFHlZKCt8DyrlCNSA&#10;VgQqcR3lKGpit2WUxPEwqgHzCkEq76k7P4B82vJrrWR41dqrwMqMj+OY5IVugxkfPSbU+ThuoulE&#10;pGsUVWHkUZK4QpEVxpGAb6q5CIJt0PyiskYieNChJ8FGoLWRqvVDzvrxD2cL99m46g/kBlMJLigX&#10;VgJDN7sWuOYJW9IE6hfIKR2xCcCPjDSe/8M4iJ6D3FjSc0gEVSkCfQdfmMpzhqnJM46LvH/S77ZP&#10;JwcrPPlablfImvPJA2dOWNJExhlVFE5nfnl5m5DoCP3Fu9Nom0RILttlnDLfN2sbuNoFJqmZDAfJ&#10;gBBJ0H08Hg9bvGM+MHTV2fzp8Yukz+tG2Nk3n34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i+m3w3wAAAAsBAAAPAAAAZHJzL2Rvd25yZXYueG1sTI/BTsMwDIbvSLxDZCQu&#10;iKXNIFSl6YQmekYbCHHMUtMUGqdqsrW8PeHEbrb86ff3V5vFDeyEU+g9KchXGTAk49ueOgVvr81t&#10;ASxETa0ePKGCHwywqS8vKl22fqYdnvaxYymEQqkV2BjHkvNgLDodVn5ESrdPPzkd0zp1vJ30nMLd&#10;wEWWSe50T+mD1SNuLZrv/dEpMM8vH1vR7Ewn7SyKL3y/aaxT6vpqeXoEFnGJ/zD86Sd1qJPTwR+p&#10;DWxQINZZntA0SCmBJUI83N0DOyhY54UAXlf8vEP9CwAA//8DAFBLAwQUAAYACAAAACEAsXsOZ/4N&#10;AABeLgAAEAAAAGRycy9pbmsvaW5rMS54bWysWstuG8kV3QfIPzQ4C226pX53Uxh5VjEQIEEGmQmQ&#10;LDUybRMjUQZFjz1/n3Puq6qbNOIkNkCzHvdx7rm3qquL+v6Hz0+PxW+748v++XC3aa7rTbE7PDy/&#10;2R/e3W3+8fPrat4UL6f7w5v7x+fD7m7z++5l88OrP/7h+/3h16fHW/xfwMLhha2nx7vN+9Ppw+3N&#10;zadPn64/ddfPx3c3bV13N38+/PrXv2xemdab3dv9YX+Cyxcfeng+nHafTzR2u39zt3k4fa5DHrZ/&#10;ev54fNjFNEeOD0nidLx/2L1+Pj7dn8Li+/vDYfdYHO6fgPufm+L0+wc09vDzbnfcFE97BFy1100/&#10;9fOfthi4/3y3yfofAfEFSJ42N5dt/uv/tHkjnN1+GfuPx+cPu+Npv0s0aVA28XvxoH2JTwM97l6e&#10;Hz+S203x2/3jR4Tc1DXSauE0NxcCOreH2P47exaMAcqR20wk0ck87Z92KK2nD5HV0wtwcvin01EK&#10;sK2bbVWPVd3+XHe39XA71NdDOzEh7k/rxm3+cvz48j7s/XJMFSIzEafG9mn/5vQ+aKqv6yFoykm6&#10;pPp+t3/3/vS/6T48Pz6jAC07372Wf6nILrnbvzs8H3c/IrkvH4+70G0yJkQteLmwxKTOCltof9+9&#10;vdt8J6usEE0dEMbapi26uimvxumqm8oNCO/6stoO1dSWTdGUdVHrp2Lb+t72b8r8h3YDmYr/rQXp&#10;RCdscjmAwQamIaG+kx3O4BO62jEY2UzjBjSQbObMAP2IgYUoHGNQ9eqq78q+aLuymqt26sumL4Z6&#10;KJu2aqYZ6nXVTV6wkgUv169NiSyKv719+7I7YTn33Xg91tPmVdt1RbNFovr5qq/LzTBsCKVpMdy1&#10;ZdWOc9UMaExthfl5KIbu2+Fo+7a97totcExj0W378mq+Aop60y4TalmSpJwlcijGskcRbctqaKp2&#10;NtVFGjxblkeWX8qYpCGSpHmRorSkqUfrUNVwaDq9lBeD2oEKGnmFiZEvDEiRuDhrAwPjFjjHST26&#10;pxyb2s/MipA7XiHPQkMUi0jCTrWthm+X4a4b6+tm229edXNd9PNcXjXT1dSVm6oZN43EOKO8uD4U&#10;bGQmRvLgpE3oHoq2Tf88Jk+z2dCcewffkie3liqC7GA2EDmpwWcmSiRcKRNWSr8t23Esmr7/dhQ2&#10;Uz921+PYYJXUTTE04LAaruAT68RCSWAFtaL3sLxsiNkDqdoKew12F2zK4L4by+0M2Lo5Cyki7eZN&#10;M6I+54EjRCFOM0eLPmRs1yUSCiM/xCDa7OBjKWFHykNttjKDoNt6oIZQoeGYIRoTQ5lFM6CWME+n&#10;y1ozLWPGpx1cMFHRP+maihYPMkHTmmOlkT0Rx38jogKlYTuYV4hwBksZKPOOQXfsVAZYDiQ0atDZ&#10;zPXgIcXvE/LtIa6+M5kF4YIAk9U8V6gLPIK2+KBAtj0KhVRjMg+MfUbMz2KcYzbXFoNGwThzBVWE&#10;gYVR7ftcxBXWRXjJi5t11YSJOWumCg9VAYknjOSPAgxEzKROV3BNI40RU6RGRHPXHnWSiEeEgYs0&#10;IoWK0EslegmoTCWbsSIgYTQuJKzDJ+ZIcp2B0PvaihDjKyc51RKeIcjhsY01AL7msernEo9yqQ8s&#10;VDzRm2YqmhpHCtJPydxkVBwbHl3uJzRUKxdKlSYmzwWSsLohAI8R7XUI5ipLyFnBmSM3nH2bPRHA&#10;0Qnnt6aYcCBpQAKOTyOOw3yI4zy3xWiPnQSHvB5b7sxDHjaVGdvx2OOhyOm5miHd4rnC5VJDaSjn&#10;voBqsy06aOARM4FNLks4w3bE/xCbd6ld9diBLF0yHsG7oFAWnWgwlryTF29WS8bXhTQIC187nZWA&#10;Fcd6JDLCAlLOF/EEPo2WLAC+i6ZqgqqnqQM7IHzCowSEb8H/CA3wzZSRzEi9tLTCoSyRCTnIADRQ&#10;9duwKlIMe8mrqAEQgYRZT4wjWn+vQiDJEdcqPaIq9gWfOlnbE8zTWA1jOdV4tTjbfK16EnjSYHDx&#10;5PPYo8h0BG71uRcNCHbYY8ki9GEjIXFkUqbmiALOjfvQBKBn7vHMgYimHKM0qB1TlKQMWAxNRzks&#10;G6RWXJuAMxSGU00oDJWm7VzDfHkAmc8MgI4qJNXPvARYj3apqNPZQslT7CbVHHBlcmZ3wJtPVw49&#10;No7VrIex+FYtD2fxvZDzlJzBc7JMelnmMkiVpbq64RifpxXXFyQZlH/LgJylzATtUoDJkG/pJzRG&#10;BEvPQ2pKHL5JLuSnRcm5EVvHZhGWI3ELIug2MW/hhBtJn4ETKUHIXVige+RqoyvkNR5PvnHAYuD2&#10;P2P58Pjo0QlZyZCAShRCTH2dmZcBGhERhqjReENCMkgma5Vnsp5JOgilCwrGr8/g4YMkSu7k0ePT&#10;PEs5N8yzAucIepYuelI5RZfaPq6C8KWQBBf25Bk04jpiK3Z1Mi8yM+/l4jCAJ2GSjmdHJwIVpaKT&#10;EmOhWRkmh+7HuA/2aGLl0CinCCt1HireqEwNbsYgyiLJP2nM6AuGVUpTbSqLDgut0k0XB4iIxnm0&#10;4AOpBCzkijEPNPTSwCoeDT2SS/hRmWZdg0iu4Mapg94yeWbIjGg1i3wgUYdEIUh4JJeOSfmETNLn&#10;WQ6ydUIdEVkmTn2tLFigcqTF02QoW5y90kLJqiWrtuAlb6SIA0rmi+RkFti5/FmkkpDXpHndBqeM&#10;NZhvi2nCy+uIZz9e3aA74U6vj/mQSxnSPC42lki3+BLcwWc0MBzJTzRhGsA0Pzk78LLQdDJIgmln&#10;kSd7Knc+FSPRWHF1FtDFAedDI7aQpNN3vATFXSNe7rGTQ7tBcWB7b3Eoxy0KjpM1L+wsqRq0Rs/V&#10;jJbYzuazQGNeKJJCcOJkhNZIb5uSs0RqXFpMYTlrJGIzKJRndsz/eQ1GPJTMXVqqFU/WyTx6zBKB&#10;d9Z2tA/ScPWI50sDObwzdfOI1yJetvB1CefzqS/4IwIO3Xq1IuYIXmApbraRBNzElW3Lq5oUMlj3&#10;jgehqGzCB6PyCCuI0QZEOU07K10ddBuL77DvMg4E5udJXtoRqry7c0Z3heBItC07AU0bEreJ54gM&#10;2iKlYWHdoMPYnJaNFEWE67J0ndNDRnLxvL1gatUJG9DX3DF+GV379OSJheScjsPKFxpKeLjGTsiX&#10;47Ep5GILu6FeT/CMSmZ5IJGzJc05lraaymHG9StuNNoCP5mgSOG4xns4RGD7S4lQahRCkJ0GNVzD&#10;ZvRyNqH1igsd+MsMqQFVwZUA7h47/ggigBSZ+o7iWdAbRslj/jEnahedCNBtLhysOjnhZijioXuh&#10;i7yt6kT5XuAgFX1fDUOJK5Ueh3toKSNLYbcmCQz+RJhueHur12ODxZl4I3iBt3ac0KmJ5bwa0FDE&#10;oTmzSLNcup0IWxrYn/hKhONtBwFscKhDvMHygmjgQXviZVqF21ac7mgf96+oy7nAjyj8lRA7HH4x&#10;5PUR/6/FmMZtJ0c4oQOMgTgY31ZdU3ZyOR3xRsOzH0FxQKOOBxPDF+TYjiv8Vok6w+8dGBQfWDRy&#10;88XV1Be43sI9Q1QN7w1oj1miNCTR4YOT+zuzy7y6x0ttLd+V0DJzmFwOMHQMCmaCtyWgsabOWi/N&#10;LHUUPqytDSQxpW/hC/R1yNjWd3i9rRMfrABdDsgncSL94Gbmaz1u+vCkbxpwwjLACyRYxzFuKjpy&#10;hmTaE8OXHsmz/VvxSdi6LGJAOcjrWMLxkDTDxodLxUNBoTKLCPjCqFJNF4ZEechgaSYg57YXojqY&#10;KHShFrTgigMlh4tlBN/hhgerpMPrKH5wk8f9jG1PQHluFIs5EoepvSAmOkGENBS61DvIMwMR95eQ&#10;XtRybX4vQS4QG3KFYQ4XJMvqkAmvP6cZSw87Ap9i5oJu6M6vVbQK7MbExyGj8soMDq8wg6tQ2T6i&#10;uNSXBCy+sxjEi8FWRrS8jMnIu2c0fQcNWUNnQ9cNLr9ViFWDv5DIjkxQIzC6BCDpURENXgtys2kx&#10;y9MlVhrP6iNWVOQ10aw6jBnmEG9YchhiP1CnlMAYmbikYkAybtyYzTgQo1ptMKUFL40EklAf9r3h&#10;oyqS3o4VpNhxEenwl9MGhSKhOV7/DkdeLDwOOVItlFj1ilQIwu8b5Yzni1a5BqmV7rmyMdKDD5Ok&#10;8zqOv3FAmdq9Ox8NQnlgEA1qKsEE6W3FxrSrZVUUBasDl1Cz9IytA5spNhI+msSXIXK7whdtLkzk&#10;ThWIm+a30M2ltmWhCQwbtp4IELbMSU/+awuA0UqkGcL04Kxjxl2Fl5sVXoLUFhMJo8o8jduANURX&#10;cy1+PUMK3VxJvMqfjKMvwolU9yKBSmdpWNOoSqqNkdyMgE8jmDqDryISfsIig9WEv43algP2+llO&#10;Dhqc4GBsLFGlQNgT43ogyYtQmVXT3na2vKS0r7TgSp3Ljw9ggjLIVjHOuFZOsB6V4NQ5z0pNZscn&#10;HPmSDmMho2SdWtGDmOHRsExewalLwJaG46dfWQQsO4ZrkL1hYYqlwGQymRP1ROP+eAlhsYojK/4G&#10;iz7abTHjOQ1XeGwThZp2P7xg04XGEZ+u8JdgEMRVVYdNm0813pni2mrGHaeZUPCLzqWiNJtcJppF&#10;hR5rxlZXJMyACU8Oh7HRnamuVSxbVHGacRfLwy31bFQdqB0xbghEJnPK0gw/nFRh5V6AQIDjODHb&#10;+wxeD/wP3lQ8R0K/YS+SFOEaCjcskqIuXkzV8aodJUIjC8vWIEeYJ76sAVseRTjA9Q52Sp4zOux+&#10;9fqPpdKf+776NwAAAP//AwBQSwECLQAUAAYACAAAACEAmzMnNwwBAAAtAgAAEwAAAAAAAAAAAAAA&#10;AAAAAAAAW0NvbnRlbnRfVHlwZXNdLnhtbFBLAQItABQABgAIAAAAIQA4/SH/1gAAAJQBAAALAAAA&#10;AAAAAAAAAAAAAD0BAABfcmVscy8ucmVsc1BLAQItABQABgAIAAAAIQCuPqYAhQEAAC4DAAAOAAAA&#10;AAAAAAAAAAAAADwCAABkcnMvZTJvRG9jLnhtbFBLAQItABQABgAIAAAAIQB5GLydvwAAACEBAAAZ&#10;AAAAAAAAAAAAAAAAAO0DAABkcnMvX3JlbHMvZTJvRG9jLnhtbC5yZWxzUEsBAi0AFAAGAAgAAAAh&#10;AOL6bfDfAAAACwEAAA8AAAAAAAAAAAAAAAAA4wQAAGRycy9kb3ducmV2LnhtbFBLAQItABQABgAI&#10;AAAAIQCxew5n/g0AAF4uAAAQAAAAAAAAAAAAAAAAAO8FAABkcnMvaW5rL2luazEueG1sUEsFBgAA&#10;AAAGAAYAeAEAABsUAAAAAA==&#10;">
                <v:imagedata r:id="rId17" o:title=""/>
              </v:shape>
            </w:pict>
          </mc:Fallback>
        </mc:AlternateContent>
      </w:r>
      <w:r w:rsidR="00D229E9">
        <w:rPr>
          <w:rFonts w:eastAsia="Times New Roman" w:cstheme="minorHAnsi"/>
          <w:noProof/>
        </w:rPr>
        <mc:AlternateContent>
          <mc:Choice Requires="wpi">
            <w:drawing>
              <wp:anchor distT="0" distB="0" distL="114300" distR="114300" simplePos="0" relativeHeight="251666432" behindDoc="0" locked="0" layoutInCell="1" allowOverlap="1" wp14:anchorId="479AD10A" wp14:editId="696C9A7B">
                <wp:simplePos x="0" y="0"/>
                <wp:positionH relativeFrom="column">
                  <wp:posOffset>6985</wp:posOffset>
                </wp:positionH>
                <wp:positionV relativeFrom="paragraph">
                  <wp:posOffset>1609725</wp:posOffset>
                </wp:positionV>
                <wp:extent cx="631020" cy="591820"/>
                <wp:effectExtent l="57150" t="38100" r="17145" b="74930"/>
                <wp:wrapNone/>
                <wp:docPr id="17" name="Ink 17"/>
                <wp:cNvGraphicFramePr/>
                <a:graphic xmlns:a="http://schemas.openxmlformats.org/drawingml/2006/main">
                  <a:graphicData uri="http://schemas.microsoft.com/office/word/2010/wordprocessingInk">
                    <w14:contentPart bwMode="auto" r:id="rId18">
                      <w14:nvContentPartPr>
                        <w14:cNvContentPartPr/>
                      </w14:nvContentPartPr>
                      <w14:xfrm>
                        <a:off x="0" y="0"/>
                        <a:ext cx="631020" cy="591820"/>
                      </w14:xfrm>
                    </w14:contentPart>
                  </a:graphicData>
                </a:graphic>
              </wp:anchor>
            </w:drawing>
          </mc:Choice>
          <mc:Fallback>
            <w:pict>
              <v:shape w14:anchorId="0F538DF7" id="Ink 17" o:spid="_x0000_s1026" type="#_x0000_t75" style="position:absolute;margin-left:-.85pt;margin-top:125.35pt;width:52.55pt;height:49.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rYOWNAQAAMgMAAA4AAABkcnMvZTJvRG9jLnhtbJxSQW7CMBC8V+of&#10;LN9LEqAQIgKHokocSjm0D3Adm1iNvdHaEPh9NwEKbVVV6iXyepzZmZ2dzve2YjuF3oDLedKLOVNO&#10;QmHcJuevL493KWc+CFeICpzK+UF5Pp/d3kybOlN9KKEqFDIicT5r6pyXIdRZFHlZKit8D2rlCNSA&#10;VgQqcRMVKBpit1XUj+NR1AAWNYJU3tPt4gjyWcevtZLhWWuvAqtI3Xg0IDmhO/UnnCGd0uFoyNlb&#10;ezdJUx7NpiLboKhLI0+yxD9UWWEcifikWogg2BbNDyprJIIHHXoSbARaG6k6T+Quib+5W7r31lky&#10;lFvMJLigXFgLDOf5dcB/WtiKRtA8QUEJiW0AfmKkAf0dyFH0AuTWkp5jKqgqEWglfGlqT4POTJFz&#10;XBbJRb/bPVwcrPHia7VbI2vfJ2POnLCkiYwzqiics/nV178JiU7Qb7x7jbZNhOSyfc5pUQ/ttwtc&#10;7QOTdDkaJHGfEEnQ/SRJ6XzFfGQ497maPzX/kvR13Qq7WvXZB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lfTeDdAAAACgEAAA8AAABkcnMvZG93bnJldi54bWxMj8tOwzAQ&#10;RfdI/IM1SOxau21CaYhTQSTYk/IBTjx5qPE4ip0HfD3uCnYzmqM756bn1fRsxtF1liTstgIYUmV1&#10;R42Er8v75hmY84q06i2hhG90cM7u71KVaLvQJ86Fb1gIIZcoCa33Q8K5q1o0ym3tgBRutR2N8mEd&#10;G65HtYRw0/O9EE/cqI7Ch1YNmLdYXYvJSChqPJl8isTPW339mH2Zx8elkPLxYX19AeZx9X8w3PSD&#10;OmTBqbQTacd6CZvdMZAS9rEIww0QhwhYKeEQnWLgWcr/V8h+AQAA//8DAFBLAwQUAAYACAAAACEA&#10;Z6am+R0HAAAYFgAAEAAAAGRycy9pbmsvaW5rMS54bWysWNtuGzcQfS/QfyA2D35ZykvuVUbkPDVA&#10;gRYNmhRoHxV5bQvRxZDWtfP3PTPD4XIlFeglAdYkh8OZOWeGsxu9ffe63Zg/+8Nxvd8tMjcrMtPv&#10;Vvu79e5hkf326b3tMnMclru75Wa/6xfZ1/6Yvbv9/ru3692X7eYGfw0s7I40224W2eMwPN1cX7+8&#10;vMxeytn+8HDti6K8/nH35eefsttw6q6/X+/WA1weVbTa74b+dSBjN+u7RbYaXouoD9sf98+HVR+3&#10;SXJYjRrDYbnq3+8P2+UQLT4ud7t+Y3bLLeL+PTPD1ydM1vDz0B8ys10DsPUzV7VV98McguXrIkvW&#10;zwjxiEi22fVlm3/8T5vXzNnN38f+4bB/6g/Duh9pElBh46tZyZrxCdBDf9xvnonbzPy53DwDsisK&#10;pDXAcdcXAJ3bA7Z/Zy+ACQGlkYedmEQlc1hve5TW9ilmdTgiThJ/HA5cgL5wc1s0tvCfCn9Tz29c&#10;O2vnLSVE/UndqM3Ph+fjY7T3+TBWCO9EnILtZX03PEaaipmLLKUcXTr52K8fHof/dHS13+xRfiE3&#10;b97zv7HELnlbP+z2h/4DUnt8PvTxrEt44GORlQsXjKvMhGv2a3+/yN7wHTN8UgTMlzPO+SK/8leu&#10;yrMic7m3LrfOFLnHU4RnKoSGN2XuauM76JYWA2k6bMjoMTpZQ0Zysmh5EgSkSGZdYxyOlqbJbcNG&#10;YBnywsrorM8rZ6rctq11DTsQQ2yRT1DE0QckBRaMgaQyYWVesWI4Udkmd662rq5zO58b58vcMlgP&#10;t5YokCUwkiEc8xaqCLcKeAgou+A/hOpsFRTi3umRuC/02Q5RdaZmegiKcsm0BF6JT+YaI88DrKkO&#10;0Ujcu7yyYNmDRiFKhJwDbI6jJIodkiN6vG3zEhFZ14IfCYade3ZMOqTPZwpmrSQ9CTBAk+yTFsOB&#10;lQArcKIbYiYkM9ISKBUvMbuiS4YkMQ5xOm98GxIg9YvdkqMN1kJOQyiyCnlVjRAsvHbGzYmAqtaS&#10;Ah/iUFiPOY94NJxRTSWpimaOkRKuWL+0ww+OMWAe1Vsi5CiRVeArrfPaIvnma4P8p22A2/Av9/fH&#10;fsALpGyrWVOV2a0rS2/q2udoDu1V1+UZCr/ObCvXPdCO6DkW5TuklJNGGJLsMd1R2Zku9940UPCl&#10;bXHDKYVMKemEkwnjXGKEmBNGOlrt8VAklDlMuOQz7JptK5GkoXOxTFSHfExsqK0wsiPcKXQpcc6n&#10;8UdDp74VwyIf4hxS6p22aW1V4oZXeMjEHBzkXWNadDhWPqmJUE8JG6Eng+KgPzpBjBpGuqn8jXUl&#10;5ibrwAj1P99Yj/oHHbhWeFxeVtZTn0ZZULpSP1oGIpTEq0NooiEgTEyUIdWgRNNccAQFWZAwnsBE&#10;VYu8RXfEXcfbx8MsNeQQCqtr3kgYSk68BRtSW+I2VqcKWRBpTqJSqzpOjMkCCAtKrgNMLufgllJF&#10;ieBgeMJguFkSKt6mcimo60M7skXRYJeRyJlkEbfYAIEllcCzXg4xLzuk0nK5kU32KuYkgmQOzVBf&#10;ZIe6+XiACLClnee1qb5d2yl9Wc3q0qHtuKoyVd3iq8Q1V7glmZ1XGTVhEFNSJVEACdQxbkhlEahJ&#10;0sdwuaCYT9mZlh0RAg1hU0eqC52PYyBZBaI0EVIkHCSZk0WwL+FHKcDEg5eRxeQx8ww8MnBxkugh&#10;iMrZElcXX2u4uvO5RUN3RYnGPkUGS2OotEgfpSZSMd1P8AkVymFEdi6A+bg74oY05m6CO8GU+I5x&#10;JTIyzGbwR0EwaZVBUVU1vk7ASgPnaLYU+Qibk8LFFco9wRtt6hGFpD7OzMQNDUSjHd1IhGKapVQ0&#10;6XbcoioMfCX48OrnF4jWKB/WBQXEN0IiDZdGF5FQDpO6Qm2o26saJpNF1Ff8IT0xYnaWJPUMPtOg&#10;VyYZlZ5kTFIvimidsI/eSO21drZD6urWdO7bdaCm64pZUdKHT9XNTY33ypX3xRXqBC3Iu3mGSZIG&#10;LZxI2JkgZTBml1BicWYoZi3SIPYu0Sj0BCuRqyjFhByo+6DHhk7mrElpjrXCCwjYGEnJliyiQdK/&#10;+EjErE3fRvyNIFBFX6IipKwjYUbzmJTkvgwn006Pth+OkG/6b4jGkGhxjZBRiZk/MHFDqkRbkEZM&#10;inY0p6TB/tlmQt7YulTIowaVWCHTF7VHPMEE/VcY5d0Qbydf00JivN04GlnTVKnEGXxE48uNQpF8&#10;6MinJqGwRKtRRjl2qQkp4wqY1hG0eBohYVMW0Jj6ZdMiUoshzgkoIn96ME3H+a5t8ILDe67p8CVN&#10;PxOQXzgno4owRjRlJACJMY3nzlFEyfkkIj3ZOunbVA8SiExOtiPmRC+SG3TxGwTaPj7QijkqBWA6&#10;KvEAOJaO/HKB112DV4Q/bZTjD3W3fwEAAP//AwBQSwECLQAUAAYACAAAACEAmzMnNwwBAAAtAgAA&#10;EwAAAAAAAAAAAAAAAAAAAAAAW0NvbnRlbnRfVHlwZXNdLnhtbFBLAQItABQABgAIAAAAIQA4/SH/&#10;1gAAAJQBAAALAAAAAAAAAAAAAAAAAD0BAABfcmVscy8ucmVsc1BLAQItABQABgAIAAAAIQAjK2Dl&#10;jQEAADIDAAAOAAAAAAAAAAAAAAAAADwCAABkcnMvZTJvRG9jLnhtbFBLAQItABQABgAIAAAAIQB5&#10;GLydvwAAACEBAAAZAAAAAAAAAAAAAAAAAPUDAABkcnMvX3JlbHMvZTJvRG9jLnhtbC5yZWxzUEsB&#10;Ai0AFAAGAAgAAAAhAGlfTeDdAAAACgEAAA8AAAAAAAAAAAAAAAAA6wQAAGRycy9kb3ducmV2Lnht&#10;bFBLAQItABQABgAIAAAAIQBnpqb5HQcAABgWAAAQAAAAAAAAAAAAAAAAAPUFAABkcnMvaW5rL2lu&#10;azEueG1sUEsFBgAAAAAGAAYAeAEAAEANAAAAAA==&#10;">
                <v:imagedata r:id="rId19" o:title=""/>
              </v:shape>
            </w:pict>
          </mc:Fallback>
        </mc:AlternateContent>
      </w:r>
      <w:r w:rsidR="004753D3" w:rsidRPr="00E6167F">
        <w:rPr>
          <w:rFonts w:eastAsia="Times New Roman" w:cstheme="minorHAnsi"/>
          <w:noProof/>
        </w:rPr>
        <w:drawing>
          <wp:inline distT="0" distB="0" distL="0" distR="0" wp14:anchorId="545DA782" wp14:editId="0010D60C">
            <wp:extent cx="3373856" cy="2369820"/>
            <wp:effectExtent l="0" t="0" r="0" b="0"/>
            <wp:docPr id="13" name="Content Placeholder 12">
              <a:extLst xmlns:a="http://schemas.openxmlformats.org/drawingml/2006/main">
                <a:ext uri="{FF2B5EF4-FFF2-40B4-BE49-F238E27FC236}">
                  <a16:creationId xmlns:a16="http://schemas.microsoft.com/office/drawing/2014/main" id="{43732290-BB92-4110-9096-D3AAED68D30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 name="Content Placeholder 12">
                      <a:extLst>
                        <a:ext uri="{FF2B5EF4-FFF2-40B4-BE49-F238E27FC236}">
                          <a16:creationId xmlns:a16="http://schemas.microsoft.com/office/drawing/2014/main" id="{43732290-BB92-4110-9096-D3AAED68D305}"/>
                        </a:ext>
                      </a:extLst>
                    </pic:cNvPr>
                    <pic:cNvPicPr>
                      <a:picLocks noGrp="1" noChangeAspect="1"/>
                    </pic:cNvPicPr>
                  </pic:nvPicPr>
                  <pic:blipFill>
                    <a:blip r:embed="rId20"/>
                    <a:stretch>
                      <a:fillRect/>
                    </a:stretch>
                  </pic:blipFill>
                  <pic:spPr bwMode="auto">
                    <a:xfrm>
                      <a:off x="0" y="0"/>
                      <a:ext cx="3382699" cy="2376032"/>
                    </a:xfrm>
                    <a:prstGeom prst="rect">
                      <a:avLst/>
                    </a:prstGeom>
                    <a:noFill/>
                    <a:ln w="9525">
                      <a:noFill/>
                      <a:miter lim="800000"/>
                      <a:headEnd/>
                      <a:tailEnd/>
                    </a:ln>
                  </pic:spPr>
                </pic:pic>
              </a:graphicData>
            </a:graphic>
          </wp:inline>
        </w:drawing>
      </w:r>
    </w:p>
    <w:p w14:paraId="2076B9A7" w14:textId="322C9F77" w:rsidR="00480970" w:rsidRPr="001B0064" w:rsidRDefault="00E843F0" w:rsidP="00E41C4D">
      <w:pPr>
        <w:pStyle w:val="ListParagraph"/>
        <w:spacing w:line="240" w:lineRule="auto"/>
        <w:contextualSpacing w:val="0"/>
        <w:jc w:val="center"/>
        <w:rPr>
          <w:rFonts w:eastAsia="Times New Roman" w:cstheme="minorHAnsi"/>
          <w:sz w:val="20"/>
          <w:szCs w:val="20"/>
        </w:rPr>
      </w:pPr>
      <w:r w:rsidRPr="001B0064">
        <w:rPr>
          <w:rFonts w:eastAsia="Times New Roman" w:cstheme="minorHAnsi"/>
          <w:sz w:val="20"/>
          <w:szCs w:val="20"/>
        </w:rPr>
        <w:t xml:space="preserve">Source: </w:t>
      </w:r>
      <w:proofErr w:type="spellStart"/>
      <w:r w:rsidR="003F74BA" w:rsidRPr="001B0064">
        <w:rPr>
          <w:rFonts w:eastAsia="Times New Roman" w:cstheme="minorHAnsi"/>
          <w:sz w:val="20"/>
          <w:szCs w:val="20"/>
        </w:rPr>
        <w:t>Jacab</w:t>
      </w:r>
      <w:proofErr w:type="spellEnd"/>
      <w:r w:rsidR="003F74BA" w:rsidRPr="001B0064">
        <w:rPr>
          <w:rFonts w:eastAsia="Times New Roman" w:cstheme="minorHAnsi"/>
          <w:sz w:val="20"/>
          <w:szCs w:val="20"/>
        </w:rPr>
        <w:t xml:space="preserve">, </w:t>
      </w:r>
      <w:proofErr w:type="spellStart"/>
      <w:r w:rsidR="003F74BA" w:rsidRPr="001B0064">
        <w:rPr>
          <w:rFonts w:eastAsia="Times New Roman" w:cstheme="minorHAnsi"/>
          <w:sz w:val="20"/>
          <w:szCs w:val="20"/>
        </w:rPr>
        <w:t>Akkazieva</w:t>
      </w:r>
      <w:proofErr w:type="spellEnd"/>
      <w:r w:rsidR="003F74BA" w:rsidRPr="001B0064">
        <w:rPr>
          <w:rFonts w:eastAsia="Times New Roman" w:cstheme="minorHAnsi"/>
          <w:sz w:val="20"/>
          <w:szCs w:val="20"/>
        </w:rPr>
        <w:t xml:space="preserve">, and </w:t>
      </w:r>
      <w:proofErr w:type="spellStart"/>
      <w:r w:rsidR="003F74BA" w:rsidRPr="001B0064">
        <w:rPr>
          <w:rFonts w:eastAsia="Times New Roman" w:cstheme="minorHAnsi"/>
          <w:sz w:val="20"/>
          <w:szCs w:val="20"/>
        </w:rPr>
        <w:t>Kutzin</w:t>
      </w:r>
      <w:proofErr w:type="spellEnd"/>
      <w:r w:rsidR="00480970" w:rsidRPr="001B0064">
        <w:rPr>
          <w:rFonts w:eastAsia="Times New Roman" w:cstheme="minorHAnsi"/>
          <w:sz w:val="20"/>
          <w:szCs w:val="20"/>
        </w:rPr>
        <w:t xml:space="preserve"> (2016)</w:t>
      </w:r>
    </w:p>
    <w:p w14:paraId="574AE15E" w14:textId="3B0DBDF6" w:rsidR="00697E3B" w:rsidRPr="00E6167F" w:rsidRDefault="00D811C9" w:rsidP="00D92F7A">
      <w:pPr>
        <w:pStyle w:val="ListParagraph"/>
        <w:numPr>
          <w:ilvl w:val="0"/>
          <w:numId w:val="13"/>
        </w:numPr>
        <w:spacing w:before="240" w:after="120" w:line="240" w:lineRule="auto"/>
        <w:contextualSpacing w:val="0"/>
        <w:jc w:val="both"/>
        <w:rPr>
          <w:rFonts w:eastAsia="Times New Roman" w:cstheme="minorHAnsi"/>
          <w:b/>
        </w:rPr>
      </w:pPr>
      <w:r w:rsidRPr="00E6167F">
        <w:rPr>
          <w:rFonts w:eastAsia="Times New Roman" w:cstheme="minorHAnsi"/>
          <w:b/>
        </w:rPr>
        <w:t>Generous</w:t>
      </w:r>
      <w:r w:rsidR="004817EA">
        <w:rPr>
          <w:rFonts w:eastAsia="Times New Roman" w:cstheme="minorHAnsi"/>
          <w:b/>
        </w:rPr>
        <w:t xml:space="preserve"> </w:t>
      </w:r>
      <w:r w:rsidR="00AD3643">
        <w:rPr>
          <w:rFonts w:eastAsia="Times New Roman" w:cstheme="minorHAnsi"/>
          <w:b/>
        </w:rPr>
        <w:t>e</w:t>
      </w:r>
      <w:r w:rsidR="00F1267D" w:rsidRPr="00E6167F">
        <w:rPr>
          <w:rFonts w:eastAsia="Times New Roman" w:cstheme="minorHAnsi"/>
          <w:b/>
        </w:rPr>
        <w:t xml:space="preserve">xemption </w:t>
      </w:r>
      <w:r w:rsidR="006D64EB">
        <w:rPr>
          <w:rFonts w:eastAsia="Times New Roman" w:cstheme="minorHAnsi"/>
          <w:b/>
        </w:rPr>
        <w:t xml:space="preserve">policy </w:t>
      </w:r>
      <w:r w:rsidRPr="00E6167F">
        <w:rPr>
          <w:rFonts w:eastAsia="Times New Roman" w:cstheme="minorHAnsi"/>
          <w:b/>
        </w:rPr>
        <w:t xml:space="preserve">but no effective </w:t>
      </w:r>
      <w:r w:rsidR="00697E3B" w:rsidRPr="00E6167F">
        <w:rPr>
          <w:rFonts w:eastAsia="Times New Roman" w:cstheme="minorHAnsi"/>
          <w:b/>
        </w:rPr>
        <w:t xml:space="preserve">protection of the poor and against catastrophic payment </w:t>
      </w:r>
    </w:p>
    <w:p w14:paraId="557B3815" w14:textId="1A746B3A" w:rsidR="00505F95" w:rsidRDefault="00F733A8" w:rsidP="00363D34">
      <w:pPr>
        <w:pStyle w:val="ListParagraph"/>
        <w:spacing w:line="240" w:lineRule="auto"/>
        <w:ind w:left="0"/>
        <w:contextualSpacing w:val="0"/>
        <w:jc w:val="both"/>
        <w:rPr>
          <w:rFonts w:eastAsia="Times New Roman" w:cstheme="minorHAnsi"/>
        </w:rPr>
      </w:pPr>
      <w:r w:rsidRPr="00E6167F">
        <w:rPr>
          <w:rFonts w:eastAsia="Times New Roman" w:cstheme="minorHAnsi"/>
        </w:rPr>
        <w:t>The extensiveness of the list of population eligible for copayment reduction or exemption has been documented in several previous studies (</w:t>
      </w:r>
      <w:r w:rsidR="00546D73">
        <w:rPr>
          <w:rFonts w:eastAsia="Times New Roman" w:cstheme="minorHAnsi"/>
        </w:rPr>
        <w:t>Giuffrida</w:t>
      </w:r>
      <w:r w:rsidR="009455CE">
        <w:rPr>
          <w:rFonts w:eastAsia="Times New Roman" w:cstheme="minorHAnsi"/>
        </w:rPr>
        <w:t xml:space="preserve">, </w:t>
      </w:r>
      <w:proofErr w:type="spellStart"/>
      <w:r w:rsidR="009455CE">
        <w:rPr>
          <w:rFonts w:eastAsia="Times New Roman" w:cstheme="minorHAnsi"/>
        </w:rPr>
        <w:t>Jacab</w:t>
      </w:r>
      <w:proofErr w:type="spellEnd"/>
      <w:r w:rsidR="009455CE">
        <w:rPr>
          <w:rFonts w:eastAsia="Times New Roman" w:cstheme="minorHAnsi"/>
        </w:rPr>
        <w:t>, and Dale, 2013;</w:t>
      </w:r>
      <w:r w:rsidRPr="00E6167F">
        <w:rPr>
          <w:rFonts w:eastAsia="Times New Roman" w:cstheme="minorHAnsi"/>
        </w:rPr>
        <w:t xml:space="preserve"> </w:t>
      </w:r>
      <w:r w:rsidR="000F3BC5">
        <w:rPr>
          <w:rFonts w:eastAsia="Times New Roman" w:cstheme="minorHAnsi"/>
        </w:rPr>
        <w:t>The World Bank, 2014</w:t>
      </w:r>
      <w:r w:rsidRPr="00E6167F">
        <w:rPr>
          <w:rFonts w:eastAsia="Times New Roman" w:cstheme="minorHAnsi"/>
        </w:rPr>
        <w:t xml:space="preserve">). </w:t>
      </w:r>
      <w:r w:rsidR="008F1428" w:rsidRPr="00E6167F">
        <w:rPr>
          <w:rFonts w:eastAsia="Times New Roman" w:cstheme="minorHAnsi"/>
        </w:rPr>
        <w:t xml:space="preserve">Indeed, as shown in table </w:t>
      </w:r>
      <w:r w:rsidR="00CD14BA">
        <w:rPr>
          <w:rFonts w:eastAsia="Times New Roman" w:cstheme="minorHAnsi"/>
        </w:rPr>
        <w:t>10</w:t>
      </w:r>
      <w:r w:rsidR="007B0959">
        <w:rPr>
          <w:rFonts w:eastAsia="Times New Roman" w:cstheme="minorHAnsi"/>
        </w:rPr>
        <w:t xml:space="preserve"> </w:t>
      </w:r>
      <w:r w:rsidR="008F1428" w:rsidRPr="00E6167F">
        <w:rPr>
          <w:rFonts w:eastAsia="Times New Roman" w:cstheme="minorHAnsi"/>
        </w:rPr>
        <w:t xml:space="preserve">below, </w:t>
      </w:r>
      <w:r w:rsidR="008343AE">
        <w:rPr>
          <w:rFonts w:eastAsia="Times New Roman" w:cstheme="minorHAnsi"/>
        </w:rPr>
        <w:t>out of 933,623 total treated cases reported to the MHIF in 2017, nearly 432 thousand cases belonged to the social categories that enjoyed 100% benefits. In all, MHIF had to pay the hospitals on behalf of patients in</w:t>
      </w:r>
      <w:r w:rsidR="008C3287">
        <w:rPr>
          <w:rFonts w:eastAsia="Times New Roman" w:cstheme="minorHAnsi"/>
        </w:rPr>
        <w:t xml:space="preserve"> the social and medical categories in </w:t>
      </w:r>
      <w:r w:rsidR="000F46FC">
        <w:rPr>
          <w:rFonts w:eastAsia="Times New Roman" w:cstheme="minorHAnsi"/>
        </w:rPr>
        <w:t>74</w:t>
      </w:r>
      <w:r w:rsidR="008343AE">
        <w:rPr>
          <w:rFonts w:eastAsia="Times New Roman" w:cstheme="minorHAnsi"/>
        </w:rPr>
        <w:t>% of the time</w:t>
      </w:r>
      <w:r w:rsidR="00744E69">
        <w:rPr>
          <w:rFonts w:eastAsia="Times New Roman" w:cstheme="minorHAnsi"/>
        </w:rPr>
        <w:t xml:space="preserve">. This is also </w:t>
      </w:r>
      <w:r w:rsidR="00744E69">
        <w:rPr>
          <w:rFonts w:eastAsia="Times New Roman" w:cstheme="minorHAnsi"/>
        </w:rPr>
        <w:lastRenderedPageBreak/>
        <w:t xml:space="preserve">equivalent to 75% of total spending on treated cases (figure not shown). As </w:t>
      </w:r>
      <w:r w:rsidR="00395257">
        <w:rPr>
          <w:rFonts w:eastAsia="Times New Roman" w:cstheme="minorHAnsi"/>
        </w:rPr>
        <w:t xml:space="preserve">one can also inferred from the table, 22% of the full benefit categories are uninsured </w:t>
      </w:r>
      <w:r w:rsidR="004D11E1">
        <w:rPr>
          <w:rFonts w:eastAsia="Times New Roman" w:cstheme="minorHAnsi"/>
        </w:rPr>
        <w:t>(</w:t>
      </w:r>
      <w:r w:rsidR="00ED3A50">
        <w:rPr>
          <w:rFonts w:eastAsia="Times New Roman" w:cstheme="minorHAnsi"/>
        </w:rPr>
        <w:t xml:space="preserve">137,970 out of 627,863). </w:t>
      </w:r>
      <w:r w:rsidR="002A2479">
        <w:rPr>
          <w:rFonts w:eastAsia="Times New Roman" w:cstheme="minorHAnsi"/>
        </w:rPr>
        <w:t xml:space="preserve">The uninsured group largely falls under the medical categories because most of people in the social group </w:t>
      </w:r>
      <w:r w:rsidR="00E00F66">
        <w:rPr>
          <w:rFonts w:eastAsia="Times New Roman" w:cstheme="minorHAnsi"/>
        </w:rPr>
        <w:t>have insurance premium covered from the government budget already.</w:t>
      </w:r>
      <w:r w:rsidR="00ED3A50">
        <w:rPr>
          <w:rFonts w:eastAsia="Times New Roman" w:cstheme="minorHAnsi"/>
        </w:rPr>
        <w:t xml:space="preserve"> </w:t>
      </w:r>
      <w:r w:rsidR="005A0F56">
        <w:rPr>
          <w:rFonts w:eastAsia="Times New Roman" w:cstheme="minorHAnsi"/>
        </w:rPr>
        <w:t xml:space="preserve">Specifically, 66% of the </w:t>
      </w:r>
      <w:r w:rsidR="00393A6B">
        <w:rPr>
          <w:rFonts w:eastAsia="Times New Roman" w:cstheme="minorHAnsi"/>
        </w:rPr>
        <w:t xml:space="preserve">treated cases receiving full benefits belong to the uninsured group. </w:t>
      </w:r>
      <w:r w:rsidR="00FF24D7">
        <w:rPr>
          <w:rFonts w:eastAsia="Times New Roman" w:cstheme="minorHAnsi"/>
        </w:rPr>
        <w:t>T</w:t>
      </w:r>
      <w:r w:rsidR="00393844">
        <w:rPr>
          <w:rFonts w:eastAsia="Times New Roman" w:cstheme="minorHAnsi"/>
        </w:rPr>
        <w:t>he coverage of s</w:t>
      </w:r>
      <w:r w:rsidR="00670210">
        <w:rPr>
          <w:rFonts w:eastAsia="Times New Roman" w:cstheme="minorHAnsi"/>
        </w:rPr>
        <w:t>oci</w:t>
      </w:r>
      <w:r w:rsidR="00B408B1">
        <w:rPr>
          <w:rFonts w:eastAsia="Times New Roman" w:cstheme="minorHAnsi"/>
        </w:rPr>
        <w:t>a</w:t>
      </w:r>
      <w:r w:rsidR="00670210">
        <w:rPr>
          <w:rFonts w:eastAsia="Times New Roman" w:cstheme="minorHAnsi"/>
        </w:rPr>
        <w:t xml:space="preserve">l </w:t>
      </w:r>
      <w:r w:rsidR="00B408B1">
        <w:rPr>
          <w:rFonts w:eastAsia="Times New Roman" w:cstheme="minorHAnsi"/>
        </w:rPr>
        <w:t>h</w:t>
      </w:r>
      <w:r w:rsidR="00E9204C">
        <w:rPr>
          <w:rFonts w:eastAsia="Times New Roman" w:cstheme="minorHAnsi"/>
        </w:rPr>
        <w:t xml:space="preserve">ealth insurance coverage in the Kyrgyz Republic </w:t>
      </w:r>
      <w:r w:rsidR="00FF24D7">
        <w:rPr>
          <w:rFonts w:eastAsia="Times New Roman" w:cstheme="minorHAnsi"/>
        </w:rPr>
        <w:t>is</w:t>
      </w:r>
      <w:r w:rsidR="00E9204C">
        <w:rPr>
          <w:rFonts w:eastAsia="Times New Roman" w:cstheme="minorHAnsi"/>
        </w:rPr>
        <w:t xml:space="preserve"> </w:t>
      </w:r>
      <w:r w:rsidR="00D44BA8">
        <w:rPr>
          <w:rFonts w:eastAsia="Times New Roman" w:cstheme="minorHAnsi"/>
        </w:rPr>
        <w:t>reported to be between 65%-75%</w:t>
      </w:r>
      <w:r w:rsidR="003C0EB6">
        <w:rPr>
          <w:rFonts w:eastAsia="Times New Roman" w:cstheme="minorHAnsi"/>
        </w:rPr>
        <w:t xml:space="preserve">, </w:t>
      </w:r>
      <w:r w:rsidR="00E9204C">
        <w:rPr>
          <w:rFonts w:eastAsia="Times New Roman" w:cstheme="minorHAnsi"/>
        </w:rPr>
        <w:t xml:space="preserve">and </w:t>
      </w:r>
      <w:r w:rsidR="00565A85">
        <w:rPr>
          <w:rFonts w:eastAsia="Times New Roman" w:cstheme="minorHAnsi"/>
        </w:rPr>
        <w:t xml:space="preserve">the policy to </w:t>
      </w:r>
      <w:r w:rsidR="003A5469">
        <w:rPr>
          <w:rFonts w:eastAsia="Times New Roman" w:cstheme="minorHAnsi"/>
        </w:rPr>
        <w:t xml:space="preserve">provide generous benefits to uninsured people based on a large number of medical conditions </w:t>
      </w:r>
      <w:r w:rsidR="00194402">
        <w:rPr>
          <w:rFonts w:eastAsia="Times New Roman" w:cstheme="minorHAnsi"/>
        </w:rPr>
        <w:t>will not be helpful in boosting further the coverage.</w:t>
      </w:r>
    </w:p>
    <w:p w14:paraId="78400147" w14:textId="61AF4F03" w:rsidR="00BF3B37" w:rsidRPr="00132B20" w:rsidRDefault="00BF3B37" w:rsidP="00132B20">
      <w:pPr>
        <w:pStyle w:val="ListParagraph"/>
        <w:spacing w:before="240" w:after="120" w:line="240" w:lineRule="auto"/>
        <w:ind w:left="0"/>
        <w:contextualSpacing w:val="0"/>
        <w:jc w:val="both"/>
        <w:rPr>
          <w:rFonts w:eastAsia="Times New Roman" w:cstheme="minorHAnsi"/>
          <w:b/>
        </w:rPr>
      </w:pPr>
      <w:r w:rsidRPr="00132B20">
        <w:rPr>
          <w:rFonts w:eastAsia="Times New Roman" w:cstheme="minorHAnsi"/>
          <w:b/>
        </w:rPr>
        <w:t xml:space="preserve">Table </w:t>
      </w:r>
      <w:r w:rsidR="00CD14BA">
        <w:rPr>
          <w:rFonts w:eastAsia="Times New Roman" w:cstheme="minorHAnsi"/>
          <w:b/>
        </w:rPr>
        <w:t>10</w:t>
      </w:r>
      <w:r w:rsidRPr="00132B20">
        <w:rPr>
          <w:rFonts w:eastAsia="Times New Roman" w:cstheme="minorHAnsi"/>
          <w:b/>
        </w:rPr>
        <w:t xml:space="preserve">. </w:t>
      </w:r>
      <w:r w:rsidR="00C1243D" w:rsidRPr="00132B20">
        <w:rPr>
          <w:rFonts w:eastAsia="Times New Roman" w:cstheme="minorHAnsi"/>
          <w:b/>
        </w:rPr>
        <w:t xml:space="preserve">Number and share of the beneficiary groups </w:t>
      </w:r>
      <w:r w:rsidR="00CD20C9" w:rsidRPr="00132B20">
        <w:rPr>
          <w:rFonts w:eastAsia="Times New Roman" w:cstheme="minorHAnsi"/>
          <w:b/>
        </w:rPr>
        <w:t>in the total number of treated cases</w:t>
      </w:r>
      <w:r w:rsidR="00915DBB" w:rsidRPr="00132B20">
        <w:rPr>
          <w:rFonts w:eastAsia="Times New Roman" w:cstheme="minorHAnsi"/>
          <w:b/>
        </w:rPr>
        <w:t xml:space="preserve"> (2017)</w:t>
      </w:r>
      <w:r w:rsidR="009D526B" w:rsidRPr="00132B20">
        <w:rPr>
          <w:rFonts w:eastAsia="Times New Roman" w:cstheme="minorHAnsi"/>
          <w:b/>
        </w:rPr>
        <w:t xml:space="preserve"> </w:t>
      </w:r>
    </w:p>
    <w:tbl>
      <w:tblPr>
        <w:tblW w:w="0" w:type="auto"/>
        <w:tblBorders>
          <w:top w:val="single" w:sz="4" w:space="0" w:color="auto"/>
          <w:bottom w:val="single" w:sz="4" w:space="0" w:color="auto"/>
        </w:tblBorders>
        <w:tblCellMar>
          <w:left w:w="115" w:type="dxa"/>
          <w:right w:w="115" w:type="dxa"/>
        </w:tblCellMar>
        <w:tblLook w:val="04A0" w:firstRow="1" w:lastRow="0" w:firstColumn="1" w:lastColumn="0" w:noHBand="0" w:noVBand="1"/>
      </w:tblPr>
      <w:tblGrid>
        <w:gridCol w:w="5760"/>
        <w:gridCol w:w="1260"/>
        <w:gridCol w:w="1350"/>
        <w:gridCol w:w="1036"/>
      </w:tblGrid>
      <w:tr w:rsidR="001D402B" w:rsidRPr="00F42E18" w14:paraId="1DE934D7" w14:textId="77777777" w:rsidTr="00791D7C">
        <w:trPr>
          <w:trHeight w:val="288"/>
        </w:trPr>
        <w:tc>
          <w:tcPr>
            <w:tcW w:w="5760" w:type="dxa"/>
            <w:tcBorders>
              <w:top w:val="single" w:sz="4" w:space="0" w:color="auto"/>
              <w:bottom w:val="single" w:sz="4" w:space="0" w:color="auto"/>
              <w:right w:val="nil"/>
            </w:tcBorders>
            <w:shd w:val="clear" w:color="auto" w:fill="F2F2F2" w:themeFill="background1" w:themeFillShade="F2"/>
            <w:noWrap/>
            <w:vAlign w:val="bottom"/>
            <w:hideMark/>
          </w:tcPr>
          <w:p w14:paraId="27A4DC89" w14:textId="0313ED77" w:rsidR="00F42E18" w:rsidRDefault="00660719" w:rsidP="00203BD3">
            <w:pPr>
              <w:spacing w:after="0" w:line="240" w:lineRule="auto"/>
              <w:contextualSpacing/>
              <w:rPr>
                <w:rFonts w:eastAsia="Times New Roman" w:cstheme="minorHAnsi"/>
                <w:b/>
              </w:rPr>
            </w:pPr>
            <w:r w:rsidRPr="00E970D5">
              <w:rPr>
                <w:rFonts w:eastAsia="Times New Roman" w:cstheme="minorHAnsi"/>
                <w:b/>
              </w:rPr>
              <w:t>Patient categories</w:t>
            </w:r>
          </w:p>
          <w:p w14:paraId="2E899798" w14:textId="77777777" w:rsidR="00D10297" w:rsidRDefault="00D10297" w:rsidP="00203BD3">
            <w:pPr>
              <w:spacing w:after="0" w:line="240" w:lineRule="auto"/>
              <w:contextualSpacing/>
              <w:rPr>
                <w:rFonts w:eastAsia="Times New Roman" w:cstheme="minorHAnsi"/>
                <w:b/>
              </w:rPr>
            </w:pPr>
          </w:p>
          <w:p w14:paraId="1ED85E74" w14:textId="7196220A" w:rsidR="00E970D5" w:rsidRPr="00E970D5" w:rsidRDefault="00E970D5" w:rsidP="00203BD3">
            <w:pPr>
              <w:spacing w:after="0" w:line="240" w:lineRule="auto"/>
              <w:contextualSpacing/>
              <w:rPr>
                <w:rFonts w:eastAsia="Times New Roman" w:cstheme="minorHAnsi"/>
                <w:b/>
              </w:rPr>
            </w:pPr>
          </w:p>
        </w:tc>
        <w:tc>
          <w:tcPr>
            <w:tcW w:w="1260" w:type="dxa"/>
            <w:tcBorders>
              <w:top w:val="single" w:sz="4" w:space="0" w:color="auto"/>
              <w:left w:val="nil"/>
              <w:bottom w:val="single" w:sz="4" w:space="0" w:color="auto"/>
              <w:right w:val="nil"/>
            </w:tcBorders>
            <w:shd w:val="clear" w:color="auto" w:fill="F2F2F2" w:themeFill="background1" w:themeFillShade="F2"/>
            <w:noWrap/>
            <w:vAlign w:val="bottom"/>
            <w:hideMark/>
          </w:tcPr>
          <w:p w14:paraId="793F99A2" w14:textId="6F895FE2" w:rsidR="00F42E18" w:rsidRDefault="00393844" w:rsidP="001D402B">
            <w:pPr>
              <w:spacing w:after="0" w:line="240" w:lineRule="auto"/>
              <w:contextualSpacing/>
              <w:jc w:val="right"/>
              <w:rPr>
                <w:rFonts w:ascii="Calibri" w:eastAsia="Times New Roman" w:hAnsi="Calibri" w:cs="Calibri"/>
                <w:b/>
                <w:color w:val="000000"/>
              </w:rPr>
            </w:pPr>
            <w:r w:rsidRPr="00E970D5">
              <w:rPr>
                <w:rFonts w:ascii="Calibri" w:eastAsia="Times New Roman" w:hAnsi="Calibri" w:cs="Calibri"/>
                <w:b/>
                <w:color w:val="000000"/>
              </w:rPr>
              <w:t>I</w:t>
            </w:r>
            <w:r w:rsidR="00F42E18" w:rsidRPr="00E970D5">
              <w:rPr>
                <w:rFonts w:ascii="Calibri" w:eastAsia="Times New Roman" w:hAnsi="Calibri" w:cs="Calibri"/>
                <w:b/>
                <w:color w:val="000000"/>
              </w:rPr>
              <w:t>nsured</w:t>
            </w:r>
          </w:p>
          <w:p w14:paraId="043064C1" w14:textId="77777777" w:rsidR="00D10297" w:rsidRDefault="00D10297" w:rsidP="001D402B">
            <w:pPr>
              <w:spacing w:after="0" w:line="240" w:lineRule="auto"/>
              <w:contextualSpacing/>
              <w:jc w:val="right"/>
              <w:rPr>
                <w:rFonts w:ascii="Calibri" w:eastAsia="Times New Roman" w:hAnsi="Calibri" w:cs="Calibri"/>
                <w:b/>
                <w:color w:val="000000"/>
              </w:rPr>
            </w:pPr>
          </w:p>
          <w:p w14:paraId="6DAC58E9" w14:textId="5EF85E1E" w:rsidR="00E970D5" w:rsidRPr="00E970D5" w:rsidRDefault="00E970D5" w:rsidP="001D402B">
            <w:pPr>
              <w:spacing w:after="0" w:line="240" w:lineRule="auto"/>
              <w:contextualSpacing/>
              <w:jc w:val="right"/>
              <w:rPr>
                <w:rFonts w:ascii="Calibri" w:eastAsia="Times New Roman" w:hAnsi="Calibri" w:cs="Calibri"/>
                <w:b/>
                <w:color w:val="000000"/>
              </w:rPr>
            </w:pPr>
          </w:p>
        </w:tc>
        <w:tc>
          <w:tcPr>
            <w:tcW w:w="1350" w:type="dxa"/>
            <w:tcBorders>
              <w:top w:val="single" w:sz="4" w:space="0" w:color="auto"/>
              <w:left w:val="nil"/>
              <w:bottom w:val="single" w:sz="4" w:space="0" w:color="auto"/>
              <w:right w:val="nil"/>
            </w:tcBorders>
            <w:shd w:val="clear" w:color="auto" w:fill="F2F2F2" w:themeFill="background1" w:themeFillShade="F2"/>
            <w:noWrap/>
            <w:vAlign w:val="bottom"/>
            <w:hideMark/>
          </w:tcPr>
          <w:p w14:paraId="4E021717" w14:textId="4F95F922" w:rsidR="00F42E18" w:rsidRDefault="00FF24D7" w:rsidP="001D402B">
            <w:pPr>
              <w:spacing w:after="0" w:line="240" w:lineRule="auto"/>
              <w:contextualSpacing/>
              <w:jc w:val="right"/>
              <w:rPr>
                <w:rFonts w:ascii="Calibri" w:eastAsia="Times New Roman" w:hAnsi="Calibri" w:cs="Calibri"/>
                <w:b/>
                <w:color w:val="000000"/>
              </w:rPr>
            </w:pPr>
            <w:r w:rsidRPr="00E970D5">
              <w:rPr>
                <w:rFonts w:ascii="Calibri" w:eastAsia="Times New Roman" w:hAnsi="Calibri" w:cs="Calibri"/>
                <w:b/>
                <w:color w:val="000000"/>
              </w:rPr>
              <w:t>U</w:t>
            </w:r>
            <w:r w:rsidR="00F42E18" w:rsidRPr="00E970D5">
              <w:rPr>
                <w:rFonts w:ascii="Calibri" w:eastAsia="Times New Roman" w:hAnsi="Calibri" w:cs="Calibri"/>
                <w:b/>
                <w:color w:val="000000"/>
              </w:rPr>
              <w:t>ninsured</w:t>
            </w:r>
          </w:p>
          <w:p w14:paraId="47836FF5" w14:textId="77777777" w:rsidR="00D10297" w:rsidRDefault="00D10297" w:rsidP="001D402B">
            <w:pPr>
              <w:spacing w:after="0" w:line="240" w:lineRule="auto"/>
              <w:contextualSpacing/>
              <w:jc w:val="right"/>
              <w:rPr>
                <w:rFonts w:ascii="Calibri" w:eastAsia="Times New Roman" w:hAnsi="Calibri" w:cs="Calibri"/>
                <w:b/>
                <w:color w:val="000000"/>
              </w:rPr>
            </w:pPr>
          </w:p>
          <w:p w14:paraId="07DBDB82" w14:textId="17F5DBE8" w:rsidR="00E970D5" w:rsidRPr="00E970D5" w:rsidRDefault="00E970D5" w:rsidP="001D402B">
            <w:pPr>
              <w:spacing w:after="0" w:line="240" w:lineRule="auto"/>
              <w:contextualSpacing/>
              <w:jc w:val="right"/>
              <w:rPr>
                <w:rFonts w:ascii="Calibri" w:eastAsia="Times New Roman" w:hAnsi="Calibri" w:cs="Calibri"/>
                <w:b/>
                <w:color w:val="000000"/>
              </w:rPr>
            </w:pPr>
          </w:p>
        </w:tc>
        <w:tc>
          <w:tcPr>
            <w:tcW w:w="1036" w:type="dxa"/>
            <w:tcBorders>
              <w:top w:val="single" w:sz="4" w:space="0" w:color="auto"/>
              <w:left w:val="nil"/>
              <w:bottom w:val="single" w:sz="4" w:space="0" w:color="auto"/>
            </w:tcBorders>
            <w:shd w:val="clear" w:color="auto" w:fill="F2F2F2" w:themeFill="background1" w:themeFillShade="F2"/>
            <w:noWrap/>
            <w:vAlign w:val="bottom"/>
            <w:hideMark/>
          </w:tcPr>
          <w:p w14:paraId="511D415C" w14:textId="186AE558" w:rsidR="00F42E18" w:rsidRDefault="00176B0B" w:rsidP="001D402B">
            <w:pPr>
              <w:spacing w:after="0" w:line="240" w:lineRule="auto"/>
              <w:contextualSpacing/>
              <w:jc w:val="right"/>
              <w:rPr>
                <w:rFonts w:ascii="Calibri" w:eastAsia="Times New Roman" w:hAnsi="Calibri" w:cs="Calibri"/>
                <w:b/>
                <w:color w:val="000000"/>
              </w:rPr>
            </w:pPr>
            <w:r w:rsidRPr="00E970D5">
              <w:rPr>
                <w:rFonts w:ascii="Calibri" w:eastAsia="Times New Roman" w:hAnsi="Calibri" w:cs="Calibri"/>
                <w:b/>
                <w:color w:val="000000"/>
              </w:rPr>
              <w:t>T</w:t>
            </w:r>
            <w:r w:rsidR="00F42E18" w:rsidRPr="00E970D5">
              <w:rPr>
                <w:rFonts w:ascii="Calibri" w:eastAsia="Times New Roman" w:hAnsi="Calibri" w:cs="Calibri"/>
                <w:b/>
                <w:color w:val="000000"/>
              </w:rPr>
              <w:t>otal</w:t>
            </w:r>
          </w:p>
          <w:p w14:paraId="57ED248E" w14:textId="77777777" w:rsidR="00D10297" w:rsidRDefault="00D10297" w:rsidP="001D402B">
            <w:pPr>
              <w:spacing w:after="0" w:line="240" w:lineRule="auto"/>
              <w:contextualSpacing/>
              <w:jc w:val="right"/>
              <w:rPr>
                <w:rFonts w:ascii="Calibri" w:eastAsia="Times New Roman" w:hAnsi="Calibri" w:cs="Calibri"/>
                <w:b/>
                <w:color w:val="000000"/>
              </w:rPr>
            </w:pPr>
          </w:p>
          <w:p w14:paraId="1880BD41" w14:textId="413CB5F5" w:rsidR="00E970D5" w:rsidRPr="00E970D5" w:rsidRDefault="00E970D5" w:rsidP="001D402B">
            <w:pPr>
              <w:spacing w:after="0" w:line="240" w:lineRule="auto"/>
              <w:contextualSpacing/>
              <w:jc w:val="right"/>
              <w:rPr>
                <w:rFonts w:ascii="Calibri" w:eastAsia="Times New Roman" w:hAnsi="Calibri" w:cs="Calibri"/>
                <w:b/>
                <w:color w:val="000000"/>
              </w:rPr>
            </w:pPr>
          </w:p>
        </w:tc>
      </w:tr>
      <w:tr w:rsidR="001D402B" w:rsidRPr="00F42E18" w14:paraId="468F4DE6" w14:textId="77777777" w:rsidTr="00205851">
        <w:trPr>
          <w:trHeight w:val="355"/>
        </w:trPr>
        <w:tc>
          <w:tcPr>
            <w:tcW w:w="5760" w:type="dxa"/>
            <w:tcBorders>
              <w:top w:val="single" w:sz="4" w:space="0" w:color="auto"/>
              <w:right w:val="nil"/>
            </w:tcBorders>
            <w:shd w:val="clear" w:color="auto" w:fill="auto"/>
            <w:noWrap/>
            <w:vAlign w:val="bottom"/>
            <w:hideMark/>
          </w:tcPr>
          <w:p w14:paraId="169CE7DC" w14:textId="3A5E9422" w:rsidR="00F42E18" w:rsidRPr="00F42E18" w:rsidRDefault="00F42E18" w:rsidP="00205851">
            <w:pPr>
              <w:widowControl w:val="0"/>
              <w:spacing w:after="0" w:line="240" w:lineRule="auto"/>
              <w:contextualSpacing/>
              <w:rPr>
                <w:rFonts w:ascii="Calibri" w:eastAsia="Times New Roman" w:hAnsi="Calibri" w:cs="Calibri"/>
                <w:color w:val="000000"/>
              </w:rPr>
            </w:pPr>
            <w:r w:rsidRPr="00F42E18">
              <w:rPr>
                <w:rFonts w:ascii="Calibri" w:eastAsia="Times New Roman" w:hAnsi="Calibri" w:cs="Calibri"/>
                <w:color w:val="000000"/>
              </w:rPr>
              <w:t xml:space="preserve">No. </w:t>
            </w:r>
            <w:r w:rsidR="00FF24D7">
              <w:rPr>
                <w:rFonts w:ascii="Calibri" w:eastAsia="Times New Roman" w:hAnsi="Calibri" w:cs="Calibri"/>
                <w:color w:val="000000"/>
              </w:rPr>
              <w:t xml:space="preserve">of </w:t>
            </w:r>
            <w:r w:rsidRPr="00F42E18">
              <w:rPr>
                <w:rFonts w:ascii="Calibri" w:eastAsia="Times New Roman" w:hAnsi="Calibri" w:cs="Calibri"/>
                <w:color w:val="000000"/>
              </w:rPr>
              <w:t>treated case</w:t>
            </w:r>
            <w:r w:rsidR="00867D33">
              <w:rPr>
                <w:rFonts w:ascii="Calibri" w:eastAsia="Times New Roman" w:hAnsi="Calibri" w:cs="Calibri"/>
                <w:color w:val="000000"/>
              </w:rPr>
              <w:t>s</w:t>
            </w:r>
            <w:r w:rsidRPr="00F42E18">
              <w:rPr>
                <w:rFonts w:ascii="Calibri" w:eastAsia="Times New Roman" w:hAnsi="Calibri" w:cs="Calibri"/>
                <w:color w:val="000000"/>
              </w:rPr>
              <w:t xml:space="preserve"> with 100% benefits, social categories</w:t>
            </w:r>
          </w:p>
        </w:tc>
        <w:tc>
          <w:tcPr>
            <w:tcW w:w="1260" w:type="dxa"/>
            <w:tcBorders>
              <w:top w:val="single" w:sz="4" w:space="0" w:color="auto"/>
              <w:left w:val="nil"/>
              <w:right w:val="nil"/>
            </w:tcBorders>
            <w:shd w:val="clear" w:color="auto" w:fill="auto"/>
            <w:noWrap/>
            <w:vAlign w:val="bottom"/>
            <w:hideMark/>
          </w:tcPr>
          <w:p w14:paraId="1C77AEE7" w14:textId="32C79F28" w:rsidR="00F42E18" w:rsidRPr="00F42E18" w:rsidRDefault="00F42E18" w:rsidP="00205851">
            <w:pPr>
              <w:widowControl w:val="0"/>
              <w:spacing w:after="0" w:line="240" w:lineRule="auto"/>
              <w:contextualSpacing/>
              <w:jc w:val="right"/>
              <w:rPr>
                <w:rFonts w:ascii="Calibri" w:eastAsia="Times New Roman" w:hAnsi="Calibri" w:cs="Calibri"/>
                <w:color w:val="000000"/>
              </w:rPr>
            </w:pPr>
            <w:r w:rsidRPr="00F42E18">
              <w:rPr>
                <w:rFonts w:ascii="Calibri" w:eastAsia="Times New Roman" w:hAnsi="Calibri" w:cs="Calibri"/>
                <w:color w:val="000000"/>
              </w:rPr>
              <w:t xml:space="preserve">                   423,483 </w:t>
            </w:r>
          </w:p>
        </w:tc>
        <w:tc>
          <w:tcPr>
            <w:tcW w:w="1350" w:type="dxa"/>
            <w:tcBorders>
              <w:top w:val="single" w:sz="4" w:space="0" w:color="auto"/>
              <w:left w:val="nil"/>
              <w:right w:val="nil"/>
            </w:tcBorders>
            <w:shd w:val="clear" w:color="auto" w:fill="auto"/>
            <w:noWrap/>
            <w:vAlign w:val="bottom"/>
            <w:hideMark/>
          </w:tcPr>
          <w:p w14:paraId="367D8E70" w14:textId="2F31959A" w:rsidR="00F42E18" w:rsidRPr="00F42E18" w:rsidRDefault="00F42E18" w:rsidP="00205851">
            <w:pPr>
              <w:widowControl w:val="0"/>
              <w:spacing w:after="0" w:line="240" w:lineRule="auto"/>
              <w:contextualSpacing/>
              <w:jc w:val="right"/>
              <w:rPr>
                <w:rFonts w:ascii="Calibri" w:eastAsia="Times New Roman" w:hAnsi="Calibri" w:cs="Calibri"/>
                <w:color w:val="000000"/>
              </w:rPr>
            </w:pPr>
            <w:r w:rsidRPr="00F42E18">
              <w:rPr>
                <w:rFonts w:ascii="Calibri" w:eastAsia="Times New Roman" w:hAnsi="Calibri" w:cs="Calibri"/>
                <w:color w:val="000000"/>
              </w:rPr>
              <w:t xml:space="preserve">                             8,263 </w:t>
            </w:r>
          </w:p>
        </w:tc>
        <w:tc>
          <w:tcPr>
            <w:tcW w:w="1036" w:type="dxa"/>
            <w:tcBorders>
              <w:top w:val="single" w:sz="4" w:space="0" w:color="auto"/>
              <w:left w:val="nil"/>
            </w:tcBorders>
            <w:shd w:val="clear" w:color="auto" w:fill="auto"/>
            <w:noWrap/>
            <w:vAlign w:val="bottom"/>
            <w:hideMark/>
          </w:tcPr>
          <w:p w14:paraId="09CE3336" w14:textId="1C450725" w:rsidR="00F42E18" w:rsidRPr="00F42E18" w:rsidRDefault="00F42E18" w:rsidP="00205851">
            <w:pPr>
              <w:widowControl w:val="0"/>
              <w:spacing w:after="0" w:line="240" w:lineRule="auto"/>
              <w:contextualSpacing/>
              <w:jc w:val="right"/>
              <w:rPr>
                <w:rFonts w:ascii="Calibri" w:eastAsia="Times New Roman" w:hAnsi="Calibri" w:cs="Calibri"/>
                <w:color w:val="000000"/>
              </w:rPr>
            </w:pPr>
            <w:r w:rsidRPr="00F42E18">
              <w:rPr>
                <w:rFonts w:ascii="Calibri" w:eastAsia="Times New Roman" w:hAnsi="Calibri" w:cs="Calibri"/>
                <w:color w:val="000000"/>
              </w:rPr>
              <w:t xml:space="preserve">              431,746 </w:t>
            </w:r>
          </w:p>
        </w:tc>
      </w:tr>
      <w:tr w:rsidR="001D402B" w:rsidRPr="00F42E18" w14:paraId="01B86AC4" w14:textId="77777777" w:rsidTr="00205851">
        <w:trPr>
          <w:trHeight w:val="275"/>
        </w:trPr>
        <w:tc>
          <w:tcPr>
            <w:tcW w:w="5760" w:type="dxa"/>
            <w:tcBorders>
              <w:right w:val="nil"/>
            </w:tcBorders>
            <w:shd w:val="clear" w:color="auto" w:fill="auto"/>
            <w:noWrap/>
            <w:vAlign w:val="bottom"/>
            <w:hideMark/>
          </w:tcPr>
          <w:p w14:paraId="02AC3BA3" w14:textId="1FBE8097" w:rsidR="00F42E18" w:rsidRPr="00F42E18" w:rsidRDefault="00F42E18" w:rsidP="00205851">
            <w:pPr>
              <w:widowControl w:val="0"/>
              <w:spacing w:after="0" w:line="240" w:lineRule="auto"/>
              <w:contextualSpacing/>
              <w:rPr>
                <w:rFonts w:ascii="Calibri" w:eastAsia="Times New Roman" w:hAnsi="Calibri" w:cs="Calibri"/>
                <w:color w:val="000000"/>
              </w:rPr>
            </w:pPr>
            <w:r w:rsidRPr="00F42E18">
              <w:rPr>
                <w:rFonts w:ascii="Calibri" w:eastAsia="Times New Roman" w:hAnsi="Calibri" w:cs="Calibri"/>
                <w:color w:val="000000"/>
              </w:rPr>
              <w:t xml:space="preserve">No. </w:t>
            </w:r>
            <w:r w:rsidR="00FF24D7">
              <w:rPr>
                <w:rFonts w:ascii="Calibri" w:eastAsia="Times New Roman" w:hAnsi="Calibri" w:cs="Calibri"/>
                <w:color w:val="000000"/>
              </w:rPr>
              <w:t xml:space="preserve">of </w:t>
            </w:r>
            <w:r w:rsidRPr="00F42E18">
              <w:rPr>
                <w:rFonts w:ascii="Calibri" w:eastAsia="Times New Roman" w:hAnsi="Calibri" w:cs="Calibri"/>
                <w:color w:val="000000"/>
              </w:rPr>
              <w:t>treated case</w:t>
            </w:r>
            <w:r w:rsidR="00867D33">
              <w:rPr>
                <w:rFonts w:ascii="Calibri" w:eastAsia="Times New Roman" w:hAnsi="Calibri" w:cs="Calibri"/>
                <w:color w:val="000000"/>
              </w:rPr>
              <w:t>s</w:t>
            </w:r>
            <w:r w:rsidRPr="00F42E18">
              <w:rPr>
                <w:rFonts w:ascii="Calibri" w:eastAsia="Times New Roman" w:hAnsi="Calibri" w:cs="Calibri"/>
                <w:color w:val="000000"/>
              </w:rPr>
              <w:t xml:space="preserve"> with partial benefits, social categories</w:t>
            </w:r>
          </w:p>
        </w:tc>
        <w:tc>
          <w:tcPr>
            <w:tcW w:w="1260" w:type="dxa"/>
            <w:tcBorders>
              <w:left w:val="nil"/>
              <w:right w:val="nil"/>
            </w:tcBorders>
            <w:shd w:val="clear" w:color="auto" w:fill="auto"/>
            <w:noWrap/>
            <w:vAlign w:val="bottom"/>
            <w:hideMark/>
          </w:tcPr>
          <w:p w14:paraId="24788FD8" w14:textId="77777777" w:rsidR="00F42E18" w:rsidRPr="00F42E18" w:rsidRDefault="00F42E18" w:rsidP="00205851">
            <w:pPr>
              <w:widowControl w:val="0"/>
              <w:spacing w:after="0" w:line="240" w:lineRule="auto"/>
              <w:contextualSpacing/>
              <w:jc w:val="right"/>
              <w:rPr>
                <w:rFonts w:ascii="Calibri" w:eastAsia="Times New Roman" w:hAnsi="Calibri" w:cs="Calibri"/>
                <w:color w:val="000000"/>
              </w:rPr>
            </w:pPr>
            <w:r w:rsidRPr="00F42E18">
              <w:rPr>
                <w:rFonts w:ascii="Calibri" w:eastAsia="Times New Roman" w:hAnsi="Calibri" w:cs="Calibri"/>
                <w:color w:val="000000"/>
              </w:rPr>
              <w:t xml:space="preserve">                       62,588 </w:t>
            </w:r>
          </w:p>
        </w:tc>
        <w:tc>
          <w:tcPr>
            <w:tcW w:w="1350" w:type="dxa"/>
            <w:tcBorders>
              <w:left w:val="nil"/>
              <w:right w:val="nil"/>
            </w:tcBorders>
            <w:shd w:val="clear" w:color="auto" w:fill="auto"/>
            <w:noWrap/>
            <w:vAlign w:val="bottom"/>
            <w:hideMark/>
          </w:tcPr>
          <w:p w14:paraId="40330AB7" w14:textId="77777777" w:rsidR="00F42E18" w:rsidRPr="00F42E18" w:rsidRDefault="00F42E18" w:rsidP="00205851">
            <w:pPr>
              <w:widowControl w:val="0"/>
              <w:spacing w:after="0" w:line="240" w:lineRule="auto"/>
              <w:contextualSpacing/>
              <w:jc w:val="right"/>
              <w:rPr>
                <w:rFonts w:ascii="Calibri" w:eastAsia="Times New Roman" w:hAnsi="Calibri" w:cs="Calibri"/>
                <w:color w:val="000000"/>
              </w:rPr>
            </w:pPr>
            <w:r w:rsidRPr="00F42E18">
              <w:rPr>
                <w:rFonts w:ascii="Calibri" w:eastAsia="Times New Roman" w:hAnsi="Calibri" w:cs="Calibri"/>
                <w:color w:val="000000"/>
              </w:rPr>
              <w:t xml:space="preserve">                                 236 </w:t>
            </w:r>
          </w:p>
        </w:tc>
        <w:tc>
          <w:tcPr>
            <w:tcW w:w="1036" w:type="dxa"/>
            <w:tcBorders>
              <w:left w:val="nil"/>
            </w:tcBorders>
            <w:shd w:val="clear" w:color="auto" w:fill="auto"/>
            <w:noWrap/>
            <w:vAlign w:val="bottom"/>
            <w:hideMark/>
          </w:tcPr>
          <w:p w14:paraId="012EF6A3" w14:textId="77777777" w:rsidR="00F42E18" w:rsidRPr="00F42E18" w:rsidRDefault="00F42E18" w:rsidP="00205851">
            <w:pPr>
              <w:widowControl w:val="0"/>
              <w:spacing w:after="0" w:line="240" w:lineRule="auto"/>
              <w:contextualSpacing/>
              <w:jc w:val="right"/>
              <w:rPr>
                <w:rFonts w:ascii="Calibri" w:eastAsia="Times New Roman" w:hAnsi="Calibri" w:cs="Calibri"/>
                <w:color w:val="000000"/>
              </w:rPr>
            </w:pPr>
            <w:r w:rsidRPr="00F42E18">
              <w:rPr>
                <w:rFonts w:ascii="Calibri" w:eastAsia="Times New Roman" w:hAnsi="Calibri" w:cs="Calibri"/>
                <w:color w:val="000000"/>
              </w:rPr>
              <w:t xml:space="preserve">                 62,824 </w:t>
            </w:r>
          </w:p>
        </w:tc>
      </w:tr>
      <w:tr w:rsidR="001D402B" w:rsidRPr="00F42E18" w14:paraId="41124062" w14:textId="77777777" w:rsidTr="00791D7C">
        <w:tc>
          <w:tcPr>
            <w:tcW w:w="5760" w:type="dxa"/>
            <w:tcBorders>
              <w:right w:val="nil"/>
            </w:tcBorders>
            <w:shd w:val="clear" w:color="auto" w:fill="auto"/>
            <w:noWrap/>
            <w:vAlign w:val="bottom"/>
            <w:hideMark/>
          </w:tcPr>
          <w:p w14:paraId="1AE48061" w14:textId="38C0E2D3" w:rsidR="00F42E18" w:rsidRPr="00F42E18" w:rsidRDefault="00F42E18" w:rsidP="00205851">
            <w:pPr>
              <w:widowControl w:val="0"/>
              <w:spacing w:after="0" w:line="240" w:lineRule="auto"/>
              <w:contextualSpacing/>
              <w:rPr>
                <w:rFonts w:ascii="Calibri" w:eastAsia="Times New Roman" w:hAnsi="Calibri" w:cs="Calibri"/>
                <w:color w:val="000000"/>
              </w:rPr>
            </w:pPr>
            <w:r w:rsidRPr="00F42E18">
              <w:rPr>
                <w:rFonts w:ascii="Calibri" w:eastAsia="Times New Roman" w:hAnsi="Calibri" w:cs="Calibri"/>
                <w:color w:val="000000"/>
              </w:rPr>
              <w:t xml:space="preserve">No. </w:t>
            </w:r>
            <w:r w:rsidR="00FF24D7">
              <w:rPr>
                <w:rFonts w:ascii="Calibri" w:eastAsia="Times New Roman" w:hAnsi="Calibri" w:cs="Calibri"/>
                <w:color w:val="000000"/>
              </w:rPr>
              <w:t xml:space="preserve">of </w:t>
            </w:r>
            <w:r w:rsidRPr="00F42E18">
              <w:rPr>
                <w:rFonts w:ascii="Calibri" w:eastAsia="Times New Roman" w:hAnsi="Calibri" w:cs="Calibri"/>
                <w:color w:val="000000"/>
              </w:rPr>
              <w:t>treated case</w:t>
            </w:r>
            <w:r w:rsidR="00867D33">
              <w:rPr>
                <w:rFonts w:ascii="Calibri" w:eastAsia="Times New Roman" w:hAnsi="Calibri" w:cs="Calibri"/>
                <w:color w:val="000000"/>
              </w:rPr>
              <w:t>s</w:t>
            </w:r>
            <w:r w:rsidRPr="00F42E18">
              <w:rPr>
                <w:rFonts w:ascii="Calibri" w:eastAsia="Times New Roman" w:hAnsi="Calibri" w:cs="Calibri"/>
                <w:color w:val="000000"/>
              </w:rPr>
              <w:t xml:space="preserve"> with 100% benefits, medical categories</w:t>
            </w:r>
          </w:p>
        </w:tc>
        <w:tc>
          <w:tcPr>
            <w:tcW w:w="1260" w:type="dxa"/>
            <w:tcBorders>
              <w:left w:val="nil"/>
              <w:right w:val="nil"/>
            </w:tcBorders>
            <w:shd w:val="clear" w:color="auto" w:fill="auto"/>
            <w:noWrap/>
            <w:vAlign w:val="bottom"/>
            <w:hideMark/>
          </w:tcPr>
          <w:p w14:paraId="4B1DB76E" w14:textId="77777777" w:rsidR="00F42E18" w:rsidRPr="00F42E18" w:rsidRDefault="00F42E18" w:rsidP="00205851">
            <w:pPr>
              <w:widowControl w:val="0"/>
              <w:spacing w:after="0" w:line="240" w:lineRule="auto"/>
              <w:contextualSpacing/>
              <w:jc w:val="right"/>
              <w:rPr>
                <w:rFonts w:ascii="Calibri" w:eastAsia="Times New Roman" w:hAnsi="Calibri" w:cs="Calibri"/>
                <w:color w:val="000000"/>
              </w:rPr>
            </w:pPr>
            <w:r w:rsidRPr="00F42E18">
              <w:rPr>
                <w:rFonts w:ascii="Calibri" w:eastAsia="Times New Roman" w:hAnsi="Calibri" w:cs="Calibri"/>
                <w:color w:val="000000"/>
              </w:rPr>
              <w:t xml:space="preserve">                       66,410 </w:t>
            </w:r>
          </w:p>
        </w:tc>
        <w:tc>
          <w:tcPr>
            <w:tcW w:w="1350" w:type="dxa"/>
            <w:tcBorders>
              <w:left w:val="nil"/>
              <w:right w:val="nil"/>
            </w:tcBorders>
            <w:shd w:val="clear" w:color="auto" w:fill="auto"/>
            <w:noWrap/>
            <w:vAlign w:val="bottom"/>
            <w:hideMark/>
          </w:tcPr>
          <w:p w14:paraId="4E12CC44" w14:textId="77777777" w:rsidR="00F42E18" w:rsidRPr="00F42E18" w:rsidRDefault="00F42E18" w:rsidP="00205851">
            <w:pPr>
              <w:widowControl w:val="0"/>
              <w:spacing w:after="0" w:line="240" w:lineRule="auto"/>
              <w:contextualSpacing/>
              <w:jc w:val="right"/>
              <w:rPr>
                <w:rFonts w:ascii="Calibri" w:eastAsia="Times New Roman" w:hAnsi="Calibri" w:cs="Calibri"/>
                <w:color w:val="000000"/>
              </w:rPr>
            </w:pPr>
            <w:r w:rsidRPr="00F42E18">
              <w:rPr>
                <w:rFonts w:ascii="Calibri" w:eastAsia="Times New Roman" w:hAnsi="Calibri" w:cs="Calibri"/>
                <w:color w:val="000000"/>
              </w:rPr>
              <w:t xml:space="preserve">                         129,707 </w:t>
            </w:r>
          </w:p>
        </w:tc>
        <w:tc>
          <w:tcPr>
            <w:tcW w:w="1036" w:type="dxa"/>
            <w:tcBorders>
              <w:left w:val="nil"/>
            </w:tcBorders>
            <w:shd w:val="clear" w:color="auto" w:fill="auto"/>
            <w:noWrap/>
            <w:vAlign w:val="bottom"/>
            <w:hideMark/>
          </w:tcPr>
          <w:p w14:paraId="42333202" w14:textId="77777777" w:rsidR="00F42E18" w:rsidRPr="00F42E18" w:rsidRDefault="00F42E18" w:rsidP="00205851">
            <w:pPr>
              <w:widowControl w:val="0"/>
              <w:spacing w:after="0" w:line="240" w:lineRule="auto"/>
              <w:contextualSpacing/>
              <w:jc w:val="right"/>
              <w:rPr>
                <w:rFonts w:ascii="Calibri" w:eastAsia="Times New Roman" w:hAnsi="Calibri" w:cs="Calibri"/>
                <w:color w:val="000000"/>
              </w:rPr>
            </w:pPr>
            <w:r w:rsidRPr="00F42E18">
              <w:rPr>
                <w:rFonts w:ascii="Calibri" w:eastAsia="Times New Roman" w:hAnsi="Calibri" w:cs="Calibri"/>
                <w:color w:val="000000"/>
              </w:rPr>
              <w:t xml:space="preserve">               196,117 </w:t>
            </w:r>
          </w:p>
        </w:tc>
      </w:tr>
      <w:tr w:rsidR="001D402B" w:rsidRPr="00F42E18" w14:paraId="7A06FD57" w14:textId="77777777" w:rsidTr="00791D7C">
        <w:tc>
          <w:tcPr>
            <w:tcW w:w="5760" w:type="dxa"/>
            <w:tcBorders>
              <w:right w:val="nil"/>
            </w:tcBorders>
            <w:shd w:val="clear" w:color="auto" w:fill="auto"/>
            <w:noWrap/>
            <w:vAlign w:val="bottom"/>
            <w:hideMark/>
          </w:tcPr>
          <w:p w14:paraId="743CB847" w14:textId="674F3C11" w:rsidR="00F42E18" w:rsidRPr="00F42E18" w:rsidRDefault="00F42E18" w:rsidP="00205851">
            <w:pPr>
              <w:widowControl w:val="0"/>
              <w:spacing w:after="0" w:line="240" w:lineRule="auto"/>
              <w:contextualSpacing/>
              <w:rPr>
                <w:rFonts w:ascii="Calibri" w:eastAsia="Times New Roman" w:hAnsi="Calibri" w:cs="Calibri"/>
                <w:color w:val="000000"/>
              </w:rPr>
            </w:pPr>
            <w:r w:rsidRPr="00F42E18">
              <w:rPr>
                <w:rFonts w:ascii="Calibri" w:eastAsia="Times New Roman" w:hAnsi="Calibri" w:cs="Calibri"/>
                <w:color w:val="000000"/>
              </w:rPr>
              <w:t xml:space="preserve">No. </w:t>
            </w:r>
            <w:r w:rsidR="00FF24D7">
              <w:rPr>
                <w:rFonts w:ascii="Calibri" w:eastAsia="Times New Roman" w:hAnsi="Calibri" w:cs="Calibri"/>
                <w:color w:val="000000"/>
              </w:rPr>
              <w:t xml:space="preserve">of </w:t>
            </w:r>
            <w:r w:rsidRPr="00F42E18">
              <w:rPr>
                <w:rFonts w:ascii="Calibri" w:eastAsia="Times New Roman" w:hAnsi="Calibri" w:cs="Calibri"/>
                <w:color w:val="000000"/>
              </w:rPr>
              <w:t>treated case</w:t>
            </w:r>
            <w:r w:rsidR="00867D33">
              <w:rPr>
                <w:rFonts w:ascii="Calibri" w:eastAsia="Times New Roman" w:hAnsi="Calibri" w:cs="Calibri"/>
                <w:color w:val="000000"/>
              </w:rPr>
              <w:t>s</w:t>
            </w:r>
            <w:r w:rsidRPr="00F42E18">
              <w:rPr>
                <w:rFonts w:ascii="Calibri" w:eastAsia="Times New Roman" w:hAnsi="Calibri" w:cs="Calibri"/>
                <w:color w:val="000000"/>
              </w:rPr>
              <w:t xml:space="preserve"> with partial benefits, medical</w:t>
            </w:r>
            <w:r w:rsidR="00FF24D7">
              <w:rPr>
                <w:rFonts w:ascii="Calibri" w:eastAsia="Times New Roman" w:hAnsi="Calibri" w:cs="Calibri"/>
                <w:color w:val="000000"/>
              </w:rPr>
              <w:t xml:space="preserve"> categories</w:t>
            </w:r>
            <w:r w:rsidRPr="00F42E18">
              <w:rPr>
                <w:rFonts w:ascii="Calibri" w:eastAsia="Times New Roman" w:hAnsi="Calibri" w:cs="Calibri"/>
                <w:color w:val="000000"/>
              </w:rPr>
              <w:t xml:space="preserve"> </w:t>
            </w:r>
          </w:p>
        </w:tc>
        <w:tc>
          <w:tcPr>
            <w:tcW w:w="1260" w:type="dxa"/>
            <w:tcBorders>
              <w:left w:val="nil"/>
              <w:right w:val="nil"/>
            </w:tcBorders>
            <w:shd w:val="clear" w:color="auto" w:fill="auto"/>
            <w:noWrap/>
            <w:vAlign w:val="bottom"/>
            <w:hideMark/>
          </w:tcPr>
          <w:p w14:paraId="58768356" w14:textId="77777777" w:rsidR="00F42E18" w:rsidRPr="00F42E18" w:rsidRDefault="00F42E18" w:rsidP="00205851">
            <w:pPr>
              <w:widowControl w:val="0"/>
              <w:spacing w:after="0" w:line="240" w:lineRule="auto"/>
              <w:contextualSpacing/>
              <w:jc w:val="right"/>
              <w:rPr>
                <w:rFonts w:ascii="Calibri" w:eastAsia="Times New Roman" w:hAnsi="Calibri" w:cs="Calibri"/>
                <w:color w:val="000000"/>
              </w:rPr>
            </w:pPr>
            <w:r w:rsidRPr="00F42E18">
              <w:rPr>
                <w:rFonts w:ascii="Calibri" w:eastAsia="Times New Roman" w:hAnsi="Calibri" w:cs="Calibri"/>
                <w:color w:val="000000"/>
              </w:rPr>
              <w:t xml:space="preserve">                              39 </w:t>
            </w:r>
          </w:p>
        </w:tc>
        <w:tc>
          <w:tcPr>
            <w:tcW w:w="1350" w:type="dxa"/>
            <w:tcBorders>
              <w:left w:val="nil"/>
              <w:right w:val="nil"/>
            </w:tcBorders>
            <w:shd w:val="clear" w:color="auto" w:fill="auto"/>
            <w:noWrap/>
            <w:vAlign w:val="bottom"/>
            <w:hideMark/>
          </w:tcPr>
          <w:p w14:paraId="55996AB5" w14:textId="77777777" w:rsidR="00F42E18" w:rsidRPr="00F42E18" w:rsidRDefault="00F42E18" w:rsidP="00205851">
            <w:pPr>
              <w:widowControl w:val="0"/>
              <w:spacing w:after="0" w:line="240" w:lineRule="auto"/>
              <w:contextualSpacing/>
              <w:jc w:val="right"/>
              <w:rPr>
                <w:rFonts w:ascii="Calibri" w:eastAsia="Times New Roman" w:hAnsi="Calibri" w:cs="Calibri"/>
                <w:color w:val="000000"/>
              </w:rPr>
            </w:pPr>
            <w:r w:rsidRPr="00F42E18">
              <w:rPr>
                <w:rFonts w:ascii="Calibri" w:eastAsia="Times New Roman" w:hAnsi="Calibri" w:cs="Calibri"/>
                <w:color w:val="000000"/>
              </w:rPr>
              <w:t xml:space="preserve">                                   26 </w:t>
            </w:r>
          </w:p>
        </w:tc>
        <w:tc>
          <w:tcPr>
            <w:tcW w:w="1036" w:type="dxa"/>
            <w:tcBorders>
              <w:left w:val="nil"/>
            </w:tcBorders>
            <w:shd w:val="clear" w:color="auto" w:fill="auto"/>
            <w:noWrap/>
            <w:vAlign w:val="bottom"/>
            <w:hideMark/>
          </w:tcPr>
          <w:p w14:paraId="799F943E" w14:textId="77777777" w:rsidR="00F42E18" w:rsidRPr="00F42E18" w:rsidRDefault="00F42E18" w:rsidP="00205851">
            <w:pPr>
              <w:widowControl w:val="0"/>
              <w:spacing w:after="0" w:line="240" w:lineRule="auto"/>
              <w:contextualSpacing/>
              <w:jc w:val="right"/>
              <w:rPr>
                <w:rFonts w:ascii="Calibri" w:eastAsia="Times New Roman" w:hAnsi="Calibri" w:cs="Calibri"/>
                <w:color w:val="000000"/>
              </w:rPr>
            </w:pPr>
            <w:r w:rsidRPr="00F42E18">
              <w:rPr>
                <w:rFonts w:ascii="Calibri" w:eastAsia="Times New Roman" w:hAnsi="Calibri" w:cs="Calibri"/>
                <w:color w:val="000000"/>
              </w:rPr>
              <w:t xml:space="preserve">                         65 </w:t>
            </w:r>
          </w:p>
        </w:tc>
      </w:tr>
      <w:tr w:rsidR="001D402B" w:rsidRPr="00F42E18" w14:paraId="1CA81E5F" w14:textId="77777777" w:rsidTr="00791D7C">
        <w:tc>
          <w:tcPr>
            <w:tcW w:w="5760" w:type="dxa"/>
            <w:tcBorders>
              <w:right w:val="nil"/>
            </w:tcBorders>
            <w:shd w:val="clear" w:color="auto" w:fill="auto"/>
            <w:noWrap/>
            <w:vAlign w:val="bottom"/>
            <w:hideMark/>
          </w:tcPr>
          <w:p w14:paraId="7931E551" w14:textId="12BCC96C" w:rsidR="00F42E18" w:rsidRPr="00F42E18" w:rsidRDefault="00F42E18" w:rsidP="00205851">
            <w:pPr>
              <w:widowControl w:val="0"/>
              <w:spacing w:after="0" w:line="240" w:lineRule="auto"/>
              <w:contextualSpacing/>
              <w:rPr>
                <w:rFonts w:ascii="Calibri" w:eastAsia="Times New Roman" w:hAnsi="Calibri" w:cs="Calibri"/>
                <w:color w:val="000000"/>
              </w:rPr>
            </w:pPr>
            <w:r w:rsidRPr="00F42E18">
              <w:rPr>
                <w:rFonts w:ascii="Calibri" w:eastAsia="Times New Roman" w:hAnsi="Calibri" w:cs="Calibri"/>
                <w:color w:val="000000"/>
              </w:rPr>
              <w:t xml:space="preserve">Total no. </w:t>
            </w:r>
            <w:r w:rsidR="00FF24D7">
              <w:rPr>
                <w:rFonts w:ascii="Calibri" w:eastAsia="Times New Roman" w:hAnsi="Calibri" w:cs="Calibri"/>
                <w:color w:val="000000"/>
              </w:rPr>
              <w:t xml:space="preserve">of </w:t>
            </w:r>
            <w:r w:rsidRPr="00F42E18">
              <w:rPr>
                <w:rFonts w:ascii="Calibri" w:eastAsia="Times New Roman" w:hAnsi="Calibri" w:cs="Calibri"/>
                <w:color w:val="000000"/>
              </w:rPr>
              <w:t>treated case</w:t>
            </w:r>
            <w:r w:rsidR="00867D33">
              <w:rPr>
                <w:rFonts w:ascii="Calibri" w:eastAsia="Times New Roman" w:hAnsi="Calibri" w:cs="Calibri"/>
                <w:color w:val="000000"/>
              </w:rPr>
              <w:t>s</w:t>
            </w:r>
            <w:r w:rsidRPr="00F42E18">
              <w:rPr>
                <w:rFonts w:ascii="Calibri" w:eastAsia="Times New Roman" w:hAnsi="Calibri" w:cs="Calibri"/>
                <w:color w:val="000000"/>
              </w:rPr>
              <w:t xml:space="preserve"> with 100% benefits</w:t>
            </w:r>
          </w:p>
        </w:tc>
        <w:tc>
          <w:tcPr>
            <w:tcW w:w="1260" w:type="dxa"/>
            <w:tcBorders>
              <w:left w:val="nil"/>
              <w:right w:val="nil"/>
            </w:tcBorders>
            <w:shd w:val="clear" w:color="auto" w:fill="auto"/>
            <w:noWrap/>
            <w:vAlign w:val="bottom"/>
            <w:hideMark/>
          </w:tcPr>
          <w:p w14:paraId="0A37583A" w14:textId="77777777" w:rsidR="00F42E18" w:rsidRPr="00F42E18" w:rsidRDefault="00F42E18" w:rsidP="00205851">
            <w:pPr>
              <w:widowControl w:val="0"/>
              <w:spacing w:after="0" w:line="240" w:lineRule="auto"/>
              <w:contextualSpacing/>
              <w:jc w:val="right"/>
              <w:rPr>
                <w:rFonts w:ascii="Calibri" w:eastAsia="Times New Roman" w:hAnsi="Calibri" w:cs="Calibri"/>
                <w:color w:val="000000"/>
              </w:rPr>
            </w:pPr>
            <w:r w:rsidRPr="00F42E18">
              <w:rPr>
                <w:rFonts w:ascii="Calibri" w:eastAsia="Times New Roman" w:hAnsi="Calibri" w:cs="Calibri"/>
                <w:color w:val="000000"/>
              </w:rPr>
              <w:t xml:space="preserve">                    489,893 </w:t>
            </w:r>
          </w:p>
        </w:tc>
        <w:tc>
          <w:tcPr>
            <w:tcW w:w="1350" w:type="dxa"/>
            <w:tcBorders>
              <w:left w:val="nil"/>
              <w:right w:val="nil"/>
            </w:tcBorders>
            <w:shd w:val="clear" w:color="auto" w:fill="auto"/>
            <w:noWrap/>
            <w:vAlign w:val="bottom"/>
            <w:hideMark/>
          </w:tcPr>
          <w:p w14:paraId="08407008" w14:textId="77777777" w:rsidR="00F42E18" w:rsidRPr="00F42E18" w:rsidRDefault="00F42E18" w:rsidP="00205851">
            <w:pPr>
              <w:widowControl w:val="0"/>
              <w:spacing w:after="0" w:line="240" w:lineRule="auto"/>
              <w:contextualSpacing/>
              <w:jc w:val="right"/>
              <w:rPr>
                <w:rFonts w:ascii="Calibri" w:eastAsia="Times New Roman" w:hAnsi="Calibri" w:cs="Calibri"/>
                <w:color w:val="000000"/>
              </w:rPr>
            </w:pPr>
            <w:r w:rsidRPr="00F42E18">
              <w:rPr>
                <w:rFonts w:ascii="Calibri" w:eastAsia="Times New Roman" w:hAnsi="Calibri" w:cs="Calibri"/>
                <w:color w:val="000000"/>
              </w:rPr>
              <w:t xml:space="preserve">                         137,970 </w:t>
            </w:r>
          </w:p>
        </w:tc>
        <w:tc>
          <w:tcPr>
            <w:tcW w:w="1036" w:type="dxa"/>
            <w:tcBorders>
              <w:left w:val="nil"/>
            </w:tcBorders>
            <w:shd w:val="clear" w:color="auto" w:fill="auto"/>
            <w:noWrap/>
            <w:vAlign w:val="bottom"/>
            <w:hideMark/>
          </w:tcPr>
          <w:p w14:paraId="2B1696E8" w14:textId="77777777" w:rsidR="00F42E18" w:rsidRPr="00F42E18" w:rsidRDefault="00F42E18" w:rsidP="00205851">
            <w:pPr>
              <w:widowControl w:val="0"/>
              <w:spacing w:after="0" w:line="240" w:lineRule="auto"/>
              <w:contextualSpacing/>
              <w:jc w:val="right"/>
              <w:rPr>
                <w:rFonts w:ascii="Calibri" w:eastAsia="Times New Roman" w:hAnsi="Calibri" w:cs="Calibri"/>
                <w:color w:val="000000"/>
              </w:rPr>
            </w:pPr>
            <w:r w:rsidRPr="00F42E18">
              <w:rPr>
                <w:rFonts w:ascii="Calibri" w:eastAsia="Times New Roman" w:hAnsi="Calibri" w:cs="Calibri"/>
                <w:color w:val="000000"/>
              </w:rPr>
              <w:t xml:space="preserve">               627,863 </w:t>
            </w:r>
          </w:p>
        </w:tc>
      </w:tr>
      <w:tr w:rsidR="001D402B" w:rsidRPr="00F42E18" w14:paraId="3FFBE2A9" w14:textId="77777777" w:rsidTr="00791D7C">
        <w:tc>
          <w:tcPr>
            <w:tcW w:w="5760" w:type="dxa"/>
            <w:tcBorders>
              <w:right w:val="nil"/>
            </w:tcBorders>
            <w:shd w:val="clear" w:color="auto" w:fill="auto"/>
            <w:noWrap/>
            <w:vAlign w:val="bottom"/>
            <w:hideMark/>
          </w:tcPr>
          <w:p w14:paraId="78A1DF0D" w14:textId="2E5257ED" w:rsidR="00F42E18" w:rsidRPr="00F42E18" w:rsidRDefault="00F42E18" w:rsidP="00205851">
            <w:pPr>
              <w:widowControl w:val="0"/>
              <w:spacing w:after="0" w:line="240" w:lineRule="auto"/>
              <w:contextualSpacing/>
              <w:rPr>
                <w:rFonts w:ascii="Calibri" w:eastAsia="Times New Roman" w:hAnsi="Calibri" w:cs="Calibri"/>
                <w:color w:val="000000"/>
              </w:rPr>
            </w:pPr>
            <w:r w:rsidRPr="00F42E18">
              <w:rPr>
                <w:rFonts w:ascii="Calibri" w:eastAsia="Times New Roman" w:hAnsi="Calibri" w:cs="Calibri"/>
                <w:color w:val="000000"/>
              </w:rPr>
              <w:t xml:space="preserve">Total no. </w:t>
            </w:r>
            <w:r w:rsidR="001D402B">
              <w:rPr>
                <w:rFonts w:ascii="Calibri" w:eastAsia="Times New Roman" w:hAnsi="Calibri" w:cs="Calibri"/>
                <w:color w:val="000000"/>
              </w:rPr>
              <w:t xml:space="preserve">of </w:t>
            </w:r>
            <w:r w:rsidRPr="00F42E18">
              <w:rPr>
                <w:rFonts w:ascii="Calibri" w:eastAsia="Times New Roman" w:hAnsi="Calibri" w:cs="Calibri"/>
                <w:color w:val="000000"/>
              </w:rPr>
              <w:t>treated case</w:t>
            </w:r>
            <w:r w:rsidR="00867D33">
              <w:rPr>
                <w:rFonts w:ascii="Calibri" w:eastAsia="Times New Roman" w:hAnsi="Calibri" w:cs="Calibri"/>
                <w:color w:val="000000"/>
              </w:rPr>
              <w:t>s</w:t>
            </w:r>
            <w:r w:rsidRPr="00F42E18">
              <w:rPr>
                <w:rFonts w:ascii="Calibri" w:eastAsia="Times New Roman" w:hAnsi="Calibri" w:cs="Calibri"/>
                <w:color w:val="000000"/>
              </w:rPr>
              <w:t xml:space="preserve"> with 100% or partial benefits</w:t>
            </w:r>
          </w:p>
        </w:tc>
        <w:tc>
          <w:tcPr>
            <w:tcW w:w="1260" w:type="dxa"/>
            <w:tcBorders>
              <w:left w:val="nil"/>
              <w:right w:val="nil"/>
            </w:tcBorders>
            <w:shd w:val="clear" w:color="auto" w:fill="auto"/>
            <w:noWrap/>
            <w:vAlign w:val="bottom"/>
            <w:hideMark/>
          </w:tcPr>
          <w:p w14:paraId="74F6ECEE" w14:textId="77777777" w:rsidR="00F42E18" w:rsidRPr="00F42E18" w:rsidRDefault="00F42E18" w:rsidP="00205851">
            <w:pPr>
              <w:widowControl w:val="0"/>
              <w:spacing w:after="0" w:line="240" w:lineRule="auto"/>
              <w:contextualSpacing/>
              <w:jc w:val="right"/>
              <w:rPr>
                <w:rFonts w:ascii="Calibri" w:eastAsia="Times New Roman" w:hAnsi="Calibri" w:cs="Calibri"/>
                <w:color w:val="000000"/>
              </w:rPr>
            </w:pPr>
            <w:r w:rsidRPr="00F42E18">
              <w:rPr>
                <w:rFonts w:ascii="Calibri" w:eastAsia="Times New Roman" w:hAnsi="Calibri" w:cs="Calibri"/>
                <w:color w:val="000000"/>
              </w:rPr>
              <w:t xml:space="preserve">                    552,520 </w:t>
            </w:r>
          </w:p>
        </w:tc>
        <w:tc>
          <w:tcPr>
            <w:tcW w:w="1350" w:type="dxa"/>
            <w:tcBorders>
              <w:left w:val="nil"/>
              <w:right w:val="nil"/>
            </w:tcBorders>
            <w:shd w:val="clear" w:color="auto" w:fill="auto"/>
            <w:noWrap/>
            <w:vAlign w:val="bottom"/>
            <w:hideMark/>
          </w:tcPr>
          <w:p w14:paraId="3FEC665D" w14:textId="77777777" w:rsidR="00F42E18" w:rsidRPr="00F42E18" w:rsidRDefault="00F42E18" w:rsidP="00205851">
            <w:pPr>
              <w:widowControl w:val="0"/>
              <w:spacing w:after="0" w:line="240" w:lineRule="auto"/>
              <w:contextualSpacing/>
              <w:jc w:val="right"/>
              <w:rPr>
                <w:rFonts w:ascii="Calibri" w:eastAsia="Times New Roman" w:hAnsi="Calibri" w:cs="Calibri"/>
                <w:color w:val="000000"/>
              </w:rPr>
            </w:pPr>
            <w:r w:rsidRPr="00F42E18">
              <w:rPr>
                <w:rFonts w:ascii="Calibri" w:eastAsia="Times New Roman" w:hAnsi="Calibri" w:cs="Calibri"/>
                <w:color w:val="000000"/>
              </w:rPr>
              <w:t xml:space="preserve">                         138,232 </w:t>
            </w:r>
          </w:p>
        </w:tc>
        <w:tc>
          <w:tcPr>
            <w:tcW w:w="1036" w:type="dxa"/>
            <w:tcBorders>
              <w:left w:val="nil"/>
            </w:tcBorders>
            <w:shd w:val="clear" w:color="auto" w:fill="auto"/>
            <w:noWrap/>
            <w:vAlign w:val="bottom"/>
            <w:hideMark/>
          </w:tcPr>
          <w:p w14:paraId="6B1FDA05" w14:textId="77777777" w:rsidR="00F42E18" w:rsidRPr="00F42E18" w:rsidRDefault="00F42E18" w:rsidP="00205851">
            <w:pPr>
              <w:widowControl w:val="0"/>
              <w:spacing w:after="0" w:line="240" w:lineRule="auto"/>
              <w:contextualSpacing/>
              <w:jc w:val="right"/>
              <w:rPr>
                <w:rFonts w:ascii="Calibri" w:eastAsia="Times New Roman" w:hAnsi="Calibri" w:cs="Calibri"/>
                <w:color w:val="000000"/>
              </w:rPr>
            </w:pPr>
            <w:r w:rsidRPr="00F42E18">
              <w:rPr>
                <w:rFonts w:ascii="Calibri" w:eastAsia="Times New Roman" w:hAnsi="Calibri" w:cs="Calibri"/>
                <w:color w:val="000000"/>
              </w:rPr>
              <w:t xml:space="preserve">               690,752 </w:t>
            </w:r>
          </w:p>
        </w:tc>
      </w:tr>
      <w:tr w:rsidR="001D402B" w:rsidRPr="00F42E18" w14:paraId="771DAA6B" w14:textId="77777777" w:rsidTr="00791D7C">
        <w:tc>
          <w:tcPr>
            <w:tcW w:w="5760" w:type="dxa"/>
            <w:tcBorders>
              <w:right w:val="nil"/>
            </w:tcBorders>
            <w:shd w:val="clear" w:color="auto" w:fill="auto"/>
            <w:noWrap/>
            <w:vAlign w:val="bottom"/>
            <w:hideMark/>
          </w:tcPr>
          <w:p w14:paraId="3D333627" w14:textId="562A1442" w:rsidR="00F42E18" w:rsidRPr="00F42E18" w:rsidRDefault="00F42E18" w:rsidP="00205851">
            <w:pPr>
              <w:widowControl w:val="0"/>
              <w:spacing w:after="0" w:line="240" w:lineRule="auto"/>
              <w:contextualSpacing/>
              <w:rPr>
                <w:rFonts w:ascii="Calibri" w:eastAsia="Times New Roman" w:hAnsi="Calibri" w:cs="Calibri"/>
                <w:b/>
                <w:bCs/>
                <w:color w:val="000000"/>
              </w:rPr>
            </w:pPr>
            <w:r w:rsidRPr="00F42E18">
              <w:rPr>
                <w:rFonts w:ascii="Calibri" w:eastAsia="Times New Roman" w:hAnsi="Calibri" w:cs="Calibri"/>
                <w:b/>
                <w:bCs/>
                <w:color w:val="000000"/>
              </w:rPr>
              <w:t xml:space="preserve">Total no. </w:t>
            </w:r>
            <w:r w:rsidR="001D402B">
              <w:rPr>
                <w:rFonts w:ascii="Calibri" w:eastAsia="Times New Roman" w:hAnsi="Calibri" w:cs="Calibri"/>
                <w:b/>
                <w:bCs/>
                <w:color w:val="000000"/>
              </w:rPr>
              <w:t xml:space="preserve">of </w:t>
            </w:r>
            <w:r w:rsidRPr="00F42E18">
              <w:rPr>
                <w:rFonts w:ascii="Calibri" w:eastAsia="Times New Roman" w:hAnsi="Calibri" w:cs="Calibri"/>
                <w:b/>
                <w:bCs/>
                <w:color w:val="000000"/>
              </w:rPr>
              <w:t>treated case</w:t>
            </w:r>
            <w:r w:rsidR="00867D33">
              <w:rPr>
                <w:rFonts w:ascii="Calibri" w:eastAsia="Times New Roman" w:hAnsi="Calibri" w:cs="Calibri"/>
                <w:b/>
                <w:bCs/>
                <w:color w:val="000000"/>
              </w:rPr>
              <w:t>s</w:t>
            </w:r>
          </w:p>
        </w:tc>
        <w:tc>
          <w:tcPr>
            <w:tcW w:w="1260" w:type="dxa"/>
            <w:tcBorders>
              <w:left w:val="nil"/>
              <w:right w:val="nil"/>
            </w:tcBorders>
            <w:shd w:val="clear" w:color="auto" w:fill="auto"/>
            <w:noWrap/>
            <w:vAlign w:val="bottom"/>
            <w:hideMark/>
          </w:tcPr>
          <w:p w14:paraId="70B137F4" w14:textId="77777777" w:rsidR="00F42E18" w:rsidRPr="00F42E18" w:rsidRDefault="00F42E18" w:rsidP="00205851">
            <w:pPr>
              <w:widowControl w:val="0"/>
              <w:spacing w:after="0" w:line="240" w:lineRule="auto"/>
              <w:contextualSpacing/>
              <w:jc w:val="right"/>
              <w:rPr>
                <w:rFonts w:ascii="Calibri" w:eastAsia="Times New Roman" w:hAnsi="Calibri" w:cs="Calibri"/>
                <w:b/>
                <w:bCs/>
                <w:color w:val="000000"/>
              </w:rPr>
            </w:pPr>
            <w:r w:rsidRPr="00F42E18">
              <w:rPr>
                <w:rFonts w:ascii="Calibri" w:eastAsia="Times New Roman" w:hAnsi="Calibri" w:cs="Calibri"/>
                <w:b/>
                <w:bCs/>
                <w:color w:val="000000"/>
              </w:rPr>
              <w:t xml:space="preserve">                    708,579 </w:t>
            </w:r>
          </w:p>
        </w:tc>
        <w:tc>
          <w:tcPr>
            <w:tcW w:w="1350" w:type="dxa"/>
            <w:tcBorders>
              <w:left w:val="nil"/>
              <w:right w:val="nil"/>
            </w:tcBorders>
            <w:shd w:val="clear" w:color="auto" w:fill="auto"/>
            <w:noWrap/>
            <w:vAlign w:val="bottom"/>
            <w:hideMark/>
          </w:tcPr>
          <w:p w14:paraId="59BC77E9" w14:textId="77777777" w:rsidR="00F42E18" w:rsidRPr="00F42E18" w:rsidRDefault="00F42E18" w:rsidP="00205851">
            <w:pPr>
              <w:widowControl w:val="0"/>
              <w:spacing w:after="0" w:line="240" w:lineRule="auto"/>
              <w:contextualSpacing/>
              <w:jc w:val="right"/>
              <w:rPr>
                <w:rFonts w:ascii="Calibri" w:eastAsia="Times New Roman" w:hAnsi="Calibri" w:cs="Calibri"/>
                <w:b/>
                <w:bCs/>
                <w:color w:val="000000"/>
              </w:rPr>
            </w:pPr>
            <w:r w:rsidRPr="00F42E18">
              <w:rPr>
                <w:rFonts w:ascii="Calibri" w:eastAsia="Times New Roman" w:hAnsi="Calibri" w:cs="Calibri"/>
                <w:b/>
                <w:bCs/>
                <w:color w:val="000000"/>
              </w:rPr>
              <w:t xml:space="preserve">                         225,044 </w:t>
            </w:r>
          </w:p>
        </w:tc>
        <w:tc>
          <w:tcPr>
            <w:tcW w:w="1036" w:type="dxa"/>
            <w:tcBorders>
              <w:left w:val="nil"/>
            </w:tcBorders>
            <w:shd w:val="clear" w:color="auto" w:fill="auto"/>
            <w:noWrap/>
            <w:vAlign w:val="bottom"/>
            <w:hideMark/>
          </w:tcPr>
          <w:p w14:paraId="2E51119E" w14:textId="77777777" w:rsidR="00F42E18" w:rsidRPr="00F42E18" w:rsidRDefault="00F42E18" w:rsidP="00205851">
            <w:pPr>
              <w:widowControl w:val="0"/>
              <w:spacing w:after="0" w:line="240" w:lineRule="auto"/>
              <w:contextualSpacing/>
              <w:jc w:val="right"/>
              <w:rPr>
                <w:rFonts w:ascii="Calibri" w:eastAsia="Times New Roman" w:hAnsi="Calibri" w:cs="Calibri"/>
                <w:b/>
                <w:bCs/>
                <w:color w:val="000000"/>
              </w:rPr>
            </w:pPr>
            <w:r w:rsidRPr="00F42E18">
              <w:rPr>
                <w:rFonts w:ascii="Calibri" w:eastAsia="Times New Roman" w:hAnsi="Calibri" w:cs="Calibri"/>
                <w:b/>
                <w:bCs/>
                <w:color w:val="000000"/>
              </w:rPr>
              <w:t xml:space="preserve">              933,623 </w:t>
            </w:r>
          </w:p>
        </w:tc>
      </w:tr>
      <w:tr w:rsidR="001D402B" w:rsidRPr="00F42E18" w14:paraId="69A6B0EF" w14:textId="77777777" w:rsidTr="00791D7C">
        <w:trPr>
          <w:trHeight w:val="288"/>
        </w:trPr>
        <w:tc>
          <w:tcPr>
            <w:tcW w:w="5760" w:type="dxa"/>
            <w:tcBorders>
              <w:right w:val="nil"/>
            </w:tcBorders>
            <w:shd w:val="clear" w:color="auto" w:fill="auto"/>
            <w:noWrap/>
            <w:vAlign w:val="bottom"/>
            <w:hideMark/>
          </w:tcPr>
          <w:p w14:paraId="481FCAC6" w14:textId="77777777" w:rsidR="00F42E18" w:rsidRPr="00E970D5" w:rsidRDefault="00F42E18" w:rsidP="00203BD3">
            <w:pPr>
              <w:spacing w:after="0" w:line="240" w:lineRule="auto"/>
              <w:contextualSpacing/>
              <w:rPr>
                <w:rFonts w:ascii="Calibri" w:eastAsia="Times New Roman" w:hAnsi="Calibri" w:cs="Calibri"/>
                <w:i/>
                <w:color w:val="000000"/>
              </w:rPr>
            </w:pPr>
            <w:r w:rsidRPr="00E970D5">
              <w:rPr>
                <w:rFonts w:ascii="Calibri" w:eastAsia="Times New Roman" w:hAnsi="Calibri" w:cs="Calibri"/>
                <w:i/>
                <w:color w:val="000000"/>
              </w:rPr>
              <w:t>Full benefit categories as % of total</w:t>
            </w:r>
          </w:p>
        </w:tc>
        <w:tc>
          <w:tcPr>
            <w:tcW w:w="1260" w:type="dxa"/>
            <w:tcBorders>
              <w:left w:val="nil"/>
              <w:right w:val="nil"/>
            </w:tcBorders>
            <w:shd w:val="clear" w:color="auto" w:fill="auto"/>
            <w:noWrap/>
            <w:vAlign w:val="bottom"/>
            <w:hideMark/>
          </w:tcPr>
          <w:p w14:paraId="06B2EA2C" w14:textId="77777777" w:rsidR="00F42E18" w:rsidRPr="00E970D5" w:rsidRDefault="00F42E18" w:rsidP="001D402B">
            <w:pPr>
              <w:spacing w:after="0" w:line="240" w:lineRule="auto"/>
              <w:contextualSpacing/>
              <w:jc w:val="right"/>
              <w:rPr>
                <w:rFonts w:ascii="Calibri" w:eastAsia="Times New Roman" w:hAnsi="Calibri" w:cs="Calibri"/>
                <w:i/>
                <w:color w:val="000000"/>
              </w:rPr>
            </w:pPr>
            <w:r w:rsidRPr="00E970D5">
              <w:rPr>
                <w:rFonts w:ascii="Calibri" w:eastAsia="Times New Roman" w:hAnsi="Calibri" w:cs="Calibri"/>
                <w:i/>
                <w:color w:val="000000"/>
              </w:rPr>
              <w:t>69</w:t>
            </w:r>
          </w:p>
        </w:tc>
        <w:tc>
          <w:tcPr>
            <w:tcW w:w="1350" w:type="dxa"/>
            <w:tcBorders>
              <w:left w:val="nil"/>
              <w:right w:val="nil"/>
            </w:tcBorders>
            <w:shd w:val="clear" w:color="auto" w:fill="auto"/>
            <w:noWrap/>
            <w:vAlign w:val="bottom"/>
            <w:hideMark/>
          </w:tcPr>
          <w:p w14:paraId="18CE3E1A" w14:textId="77777777" w:rsidR="00F42E18" w:rsidRPr="00E970D5" w:rsidRDefault="00F42E18" w:rsidP="001D402B">
            <w:pPr>
              <w:spacing w:after="0" w:line="240" w:lineRule="auto"/>
              <w:contextualSpacing/>
              <w:jc w:val="right"/>
              <w:rPr>
                <w:rFonts w:ascii="Calibri" w:eastAsia="Times New Roman" w:hAnsi="Calibri" w:cs="Calibri"/>
                <w:i/>
                <w:color w:val="000000"/>
              </w:rPr>
            </w:pPr>
            <w:r w:rsidRPr="00E970D5">
              <w:rPr>
                <w:rFonts w:ascii="Calibri" w:eastAsia="Times New Roman" w:hAnsi="Calibri" w:cs="Calibri"/>
                <w:i/>
                <w:color w:val="000000"/>
              </w:rPr>
              <w:t>61</w:t>
            </w:r>
          </w:p>
        </w:tc>
        <w:tc>
          <w:tcPr>
            <w:tcW w:w="1036" w:type="dxa"/>
            <w:tcBorders>
              <w:left w:val="nil"/>
            </w:tcBorders>
            <w:shd w:val="clear" w:color="auto" w:fill="auto"/>
            <w:noWrap/>
            <w:vAlign w:val="bottom"/>
            <w:hideMark/>
          </w:tcPr>
          <w:p w14:paraId="3B31340D" w14:textId="77777777" w:rsidR="00F42E18" w:rsidRPr="00E970D5" w:rsidRDefault="00F42E18" w:rsidP="001D402B">
            <w:pPr>
              <w:spacing w:after="0" w:line="240" w:lineRule="auto"/>
              <w:contextualSpacing/>
              <w:jc w:val="right"/>
              <w:rPr>
                <w:rFonts w:ascii="Calibri" w:eastAsia="Times New Roman" w:hAnsi="Calibri" w:cs="Calibri"/>
                <w:i/>
                <w:color w:val="000000"/>
              </w:rPr>
            </w:pPr>
            <w:r w:rsidRPr="00E970D5">
              <w:rPr>
                <w:rFonts w:ascii="Calibri" w:eastAsia="Times New Roman" w:hAnsi="Calibri" w:cs="Calibri"/>
                <w:i/>
                <w:color w:val="000000"/>
              </w:rPr>
              <w:t>67</w:t>
            </w:r>
          </w:p>
        </w:tc>
      </w:tr>
      <w:tr w:rsidR="001D402B" w:rsidRPr="00F42E18" w14:paraId="123678DA" w14:textId="77777777" w:rsidTr="00791D7C">
        <w:trPr>
          <w:trHeight w:val="288"/>
        </w:trPr>
        <w:tc>
          <w:tcPr>
            <w:tcW w:w="5760" w:type="dxa"/>
            <w:tcBorders>
              <w:bottom w:val="single" w:sz="4" w:space="0" w:color="auto"/>
              <w:right w:val="nil"/>
            </w:tcBorders>
            <w:shd w:val="clear" w:color="auto" w:fill="auto"/>
            <w:noWrap/>
            <w:vAlign w:val="bottom"/>
            <w:hideMark/>
          </w:tcPr>
          <w:p w14:paraId="3ADEB557" w14:textId="77777777" w:rsidR="00F42E18" w:rsidRPr="00E970D5" w:rsidRDefault="00F42E18" w:rsidP="00203BD3">
            <w:pPr>
              <w:spacing w:after="0" w:line="240" w:lineRule="auto"/>
              <w:contextualSpacing/>
              <w:rPr>
                <w:rFonts w:ascii="Calibri" w:eastAsia="Times New Roman" w:hAnsi="Calibri" w:cs="Calibri"/>
                <w:i/>
                <w:color w:val="000000"/>
              </w:rPr>
            </w:pPr>
            <w:r w:rsidRPr="00E970D5">
              <w:rPr>
                <w:rFonts w:ascii="Calibri" w:eastAsia="Times New Roman" w:hAnsi="Calibri" w:cs="Calibri"/>
                <w:i/>
                <w:color w:val="000000"/>
              </w:rPr>
              <w:t>Full and partial benefit categories as % of total</w:t>
            </w:r>
          </w:p>
        </w:tc>
        <w:tc>
          <w:tcPr>
            <w:tcW w:w="1260" w:type="dxa"/>
            <w:tcBorders>
              <w:left w:val="nil"/>
              <w:bottom w:val="single" w:sz="4" w:space="0" w:color="auto"/>
              <w:right w:val="nil"/>
            </w:tcBorders>
            <w:shd w:val="clear" w:color="auto" w:fill="auto"/>
            <w:noWrap/>
            <w:vAlign w:val="bottom"/>
            <w:hideMark/>
          </w:tcPr>
          <w:p w14:paraId="0CDF8F65" w14:textId="77777777" w:rsidR="00F42E18" w:rsidRPr="00E970D5" w:rsidRDefault="00F42E18" w:rsidP="001D402B">
            <w:pPr>
              <w:spacing w:after="0" w:line="240" w:lineRule="auto"/>
              <w:contextualSpacing/>
              <w:jc w:val="right"/>
              <w:rPr>
                <w:rFonts w:ascii="Calibri" w:eastAsia="Times New Roman" w:hAnsi="Calibri" w:cs="Calibri"/>
                <w:i/>
                <w:color w:val="000000"/>
              </w:rPr>
            </w:pPr>
            <w:r w:rsidRPr="00E970D5">
              <w:rPr>
                <w:rFonts w:ascii="Calibri" w:eastAsia="Times New Roman" w:hAnsi="Calibri" w:cs="Calibri"/>
                <w:i/>
                <w:color w:val="000000"/>
              </w:rPr>
              <w:t>78</w:t>
            </w:r>
          </w:p>
        </w:tc>
        <w:tc>
          <w:tcPr>
            <w:tcW w:w="1350" w:type="dxa"/>
            <w:tcBorders>
              <w:left w:val="nil"/>
              <w:bottom w:val="single" w:sz="4" w:space="0" w:color="auto"/>
              <w:right w:val="nil"/>
            </w:tcBorders>
            <w:shd w:val="clear" w:color="auto" w:fill="auto"/>
            <w:noWrap/>
            <w:vAlign w:val="bottom"/>
            <w:hideMark/>
          </w:tcPr>
          <w:p w14:paraId="778CBF6C" w14:textId="77777777" w:rsidR="00F42E18" w:rsidRPr="00E970D5" w:rsidRDefault="00F42E18" w:rsidP="001D402B">
            <w:pPr>
              <w:spacing w:after="0" w:line="240" w:lineRule="auto"/>
              <w:contextualSpacing/>
              <w:jc w:val="right"/>
              <w:rPr>
                <w:rFonts w:ascii="Calibri" w:eastAsia="Times New Roman" w:hAnsi="Calibri" w:cs="Calibri"/>
                <w:i/>
                <w:color w:val="000000"/>
              </w:rPr>
            </w:pPr>
            <w:r w:rsidRPr="00E970D5">
              <w:rPr>
                <w:rFonts w:ascii="Calibri" w:eastAsia="Times New Roman" w:hAnsi="Calibri" w:cs="Calibri"/>
                <w:i/>
                <w:color w:val="000000"/>
              </w:rPr>
              <w:t>61</w:t>
            </w:r>
          </w:p>
        </w:tc>
        <w:tc>
          <w:tcPr>
            <w:tcW w:w="1036" w:type="dxa"/>
            <w:tcBorders>
              <w:left w:val="nil"/>
              <w:bottom w:val="single" w:sz="4" w:space="0" w:color="auto"/>
            </w:tcBorders>
            <w:shd w:val="clear" w:color="auto" w:fill="auto"/>
            <w:noWrap/>
            <w:vAlign w:val="bottom"/>
            <w:hideMark/>
          </w:tcPr>
          <w:p w14:paraId="6D98991A" w14:textId="77777777" w:rsidR="00F42E18" w:rsidRPr="00E970D5" w:rsidRDefault="00F42E18" w:rsidP="001D402B">
            <w:pPr>
              <w:spacing w:after="0" w:line="240" w:lineRule="auto"/>
              <w:contextualSpacing/>
              <w:jc w:val="right"/>
              <w:rPr>
                <w:rFonts w:ascii="Calibri" w:eastAsia="Times New Roman" w:hAnsi="Calibri" w:cs="Calibri"/>
                <w:i/>
                <w:color w:val="000000"/>
              </w:rPr>
            </w:pPr>
            <w:r w:rsidRPr="00E970D5">
              <w:rPr>
                <w:rFonts w:ascii="Calibri" w:eastAsia="Times New Roman" w:hAnsi="Calibri" w:cs="Calibri"/>
                <w:i/>
                <w:color w:val="000000"/>
              </w:rPr>
              <w:t>74</w:t>
            </w:r>
          </w:p>
        </w:tc>
      </w:tr>
    </w:tbl>
    <w:p w14:paraId="46E591F3" w14:textId="5F893A53" w:rsidR="00F733A8" w:rsidRPr="001B0064" w:rsidRDefault="00461D01" w:rsidP="00363D34">
      <w:pPr>
        <w:pStyle w:val="ListParagraph"/>
        <w:spacing w:line="240" w:lineRule="auto"/>
        <w:ind w:left="0"/>
        <w:jc w:val="both"/>
        <w:rPr>
          <w:rFonts w:eastAsia="Times New Roman" w:cstheme="minorHAnsi"/>
          <w:sz w:val="20"/>
          <w:szCs w:val="20"/>
        </w:rPr>
      </w:pPr>
      <w:r w:rsidRPr="001B0064">
        <w:rPr>
          <w:rFonts w:eastAsia="Times New Roman" w:cstheme="minorHAnsi"/>
          <w:sz w:val="20"/>
          <w:szCs w:val="20"/>
        </w:rPr>
        <w:t>Source of data: MHIF</w:t>
      </w:r>
    </w:p>
    <w:p w14:paraId="2E8F711F" w14:textId="66DBBC78" w:rsidR="00867D33" w:rsidRPr="001B0064" w:rsidRDefault="00867D33" w:rsidP="00363D34">
      <w:pPr>
        <w:pStyle w:val="ListParagraph"/>
        <w:spacing w:line="240" w:lineRule="auto"/>
        <w:ind w:left="0"/>
        <w:jc w:val="both"/>
        <w:rPr>
          <w:rFonts w:eastAsia="Times New Roman" w:cstheme="minorHAnsi"/>
          <w:sz w:val="20"/>
          <w:szCs w:val="20"/>
        </w:rPr>
      </w:pPr>
      <w:r w:rsidRPr="001B0064">
        <w:rPr>
          <w:rFonts w:eastAsia="Times New Roman" w:cstheme="minorHAnsi"/>
          <w:sz w:val="20"/>
          <w:szCs w:val="20"/>
        </w:rPr>
        <w:t>Note: the total number of treated cases do not include foreigners</w:t>
      </w:r>
    </w:p>
    <w:p w14:paraId="107A4302" w14:textId="77777777" w:rsidR="00A220B4" w:rsidRPr="00E6167F" w:rsidRDefault="00A220B4" w:rsidP="00363D34">
      <w:pPr>
        <w:pStyle w:val="ListParagraph"/>
        <w:spacing w:line="240" w:lineRule="auto"/>
        <w:contextualSpacing w:val="0"/>
        <w:jc w:val="both"/>
        <w:rPr>
          <w:rFonts w:eastAsia="Times New Roman" w:cstheme="minorHAnsi"/>
        </w:rPr>
      </w:pPr>
    </w:p>
    <w:p w14:paraId="7ADB3379" w14:textId="39A8CC09" w:rsidR="00A220B4" w:rsidRPr="003E7E08" w:rsidRDefault="00FD0C8E" w:rsidP="00363D34">
      <w:pPr>
        <w:pStyle w:val="ListParagraph"/>
        <w:spacing w:line="240" w:lineRule="auto"/>
        <w:ind w:left="0"/>
        <w:contextualSpacing w:val="0"/>
        <w:jc w:val="both"/>
        <w:rPr>
          <w:rFonts w:eastAsia="Times New Roman" w:cstheme="minorHAnsi"/>
        </w:rPr>
      </w:pPr>
      <w:r w:rsidRPr="00E6167F">
        <w:rPr>
          <w:rFonts w:eastAsia="Times New Roman" w:cstheme="minorHAnsi"/>
        </w:rPr>
        <w:t xml:space="preserve">On the other hand, even setting aside the issue of </w:t>
      </w:r>
      <w:r w:rsidR="008E79C7" w:rsidRPr="00E6167F">
        <w:rPr>
          <w:rFonts w:eastAsia="Times New Roman" w:cstheme="minorHAnsi"/>
        </w:rPr>
        <w:t xml:space="preserve">budget constraint, the setup of the SGBP does not lend </w:t>
      </w:r>
      <w:r w:rsidR="008E79C7" w:rsidRPr="003E7E08">
        <w:rPr>
          <w:rFonts w:eastAsia="Times New Roman" w:cstheme="minorHAnsi"/>
        </w:rPr>
        <w:t xml:space="preserve">itself into an effective </w:t>
      </w:r>
      <w:r w:rsidR="00A220B4" w:rsidRPr="003E7E08">
        <w:rPr>
          <w:rFonts w:eastAsia="Times New Roman" w:cstheme="minorHAnsi"/>
        </w:rPr>
        <w:t xml:space="preserve">financial protection </w:t>
      </w:r>
      <w:r w:rsidR="00402BB8">
        <w:rPr>
          <w:rFonts w:eastAsia="Times New Roman" w:cstheme="minorHAnsi"/>
        </w:rPr>
        <w:t xml:space="preserve">measure </w:t>
      </w:r>
      <w:r w:rsidR="00A220B4" w:rsidRPr="003E7E08">
        <w:rPr>
          <w:rFonts w:eastAsia="Times New Roman" w:cstheme="minorHAnsi"/>
        </w:rPr>
        <w:t>for several reasons:</w:t>
      </w:r>
    </w:p>
    <w:p w14:paraId="26B84537" w14:textId="646725DA" w:rsidR="003D4540" w:rsidRPr="0031243D" w:rsidRDefault="00201500" w:rsidP="0031243D">
      <w:pPr>
        <w:pStyle w:val="ListParagraph"/>
        <w:numPr>
          <w:ilvl w:val="0"/>
          <w:numId w:val="23"/>
        </w:numPr>
        <w:spacing w:line="240" w:lineRule="auto"/>
        <w:contextualSpacing w:val="0"/>
        <w:jc w:val="both"/>
        <w:rPr>
          <w:rFonts w:eastAsia="Times New Roman" w:cstheme="minorHAnsi"/>
        </w:rPr>
      </w:pPr>
      <w:r w:rsidRPr="003E7E08">
        <w:rPr>
          <w:rFonts w:eastAsia="Times New Roman" w:cstheme="minorHAnsi"/>
        </w:rPr>
        <w:t xml:space="preserve">The SGBP </w:t>
      </w:r>
      <w:r w:rsidR="00A220B4" w:rsidRPr="003E7E08">
        <w:rPr>
          <w:rFonts w:eastAsia="Times New Roman" w:cstheme="minorHAnsi"/>
        </w:rPr>
        <w:t xml:space="preserve">does not </w:t>
      </w:r>
      <w:r w:rsidR="009B2C73" w:rsidRPr="003E7E08">
        <w:rPr>
          <w:rFonts w:eastAsia="Times New Roman" w:cstheme="minorHAnsi"/>
        </w:rPr>
        <w:t xml:space="preserve">contain </w:t>
      </w:r>
      <w:r w:rsidR="00A220B4" w:rsidRPr="003E7E08">
        <w:rPr>
          <w:rFonts w:eastAsia="Times New Roman" w:cstheme="minorHAnsi"/>
        </w:rPr>
        <w:t xml:space="preserve">an explicit poverty targeting </w:t>
      </w:r>
      <w:r w:rsidR="009B2C73" w:rsidRPr="003E7E08">
        <w:rPr>
          <w:rFonts w:eastAsia="Times New Roman" w:cstheme="minorHAnsi"/>
        </w:rPr>
        <w:t>mechanism</w:t>
      </w:r>
      <w:r w:rsidR="005D4A61" w:rsidRPr="003E7E08">
        <w:rPr>
          <w:rFonts w:eastAsia="Times New Roman" w:cstheme="minorHAnsi"/>
        </w:rPr>
        <w:t xml:space="preserve">. Although many of the 30 social groups </w:t>
      </w:r>
      <w:r w:rsidR="003116CB" w:rsidRPr="003E7E08">
        <w:rPr>
          <w:rFonts w:eastAsia="Times New Roman" w:cstheme="minorHAnsi"/>
        </w:rPr>
        <w:t xml:space="preserve">generally </w:t>
      </w:r>
      <w:r w:rsidR="00B12FB5" w:rsidRPr="003E7E08">
        <w:rPr>
          <w:rFonts w:eastAsia="Times New Roman" w:cstheme="minorHAnsi"/>
        </w:rPr>
        <w:t xml:space="preserve">can be considered </w:t>
      </w:r>
      <w:r w:rsidR="003116CB" w:rsidRPr="003E7E08">
        <w:rPr>
          <w:rFonts w:eastAsia="Times New Roman" w:cstheme="minorHAnsi"/>
        </w:rPr>
        <w:t>disadvantaged, the only category that is related to poverty is “</w:t>
      </w:r>
      <w:r w:rsidR="00BD07AB" w:rsidRPr="003E7E08">
        <w:rPr>
          <w:rFonts w:eastAsia="Times New Roman" w:cstheme="minorHAnsi"/>
        </w:rPr>
        <w:t>Children</w:t>
      </w:r>
      <w:r w:rsidR="00BD07AB" w:rsidRPr="00E6167F">
        <w:rPr>
          <w:rFonts w:eastAsia="Times New Roman" w:cstheme="minorHAnsi"/>
        </w:rPr>
        <w:t xml:space="preserve"> under 16 years old from low-income families</w:t>
      </w:r>
      <w:r w:rsidR="009B7707">
        <w:rPr>
          <w:rFonts w:eastAsia="Times New Roman" w:cstheme="minorHAnsi"/>
        </w:rPr>
        <w:t xml:space="preserve"> with four or more children</w:t>
      </w:r>
      <w:r w:rsidR="00BD07AB" w:rsidRPr="00E6167F">
        <w:rPr>
          <w:rFonts w:eastAsia="Times New Roman" w:cstheme="minorHAnsi"/>
        </w:rPr>
        <w:t>.</w:t>
      </w:r>
      <w:r w:rsidR="00B8237E" w:rsidRPr="00E6167F">
        <w:rPr>
          <w:rFonts w:eastAsia="Times New Roman" w:cstheme="minorHAnsi"/>
        </w:rPr>
        <w:t xml:space="preserve">” </w:t>
      </w:r>
      <w:r w:rsidR="00695A74" w:rsidRPr="00E6167F">
        <w:rPr>
          <w:rFonts w:eastAsia="Times New Roman" w:cstheme="minorHAnsi"/>
        </w:rPr>
        <w:t xml:space="preserve">Thus, other people </w:t>
      </w:r>
      <w:r w:rsidR="00F446A5">
        <w:rPr>
          <w:rFonts w:eastAsia="Times New Roman" w:cstheme="minorHAnsi"/>
        </w:rPr>
        <w:t xml:space="preserve">in </w:t>
      </w:r>
      <w:r w:rsidR="00695A74" w:rsidRPr="00E6167F">
        <w:rPr>
          <w:rFonts w:eastAsia="Times New Roman" w:cstheme="minorHAnsi"/>
        </w:rPr>
        <w:t xml:space="preserve">low income families are not eligible, unless they are included in the other groups. </w:t>
      </w:r>
      <w:r w:rsidR="001A0592" w:rsidRPr="00E6167F">
        <w:rPr>
          <w:rFonts w:eastAsia="Times New Roman" w:cstheme="minorHAnsi"/>
        </w:rPr>
        <w:t xml:space="preserve">Furthermore, the method to identify and certify low-income families </w:t>
      </w:r>
      <w:r w:rsidR="003B7B9A">
        <w:rPr>
          <w:rFonts w:eastAsia="Times New Roman" w:cstheme="minorHAnsi"/>
        </w:rPr>
        <w:t xml:space="preserve">employed </w:t>
      </w:r>
      <w:r w:rsidR="004F673C" w:rsidRPr="00E6167F">
        <w:rPr>
          <w:rFonts w:eastAsia="Times New Roman" w:cstheme="minorHAnsi"/>
        </w:rPr>
        <w:t xml:space="preserve">by the </w:t>
      </w:r>
      <w:proofErr w:type="spellStart"/>
      <w:r w:rsidR="004F673C" w:rsidRPr="00E6167F">
        <w:rPr>
          <w:rFonts w:eastAsia="Times New Roman" w:cstheme="minorHAnsi"/>
        </w:rPr>
        <w:t>M</w:t>
      </w:r>
      <w:r w:rsidR="007A1F85">
        <w:rPr>
          <w:rFonts w:eastAsia="Times New Roman" w:cstheme="minorHAnsi"/>
        </w:rPr>
        <w:t>o</w:t>
      </w:r>
      <w:r w:rsidR="004F673C" w:rsidRPr="00E6167F">
        <w:rPr>
          <w:rFonts w:eastAsia="Times New Roman" w:cstheme="minorHAnsi"/>
        </w:rPr>
        <w:t>LSD</w:t>
      </w:r>
      <w:proofErr w:type="spellEnd"/>
      <w:r w:rsidR="004F673C" w:rsidRPr="00E6167F">
        <w:rPr>
          <w:rFonts w:eastAsia="Times New Roman" w:cstheme="minorHAnsi"/>
        </w:rPr>
        <w:t xml:space="preserve"> </w:t>
      </w:r>
      <w:r w:rsidR="007A1F85">
        <w:rPr>
          <w:rFonts w:eastAsia="Times New Roman" w:cstheme="minorHAnsi"/>
        </w:rPr>
        <w:t xml:space="preserve">has been notoriously reported to be </w:t>
      </w:r>
      <w:r w:rsidR="00085366">
        <w:rPr>
          <w:rFonts w:eastAsia="Times New Roman" w:cstheme="minorHAnsi"/>
        </w:rPr>
        <w:t xml:space="preserve">problematic. </w:t>
      </w:r>
      <w:r w:rsidR="003169A3" w:rsidRPr="003E7E08">
        <w:rPr>
          <w:rFonts w:eastAsia="Times New Roman" w:cstheme="minorHAnsi"/>
        </w:rPr>
        <w:t>The SGBP has been documented to suffer from both significant inclusion and exclusion errors as far as poverty targeting is concerned</w:t>
      </w:r>
      <w:r w:rsidR="0031243D">
        <w:rPr>
          <w:rFonts w:eastAsia="Times New Roman" w:cstheme="minorHAnsi"/>
        </w:rPr>
        <w:t>. A study conducted by WHO using 2010 KIHS data revealed that a</w:t>
      </w:r>
      <w:r w:rsidR="00E6002B" w:rsidRPr="006B65B3">
        <w:rPr>
          <w:rFonts w:eastAsia="Times New Roman" w:cstheme="minorHAnsi"/>
        </w:rPr>
        <w:t>n estimated 57% of the eligible were not poor</w:t>
      </w:r>
      <w:r w:rsidR="00E52A8B">
        <w:rPr>
          <w:rFonts w:eastAsia="Times New Roman" w:cstheme="minorHAnsi"/>
        </w:rPr>
        <w:t xml:space="preserve"> while a</w:t>
      </w:r>
      <w:r w:rsidR="00E6002B" w:rsidRPr="0031243D">
        <w:rPr>
          <w:rFonts w:eastAsia="Times New Roman" w:cstheme="minorHAnsi"/>
        </w:rPr>
        <w:t xml:space="preserve">n estimated 51% of the poor were not eligible </w:t>
      </w:r>
      <w:r w:rsidR="00E52A8B">
        <w:rPr>
          <w:rFonts w:eastAsia="Times New Roman" w:cstheme="minorHAnsi"/>
        </w:rPr>
        <w:t>for SGBP benefits (Ja</w:t>
      </w:r>
      <w:r w:rsidR="00174F4C">
        <w:rPr>
          <w:rFonts w:eastAsia="Times New Roman" w:cstheme="minorHAnsi"/>
        </w:rPr>
        <w:t xml:space="preserve">mal and </w:t>
      </w:r>
      <w:proofErr w:type="spellStart"/>
      <w:r w:rsidR="00174F4C">
        <w:rPr>
          <w:rFonts w:eastAsia="Times New Roman" w:cstheme="minorHAnsi"/>
        </w:rPr>
        <w:t>Jacab</w:t>
      </w:r>
      <w:proofErr w:type="spellEnd"/>
      <w:r w:rsidR="00174F4C">
        <w:rPr>
          <w:rFonts w:eastAsia="Times New Roman" w:cstheme="minorHAnsi"/>
        </w:rPr>
        <w:t>, 2013</w:t>
      </w:r>
      <w:r w:rsidR="00E52A8B">
        <w:rPr>
          <w:rFonts w:eastAsia="Times New Roman" w:cstheme="minorHAnsi"/>
        </w:rPr>
        <w:t>)</w:t>
      </w:r>
      <w:r w:rsidR="00174F4C">
        <w:rPr>
          <w:rFonts w:eastAsia="Times New Roman" w:cstheme="minorHAnsi"/>
        </w:rPr>
        <w:t>.</w:t>
      </w:r>
    </w:p>
    <w:p w14:paraId="5EB397FE" w14:textId="215D3264" w:rsidR="00D92F7A" w:rsidRPr="00132B20" w:rsidRDefault="00201500" w:rsidP="00132B20">
      <w:pPr>
        <w:pStyle w:val="ListParagraph"/>
        <w:numPr>
          <w:ilvl w:val="0"/>
          <w:numId w:val="23"/>
        </w:numPr>
        <w:spacing w:line="240" w:lineRule="auto"/>
        <w:contextualSpacing w:val="0"/>
        <w:jc w:val="both"/>
        <w:rPr>
          <w:rFonts w:eastAsia="Times New Roman" w:cstheme="minorHAnsi"/>
          <w:b/>
        </w:rPr>
      </w:pPr>
      <w:r w:rsidRPr="003A0977">
        <w:rPr>
          <w:rFonts w:eastAsia="Times New Roman" w:cstheme="minorHAnsi"/>
        </w:rPr>
        <w:t xml:space="preserve">The SGBP </w:t>
      </w:r>
      <w:r w:rsidR="00E61B16" w:rsidRPr="003A0977">
        <w:rPr>
          <w:rFonts w:eastAsia="Times New Roman" w:cstheme="minorHAnsi"/>
        </w:rPr>
        <w:t>does not have a ca</w:t>
      </w:r>
      <w:r w:rsidR="00B532D9" w:rsidRPr="003A0977">
        <w:rPr>
          <w:rFonts w:eastAsia="Times New Roman" w:cstheme="minorHAnsi"/>
        </w:rPr>
        <w:t xml:space="preserve">p on the </w:t>
      </w:r>
      <w:r w:rsidR="00903D64" w:rsidRPr="003A0977">
        <w:rPr>
          <w:rFonts w:eastAsia="Times New Roman" w:cstheme="minorHAnsi"/>
        </w:rPr>
        <w:t xml:space="preserve">maximum </w:t>
      </w:r>
      <w:r w:rsidR="00B532D9" w:rsidRPr="003A0977">
        <w:rPr>
          <w:rFonts w:eastAsia="Times New Roman" w:cstheme="minorHAnsi"/>
        </w:rPr>
        <w:t xml:space="preserve">amount of </w:t>
      </w:r>
      <w:r w:rsidRPr="003A0977">
        <w:rPr>
          <w:rFonts w:eastAsia="Times New Roman" w:cstheme="minorHAnsi"/>
        </w:rPr>
        <w:t xml:space="preserve">out-of-pocket payments </w:t>
      </w:r>
      <w:r w:rsidR="00B532D9" w:rsidRPr="003A0977">
        <w:rPr>
          <w:rFonts w:eastAsia="Times New Roman" w:cstheme="minorHAnsi"/>
        </w:rPr>
        <w:t>patients are responsible for within a certain period of time (</w:t>
      </w:r>
      <w:r w:rsidR="00B367E3">
        <w:rPr>
          <w:rFonts w:eastAsia="Times New Roman" w:cstheme="minorHAnsi"/>
        </w:rPr>
        <w:t xml:space="preserve">such as </w:t>
      </w:r>
      <w:r w:rsidR="00903D64" w:rsidRPr="003A0977">
        <w:rPr>
          <w:rFonts w:eastAsia="Times New Roman" w:cstheme="minorHAnsi"/>
        </w:rPr>
        <w:t>one year</w:t>
      </w:r>
      <w:r w:rsidR="00B532D9" w:rsidRPr="003A0977">
        <w:rPr>
          <w:rFonts w:eastAsia="Times New Roman" w:cstheme="minorHAnsi"/>
        </w:rPr>
        <w:t xml:space="preserve">). </w:t>
      </w:r>
      <w:r w:rsidR="00065CAB" w:rsidRPr="003A0977">
        <w:rPr>
          <w:rFonts w:eastAsia="Times New Roman" w:cstheme="minorHAnsi"/>
        </w:rPr>
        <w:t>The cap, which is typically known as a “</w:t>
      </w:r>
      <w:r w:rsidR="00F11560" w:rsidRPr="003A0977">
        <w:rPr>
          <w:rFonts w:eastAsia="Times New Roman" w:cstheme="minorHAnsi"/>
        </w:rPr>
        <w:t>stop-loss provision</w:t>
      </w:r>
      <w:r w:rsidR="00065CAB" w:rsidRPr="003A0977">
        <w:rPr>
          <w:rFonts w:eastAsia="Times New Roman" w:cstheme="minorHAnsi"/>
        </w:rPr>
        <w:t>”</w:t>
      </w:r>
      <w:r w:rsidR="00D16480" w:rsidRPr="003A0977">
        <w:rPr>
          <w:rFonts w:eastAsia="Times New Roman" w:cstheme="minorHAnsi"/>
        </w:rPr>
        <w:t xml:space="preserve"> is an arrangement </w:t>
      </w:r>
      <w:r w:rsidR="00F11560" w:rsidRPr="003A0977">
        <w:rPr>
          <w:rFonts w:eastAsia="Times New Roman" w:cstheme="minorHAnsi"/>
        </w:rPr>
        <w:t xml:space="preserve">that </w:t>
      </w:r>
      <w:r w:rsidR="00D16480" w:rsidRPr="003A0977">
        <w:rPr>
          <w:rFonts w:eastAsia="Times New Roman" w:cstheme="minorHAnsi"/>
        </w:rPr>
        <w:t>allows patients to stop paying</w:t>
      </w:r>
      <w:r w:rsidR="00F11560" w:rsidRPr="003A0977">
        <w:rPr>
          <w:rFonts w:eastAsia="Times New Roman" w:cstheme="minorHAnsi"/>
        </w:rPr>
        <w:t xml:space="preserve"> out-of-pocket </w:t>
      </w:r>
      <w:r w:rsidR="007D440B" w:rsidRPr="003A0977">
        <w:rPr>
          <w:rFonts w:eastAsia="Times New Roman" w:cstheme="minorHAnsi"/>
        </w:rPr>
        <w:t xml:space="preserve">once </w:t>
      </w:r>
      <w:r w:rsidR="007D440B" w:rsidRPr="00943375">
        <w:rPr>
          <w:rFonts w:eastAsia="Times New Roman" w:cstheme="minorHAnsi"/>
        </w:rPr>
        <w:t xml:space="preserve">their total payments </w:t>
      </w:r>
      <w:r w:rsidR="00F11560" w:rsidRPr="00943375">
        <w:rPr>
          <w:rFonts w:eastAsia="Times New Roman" w:cstheme="minorHAnsi"/>
        </w:rPr>
        <w:t xml:space="preserve">have reached </w:t>
      </w:r>
      <w:r w:rsidR="007D440B" w:rsidRPr="00943375">
        <w:rPr>
          <w:rFonts w:eastAsia="Times New Roman" w:cstheme="minorHAnsi"/>
        </w:rPr>
        <w:t xml:space="preserve">a </w:t>
      </w:r>
      <w:r w:rsidR="00F11560" w:rsidRPr="00943375">
        <w:rPr>
          <w:rFonts w:eastAsia="Times New Roman" w:cstheme="minorHAnsi"/>
        </w:rPr>
        <w:t xml:space="preserve">specific </w:t>
      </w:r>
      <w:r w:rsidR="007D440B" w:rsidRPr="00943375">
        <w:rPr>
          <w:rFonts w:eastAsia="Times New Roman" w:cstheme="minorHAnsi"/>
        </w:rPr>
        <w:t>limit</w:t>
      </w:r>
      <w:r w:rsidR="009B32E5" w:rsidRPr="00943375">
        <w:rPr>
          <w:rFonts w:eastAsia="Times New Roman" w:cstheme="minorHAnsi"/>
        </w:rPr>
        <w:t xml:space="preserve">, and it </w:t>
      </w:r>
      <w:r w:rsidR="009B13B4" w:rsidRPr="00943375">
        <w:rPr>
          <w:rFonts w:eastAsia="Times New Roman" w:cstheme="minorHAnsi"/>
        </w:rPr>
        <w:t>serv</w:t>
      </w:r>
      <w:r w:rsidR="003529F7" w:rsidRPr="00943375">
        <w:rPr>
          <w:rFonts w:eastAsia="Times New Roman" w:cstheme="minorHAnsi"/>
        </w:rPr>
        <w:t xml:space="preserve">es </w:t>
      </w:r>
      <w:r w:rsidR="009B32E5" w:rsidRPr="00943375">
        <w:rPr>
          <w:rFonts w:eastAsia="Times New Roman" w:cstheme="minorHAnsi"/>
        </w:rPr>
        <w:t xml:space="preserve">to protect patients from </w:t>
      </w:r>
      <w:r w:rsidR="009B13B4" w:rsidRPr="00943375">
        <w:rPr>
          <w:rFonts w:eastAsia="Times New Roman" w:cstheme="minorHAnsi"/>
        </w:rPr>
        <w:lastRenderedPageBreak/>
        <w:t xml:space="preserve">catastrophic </w:t>
      </w:r>
      <w:r w:rsidR="009B32E5" w:rsidRPr="00943375">
        <w:rPr>
          <w:rFonts w:eastAsia="Times New Roman" w:cstheme="minorHAnsi"/>
        </w:rPr>
        <w:t>expenditure</w:t>
      </w:r>
      <w:r w:rsidR="003529F7" w:rsidRPr="00943375">
        <w:rPr>
          <w:rFonts w:eastAsia="Times New Roman" w:cstheme="minorHAnsi"/>
        </w:rPr>
        <w:t>s</w:t>
      </w:r>
      <w:r w:rsidR="002236C7" w:rsidRPr="00943375">
        <w:rPr>
          <w:rFonts w:eastAsia="Times New Roman" w:cstheme="minorHAnsi"/>
        </w:rPr>
        <w:t xml:space="preserve">. </w:t>
      </w:r>
      <w:r w:rsidR="00943375" w:rsidRPr="00943375">
        <w:rPr>
          <w:rFonts w:eastAsia="Times New Roman" w:cstheme="minorHAnsi"/>
        </w:rPr>
        <w:t>This mechanism helps lessening the impoverishing impact of medical care and it exists in m</w:t>
      </w:r>
      <w:r w:rsidR="002236C7" w:rsidRPr="00943375">
        <w:rPr>
          <w:rFonts w:eastAsia="Times New Roman" w:cstheme="minorHAnsi"/>
        </w:rPr>
        <w:t>ost developed health systems</w:t>
      </w:r>
      <w:r w:rsidR="00943375" w:rsidRPr="00943375">
        <w:rPr>
          <w:rFonts w:eastAsia="Times New Roman" w:cstheme="minorHAnsi"/>
        </w:rPr>
        <w:t xml:space="preserve"> (Paris</w:t>
      </w:r>
      <w:r w:rsidR="00D230EC">
        <w:rPr>
          <w:rFonts w:eastAsia="Times New Roman" w:cstheme="minorHAnsi"/>
        </w:rPr>
        <w:t xml:space="preserve"> et al.</w:t>
      </w:r>
      <w:r w:rsidR="00943375" w:rsidRPr="00943375">
        <w:rPr>
          <w:rFonts w:eastAsia="Times New Roman" w:cstheme="minorHAnsi"/>
        </w:rPr>
        <w:t>, 2016).</w:t>
      </w:r>
      <w:r w:rsidR="006943B1" w:rsidRPr="00943375">
        <w:rPr>
          <w:rFonts w:eastAsia="Times New Roman" w:cstheme="minorHAnsi"/>
        </w:rPr>
        <w:t xml:space="preserve"> </w:t>
      </w:r>
    </w:p>
    <w:p w14:paraId="1250249E" w14:textId="2E0DB3B3" w:rsidR="00F1267D" w:rsidRPr="00E6167F" w:rsidRDefault="00D6228F" w:rsidP="00D92F7A">
      <w:pPr>
        <w:pStyle w:val="ListParagraph"/>
        <w:numPr>
          <w:ilvl w:val="0"/>
          <w:numId w:val="13"/>
        </w:numPr>
        <w:spacing w:before="240" w:after="120" w:line="240" w:lineRule="auto"/>
        <w:contextualSpacing w:val="0"/>
        <w:jc w:val="both"/>
        <w:rPr>
          <w:rFonts w:eastAsia="Times New Roman" w:cstheme="minorHAnsi"/>
          <w:b/>
        </w:rPr>
      </w:pPr>
      <w:r w:rsidRPr="00E6167F">
        <w:rPr>
          <w:rFonts w:eastAsia="Times New Roman" w:cstheme="minorHAnsi"/>
          <w:b/>
        </w:rPr>
        <w:t xml:space="preserve">Weak information base for </w:t>
      </w:r>
      <w:r w:rsidR="00F1267D" w:rsidRPr="00E6167F">
        <w:rPr>
          <w:rFonts w:eastAsia="Times New Roman" w:cstheme="minorHAnsi"/>
          <w:b/>
        </w:rPr>
        <w:t>monitoring</w:t>
      </w:r>
      <w:r w:rsidR="003E27C1">
        <w:rPr>
          <w:rFonts w:eastAsia="Times New Roman" w:cstheme="minorHAnsi"/>
          <w:b/>
        </w:rPr>
        <w:t xml:space="preserve"> and </w:t>
      </w:r>
      <w:r w:rsidR="0008335D">
        <w:rPr>
          <w:rFonts w:eastAsia="Times New Roman" w:cstheme="minorHAnsi"/>
          <w:b/>
        </w:rPr>
        <w:t>management</w:t>
      </w:r>
    </w:p>
    <w:p w14:paraId="0BD32BEC" w14:textId="20745792" w:rsidR="004D3322" w:rsidRPr="004D3322" w:rsidRDefault="004D3322" w:rsidP="00363D34">
      <w:pPr>
        <w:spacing w:line="240" w:lineRule="auto"/>
        <w:jc w:val="both"/>
        <w:rPr>
          <w:rFonts w:cstheme="minorHAnsi"/>
        </w:rPr>
      </w:pPr>
      <w:r>
        <w:rPr>
          <w:rFonts w:cstheme="minorHAnsi"/>
        </w:rPr>
        <w:t xml:space="preserve">The information system for monitoring the </w:t>
      </w:r>
      <w:r w:rsidR="004442B5">
        <w:rPr>
          <w:rFonts w:cstheme="minorHAnsi"/>
        </w:rPr>
        <w:t xml:space="preserve">actual manifestation of the benefit package suffers from several </w:t>
      </w:r>
      <w:r w:rsidR="00037B18">
        <w:rPr>
          <w:rFonts w:cstheme="minorHAnsi"/>
        </w:rPr>
        <w:t xml:space="preserve">problems, most notably fragmentation and lack of sharing among key players, </w:t>
      </w:r>
      <w:r w:rsidR="00DE17B2">
        <w:rPr>
          <w:rFonts w:cstheme="minorHAnsi"/>
        </w:rPr>
        <w:t xml:space="preserve">data </w:t>
      </w:r>
      <w:r w:rsidR="00360E65">
        <w:rPr>
          <w:rFonts w:cstheme="minorHAnsi"/>
        </w:rPr>
        <w:t xml:space="preserve">inadequacy </w:t>
      </w:r>
      <w:r w:rsidR="00144E0D">
        <w:rPr>
          <w:rFonts w:cstheme="minorHAnsi"/>
        </w:rPr>
        <w:t xml:space="preserve">and </w:t>
      </w:r>
      <w:r w:rsidR="00E02A55">
        <w:rPr>
          <w:rFonts w:cstheme="minorHAnsi"/>
        </w:rPr>
        <w:t>low quality</w:t>
      </w:r>
      <w:r w:rsidR="00DE17B2">
        <w:rPr>
          <w:rFonts w:cstheme="minorHAnsi"/>
        </w:rPr>
        <w:t>.</w:t>
      </w:r>
    </w:p>
    <w:p w14:paraId="36EFCBE3" w14:textId="12DBFE65" w:rsidR="009A6619" w:rsidRPr="00960A6C" w:rsidRDefault="009A6619" w:rsidP="00D92F7A">
      <w:pPr>
        <w:spacing w:before="240" w:after="120" w:line="240" w:lineRule="auto"/>
        <w:jc w:val="both"/>
        <w:rPr>
          <w:rFonts w:cstheme="minorHAnsi"/>
          <w:b/>
          <w:i/>
        </w:rPr>
      </w:pPr>
      <w:r w:rsidRPr="00960A6C">
        <w:rPr>
          <w:rFonts w:cstheme="minorHAnsi"/>
          <w:b/>
          <w:i/>
        </w:rPr>
        <w:t>Fragmentation</w:t>
      </w:r>
      <w:r w:rsidR="00346483">
        <w:rPr>
          <w:rFonts w:cstheme="minorHAnsi"/>
          <w:b/>
          <w:i/>
        </w:rPr>
        <w:t xml:space="preserve"> and</w:t>
      </w:r>
      <w:r w:rsidR="003510CB">
        <w:rPr>
          <w:rFonts w:cstheme="minorHAnsi"/>
          <w:b/>
          <w:i/>
        </w:rPr>
        <w:t xml:space="preserve"> lack of sharing </w:t>
      </w:r>
      <w:r w:rsidRPr="00960A6C">
        <w:rPr>
          <w:rFonts w:cstheme="minorHAnsi"/>
          <w:b/>
          <w:i/>
        </w:rPr>
        <w:t xml:space="preserve"> </w:t>
      </w:r>
    </w:p>
    <w:p w14:paraId="190F7C0B" w14:textId="7129D587" w:rsidR="009A6619" w:rsidRDefault="00AF5E44" w:rsidP="00363D34">
      <w:pPr>
        <w:spacing w:line="240" w:lineRule="auto"/>
        <w:jc w:val="both"/>
        <w:rPr>
          <w:rFonts w:cstheme="minorHAnsi"/>
        </w:rPr>
      </w:pPr>
      <w:r w:rsidRPr="00E6167F">
        <w:rPr>
          <w:rFonts w:cstheme="minorHAnsi"/>
        </w:rPr>
        <w:t>Currently, different levels of the health system use a spectrum of information systems that are not integrated and are lacking uniform standards. In many cases, for each specific task (reporting forms, indicators, etc.) a separate software product was created that was not integrated with other modules of the information system. As a result, each of the systems perform specific tasks at a health facility or health authorities and MHIF level,</w:t>
      </w:r>
      <w:r>
        <w:rPr>
          <w:rFonts w:cstheme="minorHAnsi"/>
        </w:rPr>
        <w:t xml:space="preserve"> </w:t>
      </w:r>
      <w:r w:rsidRPr="00E6167F">
        <w:rPr>
          <w:rFonts w:cstheme="minorHAnsi"/>
        </w:rPr>
        <w:t>but does not use a full range of available clinical, statistical and financial information for management decision-making at every level of the health system.</w:t>
      </w:r>
    </w:p>
    <w:p w14:paraId="5B201351" w14:textId="4DAAD0E7" w:rsidR="00AF5E44" w:rsidRPr="00E6167F" w:rsidRDefault="00AF5E44" w:rsidP="00363D34">
      <w:pPr>
        <w:spacing w:line="240" w:lineRule="auto"/>
        <w:jc w:val="both"/>
        <w:rPr>
          <w:rFonts w:cstheme="minorHAnsi"/>
        </w:rPr>
      </w:pPr>
      <w:r w:rsidRPr="00E6167F">
        <w:rPr>
          <w:rFonts w:cstheme="minorHAnsi"/>
        </w:rPr>
        <w:t>In the</w:t>
      </w:r>
      <w:r w:rsidR="00143851">
        <w:rPr>
          <w:rFonts w:cstheme="minorHAnsi"/>
        </w:rPr>
        <w:t xml:space="preserve"> PHC,</w:t>
      </w:r>
      <w:r w:rsidRPr="00E6167F">
        <w:rPr>
          <w:rFonts w:cstheme="minorHAnsi"/>
        </w:rPr>
        <w:t xml:space="preserve"> medical documentation is primarily paper-based. Form No. 039y is used to populate Republican eHealth Center (</w:t>
      </w:r>
      <w:proofErr w:type="spellStart"/>
      <w:r w:rsidRPr="00E6167F">
        <w:rPr>
          <w:rFonts w:cstheme="minorHAnsi"/>
        </w:rPr>
        <w:t>ReHC</w:t>
      </w:r>
      <w:proofErr w:type="spellEnd"/>
      <w:r w:rsidRPr="00E6167F">
        <w:rPr>
          <w:rFonts w:cstheme="minorHAnsi"/>
        </w:rPr>
        <w:t xml:space="preserve">) database through software provided by </w:t>
      </w:r>
      <w:proofErr w:type="spellStart"/>
      <w:r w:rsidRPr="00E6167F">
        <w:rPr>
          <w:rFonts w:cstheme="minorHAnsi"/>
        </w:rPr>
        <w:t>ReHC</w:t>
      </w:r>
      <w:proofErr w:type="spellEnd"/>
      <w:r w:rsidRPr="00E6167F">
        <w:rPr>
          <w:rFonts w:cstheme="minorHAnsi"/>
        </w:rPr>
        <w:t xml:space="preserve">. Data are transferred from the paper case report forms to the electronic database by </w:t>
      </w:r>
      <w:r w:rsidR="00255870">
        <w:rPr>
          <w:rFonts w:cstheme="minorHAnsi"/>
        </w:rPr>
        <w:t xml:space="preserve">facility </w:t>
      </w:r>
      <w:r w:rsidRPr="00E6167F">
        <w:rPr>
          <w:rFonts w:cstheme="minorHAnsi"/>
        </w:rPr>
        <w:t>administrators.</w:t>
      </w:r>
      <w:r>
        <w:rPr>
          <w:rFonts w:cstheme="minorHAnsi"/>
        </w:rPr>
        <w:t xml:space="preserve"> Currently, there is no mechanism for real time sharing of data from </w:t>
      </w:r>
      <w:r w:rsidR="00FE7F42">
        <w:rPr>
          <w:rFonts w:cstheme="minorHAnsi"/>
        </w:rPr>
        <w:t xml:space="preserve">the </w:t>
      </w:r>
      <w:proofErr w:type="spellStart"/>
      <w:r w:rsidR="00FE7F42">
        <w:rPr>
          <w:rFonts w:cstheme="minorHAnsi"/>
        </w:rPr>
        <w:t>R</w:t>
      </w:r>
      <w:r>
        <w:rPr>
          <w:rFonts w:cstheme="minorHAnsi"/>
        </w:rPr>
        <w:t>e</w:t>
      </w:r>
      <w:r w:rsidR="00FE7F42">
        <w:rPr>
          <w:rFonts w:cstheme="minorHAnsi"/>
        </w:rPr>
        <w:t>HC</w:t>
      </w:r>
      <w:proofErr w:type="spellEnd"/>
      <w:r>
        <w:rPr>
          <w:rFonts w:cstheme="minorHAnsi"/>
        </w:rPr>
        <w:t xml:space="preserve"> to MHIF</w:t>
      </w:r>
      <w:r w:rsidR="008345D2">
        <w:rPr>
          <w:rFonts w:cstheme="minorHAnsi"/>
        </w:rPr>
        <w:t xml:space="preserve"> </w:t>
      </w:r>
      <w:r>
        <w:rPr>
          <w:rFonts w:cstheme="minorHAnsi"/>
        </w:rPr>
        <w:t xml:space="preserve">to performs the purchasing of services. </w:t>
      </w:r>
    </w:p>
    <w:p w14:paraId="7891F7AB" w14:textId="7ECEF9A8" w:rsidR="00AF5E44" w:rsidRDefault="00F4574B" w:rsidP="00363D34">
      <w:pPr>
        <w:spacing w:line="240" w:lineRule="auto"/>
        <w:jc w:val="both"/>
        <w:rPr>
          <w:rFonts w:cstheme="minorHAnsi"/>
        </w:rPr>
      </w:pPr>
      <w:r>
        <w:rPr>
          <w:rFonts w:cstheme="minorHAnsi"/>
        </w:rPr>
        <w:t xml:space="preserve">A similar situation exists with </w:t>
      </w:r>
      <w:r w:rsidR="00AF5E44" w:rsidRPr="00E6167F">
        <w:rPr>
          <w:rFonts w:cstheme="minorHAnsi"/>
        </w:rPr>
        <w:t xml:space="preserve">the Patient Registration Database which is held by </w:t>
      </w:r>
      <w:proofErr w:type="spellStart"/>
      <w:r w:rsidR="00AF5E44" w:rsidRPr="00E6167F">
        <w:rPr>
          <w:rFonts w:cstheme="minorHAnsi"/>
        </w:rPr>
        <w:t>ReHC</w:t>
      </w:r>
      <w:proofErr w:type="spellEnd"/>
      <w:r w:rsidR="006E07B0">
        <w:rPr>
          <w:rFonts w:cstheme="minorHAnsi"/>
        </w:rPr>
        <w:t xml:space="preserve">. This </w:t>
      </w:r>
      <w:r w:rsidR="00AF5E44" w:rsidRPr="00E6167F">
        <w:rPr>
          <w:rFonts w:cstheme="minorHAnsi"/>
        </w:rPr>
        <w:t xml:space="preserve">database is the basis for capitation based payments by MHIF. </w:t>
      </w:r>
      <w:proofErr w:type="spellStart"/>
      <w:r w:rsidR="00AF5E44" w:rsidRPr="00E6167F">
        <w:rPr>
          <w:rFonts w:cstheme="minorHAnsi"/>
        </w:rPr>
        <w:t>ReHC</w:t>
      </w:r>
      <w:proofErr w:type="spellEnd"/>
      <w:r w:rsidR="00AF5E44" w:rsidRPr="00E6167F">
        <w:rPr>
          <w:rFonts w:cstheme="minorHAnsi"/>
        </w:rPr>
        <w:t xml:space="preserve"> transfers data from this database to MHIF on </w:t>
      </w:r>
      <w:r w:rsidR="006E07B0">
        <w:rPr>
          <w:rFonts w:cstheme="minorHAnsi"/>
        </w:rPr>
        <w:t xml:space="preserve">a </w:t>
      </w:r>
      <w:r w:rsidR="00AF5E44" w:rsidRPr="00E6167F">
        <w:rPr>
          <w:rFonts w:cstheme="minorHAnsi"/>
        </w:rPr>
        <w:t>quarterly basis</w:t>
      </w:r>
      <w:r w:rsidR="0045439D">
        <w:rPr>
          <w:rFonts w:cstheme="minorHAnsi"/>
        </w:rPr>
        <w:t>. B</w:t>
      </w:r>
      <w:r w:rsidR="00AF5E44" w:rsidRPr="00E6167F">
        <w:rPr>
          <w:rFonts w:cstheme="minorHAnsi"/>
        </w:rPr>
        <w:t>ecause of that</w:t>
      </w:r>
      <w:r w:rsidR="0045439D">
        <w:rPr>
          <w:rFonts w:cstheme="minorHAnsi"/>
        </w:rPr>
        <w:t>,</w:t>
      </w:r>
      <w:r w:rsidR="00AF5E44" w:rsidRPr="00E6167F">
        <w:rPr>
          <w:rFonts w:cstheme="minorHAnsi"/>
        </w:rPr>
        <w:t xml:space="preserve"> there are delays in the </w:t>
      </w:r>
      <w:r w:rsidR="0045439D">
        <w:rPr>
          <w:rFonts w:cstheme="minorHAnsi"/>
        </w:rPr>
        <w:t>PHC</w:t>
      </w:r>
      <w:r w:rsidR="00AF5E44" w:rsidRPr="00E6167F">
        <w:rPr>
          <w:rFonts w:cstheme="minorHAnsi"/>
        </w:rPr>
        <w:t xml:space="preserve"> payment related to the changed structure of the covered population. </w:t>
      </w:r>
    </w:p>
    <w:p w14:paraId="31EB262C" w14:textId="744D58EA" w:rsidR="009A6619" w:rsidRPr="00960A6C" w:rsidRDefault="0067312D" w:rsidP="00D92F7A">
      <w:pPr>
        <w:spacing w:before="240" w:after="120" w:line="240" w:lineRule="auto"/>
        <w:jc w:val="both"/>
        <w:rPr>
          <w:rFonts w:cstheme="minorHAnsi"/>
          <w:b/>
          <w:i/>
        </w:rPr>
      </w:pPr>
      <w:r>
        <w:rPr>
          <w:rFonts w:cstheme="minorHAnsi"/>
          <w:b/>
          <w:i/>
        </w:rPr>
        <w:t xml:space="preserve">Inadequacy of data </w:t>
      </w:r>
    </w:p>
    <w:p w14:paraId="09E9D526" w14:textId="77777777" w:rsidR="00913657" w:rsidRPr="00E6167F" w:rsidRDefault="00913657" w:rsidP="00363D34">
      <w:pPr>
        <w:spacing w:line="240" w:lineRule="auto"/>
        <w:jc w:val="both"/>
        <w:rPr>
          <w:rFonts w:cstheme="minorHAnsi"/>
        </w:rPr>
      </w:pPr>
      <w:r w:rsidRPr="00E6167F">
        <w:rPr>
          <w:rFonts w:cstheme="minorHAnsi"/>
        </w:rPr>
        <w:t>One important subgroup of inpatients comprises those that are called 'non-acute' or 'chronic' inpatients in some countries.</w:t>
      </w:r>
      <w:r w:rsidRPr="00E6167F">
        <w:rPr>
          <w:rFonts w:cstheme="minorHAnsi"/>
          <w:b/>
        </w:rPr>
        <w:t xml:space="preserve"> </w:t>
      </w:r>
      <w:r w:rsidRPr="00D05C51">
        <w:rPr>
          <w:rFonts w:cstheme="minorHAnsi"/>
        </w:rPr>
        <w:t>There is no separation between 'acute' and 'non-acute' care in Kyrgyz Republic and due to this there is a shortage of information for health sector planning.</w:t>
      </w:r>
      <w:r w:rsidRPr="00E6167F">
        <w:rPr>
          <w:rFonts w:cstheme="minorHAnsi"/>
        </w:rPr>
        <w:t xml:space="preserve"> If this kind of care is not recognized, it cannot be counted. The absence of good information means that it is difficult to ascertain whether more non-acute inpatient care should be provided, or whether (say) more home nursing should be made available so that patients no longer have to remain in hospital. </w:t>
      </w:r>
    </w:p>
    <w:p w14:paraId="5785F374" w14:textId="4B0AB38F" w:rsidR="00EB584E" w:rsidRPr="0065494E" w:rsidRDefault="00EB584E" w:rsidP="00363D34">
      <w:pPr>
        <w:spacing w:after="120" w:line="240" w:lineRule="auto"/>
        <w:jc w:val="both"/>
        <w:rPr>
          <w:rFonts w:cstheme="minorHAnsi"/>
        </w:rPr>
      </w:pPr>
      <w:r w:rsidRPr="0065494E">
        <w:rPr>
          <w:rFonts w:cstheme="minorHAnsi"/>
        </w:rPr>
        <w:t xml:space="preserve">Another problem is that there </w:t>
      </w:r>
      <w:r w:rsidR="00A65A97">
        <w:rPr>
          <w:rFonts w:cstheme="minorHAnsi"/>
        </w:rPr>
        <w:t>are not</w:t>
      </w:r>
      <w:r w:rsidRPr="0065494E">
        <w:rPr>
          <w:rFonts w:cstheme="minorHAnsi"/>
        </w:rPr>
        <w:t xml:space="preserve"> any data on procedures performed </w:t>
      </w:r>
      <w:r w:rsidR="00845188">
        <w:rPr>
          <w:rFonts w:cstheme="minorHAnsi"/>
        </w:rPr>
        <w:t xml:space="preserve">at </w:t>
      </w:r>
      <w:r w:rsidRPr="0065494E">
        <w:rPr>
          <w:rFonts w:cstheme="minorHAnsi"/>
        </w:rPr>
        <w:t xml:space="preserve">the </w:t>
      </w:r>
      <w:r w:rsidR="00845188">
        <w:rPr>
          <w:rFonts w:cstheme="minorHAnsi"/>
        </w:rPr>
        <w:t xml:space="preserve">PHC </w:t>
      </w:r>
      <w:r w:rsidRPr="0065494E">
        <w:rPr>
          <w:rFonts w:cstheme="minorHAnsi"/>
        </w:rPr>
        <w:t xml:space="preserve">level. Such </w:t>
      </w:r>
      <w:r w:rsidR="00944FE6">
        <w:rPr>
          <w:rFonts w:cstheme="minorHAnsi"/>
        </w:rPr>
        <w:t xml:space="preserve">PHC </w:t>
      </w:r>
      <w:r w:rsidRPr="0065494E">
        <w:rPr>
          <w:rFonts w:cstheme="minorHAnsi"/>
        </w:rPr>
        <w:t>procedure classification classifies patient data and clinical activit</w:t>
      </w:r>
      <w:r w:rsidR="00944FE6">
        <w:rPr>
          <w:rFonts w:cstheme="minorHAnsi"/>
        </w:rPr>
        <w:t>ies</w:t>
      </w:r>
      <w:r w:rsidRPr="0065494E">
        <w:rPr>
          <w:rFonts w:cstheme="minorHAnsi"/>
        </w:rPr>
        <w:t xml:space="preserve"> in the domains of General/Family Practice and primary care, taking into account the frequency distribution of problems seen in these domains. It allows </w:t>
      </w:r>
      <w:r w:rsidR="00944FE6">
        <w:rPr>
          <w:rFonts w:cstheme="minorHAnsi"/>
        </w:rPr>
        <w:t xml:space="preserve">for </w:t>
      </w:r>
      <w:r w:rsidRPr="0065494E">
        <w:rPr>
          <w:rFonts w:cstheme="minorHAnsi"/>
        </w:rPr>
        <w:t xml:space="preserve">classification of the patient’s reason for encounter, the problems/diagnosis managed, interventions, and the ordering of these data in an episode of care structure. </w:t>
      </w:r>
      <w:r w:rsidR="00E83375">
        <w:rPr>
          <w:rFonts w:cstheme="minorHAnsi"/>
        </w:rPr>
        <w:t xml:space="preserve">Without </w:t>
      </w:r>
      <w:r w:rsidR="00C95A43">
        <w:rPr>
          <w:rFonts w:cstheme="minorHAnsi"/>
        </w:rPr>
        <w:t xml:space="preserve">a </w:t>
      </w:r>
      <w:r w:rsidR="00E83375">
        <w:rPr>
          <w:rFonts w:cstheme="minorHAnsi"/>
        </w:rPr>
        <w:t xml:space="preserve">classification </w:t>
      </w:r>
      <w:r w:rsidR="00C95A43">
        <w:rPr>
          <w:rFonts w:cstheme="minorHAnsi"/>
        </w:rPr>
        <w:t xml:space="preserve">system, it is impossible for the MHIF to monitor </w:t>
      </w:r>
      <w:r w:rsidR="003768EB">
        <w:rPr>
          <w:rFonts w:cstheme="minorHAnsi"/>
        </w:rPr>
        <w:t>what procedures are being delivered to the population at the PHC level.</w:t>
      </w:r>
    </w:p>
    <w:p w14:paraId="7559B7E4" w14:textId="422A29F6" w:rsidR="00960A6C" w:rsidRPr="00960A6C" w:rsidRDefault="00376082" w:rsidP="00D92F7A">
      <w:pPr>
        <w:spacing w:before="240" w:after="120" w:line="240" w:lineRule="auto"/>
        <w:jc w:val="both"/>
        <w:rPr>
          <w:rFonts w:cstheme="minorHAnsi"/>
          <w:b/>
          <w:i/>
        </w:rPr>
      </w:pPr>
      <w:r>
        <w:rPr>
          <w:rFonts w:cstheme="minorHAnsi"/>
          <w:b/>
          <w:i/>
        </w:rPr>
        <w:t xml:space="preserve">Low quality </w:t>
      </w:r>
      <w:r w:rsidR="001C13AE">
        <w:rPr>
          <w:rFonts w:cstheme="minorHAnsi"/>
          <w:b/>
          <w:i/>
        </w:rPr>
        <w:t>of data</w:t>
      </w:r>
    </w:p>
    <w:p w14:paraId="2E46EFF6" w14:textId="797BBCAC" w:rsidR="0077067A" w:rsidRPr="00E6167F" w:rsidRDefault="00591AA8" w:rsidP="00B51440">
      <w:pPr>
        <w:spacing w:line="240" w:lineRule="auto"/>
        <w:jc w:val="both"/>
        <w:rPr>
          <w:rFonts w:cstheme="minorHAnsi"/>
        </w:rPr>
      </w:pPr>
      <w:r w:rsidRPr="00E6167F">
        <w:rPr>
          <w:rFonts w:cstheme="minorHAnsi"/>
        </w:rPr>
        <w:t xml:space="preserve">The </w:t>
      </w:r>
      <w:r w:rsidR="009B70B7">
        <w:rPr>
          <w:rFonts w:cstheme="minorHAnsi"/>
        </w:rPr>
        <w:t xml:space="preserve">low </w:t>
      </w:r>
      <w:r w:rsidRPr="00E6167F">
        <w:rPr>
          <w:rFonts w:cstheme="minorHAnsi"/>
        </w:rPr>
        <w:t>reliability of health data acts as a further constraint on the ability to monitor</w:t>
      </w:r>
      <w:r w:rsidR="00C400F1">
        <w:rPr>
          <w:rFonts w:cstheme="minorHAnsi"/>
        </w:rPr>
        <w:t xml:space="preserve"> the delivery of the SGBP. </w:t>
      </w:r>
      <w:r w:rsidR="0077067A" w:rsidRPr="00E6167F">
        <w:rPr>
          <w:rFonts w:cstheme="minorHAnsi"/>
        </w:rPr>
        <w:t xml:space="preserve">The main source of morbidity and mortality data is the </w:t>
      </w:r>
      <w:r w:rsidR="00DD3C0E" w:rsidRPr="00E6167F">
        <w:rPr>
          <w:rFonts w:cstheme="minorHAnsi"/>
        </w:rPr>
        <w:t xml:space="preserve">routine health information </w:t>
      </w:r>
      <w:r w:rsidR="0077067A" w:rsidRPr="00E6167F">
        <w:rPr>
          <w:rFonts w:cstheme="minorHAnsi"/>
        </w:rPr>
        <w:t xml:space="preserve">system </w:t>
      </w:r>
      <w:r w:rsidR="00DD3C0E" w:rsidRPr="00E6167F">
        <w:rPr>
          <w:rFonts w:cstheme="minorHAnsi"/>
        </w:rPr>
        <w:t xml:space="preserve">managed by </w:t>
      </w:r>
      <w:r w:rsidR="0066072E">
        <w:rPr>
          <w:rFonts w:cstheme="minorHAnsi"/>
        </w:rPr>
        <w:t xml:space="preserve">the </w:t>
      </w:r>
      <w:proofErr w:type="spellStart"/>
      <w:r w:rsidR="0066072E">
        <w:rPr>
          <w:rFonts w:cstheme="minorHAnsi"/>
        </w:rPr>
        <w:t>ReHC</w:t>
      </w:r>
      <w:proofErr w:type="spellEnd"/>
      <w:r w:rsidR="00DD3C0E" w:rsidRPr="00E6167F">
        <w:rPr>
          <w:rFonts w:cstheme="minorHAnsi"/>
        </w:rPr>
        <w:t xml:space="preserve"> of the MOH</w:t>
      </w:r>
      <w:r w:rsidR="0077067A" w:rsidRPr="00E6167F">
        <w:rPr>
          <w:rFonts w:cstheme="minorHAnsi"/>
        </w:rPr>
        <w:t xml:space="preserve">. Reporting system uses the International Statistical Classification of Diseases and Related Health Problems, tenth revision (ICD-10) as standard in recording morbidity and the cause of death. Some morbidity data </w:t>
      </w:r>
      <w:r w:rsidR="00D230EC">
        <w:rPr>
          <w:rFonts w:cstheme="minorHAnsi"/>
        </w:rPr>
        <w:t xml:space="preserve">for 2016 </w:t>
      </w:r>
      <w:r w:rsidR="0077067A" w:rsidRPr="00E6167F">
        <w:rPr>
          <w:rFonts w:cstheme="minorHAnsi"/>
        </w:rPr>
        <w:t>are presented in</w:t>
      </w:r>
      <w:r w:rsidR="00B51440">
        <w:rPr>
          <w:rFonts w:cstheme="minorHAnsi"/>
        </w:rPr>
        <w:t xml:space="preserve"> table 1</w:t>
      </w:r>
      <w:r w:rsidR="00CD14BA">
        <w:rPr>
          <w:rFonts w:cstheme="minorHAnsi"/>
        </w:rPr>
        <w:t>1</w:t>
      </w:r>
      <w:r w:rsidR="00B51440">
        <w:rPr>
          <w:rFonts w:cstheme="minorHAnsi"/>
        </w:rPr>
        <w:t xml:space="preserve"> below</w:t>
      </w:r>
      <w:r w:rsidR="0077067A" w:rsidRPr="00E6167F">
        <w:rPr>
          <w:rFonts w:cstheme="minorHAnsi"/>
        </w:rPr>
        <w:t xml:space="preserve">. </w:t>
      </w:r>
    </w:p>
    <w:p w14:paraId="5FB32F41" w14:textId="39461F1A" w:rsidR="0077067A" w:rsidRPr="00132B20" w:rsidRDefault="003A0977" w:rsidP="00132B20">
      <w:pPr>
        <w:spacing w:before="240" w:after="120" w:line="240" w:lineRule="auto"/>
        <w:ind w:left="720" w:firstLine="720"/>
        <w:rPr>
          <w:rFonts w:cstheme="minorHAnsi"/>
          <w:b/>
        </w:rPr>
      </w:pPr>
      <w:r>
        <w:rPr>
          <w:rFonts w:cstheme="minorHAnsi"/>
          <w:b/>
        </w:rPr>
        <w:lastRenderedPageBreak/>
        <w:t xml:space="preserve">Table </w:t>
      </w:r>
      <w:r w:rsidR="001422B6">
        <w:rPr>
          <w:rFonts w:cstheme="minorHAnsi"/>
          <w:b/>
        </w:rPr>
        <w:t>1</w:t>
      </w:r>
      <w:r w:rsidR="00CD14BA">
        <w:rPr>
          <w:rFonts w:cstheme="minorHAnsi"/>
          <w:b/>
        </w:rPr>
        <w:t>1</w:t>
      </w:r>
      <w:r w:rsidR="001422B6">
        <w:rPr>
          <w:rFonts w:cstheme="minorHAnsi"/>
          <w:b/>
        </w:rPr>
        <w:t>.</w:t>
      </w:r>
      <w:r w:rsidR="0077067A" w:rsidRPr="00E6167F">
        <w:rPr>
          <w:rFonts w:cstheme="minorHAnsi"/>
          <w:b/>
        </w:rPr>
        <w:t xml:space="preserve"> Structure of morbidity in adults and adolescent</w:t>
      </w:r>
      <w:r w:rsidR="00D230EC">
        <w:rPr>
          <w:rFonts w:cstheme="minorHAnsi"/>
          <w:b/>
        </w:rPr>
        <w:t>s, 2016</w:t>
      </w:r>
    </w:p>
    <w:tbl>
      <w:tblPr>
        <w:tblW w:w="6260" w:type="dxa"/>
        <w:jc w:val="center"/>
        <w:tblBorders>
          <w:top w:val="single" w:sz="4" w:space="0" w:color="auto"/>
          <w:bottom w:val="single" w:sz="4" w:space="0" w:color="auto"/>
        </w:tblBorders>
        <w:tblLook w:val="04A0" w:firstRow="1" w:lastRow="0" w:firstColumn="1" w:lastColumn="0" w:noHBand="0" w:noVBand="1"/>
      </w:tblPr>
      <w:tblGrid>
        <w:gridCol w:w="4340"/>
        <w:gridCol w:w="1115"/>
        <w:gridCol w:w="960"/>
      </w:tblGrid>
      <w:tr w:rsidR="0077067A" w:rsidRPr="00E6167F" w14:paraId="29B0BC4B" w14:textId="77777777" w:rsidTr="00E63245">
        <w:trPr>
          <w:trHeight w:val="285"/>
          <w:jc w:val="center"/>
        </w:trPr>
        <w:tc>
          <w:tcPr>
            <w:tcW w:w="4340" w:type="dxa"/>
            <w:tcBorders>
              <w:top w:val="single" w:sz="4" w:space="0" w:color="auto"/>
              <w:bottom w:val="single" w:sz="4" w:space="0" w:color="auto"/>
            </w:tcBorders>
            <w:shd w:val="clear" w:color="auto" w:fill="F2F2F2" w:themeFill="background1" w:themeFillShade="F2"/>
            <w:noWrap/>
            <w:vAlign w:val="center"/>
            <w:hideMark/>
          </w:tcPr>
          <w:p w14:paraId="2F645978" w14:textId="77777777" w:rsidR="0077067A" w:rsidRDefault="0077067A" w:rsidP="00363D34">
            <w:pPr>
              <w:spacing w:after="0" w:line="240" w:lineRule="auto"/>
              <w:jc w:val="both"/>
              <w:rPr>
                <w:rFonts w:eastAsia="Times New Roman" w:cstheme="minorHAnsi"/>
                <w:b/>
                <w:bCs/>
                <w:lang w:val="hr-HR" w:eastAsia="hr-HR"/>
              </w:rPr>
            </w:pPr>
            <w:r w:rsidRPr="00E6167F">
              <w:rPr>
                <w:rFonts w:eastAsia="Times New Roman" w:cstheme="minorHAnsi"/>
                <w:b/>
                <w:bCs/>
                <w:lang w:val="hr-HR" w:eastAsia="hr-HR"/>
              </w:rPr>
              <w:t>Diseases </w:t>
            </w:r>
          </w:p>
          <w:p w14:paraId="7828A92D" w14:textId="2AE85DD4" w:rsidR="00E63245" w:rsidRPr="00E6167F" w:rsidRDefault="00E63245" w:rsidP="00363D34">
            <w:pPr>
              <w:spacing w:after="0" w:line="240" w:lineRule="auto"/>
              <w:jc w:val="both"/>
              <w:rPr>
                <w:rFonts w:eastAsia="Times New Roman" w:cstheme="minorHAnsi"/>
                <w:b/>
                <w:bCs/>
                <w:lang w:val="hr-HR" w:eastAsia="hr-HR"/>
              </w:rPr>
            </w:pPr>
          </w:p>
        </w:tc>
        <w:tc>
          <w:tcPr>
            <w:tcW w:w="960" w:type="dxa"/>
            <w:tcBorders>
              <w:top w:val="single" w:sz="4" w:space="0" w:color="auto"/>
              <w:bottom w:val="single" w:sz="4" w:space="0" w:color="auto"/>
            </w:tcBorders>
            <w:shd w:val="clear" w:color="auto" w:fill="F2F2F2" w:themeFill="background1" w:themeFillShade="F2"/>
            <w:noWrap/>
            <w:vAlign w:val="center"/>
            <w:hideMark/>
          </w:tcPr>
          <w:p w14:paraId="4FCA9CA6" w14:textId="77777777" w:rsidR="0077067A" w:rsidRDefault="0077067A" w:rsidP="00E63245">
            <w:pPr>
              <w:spacing w:after="0" w:line="240" w:lineRule="auto"/>
              <w:jc w:val="right"/>
              <w:rPr>
                <w:rFonts w:eastAsia="Times New Roman" w:cstheme="minorHAnsi"/>
                <w:b/>
                <w:bCs/>
                <w:lang w:val="hr-HR" w:eastAsia="hr-HR"/>
              </w:rPr>
            </w:pPr>
            <w:r w:rsidRPr="00E6167F">
              <w:rPr>
                <w:rFonts w:eastAsia="Times New Roman" w:cstheme="minorHAnsi"/>
                <w:b/>
                <w:bCs/>
                <w:lang w:val="hr-HR" w:eastAsia="hr-HR"/>
              </w:rPr>
              <w:t>Number</w:t>
            </w:r>
          </w:p>
          <w:p w14:paraId="4AEF1803" w14:textId="5963413D" w:rsidR="00E63245" w:rsidRPr="00E6167F" w:rsidRDefault="00E63245" w:rsidP="00E63245">
            <w:pPr>
              <w:spacing w:after="0" w:line="240" w:lineRule="auto"/>
              <w:jc w:val="right"/>
              <w:rPr>
                <w:rFonts w:eastAsia="Times New Roman" w:cstheme="minorHAnsi"/>
                <w:b/>
                <w:bCs/>
                <w:lang w:val="hr-HR" w:eastAsia="hr-HR"/>
              </w:rPr>
            </w:pPr>
          </w:p>
        </w:tc>
        <w:tc>
          <w:tcPr>
            <w:tcW w:w="960" w:type="dxa"/>
            <w:tcBorders>
              <w:top w:val="single" w:sz="4" w:space="0" w:color="auto"/>
              <w:bottom w:val="single" w:sz="4" w:space="0" w:color="auto"/>
            </w:tcBorders>
            <w:shd w:val="clear" w:color="auto" w:fill="F2F2F2" w:themeFill="background1" w:themeFillShade="F2"/>
            <w:noWrap/>
            <w:vAlign w:val="center"/>
            <w:hideMark/>
          </w:tcPr>
          <w:p w14:paraId="31104CE9" w14:textId="77777777" w:rsidR="0077067A" w:rsidRDefault="0077067A" w:rsidP="00E63245">
            <w:pPr>
              <w:spacing w:after="0" w:line="240" w:lineRule="auto"/>
              <w:jc w:val="right"/>
              <w:rPr>
                <w:rFonts w:eastAsia="Times New Roman" w:cstheme="minorHAnsi"/>
                <w:b/>
                <w:bCs/>
                <w:color w:val="000000"/>
                <w:lang w:val="hr-HR" w:eastAsia="hr-HR"/>
              </w:rPr>
            </w:pPr>
            <w:r w:rsidRPr="00E6167F">
              <w:rPr>
                <w:rFonts w:eastAsia="Times New Roman" w:cstheme="minorHAnsi"/>
                <w:b/>
                <w:bCs/>
                <w:color w:val="000000"/>
                <w:lang w:val="hr-HR" w:eastAsia="hr-HR"/>
              </w:rPr>
              <w:t>%</w:t>
            </w:r>
          </w:p>
          <w:p w14:paraId="5178FDE3" w14:textId="35FFCAB5" w:rsidR="00E63245" w:rsidRPr="00E6167F" w:rsidRDefault="00E63245" w:rsidP="00E63245">
            <w:pPr>
              <w:spacing w:after="0" w:line="240" w:lineRule="auto"/>
              <w:jc w:val="right"/>
              <w:rPr>
                <w:rFonts w:eastAsia="Times New Roman" w:cstheme="minorHAnsi"/>
                <w:b/>
                <w:bCs/>
                <w:color w:val="000000"/>
                <w:lang w:val="hr-HR" w:eastAsia="hr-HR"/>
              </w:rPr>
            </w:pPr>
          </w:p>
        </w:tc>
      </w:tr>
      <w:tr w:rsidR="0077067A" w:rsidRPr="00E6167F" w14:paraId="5C417BF3" w14:textId="77777777" w:rsidTr="00E63245">
        <w:trPr>
          <w:trHeight w:val="300"/>
          <w:jc w:val="center"/>
        </w:trPr>
        <w:tc>
          <w:tcPr>
            <w:tcW w:w="4340" w:type="dxa"/>
            <w:tcBorders>
              <w:top w:val="single" w:sz="4" w:space="0" w:color="auto"/>
            </w:tcBorders>
            <w:shd w:val="clear" w:color="auto" w:fill="auto"/>
            <w:noWrap/>
            <w:vAlign w:val="center"/>
            <w:hideMark/>
          </w:tcPr>
          <w:p w14:paraId="7C344004" w14:textId="77777777" w:rsidR="0077067A" w:rsidRPr="00E6167F" w:rsidRDefault="0077067A" w:rsidP="00363D34">
            <w:pPr>
              <w:spacing w:after="0" w:line="240" w:lineRule="auto"/>
              <w:jc w:val="both"/>
              <w:rPr>
                <w:rFonts w:eastAsia="Times New Roman" w:cstheme="minorHAnsi"/>
                <w:b/>
                <w:bCs/>
                <w:lang w:val="hr-HR" w:eastAsia="hr-HR"/>
              </w:rPr>
            </w:pPr>
            <w:r w:rsidRPr="00E6167F">
              <w:rPr>
                <w:rFonts w:eastAsia="Times New Roman" w:cstheme="minorHAnsi"/>
                <w:b/>
                <w:bCs/>
                <w:lang w:eastAsia="hr-HR"/>
              </w:rPr>
              <w:t>TOTAL</w:t>
            </w:r>
          </w:p>
        </w:tc>
        <w:tc>
          <w:tcPr>
            <w:tcW w:w="960" w:type="dxa"/>
            <w:tcBorders>
              <w:top w:val="single" w:sz="4" w:space="0" w:color="auto"/>
            </w:tcBorders>
            <w:shd w:val="clear" w:color="auto" w:fill="auto"/>
            <w:noWrap/>
            <w:vAlign w:val="center"/>
            <w:hideMark/>
          </w:tcPr>
          <w:p w14:paraId="7B88D12F" w14:textId="77777777" w:rsidR="0077067A" w:rsidRPr="00E6167F" w:rsidRDefault="0077067A" w:rsidP="00E63245">
            <w:pPr>
              <w:spacing w:after="0" w:line="240" w:lineRule="auto"/>
              <w:jc w:val="right"/>
              <w:rPr>
                <w:rFonts w:eastAsia="Times New Roman" w:cstheme="minorHAnsi"/>
                <w:b/>
                <w:bCs/>
                <w:color w:val="000000"/>
                <w:lang w:val="hr-HR" w:eastAsia="hr-HR"/>
              </w:rPr>
            </w:pPr>
            <w:r w:rsidRPr="00E6167F">
              <w:rPr>
                <w:rFonts w:eastAsia="Times New Roman" w:cstheme="minorHAnsi"/>
                <w:b/>
                <w:bCs/>
                <w:color w:val="000000"/>
                <w:lang w:val="hr-HR" w:eastAsia="hr-HR"/>
              </w:rPr>
              <w:t>2.093.755</w:t>
            </w:r>
          </w:p>
        </w:tc>
        <w:tc>
          <w:tcPr>
            <w:tcW w:w="960" w:type="dxa"/>
            <w:tcBorders>
              <w:top w:val="single" w:sz="4" w:space="0" w:color="auto"/>
            </w:tcBorders>
            <w:shd w:val="clear" w:color="auto" w:fill="auto"/>
            <w:noWrap/>
            <w:vAlign w:val="center"/>
            <w:hideMark/>
          </w:tcPr>
          <w:p w14:paraId="4ACE0277" w14:textId="77777777" w:rsidR="0077067A" w:rsidRPr="00E6167F" w:rsidRDefault="0077067A" w:rsidP="00E63245">
            <w:pPr>
              <w:spacing w:after="0" w:line="240" w:lineRule="auto"/>
              <w:jc w:val="right"/>
              <w:rPr>
                <w:rFonts w:eastAsia="Times New Roman" w:cstheme="minorHAnsi"/>
                <w:b/>
                <w:bCs/>
                <w:color w:val="000000"/>
                <w:lang w:val="hr-HR" w:eastAsia="hr-HR"/>
              </w:rPr>
            </w:pPr>
            <w:r w:rsidRPr="00E6167F">
              <w:rPr>
                <w:rFonts w:eastAsia="Times New Roman" w:cstheme="minorHAnsi"/>
                <w:b/>
                <w:bCs/>
                <w:color w:val="000000"/>
                <w:lang w:val="hr-HR" w:eastAsia="hr-HR"/>
              </w:rPr>
              <w:t>100</w:t>
            </w:r>
          </w:p>
        </w:tc>
      </w:tr>
      <w:tr w:rsidR="0077067A" w:rsidRPr="00E6167F" w14:paraId="24955562" w14:textId="77777777" w:rsidTr="00E63245">
        <w:trPr>
          <w:trHeight w:val="300"/>
          <w:jc w:val="center"/>
        </w:trPr>
        <w:tc>
          <w:tcPr>
            <w:tcW w:w="4340" w:type="dxa"/>
            <w:shd w:val="clear" w:color="auto" w:fill="auto"/>
            <w:noWrap/>
            <w:vAlign w:val="center"/>
            <w:hideMark/>
          </w:tcPr>
          <w:p w14:paraId="573D089F" w14:textId="77777777" w:rsidR="0077067A" w:rsidRPr="00E6167F" w:rsidRDefault="0077067A" w:rsidP="00363D34">
            <w:pPr>
              <w:spacing w:after="0" w:line="240" w:lineRule="auto"/>
              <w:jc w:val="both"/>
              <w:rPr>
                <w:rFonts w:eastAsia="Times New Roman" w:cstheme="minorHAnsi"/>
                <w:lang w:val="hr-HR" w:eastAsia="hr-HR"/>
              </w:rPr>
            </w:pPr>
            <w:r w:rsidRPr="00E6167F">
              <w:rPr>
                <w:rFonts w:eastAsia="Times New Roman" w:cstheme="minorHAnsi"/>
                <w:lang w:eastAsia="hr-HR"/>
              </w:rPr>
              <w:t>Diseases of the circulatory system</w:t>
            </w:r>
          </w:p>
        </w:tc>
        <w:tc>
          <w:tcPr>
            <w:tcW w:w="960" w:type="dxa"/>
            <w:shd w:val="clear" w:color="auto" w:fill="auto"/>
            <w:noWrap/>
            <w:vAlign w:val="center"/>
            <w:hideMark/>
          </w:tcPr>
          <w:p w14:paraId="5B809274" w14:textId="77777777" w:rsidR="0077067A" w:rsidRPr="00E6167F" w:rsidRDefault="0077067A" w:rsidP="00E63245">
            <w:pPr>
              <w:spacing w:after="0" w:line="240" w:lineRule="auto"/>
              <w:jc w:val="right"/>
              <w:rPr>
                <w:rFonts w:eastAsia="Times New Roman" w:cstheme="minorHAnsi"/>
                <w:color w:val="000000"/>
                <w:lang w:val="hr-HR" w:eastAsia="hr-HR"/>
              </w:rPr>
            </w:pPr>
            <w:r w:rsidRPr="00E6167F">
              <w:rPr>
                <w:rFonts w:eastAsia="Times New Roman" w:cstheme="minorHAnsi"/>
                <w:color w:val="000000"/>
                <w:lang w:val="hr-HR" w:eastAsia="hr-HR"/>
              </w:rPr>
              <w:t>298.290</w:t>
            </w:r>
          </w:p>
        </w:tc>
        <w:tc>
          <w:tcPr>
            <w:tcW w:w="960" w:type="dxa"/>
            <w:shd w:val="clear" w:color="auto" w:fill="auto"/>
            <w:noWrap/>
            <w:vAlign w:val="center"/>
            <w:hideMark/>
          </w:tcPr>
          <w:p w14:paraId="6E7F4C0C" w14:textId="77777777" w:rsidR="0077067A" w:rsidRPr="00E6167F" w:rsidRDefault="0077067A" w:rsidP="00E63245">
            <w:pPr>
              <w:spacing w:after="0" w:line="240" w:lineRule="auto"/>
              <w:jc w:val="right"/>
              <w:rPr>
                <w:rFonts w:eastAsia="Times New Roman" w:cstheme="minorHAnsi"/>
                <w:color w:val="000000"/>
                <w:lang w:val="hr-HR" w:eastAsia="hr-HR"/>
              </w:rPr>
            </w:pPr>
            <w:r w:rsidRPr="00E6167F">
              <w:rPr>
                <w:rFonts w:eastAsia="Times New Roman" w:cstheme="minorHAnsi"/>
                <w:color w:val="000000"/>
                <w:lang w:val="hr-HR" w:eastAsia="hr-HR"/>
              </w:rPr>
              <w:t>14,2</w:t>
            </w:r>
          </w:p>
        </w:tc>
      </w:tr>
      <w:tr w:rsidR="0077067A" w:rsidRPr="00E6167F" w14:paraId="57D58E00" w14:textId="77777777" w:rsidTr="00E63245">
        <w:trPr>
          <w:trHeight w:val="300"/>
          <w:jc w:val="center"/>
        </w:trPr>
        <w:tc>
          <w:tcPr>
            <w:tcW w:w="4340" w:type="dxa"/>
            <w:shd w:val="clear" w:color="auto" w:fill="auto"/>
            <w:noWrap/>
            <w:vAlign w:val="center"/>
            <w:hideMark/>
          </w:tcPr>
          <w:p w14:paraId="0FF94F2C" w14:textId="77777777" w:rsidR="0077067A" w:rsidRPr="00E6167F" w:rsidRDefault="0077067A" w:rsidP="00363D34">
            <w:pPr>
              <w:spacing w:after="0" w:line="240" w:lineRule="auto"/>
              <w:jc w:val="both"/>
              <w:rPr>
                <w:rFonts w:eastAsia="Times New Roman" w:cstheme="minorHAnsi"/>
                <w:lang w:val="hr-HR" w:eastAsia="hr-HR"/>
              </w:rPr>
            </w:pPr>
            <w:r w:rsidRPr="00E6167F">
              <w:rPr>
                <w:rFonts w:eastAsia="Times New Roman" w:cstheme="minorHAnsi"/>
                <w:lang w:eastAsia="hr-HR"/>
              </w:rPr>
              <w:t>Diseases of the digestive system</w:t>
            </w:r>
          </w:p>
        </w:tc>
        <w:tc>
          <w:tcPr>
            <w:tcW w:w="960" w:type="dxa"/>
            <w:shd w:val="clear" w:color="auto" w:fill="auto"/>
            <w:noWrap/>
            <w:vAlign w:val="center"/>
            <w:hideMark/>
          </w:tcPr>
          <w:p w14:paraId="6A5EF1CC" w14:textId="77777777" w:rsidR="0077067A" w:rsidRPr="00E6167F" w:rsidRDefault="0077067A" w:rsidP="00E63245">
            <w:pPr>
              <w:spacing w:after="0" w:line="240" w:lineRule="auto"/>
              <w:jc w:val="right"/>
              <w:rPr>
                <w:rFonts w:eastAsia="Times New Roman" w:cstheme="minorHAnsi"/>
                <w:color w:val="000000"/>
                <w:lang w:val="hr-HR" w:eastAsia="hr-HR"/>
              </w:rPr>
            </w:pPr>
            <w:r w:rsidRPr="00E6167F">
              <w:rPr>
                <w:rFonts w:eastAsia="Times New Roman" w:cstheme="minorHAnsi"/>
                <w:color w:val="000000"/>
                <w:lang w:val="hr-HR" w:eastAsia="hr-HR"/>
              </w:rPr>
              <w:t>282.020</w:t>
            </w:r>
          </w:p>
        </w:tc>
        <w:tc>
          <w:tcPr>
            <w:tcW w:w="960" w:type="dxa"/>
            <w:shd w:val="clear" w:color="auto" w:fill="auto"/>
            <w:noWrap/>
            <w:vAlign w:val="center"/>
            <w:hideMark/>
          </w:tcPr>
          <w:p w14:paraId="576EFC65" w14:textId="77777777" w:rsidR="0077067A" w:rsidRPr="00E6167F" w:rsidRDefault="0077067A" w:rsidP="00E63245">
            <w:pPr>
              <w:spacing w:after="0" w:line="240" w:lineRule="auto"/>
              <w:jc w:val="right"/>
              <w:rPr>
                <w:rFonts w:eastAsia="Times New Roman" w:cstheme="minorHAnsi"/>
                <w:color w:val="000000"/>
                <w:lang w:val="hr-HR" w:eastAsia="hr-HR"/>
              </w:rPr>
            </w:pPr>
            <w:r w:rsidRPr="00E6167F">
              <w:rPr>
                <w:rFonts w:eastAsia="Times New Roman" w:cstheme="minorHAnsi"/>
                <w:color w:val="000000"/>
                <w:lang w:val="hr-HR" w:eastAsia="hr-HR"/>
              </w:rPr>
              <w:t>13,5</w:t>
            </w:r>
          </w:p>
        </w:tc>
      </w:tr>
      <w:tr w:rsidR="0077067A" w:rsidRPr="00E6167F" w14:paraId="3874E7AB" w14:textId="77777777" w:rsidTr="00E63245">
        <w:trPr>
          <w:trHeight w:val="300"/>
          <w:jc w:val="center"/>
        </w:trPr>
        <w:tc>
          <w:tcPr>
            <w:tcW w:w="4340" w:type="dxa"/>
            <w:shd w:val="clear" w:color="auto" w:fill="auto"/>
            <w:noWrap/>
            <w:vAlign w:val="center"/>
            <w:hideMark/>
          </w:tcPr>
          <w:p w14:paraId="36B571A3" w14:textId="77777777" w:rsidR="0077067A" w:rsidRPr="00E6167F" w:rsidRDefault="0077067A" w:rsidP="00363D34">
            <w:pPr>
              <w:spacing w:after="0" w:line="240" w:lineRule="auto"/>
              <w:jc w:val="both"/>
              <w:rPr>
                <w:rFonts w:eastAsia="Times New Roman" w:cstheme="minorHAnsi"/>
                <w:lang w:val="hr-HR" w:eastAsia="hr-HR"/>
              </w:rPr>
            </w:pPr>
            <w:r w:rsidRPr="00E6167F">
              <w:rPr>
                <w:rFonts w:eastAsia="Times New Roman" w:cstheme="minorHAnsi"/>
                <w:lang w:eastAsia="hr-HR"/>
              </w:rPr>
              <w:t>Diseases of the respiratory system</w:t>
            </w:r>
          </w:p>
        </w:tc>
        <w:tc>
          <w:tcPr>
            <w:tcW w:w="960" w:type="dxa"/>
            <w:shd w:val="clear" w:color="auto" w:fill="auto"/>
            <w:noWrap/>
            <w:vAlign w:val="center"/>
            <w:hideMark/>
          </w:tcPr>
          <w:p w14:paraId="69D559AC" w14:textId="77777777" w:rsidR="0077067A" w:rsidRPr="00E6167F" w:rsidRDefault="0077067A" w:rsidP="00E63245">
            <w:pPr>
              <w:spacing w:after="0" w:line="240" w:lineRule="auto"/>
              <w:jc w:val="right"/>
              <w:rPr>
                <w:rFonts w:eastAsia="Times New Roman" w:cstheme="minorHAnsi"/>
                <w:color w:val="000000"/>
                <w:lang w:val="hr-HR" w:eastAsia="hr-HR"/>
              </w:rPr>
            </w:pPr>
            <w:r w:rsidRPr="00E6167F">
              <w:rPr>
                <w:rFonts w:eastAsia="Times New Roman" w:cstheme="minorHAnsi"/>
                <w:color w:val="000000"/>
                <w:lang w:val="hr-HR" w:eastAsia="hr-HR"/>
              </w:rPr>
              <w:t>274.706</w:t>
            </w:r>
          </w:p>
        </w:tc>
        <w:tc>
          <w:tcPr>
            <w:tcW w:w="960" w:type="dxa"/>
            <w:shd w:val="clear" w:color="auto" w:fill="auto"/>
            <w:noWrap/>
            <w:vAlign w:val="center"/>
            <w:hideMark/>
          </w:tcPr>
          <w:p w14:paraId="38DE050F" w14:textId="77777777" w:rsidR="0077067A" w:rsidRPr="00E6167F" w:rsidRDefault="0077067A" w:rsidP="00E63245">
            <w:pPr>
              <w:spacing w:after="0" w:line="240" w:lineRule="auto"/>
              <w:jc w:val="right"/>
              <w:rPr>
                <w:rFonts w:eastAsia="Times New Roman" w:cstheme="minorHAnsi"/>
                <w:color w:val="000000"/>
                <w:lang w:val="hr-HR" w:eastAsia="hr-HR"/>
              </w:rPr>
            </w:pPr>
            <w:r w:rsidRPr="00E6167F">
              <w:rPr>
                <w:rFonts w:eastAsia="Times New Roman" w:cstheme="minorHAnsi"/>
                <w:color w:val="000000"/>
                <w:lang w:val="hr-HR" w:eastAsia="hr-HR"/>
              </w:rPr>
              <w:t>13,1</w:t>
            </w:r>
          </w:p>
        </w:tc>
      </w:tr>
      <w:tr w:rsidR="0077067A" w:rsidRPr="00E6167F" w14:paraId="3853A8F0" w14:textId="77777777" w:rsidTr="00E63245">
        <w:trPr>
          <w:trHeight w:val="300"/>
          <w:jc w:val="center"/>
        </w:trPr>
        <w:tc>
          <w:tcPr>
            <w:tcW w:w="4340" w:type="dxa"/>
            <w:shd w:val="clear" w:color="auto" w:fill="auto"/>
            <w:noWrap/>
            <w:vAlign w:val="center"/>
            <w:hideMark/>
          </w:tcPr>
          <w:p w14:paraId="77E84F14" w14:textId="77777777" w:rsidR="0077067A" w:rsidRPr="00E6167F" w:rsidRDefault="0077067A" w:rsidP="00363D34">
            <w:pPr>
              <w:spacing w:after="0" w:line="240" w:lineRule="auto"/>
              <w:jc w:val="both"/>
              <w:rPr>
                <w:rFonts w:eastAsia="Times New Roman" w:cstheme="minorHAnsi"/>
                <w:lang w:val="hr-HR" w:eastAsia="hr-HR"/>
              </w:rPr>
            </w:pPr>
            <w:r w:rsidRPr="00E6167F">
              <w:rPr>
                <w:rFonts w:eastAsia="Times New Roman" w:cstheme="minorHAnsi"/>
                <w:lang w:eastAsia="hr-HR"/>
              </w:rPr>
              <w:t>Diseases of the genitourinary system</w:t>
            </w:r>
          </w:p>
        </w:tc>
        <w:tc>
          <w:tcPr>
            <w:tcW w:w="960" w:type="dxa"/>
            <w:shd w:val="clear" w:color="auto" w:fill="auto"/>
            <w:noWrap/>
            <w:vAlign w:val="center"/>
            <w:hideMark/>
          </w:tcPr>
          <w:p w14:paraId="262EA8CE" w14:textId="77777777" w:rsidR="0077067A" w:rsidRPr="00E6167F" w:rsidRDefault="0077067A" w:rsidP="00E63245">
            <w:pPr>
              <w:spacing w:after="0" w:line="240" w:lineRule="auto"/>
              <w:jc w:val="right"/>
              <w:rPr>
                <w:rFonts w:eastAsia="Times New Roman" w:cstheme="minorHAnsi"/>
                <w:color w:val="000000"/>
                <w:lang w:val="hr-HR" w:eastAsia="hr-HR"/>
              </w:rPr>
            </w:pPr>
            <w:r w:rsidRPr="00E6167F">
              <w:rPr>
                <w:rFonts w:eastAsia="Times New Roman" w:cstheme="minorHAnsi"/>
                <w:color w:val="000000"/>
                <w:lang w:val="hr-HR" w:eastAsia="hr-HR"/>
              </w:rPr>
              <w:t>235.402</w:t>
            </w:r>
          </w:p>
        </w:tc>
        <w:tc>
          <w:tcPr>
            <w:tcW w:w="960" w:type="dxa"/>
            <w:shd w:val="clear" w:color="auto" w:fill="auto"/>
            <w:noWrap/>
            <w:vAlign w:val="center"/>
            <w:hideMark/>
          </w:tcPr>
          <w:p w14:paraId="670EA819" w14:textId="77777777" w:rsidR="0077067A" w:rsidRPr="00E6167F" w:rsidRDefault="0077067A" w:rsidP="00E63245">
            <w:pPr>
              <w:spacing w:after="0" w:line="240" w:lineRule="auto"/>
              <w:jc w:val="right"/>
              <w:rPr>
                <w:rFonts w:eastAsia="Times New Roman" w:cstheme="minorHAnsi"/>
                <w:color w:val="000000"/>
                <w:lang w:val="hr-HR" w:eastAsia="hr-HR"/>
              </w:rPr>
            </w:pPr>
            <w:r w:rsidRPr="00E6167F">
              <w:rPr>
                <w:rFonts w:eastAsia="Times New Roman" w:cstheme="minorHAnsi"/>
                <w:color w:val="000000"/>
                <w:lang w:val="hr-HR" w:eastAsia="hr-HR"/>
              </w:rPr>
              <w:t>11,2</w:t>
            </w:r>
          </w:p>
        </w:tc>
      </w:tr>
      <w:tr w:rsidR="0077067A" w:rsidRPr="00E6167F" w14:paraId="3B13A7DA" w14:textId="77777777" w:rsidTr="00E63245">
        <w:trPr>
          <w:trHeight w:val="300"/>
          <w:jc w:val="center"/>
        </w:trPr>
        <w:tc>
          <w:tcPr>
            <w:tcW w:w="4340" w:type="dxa"/>
            <w:shd w:val="clear" w:color="auto" w:fill="auto"/>
            <w:noWrap/>
            <w:vAlign w:val="center"/>
            <w:hideMark/>
          </w:tcPr>
          <w:p w14:paraId="7C84E191" w14:textId="77777777" w:rsidR="0077067A" w:rsidRPr="00E6167F" w:rsidRDefault="0077067A" w:rsidP="00363D34">
            <w:pPr>
              <w:spacing w:after="0" w:line="240" w:lineRule="auto"/>
              <w:jc w:val="both"/>
              <w:rPr>
                <w:rFonts w:eastAsia="Times New Roman" w:cstheme="minorHAnsi"/>
                <w:lang w:val="hr-HR" w:eastAsia="hr-HR"/>
              </w:rPr>
            </w:pPr>
            <w:r w:rsidRPr="00E6167F">
              <w:rPr>
                <w:rFonts w:eastAsia="Times New Roman" w:cstheme="minorHAnsi"/>
                <w:lang w:eastAsia="hr-HR"/>
              </w:rPr>
              <w:t>Diseases of the nervous system</w:t>
            </w:r>
          </w:p>
        </w:tc>
        <w:tc>
          <w:tcPr>
            <w:tcW w:w="960" w:type="dxa"/>
            <w:shd w:val="clear" w:color="auto" w:fill="auto"/>
            <w:noWrap/>
            <w:vAlign w:val="center"/>
            <w:hideMark/>
          </w:tcPr>
          <w:p w14:paraId="10CE647A" w14:textId="77777777" w:rsidR="0077067A" w:rsidRPr="00E6167F" w:rsidRDefault="0077067A" w:rsidP="00E63245">
            <w:pPr>
              <w:spacing w:after="0" w:line="240" w:lineRule="auto"/>
              <w:jc w:val="right"/>
              <w:rPr>
                <w:rFonts w:eastAsia="Times New Roman" w:cstheme="minorHAnsi"/>
                <w:color w:val="000000"/>
                <w:lang w:val="hr-HR" w:eastAsia="hr-HR"/>
              </w:rPr>
            </w:pPr>
            <w:r w:rsidRPr="00E6167F">
              <w:rPr>
                <w:rFonts w:eastAsia="Times New Roman" w:cstheme="minorHAnsi"/>
                <w:color w:val="000000"/>
                <w:lang w:val="hr-HR" w:eastAsia="hr-HR"/>
              </w:rPr>
              <w:t>126.518</w:t>
            </w:r>
          </w:p>
        </w:tc>
        <w:tc>
          <w:tcPr>
            <w:tcW w:w="960" w:type="dxa"/>
            <w:shd w:val="clear" w:color="auto" w:fill="auto"/>
            <w:noWrap/>
            <w:vAlign w:val="center"/>
            <w:hideMark/>
          </w:tcPr>
          <w:p w14:paraId="58F145E8" w14:textId="77777777" w:rsidR="0077067A" w:rsidRPr="00E6167F" w:rsidRDefault="0077067A" w:rsidP="00E63245">
            <w:pPr>
              <w:spacing w:after="0" w:line="240" w:lineRule="auto"/>
              <w:jc w:val="right"/>
              <w:rPr>
                <w:rFonts w:eastAsia="Times New Roman" w:cstheme="minorHAnsi"/>
                <w:color w:val="000000"/>
                <w:lang w:val="hr-HR" w:eastAsia="hr-HR"/>
              </w:rPr>
            </w:pPr>
            <w:r w:rsidRPr="00E6167F">
              <w:rPr>
                <w:rFonts w:eastAsia="Times New Roman" w:cstheme="minorHAnsi"/>
                <w:color w:val="000000"/>
                <w:lang w:val="hr-HR" w:eastAsia="hr-HR"/>
              </w:rPr>
              <w:t>6</w:t>
            </w:r>
          </w:p>
        </w:tc>
      </w:tr>
      <w:tr w:rsidR="0077067A" w:rsidRPr="00E6167F" w14:paraId="1F4A2537" w14:textId="77777777" w:rsidTr="00E63245">
        <w:trPr>
          <w:trHeight w:val="300"/>
          <w:jc w:val="center"/>
        </w:trPr>
        <w:tc>
          <w:tcPr>
            <w:tcW w:w="4340" w:type="dxa"/>
            <w:shd w:val="clear" w:color="auto" w:fill="auto"/>
            <w:noWrap/>
            <w:vAlign w:val="center"/>
            <w:hideMark/>
          </w:tcPr>
          <w:p w14:paraId="7C1B367A" w14:textId="77777777" w:rsidR="0077067A" w:rsidRPr="00E6167F" w:rsidRDefault="0077067A" w:rsidP="00363D34">
            <w:pPr>
              <w:spacing w:after="0" w:line="240" w:lineRule="auto"/>
              <w:jc w:val="both"/>
              <w:rPr>
                <w:rFonts w:eastAsia="Times New Roman" w:cstheme="minorHAnsi"/>
                <w:lang w:val="hr-HR" w:eastAsia="hr-HR"/>
              </w:rPr>
            </w:pPr>
            <w:r w:rsidRPr="00E6167F">
              <w:rPr>
                <w:rFonts w:eastAsia="Times New Roman" w:cstheme="minorHAnsi"/>
                <w:lang w:eastAsia="hr-HR"/>
              </w:rPr>
              <w:t>Diseases of the eye and its appendages</w:t>
            </w:r>
          </w:p>
        </w:tc>
        <w:tc>
          <w:tcPr>
            <w:tcW w:w="960" w:type="dxa"/>
            <w:shd w:val="clear" w:color="auto" w:fill="auto"/>
            <w:noWrap/>
            <w:vAlign w:val="center"/>
            <w:hideMark/>
          </w:tcPr>
          <w:p w14:paraId="3B05CFD2" w14:textId="77777777" w:rsidR="0077067A" w:rsidRPr="00E6167F" w:rsidRDefault="0077067A" w:rsidP="00E63245">
            <w:pPr>
              <w:spacing w:after="0" w:line="240" w:lineRule="auto"/>
              <w:jc w:val="right"/>
              <w:rPr>
                <w:rFonts w:eastAsia="Times New Roman" w:cstheme="minorHAnsi"/>
                <w:color w:val="000000"/>
                <w:lang w:val="hr-HR" w:eastAsia="hr-HR"/>
              </w:rPr>
            </w:pPr>
            <w:r w:rsidRPr="00E6167F">
              <w:rPr>
                <w:rFonts w:eastAsia="Times New Roman" w:cstheme="minorHAnsi"/>
                <w:color w:val="000000"/>
                <w:lang w:val="hr-HR" w:eastAsia="hr-HR"/>
              </w:rPr>
              <w:t>121.278</w:t>
            </w:r>
          </w:p>
        </w:tc>
        <w:tc>
          <w:tcPr>
            <w:tcW w:w="960" w:type="dxa"/>
            <w:shd w:val="clear" w:color="auto" w:fill="auto"/>
            <w:noWrap/>
            <w:vAlign w:val="center"/>
            <w:hideMark/>
          </w:tcPr>
          <w:p w14:paraId="69027B89" w14:textId="77777777" w:rsidR="0077067A" w:rsidRPr="00E6167F" w:rsidRDefault="0077067A" w:rsidP="00E63245">
            <w:pPr>
              <w:spacing w:after="0" w:line="240" w:lineRule="auto"/>
              <w:jc w:val="right"/>
              <w:rPr>
                <w:rFonts w:eastAsia="Times New Roman" w:cstheme="minorHAnsi"/>
                <w:color w:val="000000"/>
                <w:lang w:val="hr-HR" w:eastAsia="hr-HR"/>
              </w:rPr>
            </w:pPr>
            <w:r w:rsidRPr="00E6167F">
              <w:rPr>
                <w:rFonts w:eastAsia="Times New Roman" w:cstheme="minorHAnsi"/>
                <w:color w:val="000000"/>
                <w:lang w:val="hr-HR" w:eastAsia="hr-HR"/>
              </w:rPr>
              <w:t>5,8</w:t>
            </w:r>
          </w:p>
        </w:tc>
      </w:tr>
      <w:tr w:rsidR="0077067A" w:rsidRPr="00E6167F" w14:paraId="18C1FC9C" w14:textId="77777777" w:rsidTr="00E63245">
        <w:trPr>
          <w:trHeight w:val="300"/>
          <w:jc w:val="center"/>
        </w:trPr>
        <w:tc>
          <w:tcPr>
            <w:tcW w:w="4340" w:type="dxa"/>
            <w:shd w:val="clear" w:color="auto" w:fill="auto"/>
            <w:noWrap/>
            <w:vAlign w:val="center"/>
            <w:hideMark/>
          </w:tcPr>
          <w:p w14:paraId="7A827EC7" w14:textId="77777777" w:rsidR="0077067A" w:rsidRPr="00E6167F" w:rsidRDefault="0077067A" w:rsidP="00363D34">
            <w:pPr>
              <w:spacing w:after="0" w:line="240" w:lineRule="auto"/>
              <w:jc w:val="both"/>
              <w:rPr>
                <w:rFonts w:eastAsia="Times New Roman" w:cstheme="minorHAnsi"/>
                <w:lang w:val="hr-HR" w:eastAsia="hr-HR"/>
              </w:rPr>
            </w:pPr>
            <w:r w:rsidRPr="00E6167F">
              <w:rPr>
                <w:rFonts w:eastAsia="Times New Roman" w:cstheme="minorHAnsi"/>
                <w:lang w:eastAsia="hr-HR"/>
              </w:rPr>
              <w:t>Diseases of the endocrine system</w:t>
            </w:r>
          </w:p>
        </w:tc>
        <w:tc>
          <w:tcPr>
            <w:tcW w:w="960" w:type="dxa"/>
            <w:shd w:val="clear" w:color="auto" w:fill="auto"/>
            <w:noWrap/>
            <w:vAlign w:val="center"/>
            <w:hideMark/>
          </w:tcPr>
          <w:p w14:paraId="7B46834A" w14:textId="77777777" w:rsidR="0077067A" w:rsidRPr="00E6167F" w:rsidRDefault="0077067A" w:rsidP="00E63245">
            <w:pPr>
              <w:spacing w:after="0" w:line="240" w:lineRule="auto"/>
              <w:jc w:val="right"/>
              <w:rPr>
                <w:rFonts w:eastAsia="Times New Roman" w:cstheme="minorHAnsi"/>
                <w:color w:val="000000"/>
                <w:lang w:val="hr-HR" w:eastAsia="hr-HR"/>
              </w:rPr>
            </w:pPr>
            <w:r w:rsidRPr="00E6167F">
              <w:rPr>
                <w:rFonts w:eastAsia="Times New Roman" w:cstheme="minorHAnsi"/>
                <w:color w:val="000000"/>
                <w:lang w:val="hr-HR" w:eastAsia="hr-HR"/>
              </w:rPr>
              <w:t>116.179</w:t>
            </w:r>
          </w:p>
        </w:tc>
        <w:tc>
          <w:tcPr>
            <w:tcW w:w="960" w:type="dxa"/>
            <w:shd w:val="clear" w:color="auto" w:fill="auto"/>
            <w:noWrap/>
            <w:vAlign w:val="center"/>
            <w:hideMark/>
          </w:tcPr>
          <w:p w14:paraId="5B279668" w14:textId="77777777" w:rsidR="0077067A" w:rsidRPr="00E6167F" w:rsidRDefault="0077067A" w:rsidP="00E63245">
            <w:pPr>
              <w:spacing w:after="0" w:line="240" w:lineRule="auto"/>
              <w:jc w:val="right"/>
              <w:rPr>
                <w:rFonts w:eastAsia="Times New Roman" w:cstheme="minorHAnsi"/>
                <w:color w:val="000000"/>
                <w:lang w:val="hr-HR" w:eastAsia="hr-HR"/>
              </w:rPr>
            </w:pPr>
            <w:r w:rsidRPr="00E6167F">
              <w:rPr>
                <w:rFonts w:eastAsia="Times New Roman" w:cstheme="minorHAnsi"/>
                <w:color w:val="000000"/>
                <w:lang w:val="hr-HR" w:eastAsia="hr-HR"/>
              </w:rPr>
              <w:t>5,5</w:t>
            </w:r>
          </w:p>
        </w:tc>
      </w:tr>
      <w:tr w:rsidR="0077067A" w:rsidRPr="00E6167F" w14:paraId="764A884D" w14:textId="77777777" w:rsidTr="00E63245">
        <w:trPr>
          <w:trHeight w:val="300"/>
          <w:jc w:val="center"/>
        </w:trPr>
        <w:tc>
          <w:tcPr>
            <w:tcW w:w="4340" w:type="dxa"/>
            <w:shd w:val="clear" w:color="auto" w:fill="auto"/>
            <w:noWrap/>
            <w:vAlign w:val="center"/>
            <w:hideMark/>
          </w:tcPr>
          <w:p w14:paraId="6504A491" w14:textId="77777777" w:rsidR="0077067A" w:rsidRPr="00E6167F" w:rsidRDefault="0077067A" w:rsidP="00363D34">
            <w:pPr>
              <w:spacing w:after="0" w:line="240" w:lineRule="auto"/>
              <w:jc w:val="both"/>
              <w:rPr>
                <w:rFonts w:eastAsia="Times New Roman" w:cstheme="minorHAnsi"/>
                <w:lang w:val="hr-HR" w:eastAsia="hr-HR"/>
              </w:rPr>
            </w:pPr>
            <w:r w:rsidRPr="00E6167F">
              <w:rPr>
                <w:rFonts w:eastAsia="Times New Roman" w:cstheme="minorHAnsi"/>
                <w:lang w:eastAsia="hr-HR"/>
              </w:rPr>
              <w:t>Diseases of the blood</w:t>
            </w:r>
          </w:p>
        </w:tc>
        <w:tc>
          <w:tcPr>
            <w:tcW w:w="960" w:type="dxa"/>
            <w:shd w:val="clear" w:color="auto" w:fill="auto"/>
            <w:noWrap/>
            <w:vAlign w:val="center"/>
            <w:hideMark/>
          </w:tcPr>
          <w:p w14:paraId="7E2A3BD8" w14:textId="77777777" w:rsidR="0077067A" w:rsidRPr="00E6167F" w:rsidRDefault="0077067A" w:rsidP="00E63245">
            <w:pPr>
              <w:spacing w:after="0" w:line="240" w:lineRule="auto"/>
              <w:jc w:val="right"/>
              <w:rPr>
                <w:rFonts w:eastAsia="Times New Roman" w:cstheme="minorHAnsi"/>
                <w:color w:val="000000"/>
                <w:lang w:val="hr-HR" w:eastAsia="hr-HR"/>
              </w:rPr>
            </w:pPr>
            <w:r w:rsidRPr="00E6167F">
              <w:rPr>
                <w:rFonts w:eastAsia="Times New Roman" w:cstheme="minorHAnsi"/>
                <w:color w:val="000000"/>
                <w:lang w:val="hr-HR" w:eastAsia="hr-HR"/>
              </w:rPr>
              <w:t>88.308</w:t>
            </w:r>
          </w:p>
        </w:tc>
        <w:tc>
          <w:tcPr>
            <w:tcW w:w="960" w:type="dxa"/>
            <w:shd w:val="clear" w:color="auto" w:fill="auto"/>
            <w:noWrap/>
            <w:vAlign w:val="center"/>
            <w:hideMark/>
          </w:tcPr>
          <w:p w14:paraId="3546C043" w14:textId="77777777" w:rsidR="0077067A" w:rsidRPr="00E6167F" w:rsidRDefault="0077067A" w:rsidP="00E63245">
            <w:pPr>
              <w:spacing w:after="0" w:line="240" w:lineRule="auto"/>
              <w:jc w:val="right"/>
              <w:rPr>
                <w:rFonts w:eastAsia="Times New Roman" w:cstheme="minorHAnsi"/>
                <w:color w:val="000000"/>
                <w:lang w:val="hr-HR" w:eastAsia="hr-HR"/>
              </w:rPr>
            </w:pPr>
            <w:r w:rsidRPr="00E6167F">
              <w:rPr>
                <w:rFonts w:eastAsia="Times New Roman" w:cstheme="minorHAnsi"/>
                <w:color w:val="000000"/>
                <w:lang w:val="hr-HR" w:eastAsia="hr-HR"/>
              </w:rPr>
              <w:t>4,2</w:t>
            </w:r>
          </w:p>
        </w:tc>
      </w:tr>
      <w:tr w:rsidR="0077067A" w:rsidRPr="00E6167F" w14:paraId="62E6B8EA" w14:textId="77777777" w:rsidTr="00E63245">
        <w:trPr>
          <w:trHeight w:val="300"/>
          <w:jc w:val="center"/>
        </w:trPr>
        <w:tc>
          <w:tcPr>
            <w:tcW w:w="4340" w:type="dxa"/>
            <w:shd w:val="clear" w:color="auto" w:fill="auto"/>
            <w:noWrap/>
            <w:vAlign w:val="center"/>
            <w:hideMark/>
          </w:tcPr>
          <w:p w14:paraId="245BFA7E" w14:textId="77777777" w:rsidR="0077067A" w:rsidRPr="00E6167F" w:rsidRDefault="0077067A" w:rsidP="00363D34">
            <w:pPr>
              <w:spacing w:after="0" w:line="240" w:lineRule="auto"/>
              <w:jc w:val="both"/>
              <w:rPr>
                <w:rFonts w:eastAsia="Times New Roman" w:cstheme="minorHAnsi"/>
                <w:lang w:val="hr-HR" w:eastAsia="hr-HR"/>
              </w:rPr>
            </w:pPr>
            <w:r w:rsidRPr="00E6167F">
              <w:rPr>
                <w:rFonts w:eastAsia="Times New Roman" w:cstheme="minorHAnsi"/>
                <w:lang w:eastAsia="hr-HR"/>
              </w:rPr>
              <w:t>Diseases of the musculoskeletal system</w:t>
            </w:r>
          </w:p>
        </w:tc>
        <w:tc>
          <w:tcPr>
            <w:tcW w:w="960" w:type="dxa"/>
            <w:shd w:val="clear" w:color="auto" w:fill="auto"/>
            <w:noWrap/>
            <w:vAlign w:val="center"/>
            <w:hideMark/>
          </w:tcPr>
          <w:p w14:paraId="77A58BD0" w14:textId="77777777" w:rsidR="0077067A" w:rsidRPr="00E6167F" w:rsidRDefault="0077067A" w:rsidP="00E63245">
            <w:pPr>
              <w:spacing w:after="0" w:line="240" w:lineRule="auto"/>
              <w:jc w:val="right"/>
              <w:rPr>
                <w:rFonts w:eastAsia="Times New Roman" w:cstheme="minorHAnsi"/>
                <w:color w:val="000000"/>
                <w:lang w:val="hr-HR" w:eastAsia="hr-HR"/>
              </w:rPr>
            </w:pPr>
            <w:r w:rsidRPr="00E6167F">
              <w:rPr>
                <w:rFonts w:eastAsia="Times New Roman" w:cstheme="minorHAnsi"/>
                <w:color w:val="000000"/>
                <w:lang w:val="hr-HR" w:eastAsia="hr-HR"/>
              </w:rPr>
              <w:t>87.077</w:t>
            </w:r>
          </w:p>
        </w:tc>
        <w:tc>
          <w:tcPr>
            <w:tcW w:w="960" w:type="dxa"/>
            <w:shd w:val="clear" w:color="auto" w:fill="auto"/>
            <w:noWrap/>
            <w:vAlign w:val="center"/>
            <w:hideMark/>
          </w:tcPr>
          <w:p w14:paraId="24F194D0" w14:textId="77777777" w:rsidR="0077067A" w:rsidRPr="00E6167F" w:rsidRDefault="0077067A" w:rsidP="00E63245">
            <w:pPr>
              <w:spacing w:after="0" w:line="240" w:lineRule="auto"/>
              <w:jc w:val="right"/>
              <w:rPr>
                <w:rFonts w:eastAsia="Times New Roman" w:cstheme="minorHAnsi"/>
                <w:color w:val="000000"/>
                <w:lang w:val="hr-HR" w:eastAsia="hr-HR"/>
              </w:rPr>
            </w:pPr>
            <w:r w:rsidRPr="00E6167F">
              <w:rPr>
                <w:rFonts w:eastAsia="Times New Roman" w:cstheme="minorHAnsi"/>
                <w:color w:val="000000"/>
                <w:lang w:val="hr-HR" w:eastAsia="hr-HR"/>
              </w:rPr>
              <w:t>4,2</w:t>
            </w:r>
          </w:p>
        </w:tc>
      </w:tr>
      <w:tr w:rsidR="0077067A" w:rsidRPr="00E6167F" w14:paraId="0FEE179D" w14:textId="77777777" w:rsidTr="00E63245">
        <w:trPr>
          <w:trHeight w:val="300"/>
          <w:jc w:val="center"/>
        </w:trPr>
        <w:tc>
          <w:tcPr>
            <w:tcW w:w="4340" w:type="dxa"/>
            <w:shd w:val="clear" w:color="auto" w:fill="auto"/>
            <w:noWrap/>
            <w:vAlign w:val="center"/>
            <w:hideMark/>
          </w:tcPr>
          <w:p w14:paraId="4850E28B" w14:textId="77777777" w:rsidR="0077067A" w:rsidRPr="00E6167F" w:rsidRDefault="0077067A" w:rsidP="00363D34">
            <w:pPr>
              <w:spacing w:after="0" w:line="240" w:lineRule="auto"/>
              <w:jc w:val="both"/>
              <w:rPr>
                <w:rFonts w:eastAsia="Times New Roman" w:cstheme="minorHAnsi"/>
                <w:lang w:val="hr-HR" w:eastAsia="hr-HR"/>
              </w:rPr>
            </w:pPr>
            <w:r w:rsidRPr="00E6167F">
              <w:rPr>
                <w:rFonts w:eastAsia="Times New Roman" w:cstheme="minorHAnsi"/>
                <w:lang w:eastAsia="hr-HR"/>
              </w:rPr>
              <w:t>Injuries and poisonings</w:t>
            </w:r>
          </w:p>
        </w:tc>
        <w:tc>
          <w:tcPr>
            <w:tcW w:w="960" w:type="dxa"/>
            <w:shd w:val="clear" w:color="auto" w:fill="auto"/>
            <w:noWrap/>
            <w:vAlign w:val="center"/>
            <w:hideMark/>
          </w:tcPr>
          <w:p w14:paraId="620FB9CC" w14:textId="77777777" w:rsidR="0077067A" w:rsidRPr="00E6167F" w:rsidRDefault="0077067A" w:rsidP="00E63245">
            <w:pPr>
              <w:spacing w:after="0" w:line="240" w:lineRule="auto"/>
              <w:jc w:val="right"/>
              <w:rPr>
                <w:rFonts w:eastAsia="Times New Roman" w:cstheme="minorHAnsi"/>
                <w:color w:val="000000"/>
                <w:lang w:val="hr-HR" w:eastAsia="hr-HR"/>
              </w:rPr>
            </w:pPr>
            <w:r w:rsidRPr="00E6167F">
              <w:rPr>
                <w:rFonts w:eastAsia="Times New Roman" w:cstheme="minorHAnsi"/>
                <w:color w:val="000000"/>
                <w:lang w:val="hr-HR" w:eastAsia="hr-HR"/>
              </w:rPr>
              <w:t>86.467</w:t>
            </w:r>
          </w:p>
        </w:tc>
        <w:tc>
          <w:tcPr>
            <w:tcW w:w="960" w:type="dxa"/>
            <w:shd w:val="clear" w:color="auto" w:fill="auto"/>
            <w:noWrap/>
            <w:vAlign w:val="center"/>
            <w:hideMark/>
          </w:tcPr>
          <w:p w14:paraId="1057B602" w14:textId="77777777" w:rsidR="0077067A" w:rsidRPr="00E6167F" w:rsidRDefault="0077067A" w:rsidP="00E63245">
            <w:pPr>
              <w:spacing w:after="0" w:line="240" w:lineRule="auto"/>
              <w:jc w:val="right"/>
              <w:rPr>
                <w:rFonts w:eastAsia="Times New Roman" w:cstheme="minorHAnsi"/>
                <w:color w:val="000000"/>
                <w:lang w:val="hr-HR" w:eastAsia="hr-HR"/>
              </w:rPr>
            </w:pPr>
            <w:r w:rsidRPr="00E6167F">
              <w:rPr>
                <w:rFonts w:eastAsia="Times New Roman" w:cstheme="minorHAnsi"/>
                <w:color w:val="000000"/>
                <w:lang w:val="hr-HR" w:eastAsia="hr-HR"/>
              </w:rPr>
              <w:t>4,1</w:t>
            </w:r>
          </w:p>
        </w:tc>
      </w:tr>
      <w:tr w:rsidR="0077067A" w:rsidRPr="00E6167F" w14:paraId="6917DAAD" w14:textId="77777777" w:rsidTr="00E63245">
        <w:trPr>
          <w:trHeight w:val="300"/>
          <w:jc w:val="center"/>
        </w:trPr>
        <w:tc>
          <w:tcPr>
            <w:tcW w:w="4340" w:type="dxa"/>
            <w:shd w:val="clear" w:color="auto" w:fill="auto"/>
            <w:noWrap/>
            <w:vAlign w:val="center"/>
            <w:hideMark/>
          </w:tcPr>
          <w:p w14:paraId="3C0C8DF2" w14:textId="77777777" w:rsidR="0077067A" w:rsidRPr="00E6167F" w:rsidRDefault="0077067A" w:rsidP="00363D34">
            <w:pPr>
              <w:spacing w:after="0" w:line="240" w:lineRule="auto"/>
              <w:jc w:val="both"/>
              <w:rPr>
                <w:rFonts w:eastAsia="Times New Roman" w:cstheme="minorHAnsi"/>
                <w:lang w:val="hr-HR" w:eastAsia="hr-HR"/>
              </w:rPr>
            </w:pPr>
            <w:r w:rsidRPr="00E6167F">
              <w:rPr>
                <w:rFonts w:eastAsia="Times New Roman" w:cstheme="minorHAnsi"/>
                <w:lang w:eastAsia="hr-HR"/>
              </w:rPr>
              <w:t>Diseases of the skin and subcutaneous tissue</w:t>
            </w:r>
          </w:p>
        </w:tc>
        <w:tc>
          <w:tcPr>
            <w:tcW w:w="960" w:type="dxa"/>
            <w:shd w:val="clear" w:color="auto" w:fill="auto"/>
            <w:noWrap/>
            <w:vAlign w:val="center"/>
            <w:hideMark/>
          </w:tcPr>
          <w:p w14:paraId="48AE4153" w14:textId="77777777" w:rsidR="0077067A" w:rsidRPr="00E6167F" w:rsidRDefault="0077067A" w:rsidP="00E63245">
            <w:pPr>
              <w:spacing w:after="0" w:line="240" w:lineRule="auto"/>
              <w:jc w:val="right"/>
              <w:rPr>
                <w:rFonts w:eastAsia="Times New Roman" w:cstheme="minorHAnsi"/>
                <w:color w:val="000000"/>
                <w:lang w:val="hr-HR" w:eastAsia="hr-HR"/>
              </w:rPr>
            </w:pPr>
            <w:r w:rsidRPr="00E6167F">
              <w:rPr>
                <w:rFonts w:eastAsia="Times New Roman" w:cstheme="minorHAnsi"/>
                <w:color w:val="000000"/>
                <w:lang w:val="hr-HR" w:eastAsia="hr-HR"/>
              </w:rPr>
              <w:t>77.593</w:t>
            </w:r>
          </w:p>
        </w:tc>
        <w:tc>
          <w:tcPr>
            <w:tcW w:w="960" w:type="dxa"/>
            <w:shd w:val="clear" w:color="auto" w:fill="auto"/>
            <w:noWrap/>
            <w:vAlign w:val="center"/>
            <w:hideMark/>
          </w:tcPr>
          <w:p w14:paraId="600CE0C5" w14:textId="77777777" w:rsidR="0077067A" w:rsidRPr="00E6167F" w:rsidRDefault="0077067A" w:rsidP="00E63245">
            <w:pPr>
              <w:spacing w:after="0" w:line="240" w:lineRule="auto"/>
              <w:jc w:val="right"/>
              <w:rPr>
                <w:rFonts w:eastAsia="Times New Roman" w:cstheme="minorHAnsi"/>
                <w:color w:val="000000"/>
                <w:lang w:val="hr-HR" w:eastAsia="hr-HR"/>
              </w:rPr>
            </w:pPr>
            <w:r w:rsidRPr="00E6167F">
              <w:rPr>
                <w:rFonts w:eastAsia="Times New Roman" w:cstheme="minorHAnsi"/>
                <w:color w:val="000000"/>
                <w:lang w:val="hr-HR" w:eastAsia="hr-HR"/>
              </w:rPr>
              <w:t>3,7</w:t>
            </w:r>
          </w:p>
        </w:tc>
      </w:tr>
      <w:tr w:rsidR="0077067A" w:rsidRPr="00E6167F" w14:paraId="486CA4EB" w14:textId="77777777" w:rsidTr="00E63245">
        <w:trPr>
          <w:trHeight w:val="300"/>
          <w:jc w:val="center"/>
        </w:trPr>
        <w:tc>
          <w:tcPr>
            <w:tcW w:w="4340" w:type="dxa"/>
            <w:shd w:val="clear" w:color="auto" w:fill="auto"/>
            <w:noWrap/>
            <w:vAlign w:val="center"/>
            <w:hideMark/>
          </w:tcPr>
          <w:p w14:paraId="532D1B61" w14:textId="77777777" w:rsidR="0077067A" w:rsidRPr="00E6167F" w:rsidRDefault="0077067A" w:rsidP="00363D34">
            <w:pPr>
              <w:spacing w:after="0" w:line="240" w:lineRule="auto"/>
              <w:jc w:val="both"/>
              <w:rPr>
                <w:rFonts w:eastAsia="Times New Roman" w:cstheme="minorHAnsi"/>
                <w:lang w:val="hr-HR" w:eastAsia="hr-HR"/>
              </w:rPr>
            </w:pPr>
            <w:r w:rsidRPr="00E6167F">
              <w:rPr>
                <w:rFonts w:eastAsia="Times New Roman" w:cstheme="minorHAnsi"/>
                <w:lang w:eastAsia="hr-HR"/>
              </w:rPr>
              <w:t>Diseases of the ear and mastoid process</w:t>
            </w:r>
          </w:p>
        </w:tc>
        <w:tc>
          <w:tcPr>
            <w:tcW w:w="960" w:type="dxa"/>
            <w:shd w:val="clear" w:color="auto" w:fill="auto"/>
            <w:noWrap/>
            <w:vAlign w:val="center"/>
            <w:hideMark/>
          </w:tcPr>
          <w:p w14:paraId="04802DBC" w14:textId="77777777" w:rsidR="0077067A" w:rsidRPr="00E6167F" w:rsidRDefault="0077067A" w:rsidP="00E63245">
            <w:pPr>
              <w:spacing w:after="0" w:line="240" w:lineRule="auto"/>
              <w:jc w:val="right"/>
              <w:rPr>
                <w:rFonts w:eastAsia="Times New Roman" w:cstheme="minorHAnsi"/>
                <w:color w:val="000000"/>
                <w:lang w:val="hr-HR" w:eastAsia="hr-HR"/>
              </w:rPr>
            </w:pPr>
            <w:r w:rsidRPr="00E6167F">
              <w:rPr>
                <w:rFonts w:eastAsia="Times New Roman" w:cstheme="minorHAnsi"/>
                <w:color w:val="000000"/>
                <w:lang w:val="hr-HR" w:eastAsia="hr-HR"/>
              </w:rPr>
              <w:t>73.818</w:t>
            </w:r>
          </w:p>
        </w:tc>
        <w:tc>
          <w:tcPr>
            <w:tcW w:w="960" w:type="dxa"/>
            <w:shd w:val="clear" w:color="auto" w:fill="auto"/>
            <w:noWrap/>
            <w:vAlign w:val="center"/>
            <w:hideMark/>
          </w:tcPr>
          <w:p w14:paraId="44674270" w14:textId="77777777" w:rsidR="0077067A" w:rsidRPr="00E6167F" w:rsidRDefault="0077067A" w:rsidP="00E63245">
            <w:pPr>
              <w:spacing w:after="0" w:line="240" w:lineRule="auto"/>
              <w:jc w:val="right"/>
              <w:rPr>
                <w:rFonts w:eastAsia="Times New Roman" w:cstheme="minorHAnsi"/>
                <w:color w:val="000000"/>
                <w:lang w:val="hr-HR" w:eastAsia="hr-HR"/>
              </w:rPr>
            </w:pPr>
            <w:r w:rsidRPr="00E6167F">
              <w:rPr>
                <w:rFonts w:eastAsia="Times New Roman" w:cstheme="minorHAnsi"/>
                <w:color w:val="000000"/>
                <w:lang w:val="hr-HR" w:eastAsia="hr-HR"/>
              </w:rPr>
              <w:t>3,5</w:t>
            </w:r>
          </w:p>
        </w:tc>
      </w:tr>
      <w:tr w:rsidR="0077067A" w:rsidRPr="00E6167F" w14:paraId="56B8A33D" w14:textId="77777777" w:rsidTr="00E63245">
        <w:trPr>
          <w:trHeight w:val="300"/>
          <w:jc w:val="center"/>
        </w:trPr>
        <w:tc>
          <w:tcPr>
            <w:tcW w:w="4340" w:type="dxa"/>
            <w:shd w:val="clear" w:color="auto" w:fill="auto"/>
            <w:noWrap/>
            <w:vAlign w:val="center"/>
            <w:hideMark/>
          </w:tcPr>
          <w:p w14:paraId="0AFFAA3C" w14:textId="77777777" w:rsidR="0077067A" w:rsidRPr="00E6167F" w:rsidRDefault="0077067A" w:rsidP="00363D34">
            <w:pPr>
              <w:spacing w:after="0" w:line="240" w:lineRule="auto"/>
              <w:jc w:val="both"/>
              <w:rPr>
                <w:rFonts w:eastAsia="Times New Roman" w:cstheme="minorHAnsi"/>
                <w:lang w:val="hr-HR" w:eastAsia="hr-HR"/>
              </w:rPr>
            </w:pPr>
            <w:r w:rsidRPr="00E6167F">
              <w:rPr>
                <w:rFonts w:eastAsia="Times New Roman" w:cstheme="minorHAnsi"/>
                <w:lang w:eastAsia="hr-HR"/>
              </w:rPr>
              <w:t>Pregnancy, childbirth, and the puerperium</w:t>
            </w:r>
          </w:p>
        </w:tc>
        <w:tc>
          <w:tcPr>
            <w:tcW w:w="960" w:type="dxa"/>
            <w:shd w:val="clear" w:color="auto" w:fill="auto"/>
            <w:noWrap/>
            <w:vAlign w:val="center"/>
            <w:hideMark/>
          </w:tcPr>
          <w:p w14:paraId="0D3271A1" w14:textId="77777777" w:rsidR="0077067A" w:rsidRPr="00E6167F" w:rsidRDefault="0077067A" w:rsidP="00E63245">
            <w:pPr>
              <w:spacing w:after="0" w:line="240" w:lineRule="auto"/>
              <w:jc w:val="right"/>
              <w:rPr>
                <w:rFonts w:eastAsia="Times New Roman" w:cstheme="minorHAnsi"/>
                <w:color w:val="000000"/>
                <w:lang w:val="hr-HR" w:eastAsia="hr-HR"/>
              </w:rPr>
            </w:pPr>
            <w:r w:rsidRPr="00E6167F">
              <w:rPr>
                <w:rFonts w:eastAsia="Times New Roman" w:cstheme="minorHAnsi"/>
                <w:color w:val="000000"/>
                <w:lang w:val="hr-HR" w:eastAsia="hr-HR"/>
              </w:rPr>
              <w:t>72.115</w:t>
            </w:r>
          </w:p>
        </w:tc>
        <w:tc>
          <w:tcPr>
            <w:tcW w:w="960" w:type="dxa"/>
            <w:shd w:val="clear" w:color="auto" w:fill="auto"/>
            <w:noWrap/>
            <w:vAlign w:val="center"/>
            <w:hideMark/>
          </w:tcPr>
          <w:p w14:paraId="633DD8F2" w14:textId="77777777" w:rsidR="0077067A" w:rsidRPr="00E6167F" w:rsidRDefault="0077067A" w:rsidP="00E63245">
            <w:pPr>
              <w:spacing w:after="0" w:line="240" w:lineRule="auto"/>
              <w:jc w:val="right"/>
              <w:rPr>
                <w:rFonts w:eastAsia="Times New Roman" w:cstheme="minorHAnsi"/>
                <w:color w:val="000000"/>
                <w:lang w:val="hr-HR" w:eastAsia="hr-HR"/>
              </w:rPr>
            </w:pPr>
            <w:r w:rsidRPr="00E6167F">
              <w:rPr>
                <w:rFonts w:eastAsia="Times New Roman" w:cstheme="minorHAnsi"/>
                <w:color w:val="000000"/>
                <w:lang w:val="hr-HR" w:eastAsia="hr-HR"/>
              </w:rPr>
              <w:t>3,4</w:t>
            </w:r>
          </w:p>
        </w:tc>
      </w:tr>
      <w:tr w:rsidR="0077067A" w:rsidRPr="00E6167F" w14:paraId="0AFEA6B0" w14:textId="77777777" w:rsidTr="00E63245">
        <w:trPr>
          <w:trHeight w:val="300"/>
          <w:jc w:val="center"/>
        </w:trPr>
        <w:tc>
          <w:tcPr>
            <w:tcW w:w="4340" w:type="dxa"/>
            <w:shd w:val="clear" w:color="auto" w:fill="auto"/>
            <w:noWrap/>
            <w:vAlign w:val="center"/>
            <w:hideMark/>
          </w:tcPr>
          <w:p w14:paraId="045B4783" w14:textId="77777777" w:rsidR="0077067A" w:rsidRPr="00E6167F" w:rsidRDefault="0077067A" w:rsidP="00363D34">
            <w:pPr>
              <w:spacing w:after="0" w:line="240" w:lineRule="auto"/>
              <w:jc w:val="both"/>
              <w:rPr>
                <w:rFonts w:eastAsia="Times New Roman" w:cstheme="minorHAnsi"/>
                <w:lang w:val="hr-HR" w:eastAsia="hr-HR"/>
              </w:rPr>
            </w:pPr>
            <w:r w:rsidRPr="00E6167F">
              <w:rPr>
                <w:rFonts w:eastAsia="Times New Roman" w:cstheme="minorHAnsi"/>
                <w:lang w:eastAsia="hr-HR"/>
              </w:rPr>
              <w:t>Mental disorders</w:t>
            </w:r>
          </w:p>
        </w:tc>
        <w:tc>
          <w:tcPr>
            <w:tcW w:w="960" w:type="dxa"/>
            <w:shd w:val="clear" w:color="auto" w:fill="auto"/>
            <w:noWrap/>
            <w:vAlign w:val="center"/>
            <w:hideMark/>
          </w:tcPr>
          <w:p w14:paraId="3CD312BB" w14:textId="77777777" w:rsidR="0077067A" w:rsidRPr="00E6167F" w:rsidRDefault="0077067A" w:rsidP="00E63245">
            <w:pPr>
              <w:spacing w:after="0" w:line="240" w:lineRule="auto"/>
              <w:jc w:val="right"/>
              <w:rPr>
                <w:rFonts w:eastAsia="Times New Roman" w:cstheme="minorHAnsi"/>
                <w:color w:val="000000"/>
                <w:lang w:val="hr-HR" w:eastAsia="hr-HR"/>
              </w:rPr>
            </w:pPr>
            <w:r w:rsidRPr="00E6167F">
              <w:rPr>
                <w:rFonts w:eastAsia="Times New Roman" w:cstheme="minorHAnsi"/>
                <w:color w:val="000000"/>
                <w:lang w:val="hr-HR" w:eastAsia="hr-HR"/>
              </w:rPr>
              <w:t>61.676</w:t>
            </w:r>
          </w:p>
        </w:tc>
        <w:tc>
          <w:tcPr>
            <w:tcW w:w="960" w:type="dxa"/>
            <w:shd w:val="clear" w:color="auto" w:fill="auto"/>
            <w:noWrap/>
            <w:vAlign w:val="center"/>
            <w:hideMark/>
          </w:tcPr>
          <w:p w14:paraId="088254DF" w14:textId="77777777" w:rsidR="0077067A" w:rsidRPr="00E6167F" w:rsidRDefault="0077067A" w:rsidP="00E63245">
            <w:pPr>
              <w:spacing w:after="0" w:line="240" w:lineRule="auto"/>
              <w:jc w:val="right"/>
              <w:rPr>
                <w:rFonts w:eastAsia="Times New Roman" w:cstheme="minorHAnsi"/>
                <w:color w:val="000000"/>
                <w:lang w:val="hr-HR" w:eastAsia="hr-HR"/>
              </w:rPr>
            </w:pPr>
            <w:r w:rsidRPr="00E6167F">
              <w:rPr>
                <w:rFonts w:eastAsia="Times New Roman" w:cstheme="minorHAnsi"/>
                <w:color w:val="000000"/>
                <w:lang w:val="hr-HR" w:eastAsia="hr-HR"/>
              </w:rPr>
              <w:t>2,9</w:t>
            </w:r>
          </w:p>
        </w:tc>
      </w:tr>
      <w:tr w:rsidR="0077067A" w:rsidRPr="00E6167F" w14:paraId="46E65E6A" w14:textId="77777777" w:rsidTr="00E63245">
        <w:trPr>
          <w:trHeight w:val="300"/>
          <w:jc w:val="center"/>
        </w:trPr>
        <w:tc>
          <w:tcPr>
            <w:tcW w:w="4340" w:type="dxa"/>
            <w:shd w:val="clear" w:color="auto" w:fill="auto"/>
            <w:noWrap/>
            <w:vAlign w:val="center"/>
            <w:hideMark/>
          </w:tcPr>
          <w:p w14:paraId="664D5FD6" w14:textId="77777777" w:rsidR="0077067A" w:rsidRPr="00E6167F" w:rsidRDefault="0077067A" w:rsidP="00363D34">
            <w:pPr>
              <w:spacing w:after="0" w:line="240" w:lineRule="auto"/>
              <w:jc w:val="both"/>
              <w:rPr>
                <w:rFonts w:eastAsia="Times New Roman" w:cstheme="minorHAnsi"/>
                <w:lang w:val="hr-HR" w:eastAsia="hr-HR"/>
              </w:rPr>
            </w:pPr>
            <w:r w:rsidRPr="00E6167F">
              <w:rPr>
                <w:rFonts w:eastAsia="Times New Roman" w:cstheme="minorHAnsi"/>
                <w:lang w:eastAsia="hr-HR"/>
              </w:rPr>
              <w:t>Some infectious and parasitic diseases</w:t>
            </w:r>
          </w:p>
        </w:tc>
        <w:tc>
          <w:tcPr>
            <w:tcW w:w="960" w:type="dxa"/>
            <w:shd w:val="clear" w:color="auto" w:fill="auto"/>
            <w:noWrap/>
            <w:vAlign w:val="center"/>
            <w:hideMark/>
          </w:tcPr>
          <w:p w14:paraId="416293E5" w14:textId="77777777" w:rsidR="0077067A" w:rsidRPr="00E6167F" w:rsidRDefault="0077067A" w:rsidP="00E63245">
            <w:pPr>
              <w:spacing w:after="0" w:line="240" w:lineRule="auto"/>
              <w:jc w:val="right"/>
              <w:rPr>
                <w:rFonts w:eastAsia="Times New Roman" w:cstheme="minorHAnsi"/>
                <w:color w:val="000000"/>
                <w:lang w:val="hr-HR" w:eastAsia="hr-HR"/>
              </w:rPr>
            </w:pPr>
            <w:r w:rsidRPr="00E6167F">
              <w:rPr>
                <w:rFonts w:eastAsia="Times New Roman" w:cstheme="minorHAnsi"/>
                <w:color w:val="000000"/>
                <w:lang w:val="hr-HR" w:eastAsia="hr-HR"/>
              </w:rPr>
              <w:t>56.524</w:t>
            </w:r>
          </w:p>
        </w:tc>
        <w:tc>
          <w:tcPr>
            <w:tcW w:w="960" w:type="dxa"/>
            <w:shd w:val="clear" w:color="auto" w:fill="auto"/>
            <w:noWrap/>
            <w:vAlign w:val="center"/>
            <w:hideMark/>
          </w:tcPr>
          <w:p w14:paraId="7DD09B65" w14:textId="77777777" w:rsidR="0077067A" w:rsidRPr="00E6167F" w:rsidRDefault="0077067A" w:rsidP="00E63245">
            <w:pPr>
              <w:spacing w:after="0" w:line="240" w:lineRule="auto"/>
              <w:jc w:val="right"/>
              <w:rPr>
                <w:rFonts w:eastAsia="Times New Roman" w:cstheme="minorHAnsi"/>
                <w:color w:val="000000"/>
                <w:lang w:val="hr-HR" w:eastAsia="hr-HR"/>
              </w:rPr>
            </w:pPr>
            <w:r w:rsidRPr="00E6167F">
              <w:rPr>
                <w:rFonts w:eastAsia="Times New Roman" w:cstheme="minorHAnsi"/>
                <w:color w:val="000000"/>
                <w:lang w:val="hr-HR" w:eastAsia="hr-HR"/>
              </w:rPr>
              <w:t>2,7</w:t>
            </w:r>
          </w:p>
        </w:tc>
      </w:tr>
      <w:tr w:rsidR="0077067A" w:rsidRPr="00E6167F" w14:paraId="295C01EC" w14:textId="77777777" w:rsidTr="00E63245">
        <w:trPr>
          <w:trHeight w:val="300"/>
          <w:jc w:val="center"/>
        </w:trPr>
        <w:tc>
          <w:tcPr>
            <w:tcW w:w="4340" w:type="dxa"/>
            <w:shd w:val="clear" w:color="auto" w:fill="auto"/>
            <w:noWrap/>
            <w:vAlign w:val="center"/>
            <w:hideMark/>
          </w:tcPr>
          <w:p w14:paraId="0EC0D191" w14:textId="77777777" w:rsidR="0077067A" w:rsidRPr="00E6167F" w:rsidRDefault="0077067A" w:rsidP="00363D34">
            <w:pPr>
              <w:spacing w:after="0" w:line="240" w:lineRule="auto"/>
              <w:jc w:val="both"/>
              <w:rPr>
                <w:rFonts w:eastAsia="Times New Roman" w:cstheme="minorHAnsi"/>
                <w:lang w:val="hr-HR" w:eastAsia="hr-HR"/>
              </w:rPr>
            </w:pPr>
            <w:r w:rsidRPr="00E6167F">
              <w:rPr>
                <w:rFonts w:eastAsia="Times New Roman" w:cstheme="minorHAnsi"/>
                <w:lang w:eastAsia="hr-HR"/>
              </w:rPr>
              <w:t>Neoplasms</w:t>
            </w:r>
          </w:p>
        </w:tc>
        <w:tc>
          <w:tcPr>
            <w:tcW w:w="960" w:type="dxa"/>
            <w:shd w:val="clear" w:color="auto" w:fill="auto"/>
            <w:noWrap/>
            <w:vAlign w:val="center"/>
            <w:hideMark/>
          </w:tcPr>
          <w:p w14:paraId="16345EFA" w14:textId="77777777" w:rsidR="0077067A" w:rsidRPr="00E6167F" w:rsidRDefault="0077067A" w:rsidP="00E63245">
            <w:pPr>
              <w:spacing w:after="0" w:line="240" w:lineRule="auto"/>
              <w:jc w:val="right"/>
              <w:rPr>
                <w:rFonts w:eastAsia="Times New Roman" w:cstheme="minorHAnsi"/>
                <w:color w:val="000000"/>
                <w:lang w:val="hr-HR" w:eastAsia="hr-HR"/>
              </w:rPr>
            </w:pPr>
            <w:r w:rsidRPr="00E6167F">
              <w:rPr>
                <w:rFonts w:eastAsia="Times New Roman" w:cstheme="minorHAnsi"/>
                <w:color w:val="000000"/>
                <w:lang w:val="hr-HR" w:eastAsia="hr-HR"/>
              </w:rPr>
              <w:t>29.826</w:t>
            </w:r>
          </w:p>
        </w:tc>
        <w:tc>
          <w:tcPr>
            <w:tcW w:w="960" w:type="dxa"/>
            <w:shd w:val="clear" w:color="auto" w:fill="auto"/>
            <w:noWrap/>
            <w:vAlign w:val="center"/>
            <w:hideMark/>
          </w:tcPr>
          <w:p w14:paraId="722C523E" w14:textId="77777777" w:rsidR="0077067A" w:rsidRPr="00E6167F" w:rsidRDefault="0077067A" w:rsidP="00E63245">
            <w:pPr>
              <w:spacing w:after="0" w:line="240" w:lineRule="auto"/>
              <w:jc w:val="right"/>
              <w:rPr>
                <w:rFonts w:eastAsia="Times New Roman" w:cstheme="minorHAnsi"/>
                <w:color w:val="000000"/>
                <w:lang w:val="hr-HR" w:eastAsia="hr-HR"/>
              </w:rPr>
            </w:pPr>
            <w:r w:rsidRPr="00E6167F">
              <w:rPr>
                <w:rFonts w:eastAsia="Times New Roman" w:cstheme="minorHAnsi"/>
                <w:color w:val="000000"/>
                <w:lang w:val="hr-HR" w:eastAsia="hr-HR"/>
              </w:rPr>
              <w:t>1,4</w:t>
            </w:r>
          </w:p>
        </w:tc>
      </w:tr>
      <w:tr w:rsidR="0077067A" w:rsidRPr="00E6167F" w14:paraId="5564E6EE" w14:textId="77777777" w:rsidTr="00E63245">
        <w:trPr>
          <w:trHeight w:val="300"/>
          <w:jc w:val="center"/>
        </w:trPr>
        <w:tc>
          <w:tcPr>
            <w:tcW w:w="4340" w:type="dxa"/>
            <w:shd w:val="clear" w:color="auto" w:fill="auto"/>
            <w:noWrap/>
            <w:vAlign w:val="center"/>
            <w:hideMark/>
          </w:tcPr>
          <w:p w14:paraId="49C275B4" w14:textId="77777777" w:rsidR="0077067A" w:rsidRPr="00E6167F" w:rsidRDefault="0077067A" w:rsidP="00363D34">
            <w:pPr>
              <w:spacing w:after="0" w:line="240" w:lineRule="auto"/>
              <w:jc w:val="both"/>
              <w:rPr>
                <w:rFonts w:eastAsia="Times New Roman" w:cstheme="minorHAnsi"/>
                <w:lang w:val="hr-HR" w:eastAsia="hr-HR"/>
              </w:rPr>
            </w:pPr>
            <w:r w:rsidRPr="00E6167F">
              <w:rPr>
                <w:rFonts w:eastAsia="Times New Roman" w:cstheme="minorHAnsi"/>
                <w:lang w:eastAsia="hr-HR"/>
              </w:rPr>
              <w:t>Congenital anomalies</w:t>
            </w:r>
          </w:p>
        </w:tc>
        <w:tc>
          <w:tcPr>
            <w:tcW w:w="960" w:type="dxa"/>
            <w:shd w:val="clear" w:color="auto" w:fill="auto"/>
            <w:noWrap/>
            <w:vAlign w:val="center"/>
            <w:hideMark/>
          </w:tcPr>
          <w:p w14:paraId="442A525B" w14:textId="77777777" w:rsidR="0077067A" w:rsidRPr="00E6167F" w:rsidRDefault="0077067A" w:rsidP="00E63245">
            <w:pPr>
              <w:spacing w:after="0" w:line="240" w:lineRule="auto"/>
              <w:jc w:val="right"/>
              <w:rPr>
                <w:rFonts w:eastAsia="Times New Roman" w:cstheme="minorHAnsi"/>
                <w:color w:val="000000"/>
                <w:lang w:val="hr-HR" w:eastAsia="hr-HR"/>
              </w:rPr>
            </w:pPr>
            <w:r w:rsidRPr="00E6167F">
              <w:rPr>
                <w:rFonts w:eastAsia="Times New Roman" w:cstheme="minorHAnsi"/>
                <w:color w:val="000000"/>
                <w:lang w:val="hr-HR" w:eastAsia="hr-HR"/>
              </w:rPr>
              <w:t>3.686</w:t>
            </w:r>
          </w:p>
        </w:tc>
        <w:tc>
          <w:tcPr>
            <w:tcW w:w="960" w:type="dxa"/>
            <w:shd w:val="clear" w:color="auto" w:fill="auto"/>
            <w:noWrap/>
            <w:vAlign w:val="center"/>
            <w:hideMark/>
          </w:tcPr>
          <w:p w14:paraId="26A65057" w14:textId="77777777" w:rsidR="0077067A" w:rsidRPr="00E6167F" w:rsidRDefault="0077067A" w:rsidP="00E63245">
            <w:pPr>
              <w:spacing w:after="0" w:line="240" w:lineRule="auto"/>
              <w:jc w:val="right"/>
              <w:rPr>
                <w:rFonts w:eastAsia="Times New Roman" w:cstheme="minorHAnsi"/>
                <w:color w:val="000000"/>
                <w:lang w:val="hr-HR" w:eastAsia="hr-HR"/>
              </w:rPr>
            </w:pPr>
            <w:r w:rsidRPr="00E6167F">
              <w:rPr>
                <w:rFonts w:eastAsia="Times New Roman" w:cstheme="minorHAnsi"/>
                <w:color w:val="000000"/>
                <w:lang w:val="hr-HR" w:eastAsia="hr-HR"/>
              </w:rPr>
              <w:t>0,2</w:t>
            </w:r>
          </w:p>
        </w:tc>
      </w:tr>
      <w:tr w:rsidR="0077067A" w:rsidRPr="00E6167F" w14:paraId="7A056E25" w14:textId="77777777" w:rsidTr="00E63245">
        <w:trPr>
          <w:trHeight w:val="300"/>
          <w:jc w:val="center"/>
        </w:trPr>
        <w:tc>
          <w:tcPr>
            <w:tcW w:w="4340" w:type="dxa"/>
            <w:shd w:val="clear" w:color="auto" w:fill="auto"/>
            <w:noWrap/>
            <w:vAlign w:val="center"/>
            <w:hideMark/>
          </w:tcPr>
          <w:p w14:paraId="1AFC23B0" w14:textId="77777777" w:rsidR="0077067A" w:rsidRPr="00E6167F" w:rsidRDefault="0077067A" w:rsidP="00363D34">
            <w:pPr>
              <w:spacing w:after="0" w:line="240" w:lineRule="auto"/>
              <w:jc w:val="both"/>
              <w:rPr>
                <w:rFonts w:eastAsia="Times New Roman" w:cstheme="minorHAnsi"/>
                <w:lang w:val="hr-HR" w:eastAsia="hr-HR"/>
              </w:rPr>
            </w:pPr>
            <w:r w:rsidRPr="00E6167F">
              <w:rPr>
                <w:rFonts w:eastAsia="Times New Roman" w:cstheme="minorHAnsi"/>
                <w:lang w:eastAsia="hr-HR"/>
              </w:rPr>
              <w:t>Symptoms, signs and inaccurately marked</w:t>
            </w:r>
          </w:p>
        </w:tc>
        <w:tc>
          <w:tcPr>
            <w:tcW w:w="960" w:type="dxa"/>
            <w:shd w:val="clear" w:color="auto" w:fill="auto"/>
            <w:noWrap/>
            <w:vAlign w:val="center"/>
            <w:hideMark/>
          </w:tcPr>
          <w:p w14:paraId="55F1C7A4" w14:textId="77777777" w:rsidR="0077067A" w:rsidRPr="00E6167F" w:rsidRDefault="0077067A" w:rsidP="00E63245">
            <w:pPr>
              <w:spacing w:after="0" w:line="240" w:lineRule="auto"/>
              <w:jc w:val="right"/>
              <w:rPr>
                <w:rFonts w:eastAsia="Times New Roman" w:cstheme="minorHAnsi"/>
                <w:color w:val="000000"/>
                <w:lang w:val="hr-HR" w:eastAsia="hr-HR"/>
              </w:rPr>
            </w:pPr>
            <w:r w:rsidRPr="00E6167F">
              <w:rPr>
                <w:rFonts w:eastAsia="Times New Roman" w:cstheme="minorHAnsi"/>
                <w:color w:val="000000"/>
                <w:lang w:val="hr-HR" w:eastAsia="hr-HR"/>
              </w:rPr>
              <w:t>2.272</w:t>
            </w:r>
          </w:p>
        </w:tc>
        <w:tc>
          <w:tcPr>
            <w:tcW w:w="960" w:type="dxa"/>
            <w:shd w:val="clear" w:color="auto" w:fill="auto"/>
            <w:noWrap/>
            <w:vAlign w:val="center"/>
            <w:hideMark/>
          </w:tcPr>
          <w:p w14:paraId="3784BAF7" w14:textId="77777777" w:rsidR="0077067A" w:rsidRPr="00E6167F" w:rsidRDefault="0077067A" w:rsidP="00E63245">
            <w:pPr>
              <w:spacing w:after="0" w:line="240" w:lineRule="auto"/>
              <w:jc w:val="right"/>
              <w:rPr>
                <w:rFonts w:eastAsia="Times New Roman" w:cstheme="minorHAnsi"/>
                <w:color w:val="000000"/>
                <w:lang w:val="hr-HR" w:eastAsia="hr-HR"/>
              </w:rPr>
            </w:pPr>
            <w:r w:rsidRPr="00E6167F">
              <w:rPr>
                <w:rFonts w:eastAsia="Times New Roman" w:cstheme="minorHAnsi"/>
                <w:color w:val="000000"/>
                <w:lang w:val="hr-HR" w:eastAsia="hr-HR"/>
              </w:rPr>
              <w:t>0,1</w:t>
            </w:r>
          </w:p>
        </w:tc>
      </w:tr>
    </w:tbl>
    <w:p w14:paraId="3D5F682B" w14:textId="4A9343D7" w:rsidR="0077067A" w:rsidRPr="001B0064" w:rsidRDefault="001B0064" w:rsidP="001B0064">
      <w:pPr>
        <w:spacing w:after="0" w:line="240" w:lineRule="auto"/>
        <w:ind w:left="1440"/>
        <w:jc w:val="both"/>
        <w:rPr>
          <w:rFonts w:cstheme="minorHAnsi"/>
          <w:sz w:val="20"/>
          <w:szCs w:val="20"/>
        </w:rPr>
      </w:pPr>
      <w:r>
        <w:rPr>
          <w:rFonts w:cstheme="minorHAnsi"/>
          <w:sz w:val="20"/>
          <w:szCs w:val="20"/>
        </w:rPr>
        <w:t xml:space="preserve">   </w:t>
      </w:r>
      <w:r w:rsidR="0077067A" w:rsidRPr="001B0064">
        <w:rPr>
          <w:rFonts w:cstheme="minorHAnsi"/>
          <w:sz w:val="20"/>
          <w:szCs w:val="20"/>
        </w:rPr>
        <w:t>Source</w:t>
      </w:r>
      <w:r w:rsidR="000E69B4" w:rsidRPr="001B0064">
        <w:rPr>
          <w:rFonts w:cstheme="minorHAnsi"/>
          <w:sz w:val="20"/>
          <w:szCs w:val="20"/>
        </w:rPr>
        <w:t xml:space="preserve"> of data</w:t>
      </w:r>
      <w:r w:rsidR="0077067A" w:rsidRPr="001B0064">
        <w:rPr>
          <w:rFonts w:cstheme="minorHAnsi"/>
          <w:sz w:val="20"/>
          <w:szCs w:val="20"/>
        </w:rPr>
        <w:t xml:space="preserve">: </w:t>
      </w:r>
      <w:proofErr w:type="spellStart"/>
      <w:r w:rsidR="000E69B4" w:rsidRPr="001B0064">
        <w:rPr>
          <w:rFonts w:cstheme="minorHAnsi"/>
          <w:sz w:val="20"/>
          <w:szCs w:val="20"/>
        </w:rPr>
        <w:t>ReHC</w:t>
      </w:r>
      <w:proofErr w:type="spellEnd"/>
    </w:p>
    <w:p w14:paraId="102C14AA" w14:textId="77777777" w:rsidR="0077067A" w:rsidRPr="0013116F" w:rsidRDefault="0077067A" w:rsidP="00363D34">
      <w:pPr>
        <w:spacing w:after="120" w:line="240" w:lineRule="auto"/>
        <w:jc w:val="both"/>
        <w:rPr>
          <w:rFonts w:cstheme="minorHAnsi"/>
        </w:rPr>
      </w:pPr>
    </w:p>
    <w:p w14:paraId="2859FBC1" w14:textId="07AFC3A3" w:rsidR="00C70E81" w:rsidRPr="0065494E" w:rsidRDefault="0077067A" w:rsidP="0028689A">
      <w:pPr>
        <w:spacing w:after="120" w:line="240" w:lineRule="auto"/>
        <w:jc w:val="both"/>
        <w:rPr>
          <w:rFonts w:eastAsia="Times New Roman" w:cstheme="minorHAnsi"/>
        </w:rPr>
      </w:pPr>
      <w:r w:rsidRPr="0013116F">
        <w:rPr>
          <w:rFonts w:cstheme="minorHAnsi"/>
        </w:rPr>
        <w:t>As it can be seen</w:t>
      </w:r>
      <w:r w:rsidR="000E69B4">
        <w:rPr>
          <w:rFonts w:cstheme="minorHAnsi"/>
        </w:rPr>
        <w:t>,</w:t>
      </w:r>
      <w:r w:rsidRPr="0013116F">
        <w:rPr>
          <w:rFonts w:cstheme="minorHAnsi"/>
        </w:rPr>
        <w:t xml:space="preserve"> Diseases of the circulatory system are responsible for 14.2% of the total morbidity in adults and adolescents. On the other hand</w:t>
      </w:r>
      <w:r w:rsidR="00840078" w:rsidRPr="0013116F">
        <w:rPr>
          <w:rFonts w:cstheme="minorHAnsi"/>
        </w:rPr>
        <w:t>,</w:t>
      </w:r>
      <w:r w:rsidRPr="0013116F">
        <w:rPr>
          <w:rFonts w:cstheme="minorHAnsi"/>
        </w:rPr>
        <w:t xml:space="preserve"> according to the</w:t>
      </w:r>
      <w:r w:rsidR="00440316">
        <w:rPr>
          <w:rFonts w:cstheme="minorHAnsi"/>
        </w:rPr>
        <w:t xml:space="preserve"> </w:t>
      </w:r>
      <w:r w:rsidRPr="0013116F">
        <w:rPr>
          <w:rFonts w:cstheme="minorHAnsi"/>
        </w:rPr>
        <w:t>Global Health Observatory data</w:t>
      </w:r>
      <w:r w:rsidR="00440316">
        <w:rPr>
          <w:rFonts w:cstheme="minorHAnsi"/>
        </w:rPr>
        <w:t>,</w:t>
      </w:r>
      <w:r w:rsidRPr="0013116F">
        <w:rPr>
          <w:rFonts w:cstheme="minorHAnsi"/>
        </w:rPr>
        <w:t xml:space="preserve"> approximately 22% of the population of the world have hypertension. This means that reporting system in Kyrgyz Republic is likely not accurate, or there are many undiagnosed patients, or both.</w:t>
      </w:r>
      <w:r w:rsidRPr="00E6167F">
        <w:rPr>
          <w:rFonts w:cstheme="minorHAnsi"/>
        </w:rPr>
        <w:t xml:space="preserve"> </w:t>
      </w:r>
      <w:r w:rsidR="00CC7C28">
        <w:rPr>
          <w:rFonts w:cstheme="minorHAnsi"/>
        </w:rPr>
        <w:t>A s</w:t>
      </w:r>
      <w:r w:rsidRPr="00E6167F">
        <w:rPr>
          <w:rFonts w:cstheme="minorHAnsi"/>
        </w:rPr>
        <w:t xml:space="preserve">imilar </w:t>
      </w:r>
      <w:r w:rsidR="00CC7C28">
        <w:rPr>
          <w:rFonts w:cstheme="minorHAnsi"/>
        </w:rPr>
        <w:t xml:space="preserve">case applies to </w:t>
      </w:r>
      <w:r w:rsidRPr="00E6167F">
        <w:rPr>
          <w:rFonts w:cstheme="minorHAnsi"/>
        </w:rPr>
        <w:t xml:space="preserve">endocrine system diseases (which include diabetes). </w:t>
      </w:r>
      <w:r w:rsidR="001345A3">
        <w:rPr>
          <w:rFonts w:cstheme="minorHAnsi"/>
        </w:rPr>
        <w:t>According to the STEP survey (WHO</w:t>
      </w:r>
      <w:r w:rsidR="00783392">
        <w:rPr>
          <w:rFonts w:cstheme="minorHAnsi"/>
        </w:rPr>
        <w:t>, 2013</w:t>
      </w:r>
      <w:r w:rsidR="001345A3">
        <w:rPr>
          <w:rFonts w:cstheme="minorHAnsi"/>
        </w:rPr>
        <w:t xml:space="preserve">), the </w:t>
      </w:r>
      <w:r w:rsidR="006647C9">
        <w:rPr>
          <w:rFonts w:cstheme="minorHAnsi"/>
        </w:rPr>
        <w:t>estimate</w:t>
      </w:r>
      <w:r w:rsidR="001345A3">
        <w:rPr>
          <w:rFonts w:cstheme="minorHAnsi"/>
        </w:rPr>
        <w:t xml:space="preserve">d prevalence of </w:t>
      </w:r>
      <w:r w:rsidR="008B13E2">
        <w:rPr>
          <w:rFonts w:cstheme="minorHAnsi"/>
        </w:rPr>
        <w:t xml:space="preserve">diabetes among adults in </w:t>
      </w:r>
      <w:r w:rsidR="006647C9">
        <w:rPr>
          <w:rFonts w:cstheme="minorHAnsi"/>
        </w:rPr>
        <w:t>the</w:t>
      </w:r>
      <w:r w:rsidRPr="00E6167F">
        <w:rPr>
          <w:rFonts w:cstheme="minorHAnsi"/>
        </w:rPr>
        <w:t xml:space="preserve"> Kyrgyz Republic </w:t>
      </w:r>
      <w:r w:rsidR="006647C9">
        <w:rPr>
          <w:rFonts w:cstheme="minorHAnsi"/>
        </w:rPr>
        <w:t xml:space="preserve">is around 6%. Yet only </w:t>
      </w:r>
      <w:r w:rsidR="00B56D2C" w:rsidRPr="00E6167F">
        <w:rPr>
          <w:rFonts w:eastAsia="Times New Roman" w:cstheme="minorHAnsi"/>
          <w:color w:val="000000"/>
          <w:lang w:val="hr-HR" w:eastAsia="hr-HR"/>
        </w:rPr>
        <w:t>116</w:t>
      </w:r>
      <w:r w:rsidR="00D51F7A">
        <w:rPr>
          <w:rFonts w:eastAsia="Times New Roman" w:cstheme="minorHAnsi"/>
          <w:color w:val="000000"/>
          <w:lang w:val="hr-HR" w:eastAsia="hr-HR"/>
        </w:rPr>
        <w:t>,</w:t>
      </w:r>
      <w:r w:rsidR="00B56D2C" w:rsidRPr="00E6167F">
        <w:rPr>
          <w:rFonts w:eastAsia="Times New Roman" w:cstheme="minorHAnsi"/>
          <w:color w:val="000000"/>
          <w:lang w:val="hr-HR" w:eastAsia="hr-HR"/>
        </w:rPr>
        <w:t>179</w:t>
      </w:r>
      <w:r w:rsidR="00B56D2C">
        <w:rPr>
          <w:rFonts w:eastAsia="Times New Roman" w:cstheme="minorHAnsi"/>
          <w:color w:val="000000"/>
          <w:lang w:val="hr-HR" w:eastAsia="hr-HR"/>
        </w:rPr>
        <w:t xml:space="preserve"> </w:t>
      </w:r>
      <w:r w:rsidR="00D51F7A">
        <w:rPr>
          <w:rFonts w:eastAsia="Times New Roman" w:cstheme="minorHAnsi"/>
          <w:color w:val="000000"/>
          <w:lang w:val="hr-HR" w:eastAsia="hr-HR"/>
        </w:rPr>
        <w:t>cases are</w:t>
      </w:r>
      <w:r w:rsidRPr="00E6167F">
        <w:rPr>
          <w:rFonts w:cstheme="minorHAnsi"/>
        </w:rPr>
        <w:t xml:space="preserve"> registered with endocrine system diseases</w:t>
      </w:r>
      <w:r w:rsidR="00D51F7A">
        <w:rPr>
          <w:rFonts w:cstheme="minorHAnsi"/>
        </w:rPr>
        <w:t xml:space="preserve"> for a total population of six million</w:t>
      </w:r>
      <w:r w:rsidRPr="00E6167F">
        <w:rPr>
          <w:rFonts w:cstheme="minorHAnsi"/>
        </w:rPr>
        <w:t xml:space="preserve">. </w:t>
      </w:r>
    </w:p>
    <w:p w14:paraId="4167D9DD" w14:textId="1A068E03" w:rsidR="00F1267D" w:rsidRPr="00FC24F3" w:rsidRDefault="00E93919" w:rsidP="00D92F7A">
      <w:pPr>
        <w:pStyle w:val="ListParagraph"/>
        <w:numPr>
          <w:ilvl w:val="0"/>
          <w:numId w:val="13"/>
        </w:numPr>
        <w:spacing w:before="240" w:after="120" w:line="240" w:lineRule="auto"/>
        <w:contextualSpacing w:val="0"/>
        <w:jc w:val="both"/>
        <w:rPr>
          <w:rFonts w:eastAsia="Times New Roman" w:cstheme="minorHAnsi"/>
          <w:b/>
        </w:rPr>
      </w:pPr>
      <w:r w:rsidRPr="00B26298">
        <w:rPr>
          <w:rFonts w:eastAsia="Times New Roman" w:cstheme="minorHAnsi"/>
          <w:b/>
        </w:rPr>
        <w:t xml:space="preserve">Lack of </w:t>
      </w:r>
      <w:r w:rsidR="00EA663C" w:rsidRPr="00B26298">
        <w:rPr>
          <w:rFonts w:eastAsia="Times New Roman" w:cstheme="minorHAnsi"/>
          <w:b/>
        </w:rPr>
        <w:t>clear</w:t>
      </w:r>
      <w:r w:rsidR="0088632D">
        <w:rPr>
          <w:rFonts w:eastAsia="Times New Roman" w:cstheme="minorHAnsi"/>
          <w:b/>
        </w:rPr>
        <w:t xml:space="preserve"> procedures</w:t>
      </w:r>
      <w:r w:rsidR="00EA663C" w:rsidRPr="00B26298">
        <w:rPr>
          <w:rFonts w:eastAsia="Times New Roman" w:cstheme="minorHAnsi"/>
          <w:b/>
        </w:rPr>
        <w:t xml:space="preserve"> and institutional arrangements for </w:t>
      </w:r>
      <w:r w:rsidR="00F1267D" w:rsidRPr="00B26298">
        <w:rPr>
          <w:rFonts w:eastAsia="Times New Roman" w:cstheme="minorHAnsi"/>
          <w:b/>
        </w:rPr>
        <w:t>revision</w:t>
      </w:r>
    </w:p>
    <w:p w14:paraId="2762950C" w14:textId="415DD64E" w:rsidR="007D2F85" w:rsidRDefault="00C137A4" w:rsidP="00363D34">
      <w:pPr>
        <w:spacing w:line="240" w:lineRule="auto"/>
        <w:jc w:val="both"/>
        <w:rPr>
          <w:rFonts w:eastAsia="Times New Roman" w:cstheme="minorHAnsi"/>
        </w:rPr>
      </w:pPr>
      <w:r>
        <w:rPr>
          <w:rFonts w:eastAsia="Times New Roman" w:cstheme="minorHAnsi"/>
        </w:rPr>
        <w:t xml:space="preserve">Despite what seems to be an established </w:t>
      </w:r>
      <w:r w:rsidR="007D2F85">
        <w:rPr>
          <w:rFonts w:eastAsia="Times New Roman" w:cstheme="minorHAnsi"/>
        </w:rPr>
        <w:t>process</w:t>
      </w:r>
      <w:r w:rsidR="00620351">
        <w:rPr>
          <w:rFonts w:eastAsia="Times New Roman" w:cstheme="minorHAnsi"/>
        </w:rPr>
        <w:t xml:space="preserve">, the </w:t>
      </w:r>
      <w:r w:rsidR="007D2F85">
        <w:rPr>
          <w:rFonts w:eastAsia="Times New Roman" w:cstheme="minorHAnsi"/>
        </w:rPr>
        <w:t xml:space="preserve">revision </w:t>
      </w:r>
      <w:r w:rsidR="00620351">
        <w:rPr>
          <w:rFonts w:eastAsia="Times New Roman" w:cstheme="minorHAnsi"/>
        </w:rPr>
        <w:t>of the SGBP</w:t>
      </w:r>
      <w:r w:rsidR="006E59A7">
        <w:rPr>
          <w:rFonts w:eastAsia="Times New Roman" w:cstheme="minorHAnsi"/>
        </w:rPr>
        <w:t xml:space="preserve"> was</w:t>
      </w:r>
      <w:r w:rsidR="007D2F85">
        <w:rPr>
          <w:rFonts w:eastAsia="Times New Roman" w:cstheme="minorHAnsi"/>
        </w:rPr>
        <w:t xml:space="preserve"> done in quite an ad hoc</w:t>
      </w:r>
      <w:r w:rsidR="00DE17B2">
        <w:rPr>
          <w:rFonts w:eastAsia="Times New Roman" w:cstheme="minorHAnsi"/>
        </w:rPr>
        <w:t xml:space="preserve"> </w:t>
      </w:r>
      <w:r w:rsidR="007D2F85">
        <w:rPr>
          <w:rFonts w:eastAsia="Times New Roman" w:cstheme="minorHAnsi"/>
        </w:rPr>
        <w:t xml:space="preserve"> manner. For example, it was reported that the </w:t>
      </w:r>
      <w:proofErr w:type="spellStart"/>
      <w:r w:rsidR="007D2F85">
        <w:rPr>
          <w:rFonts w:eastAsia="Times New Roman" w:cstheme="minorHAnsi"/>
        </w:rPr>
        <w:t>M</w:t>
      </w:r>
      <w:r w:rsidR="008461DE">
        <w:rPr>
          <w:rFonts w:eastAsia="Times New Roman" w:cstheme="minorHAnsi"/>
        </w:rPr>
        <w:t>o</w:t>
      </w:r>
      <w:r w:rsidR="007D2F85">
        <w:rPr>
          <w:rFonts w:eastAsia="Times New Roman" w:cstheme="minorHAnsi"/>
        </w:rPr>
        <w:t>LSD</w:t>
      </w:r>
      <w:proofErr w:type="spellEnd"/>
      <w:r w:rsidR="007D2F85">
        <w:rPr>
          <w:rFonts w:eastAsia="Times New Roman" w:cstheme="minorHAnsi"/>
        </w:rPr>
        <w:t xml:space="preserve"> and </w:t>
      </w:r>
      <w:proofErr w:type="spellStart"/>
      <w:r w:rsidR="007D2F85">
        <w:rPr>
          <w:rFonts w:eastAsia="Times New Roman" w:cstheme="minorHAnsi"/>
        </w:rPr>
        <w:t>M</w:t>
      </w:r>
      <w:r w:rsidR="008461DE">
        <w:rPr>
          <w:rFonts w:eastAsia="Times New Roman" w:cstheme="minorHAnsi"/>
        </w:rPr>
        <w:t>o</w:t>
      </w:r>
      <w:r w:rsidR="007D2F85">
        <w:rPr>
          <w:rFonts w:eastAsia="Times New Roman" w:cstheme="minorHAnsi"/>
        </w:rPr>
        <w:t>F</w:t>
      </w:r>
      <w:proofErr w:type="spellEnd"/>
      <w:r w:rsidR="007D2F85">
        <w:rPr>
          <w:rFonts w:eastAsia="Times New Roman" w:cstheme="minorHAnsi"/>
        </w:rPr>
        <w:t xml:space="preserve"> a</w:t>
      </w:r>
      <w:r w:rsidR="00E86113">
        <w:rPr>
          <w:rFonts w:eastAsia="Times New Roman" w:cstheme="minorHAnsi"/>
        </w:rPr>
        <w:t xml:space="preserve">lmost never attended the meetings of the working group. There </w:t>
      </w:r>
      <w:r w:rsidR="00846EA5">
        <w:rPr>
          <w:rFonts w:eastAsia="Times New Roman" w:cstheme="minorHAnsi"/>
        </w:rPr>
        <w:t xml:space="preserve">was </w:t>
      </w:r>
      <w:r w:rsidR="00E86113">
        <w:rPr>
          <w:rFonts w:eastAsia="Times New Roman" w:cstheme="minorHAnsi"/>
        </w:rPr>
        <w:t>no protocol or set methodology on how the working group should work, sometime meeting</w:t>
      </w:r>
      <w:r w:rsidR="006A64F0">
        <w:rPr>
          <w:rFonts w:eastAsia="Times New Roman" w:cstheme="minorHAnsi"/>
        </w:rPr>
        <w:t>s</w:t>
      </w:r>
      <w:r w:rsidR="00E86113">
        <w:rPr>
          <w:rFonts w:eastAsia="Times New Roman" w:cstheme="minorHAnsi"/>
        </w:rPr>
        <w:t xml:space="preserve"> </w:t>
      </w:r>
      <w:r w:rsidR="006A64F0">
        <w:rPr>
          <w:rFonts w:eastAsia="Times New Roman" w:cstheme="minorHAnsi"/>
        </w:rPr>
        <w:t xml:space="preserve">were </w:t>
      </w:r>
      <w:r w:rsidR="00E86113">
        <w:rPr>
          <w:rFonts w:eastAsia="Times New Roman" w:cstheme="minorHAnsi"/>
        </w:rPr>
        <w:t xml:space="preserve">called in the last minute without preparation. </w:t>
      </w:r>
      <w:r w:rsidR="008457B7">
        <w:rPr>
          <w:rFonts w:eastAsia="Times New Roman" w:cstheme="minorHAnsi"/>
        </w:rPr>
        <w:t>The w</w:t>
      </w:r>
      <w:r w:rsidR="00375008">
        <w:rPr>
          <w:rFonts w:eastAsia="Times New Roman" w:cstheme="minorHAnsi"/>
        </w:rPr>
        <w:t xml:space="preserve">orking group </w:t>
      </w:r>
      <w:r w:rsidR="008457B7">
        <w:rPr>
          <w:rFonts w:eastAsia="Times New Roman" w:cstheme="minorHAnsi"/>
        </w:rPr>
        <w:t xml:space="preserve">was also said to have </w:t>
      </w:r>
      <w:r w:rsidR="00375008">
        <w:rPr>
          <w:rFonts w:eastAsia="Times New Roman" w:cstheme="minorHAnsi"/>
        </w:rPr>
        <w:t>too many participants</w:t>
      </w:r>
      <w:r w:rsidR="00146A95">
        <w:rPr>
          <w:rFonts w:eastAsia="Times New Roman" w:cstheme="minorHAnsi"/>
        </w:rPr>
        <w:t xml:space="preserve"> and </w:t>
      </w:r>
      <w:r w:rsidR="00375008">
        <w:rPr>
          <w:rFonts w:eastAsia="Times New Roman" w:cstheme="minorHAnsi"/>
        </w:rPr>
        <w:t>no clear responsibility</w:t>
      </w:r>
      <w:r w:rsidR="00146A95">
        <w:rPr>
          <w:rFonts w:eastAsia="Times New Roman" w:cstheme="minorHAnsi"/>
        </w:rPr>
        <w:t xml:space="preserve"> </w:t>
      </w:r>
      <w:r w:rsidR="006237A2">
        <w:rPr>
          <w:rFonts w:eastAsia="Times New Roman" w:cstheme="minorHAnsi"/>
        </w:rPr>
        <w:t xml:space="preserve">was </w:t>
      </w:r>
      <w:r w:rsidR="00146A95">
        <w:rPr>
          <w:rFonts w:eastAsia="Times New Roman" w:cstheme="minorHAnsi"/>
        </w:rPr>
        <w:t xml:space="preserve">assigned to each of them. </w:t>
      </w:r>
    </w:p>
    <w:p w14:paraId="3E9F1038" w14:textId="13957B5C" w:rsidR="00A67425" w:rsidRDefault="00146A95" w:rsidP="00363D34">
      <w:pPr>
        <w:spacing w:line="240" w:lineRule="auto"/>
        <w:jc w:val="both"/>
        <w:rPr>
          <w:rFonts w:eastAsia="Times New Roman" w:cstheme="minorHAnsi"/>
        </w:rPr>
      </w:pPr>
      <w:r>
        <w:rPr>
          <w:rFonts w:eastAsia="Times New Roman" w:cstheme="minorHAnsi"/>
        </w:rPr>
        <w:t>The information taken into account in the revision of the</w:t>
      </w:r>
      <w:r w:rsidR="00E87CCC">
        <w:rPr>
          <w:rFonts w:eastAsia="Times New Roman" w:cstheme="minorHAnsi"/>
        </w:rPr>
        <w:t xml:space="preserve"> SGBP </w:t>
      </w:r>
      <w:r>
        <w:rPr>
          <w:rFonts w:eastAsia="Times New Roman" w:cstheme="minorHAnsi"/>
        </w:rPr>
        <w:t xml:space="preserve">so far </w:t>
      </w:r>
      <w:r w:rsidR="00E87CCC">
        <w:rPr>
          <w:rFonts w:eastAsia="Times New Roman" w:cstheme="minorHAnsi"/>
        </w:rPr>
        <w:t xml:space="preserve">mostly </w:t>
      </w:r>
      <w:r w:rsidR="00AC4211">
        <w:rPr>
          <w:rFonts w:eastAsia="Times New Roman" w:cstheme="minorHAnsi"/>
        </w:rPr>
        <w:t xml:space="preserve">has to do with </w:t>
      </w:r>
      <w:r w:rsidR="00DD42A8">
        <w:rPr>
          <w:rFonts w:eastAsia="Times New Roman" w:cstheme="minorHAnsi"/>
        </w:rPr>
        <w:t xml:space="preserve">budget prognosis </w:t>
      </w:r>
      <w:r w:rsidR="00F32D8D">
        <w:rPr>
          <w:rFonts w:eastAsia="Times New Roman" w:cstheme="minorHAnsi"/>
        </w:rPr>
        <w:t xml:space="preserve">of the subsequent </w:t>
      </w:r>
      <w:r w:rsidR="00DD42A8">
        <w:rPr>
          <w:rFonts w:eastAsia="Times New Roman" w:cstheme="minorHAnsi"/>
        </w:rPr>
        <w:t>year</w:t>
      </w:r>
      <w:r w:rsidR="00AC4211">
        <w:rPr>
          <w:rFonts w:eastAsia="Times New Roman" w:cstheme="minorHAnsi"/>
        </w:rPr>
        <w:t xml:space="preserve">. </w:t>
      </w:r>
      <w:r w:rsidR="005D1E7D">
        <w:rPr>
          <w:rFonts w:eastAsia="Times New Roman" w:cstheme="minorHAnsi"/>
        </w:rPr>
        <w:t>T</w:t>
      </w:r>
      <w:r w:rsidR="00A06812">
        <w:rPr>
          <w:rFonts w:eastAsia="Times New Roman" w:cstheme="minorHAnsi"/>
        </w:rPr>
        <w:t xml:space="preserve">here has been no consideration of the </w:t>
      </w:r>
      <w:r w:rsidR="00D010FA">
        <w:rPr>
          <w:rFonts w:eastAsia="Times New Roman" w:cstheme="minorHAnsi"/>
        </w:rPr>
        <w:t xml:space="preserve">burden of diseases, cost effectiveness, budget impact, </w:t>
      </w:r>
      <w:r w:rsidR="00A06812">
        <w:rPr>
          <w:rFonts w:eastAsia="Times New Roman" w:cstheme="minorHAnsi"/>
        </w:rPr>
        <w:t xml:space="preserve">or </w:t>
      </w:r>
      <w:r w:rsidR="0024727F">
        <w:rPr>
          <w:rFonts w:eastAsia="Times New Roman" w:cstheme="minorHAnsi"/>
        </w:rPr>
        <w:t>costing info</w:t>
      </w:r>
      <w:r w:rsidR="00A06812">
        <w:rPr>
          <w:rFonts w:eastAsia="Times New Roman" w:cstheme="minorHAnsi"/>
        </w:rPr>
        <w:t>rmation</w:t>
      </w:r>
      <w:r w:rsidR="0024727F">
        <w:rPr>
          <w:rFonts w:eastAsia="Times New Roman" w:cstheme="minorHAnsi"/>
        </w:rPr>
        <w:t xml:space="preserve">. </w:t>
      </w:r>
      <w:r w:rsidR="00440319">
        <w:rPr>
          <w:rFonts w:eastAsia="Times New Roman" w:cstheme="minorHAnsi"/>
        </w:rPr>
        <w:t xml:space="preserve">The MHIF </w:t>
      </w:r>
      <w:r w:rsidR="00507431">
        <w:rPr>
          <w:rFonts w:eastAsia="Times New Roman" w:cstheme="minorHAnsi"/>
        </w:rPr>
        <w:t xml:space="preserve">was </w:t>
      </w:r>
      <w:r w:rsidR="00440319">
        <w:rPr>
          <w:rFonts w:eastAsia="Times New Roman" w:cstheme="minorHAnsi"/>
        </w:rPr>
        <w:t xml:space="preserve">aware of </w:t>
      </w:r>
      <w:r w:rsidR="00AA401C">
        <w:rPr>
          <w:rFonts w:eastAsia="Times New Roman" w:cstheme="minorHAnsi"/>
        </w:rPr>
        <w:t xml:space="preserve">the fact that the SGBP is broad, and it attempted to make the paid services “more precise” in the 2015 revision. However, it was not successful. </w:t>
      </w:r>
      <w:r w:rsidR="004442D5">
        <w:rPr>
          <w:rFonts w:eastAsia="Times New Roman" w:cstheme="minorHAnsi"/>
        </w:rPr>
        <w:t xml:space="preserve">The </w:t>
      </w:r>
      <w:r w:rsidR="0024727F">
        <w:rPr>
          <w:rFonts w:eastAsia="Times New Roman" w:cstheme="minorHAnsi"/>
        </w:rPr>
        <w:t>large number of beneficiary categories</w:t>
      </w:r>
      <w:r w:rsidR="004442D5">
        <w:rPr>
          <w:rFonts w:eastAsia="Times New Roman" w:cstheme="minorHAnsi"/>
        </w:rPr>
        <w:t xml:space="preserve"> is reported to be a frequent topic in the SGBP discussion. However, </w:t>
      </w:r>
      <w:r w:rsidR="00C7291A">
        <w:rPr>
          <w:rFonts w:eastAsia="Times New Roman" w:cstheme="minorHAnsi"/>
        </w:rPr>
        <w:t xml:space="preserve">due to the fact that </w:t>
      </w:r>
      <w:r w:rsidR="00D5496A">
        <w:rPr>
          <w:rFonts w:eastAsia="Times New Roman" w:cstheme="minorHAnsi"/>
        </w:rPr>
        <w:t xml:space="preserve">the decision is </w:t>
      </w:r>
      <w:r w:rsidR="002D426B">
        <w:rPr>
          <w:rFonts w:eastAsia="Times New Roman" w:cstheme="minorHAnsi"/>
        </w:rPr>
        <w:t xml:space="preserve">politically sensitive and is </w:t>
      </w:r>
      <w:r w:rsidR="0024727F">
        <w:rPr>
          <w:rFonts w:eastAsia="Times New Roman" w:cstheme="minorHAnsi"/>
        </w:rPr>
        <w:t>beyond the control of the health sector</w:t>
      </w:r>
      <w:r w:rsidR="00A76110">
        <w:rPr>
          <w:rFonts w:eastAsia="Times New Roman" w:cstheme="minorHAnsi"/>
        </w:rPr>
        <w:t>, no viable solution has been reached</w:t>
      </w:r>
      <w:r w:rsidR="008B39A2">
        <w:rPr>
          <w:rFonts w:eastAsia="Times New Roman" w:cstheme="minorHAnsi"/>
        </w:rPr>
        <w:t xml:space="preserve"> to date</w:t>
      </w:r>
      <w:r w:rsidR="00D61760">
        <w:rPr>
          <w:rFonts w:eastAsia="Times New Roman" w:cstheme="minorHAnsi"/>
        </w:rPr>
        <w:t>.</w:t>
      </w:r>
      <w:r w:rsidR="00A76110">
        <w:rPr>
          <w:rFonts w:eastAsia="Times New Roman" w:cstheme="minorHAnsi"/>
        </w:rPr>
        <w:t xml:space="preserve"> </w:t>
      </w:r>
      <w:r w:rsidR="003211F4">
        <w:rPr>
          <w:rFonts w:eastAsia="Times New Roman" w:cstheme="minorHAnsi"/>
        </w:rPr>
        <w:t xml:space="preserve"> </w:t>
      </w:r>
    </w:p>
    <w:p w14:paraId="4F259470" w14:textId="0DE52A8F" w:rsidR="0045746A" w:rsidRDefault="0045746A" w:rsidP="00363D34">
      <w:pPr>
        <w:spacing w:line="240" w:lineRule="auto"/>
        <w:jc w:val="both"/>
        <w:rPr>
          <w:rFonts w:eastAsia="Times New Roman" w:cstheme="minorHAnsi"/>
        </w:rPr>
      </w:pPr>
      <w:r>
        <w:rPr>
          <w:rFonts w:eastAsia="Times New Roman" w:cstheme="minorHAnsi"/>
        </w:rPr>
        <w:lastRenderedPageBreak/>
        <w:t xml:space="preserve">In particular, the </w:t>
      </w:r>
      <w:r w:rsidR="00451D07">
        <w:rPr>
          <w:rFonts w:eastAsia="Times New Roman" w:cstheme="minorHAnsi"/>
        </w:rPr>
        <w:t xml:space="preserve">low </w:t>
      </w:r>
      <w:r>
        <w:rPr>
          <w:rFonts w:eastAsia="Times New Roman" w:cstheme="minorHAnsi"/>
        </w:rPr>
        <w:t xml:space="preserve">capacity of the </w:t>
      </w:r>
      <w:proofErr w:type="spellStart"/>
      <w:r>
        <w:rPr>
          <w:rFonts w:eastAsia="Times New Roman" w:cstheme="minorHAnsi"/>
        </w:rPr>
        <w:t>M</w:t>
      </w:r>
      <w:r w:rsidR="00D61760">
        <w:rPr>
          <w:rFonts w:eastAsia="Times New Roman" w:cstheme="minorHAnsi"/>
        </w:rPr>
        <w:t>o</w:t>
      </w:r>
      <w:r>
        <w:rPr>
          <w:rFonts w:eastAsia="Times New Roman" w:cstheme="minorHAnsi"/>
        </w:rPr>
        <w:t>H</w:t>
      </w:r>
      <w:proofErr w:type="spellEnd"/>
      <w:r>
        <w:rPr>
          <w:rFonts w:eastAsia="Times New Roman" w:cstheme="minorHAnsi"/>
        </w:rPr>
        <w:t xml:space="preserve"> </w:t>
      </w:r>
      <w:r w:rsidR="00D61760">
        <w:rPr>
          <w:rFonts w:eastAsia="Times New Roman" w:cstheme="minorHAnsi"/>
        </w:rPr>
        <w:t xml:space="preserve">in coordinating and leading the whole process </w:t>
      </w:r>
      <w:r w:rsidR="00451D07">
        <w:rPr>
          <w:rFonts w:eastAsia="Times New Roman" w:cstheme="minorHAnsi"/>
        </w:rPr>
        <w:t>seems to be the most important bottleneck in pushing through major changes in the SGBP</w:t>
      </w:r>
      <w:r>
        <w:rPr>
          <w:rFonts w:eastAsia="Times New Roman" w:cstheme="minorHAnsi"/>
        </w:rPr>
        <w:t xml:space="preserve">. Due to the low salary </w:t>
      </w:r>
      <w:r w:rsidR="00451D07">
        <w:rPr>
          <w:rFonts w:eastAsia="Times New Roman" w:cstheme="minorHAnsi"/>
        </w:rPr>
        <w:t xml:space="preserve">scale of civil servants, the </w:t>
      </w:r>
      <w:proofErr w:type="spellStart"/>
      <w:r>
        <w:rPr>
          <w:rFonts w:eastAsia="Times New Roman" w:cstheme="minorHAnsi"/>
        </w:rPr>
        <w:t>M</w:t>
      </w:r>
      <w:r w:rsidR="00451D07">
        <w:rPr>
          <w:rFonts w:eastAsia="Times New Roman" w:cstheme="minorHAnsi"/>
        </w:rPr>
        <w:t>o</w:t>
      </w:r>
      <w:r>
        <w:rPr>
          <w:rFonts w:eastAsia="Times New Roman" w:cstheme="minorHAnsi"/>
        </w:rPr>
        <w:t>H</w:t>
      </w:r>
      <w:proofErr w:type="spellEnd"/>
      <w:r>
        <w:rPr>
          <w:rFonts w:eastAsia="Times New Roman" w:cstheme="minorHAnsi"/>
        </w:rPr>
        <w:t xml:space="preserve"> has very high staff turnover</w:t>
      </w:r>
      <w:r w:rsidR="00E63631">
        <w:rPr>
          <w:rFonts w:eastAsia="Times New Roman" w:cstheme="minorHAnsi"/>
        </w:rPr>
        <w:t xml:space="preserve">. </w:t>
      </w:r>
      <w:r w:rsidR="00167539">
        <w:rPr>
          <w:rFonts w:eastAsia="Times New Roman" w:cstheme="minorHAnsi"/>
        </w:rPr>
        <w:t>The SGBP is a complex issue</w:t>
      </w:r>
      <w:r w:rsidR="009E1E85">
        <w:rPr>
          <w:rFonts w:eastAsia="Times New Roman" w:cstheme="minorHAnsi"/>
        </w:rPr>
        <w:t xml:space="preserve"> </w:t>
      </w:r>
      <w:r>
        <w:rPr>
          <w:rFonts w:eastAsia="Times New Roman" w:cstheme="minorHAnsi"/>
        </w:rPr>
        <w:t xml:space="preserve">and there is a concern that there will be no one left </w:t>
      </w:r>
      <w:r w:rsidR="009E1E85">
        <w:rPr>
          <w:rFonts w:eastAsia="Times New Roman" w:cstheme="minorHAnsi"/>
        </w:rPr>
        <w:t xml:space="preserve">in the </w:t>
      </w:r>
      <w:proofErr w:type="spellStart"/>
      <w:r w:rsidR="009E1E85">
        <w:rPr>
          <w:rFonts w:eastAsia="Times New Roman" w:cstheme="minorHAnsi"/>
        </w:rPr>
        <w:t>MoH</w:t>
      </w:r>
      <w:proofErr w:type="spellEnd"/>
      <w:r w:rsidR="009E1E85">
        <w:rPr>
          <w:rFonts w:eastAsia="Times New Roman" w:cstheme="minorHAnsi"/>
        </w:rPr>
        <w:t xml:space="preserve"> </w:t>
      </w:r>
      <w:r>
        <w:rPr>
          <w:rFonts w:eastAsia="Times New Roman" w:cstheme="minorHAnsi"/>
        </w:rPr>
        <w:t xml:space="preserve">who understands the SGBP. At the moment, the capacity of the </w:t>
      </w:r>
      <w:proofErr w:type="spellStart"/>
      <w:r>
        <w:rPr>
          <w:rFonts w:eastAsia="Times New Roman" w:cstheme="minorHAnsi"/>
        </w:rPr>
        <w:t>M</w:t>
      </w:r>
      <w:r w:rsidR="007200D5">
        <w:rPr>
          <w:rFonts w:eastAsia="Times New Roman" w:cstheme="minorHAnsi"/>
        </w:rPr>
        <w:t>o</w:t>
      </w:r>
      <w:r>
        <w:rPr>
          <w:rFonts w:eastAsia="Times New Roman" w:cstheme="minorHAnsi"/>
        </w:rPr>
        <w:t>H</w:t>
      </w:r>
      <w:proofErr w:type="spellEnd"/>
      <w:r>
        <w:rPr>
          <w:rFonts w:eastAsia="Times New Roman" w:cstheme="minorHAnsi"/>
        </w:rPr>
        <w:t xml:space="preserve"> </w:t>
      </w:r>
      <w:r w:rsidR="007200D5">
        <w:rPr>
          <w:rFonts w:eastAsia="Times New Roman" w:cstheme="minorHAnsi"/>
        </w:rPr>
        <w:t xml:space="preserve">is seen as </w:t>
      </w:r>
      <w:r>
        <w:rPr>
          <w:rFonts w:eastAsia="Times New Roman" w:cstheme="minorHAnsi"/>
        </w:rPr>
        <w:t xml:space="preserve">the </w:t>
      </w:r>
      <w:r w:rsidR="007200D5">
        <w:rPr>
          <w:rFonts w:eastAsia="Times New Roman" w:cstheme="minorHAnsi"/>
        </w:rPr>
        <w:t xml:space="preserve">most important challenge </w:t>
      </w:r>
      <w:r>
        <w:rPr>
          <w:rFonts w:eastAsia="Times New Roman" w:cstheme="minorHAnsi"/>
        </w:rPr>
        <w:t xml:space="preserve">in revising the SGBP. </w:t>
      </w:r>
    </w:p>
    <w:p w14:paraId="5F0D8D4A" w14:textId="609F06D7" w:rsidR="0044778C" w:rsidRPr="00B55BD6" w:rsidRDefault="00B0591C" w:rsidP="00D92F7A">
      <w:pPr>
        <w:pStyle w:val="Heading1"/>
        <w:numPr>
          <w:ilvl w:val="0"/>
          <w:numId w:val="29"/>
        </w:numPr>
        <w:rPr>
          <w:rFonts w:ascii="Calibri" w:hAnsi="Calibri" w:cs="Calibri"/>
          <w:color w:val="1F4E79" w:themeColor="accent1" w:themeShade="80"/>
        </w:rPr>
      </w:pPr>
      <w:r w:rsidRPr="00E6167F">
        <w:rPr>
          <w:rFonts w:asciiTheme="minorHAnsi" w:hAnsiTheme="minorHAnsi" w:cstheme="minorHAnsi"/>
          <w:sz w:val="22"/>
          <w:szCs w:val="22"/>
        </w:rPr>
        <w:t xml:space="preserve"> </w:t>
      </w:r>
      <w:bookmarkStart w:id="10" w:name="_Toc10477895"/>
      <w:r w:rsidR="00D95CFF" w:rsidRPr="00B55BD6">
        <w:rPr>
          <w:rFonts w:ascii="Calibri" w:hAnsi="Calibri" w:cs="Calibri"/>
          <w:color w:val="1F4E79" w:themeColor="accent1" w:themeShade="80"/>
        </w:rPr>
        <w:t>T</w:t>
      </w:r>
      <w:r w:rsidR="000F3783" w:rsidRPr="00B55BD6">
        <w:rPr>
          <w:rFonts w:ascii="Calibri" w:hAnsi="Calibri" w:cs="Calibri"/>
          <w:color w:val="1F4E79" w:themeColor="accent1" w:themeShade="80"/>
        </w:rPr>
        <w:t>oward a more</w:t>
      </w:r>
      <w:r w:rsidR="008904BB">
        <w:rPr>
          <w:rFonts w:ascii="Calibri" w:hAnsi="Calibri" w:cs="Calibri"/>
          <w:color w:val="1F4E79" w:themeColor="accent1" w:themeShade="80"/>
        </w:rPr>
        <w:t xml:space="preserve"> pro-poor</w:t>
      </w:r>
      <w:r w:rsidR="000F3783" w:rsidRPr="00B55BD6">
        <w:rPr>
          <w:rFonts w:ascii="Calibri" w:hAnsi="Calibri" w:cs="Calibri"/>
          <w:color w:val="1F4E79" w:themeColor="accent1" w:themeShade="80"/>
        </w:rPr>
        <w:t xml:space="preserve"> and explicit </w:t>
      </w:r>
      <w:r w:rsidR="00D95CFF" w:rsidRPr="00B55BD6">
        <w:rPr>
          <w:rFonts w:ascii="Calibri" w:hAnsi="Calibri" w:cs="Calibri"/>
          <w:color w:val="1F4E79" w:themeColor="accent1" w:themeShade="80"/>
        </w:rPr>
        <w:t>benefit package</w:t>
      </w:r>
      <w:bookmarkEnd w:id="10"/>
      <w:r w:rsidR="00D95CFF" w:rsidRPr="00B55BD6">
        <w:rPr>
          <w:rFonts w:ascii="Calibri" w:hAnsi="Calibri" w:cs="Calibri"/>
          <w:color w:val="1F4E79" w:themeColor="accent1" w:themeShade="80"/>
        </w:rPr>
        <w:t xml:space="preserve"> </w:t>
      </w:r>
    </w:p>
    <w:p w14:paraId="2478F002" w14:textId="03E571D6" w:rsidR="00440016" w:rsidRPr="00E6167F" w:rsidRDefault="00116130" w:rsidP="00363D34">
      <w:pPr>
        <w:spacing w:line="240" w:lineRule="auto"/>
        <w:jc w:val="both"/>
        <w:rPr>
          <w:rFonts w:cstheme="minorHAnsi"/>
        </w:rPr>
      </w:pPr>
      <w:r w:rsidRPr="00E6167F">
        <w:rPr>
          <w:rFonts w:cstheme="minorHAnsi"/>
        </w:rPr>
        <w:t xml:space="preserve">From the section above, it can be seen that a number of measures are needed to improve the </w:t>
      </w:r>
      <w:r w:rsidR="006B7C2A" w:rsidRPr="00E6167F">
        <w:rPr>
          <w:rFonts w:cstheme="minorHAnsi"/>
        </w:rPr>
        <w:t xml:space="preserve">effectiveness of the SGBP in </w:t>
      </w:r>
      <w:r w:rsidR="00A027A9" w:rsidRPr="00E6167F">
        <w:rPr>
          <w:rFonts w:cstheme="minorHAnsi"/>
        </w:rPr>
        <w:t xml:space="preserve">fulfilling its mission of </w:t>
      </w:r>
      <w:r w:rsidR="00577C2B" w:rsidRPr="00E6167F">
        <w:rPr>
          <w:rFonts w:cstheme="minorHAnsi"/>
        </w:rPr>
        <w:t xml:space="preserve">ensuring the right to health care for </w:t>
      </w:r>
      <w:r w:rsidR="003C704D" w:rsidRPr="00E6167F">
        <w:rPr>
          <w:rFonts w:cstheme="minorHAnsi"/>
        </w:rPr>
        <w:t>all citizens in the Kyrgyz Republic. A non-exhaustive l</w:t>
      </w:r>
      <w:r w:rsidR="00440016" w:rsidRPr="00E6167F">
        <w:rPr>
          <w:rFonts w:cstheme="minorHAnsi"/>
        </w:rPr>
        <w:t>ist</w:t>
      </w:r>
      <w:r w:rsidR="00A55962">
        <w:rPr>
          <w:rFonts w:cstheme="minorHAnsi"/>
        </w:rPr>
        <w:t xml:space="preserve"> of needed actions</w:t>
      </w:r>
      <w:r w:rsidR="00440016" w:rsidRPr="00E6167F">
        <w:rPr>
          <w:rFonts w:cstheme="minorHAnsi"/>
        </w:rPr>
        <w:t xml:space="preserve"> </w:t>
      </w:r>
      <w:r w:rsidR="003C704D" w:rsidRPr="00E6167F">
        <w:rPr>
          <w:rFonts w:cstheme="minorHAnsi"/>
        </w:rPr>
        <w:t xml:space="preserve">could be: </w:t>
      </w:r>
    </w:p>
    <w:p w14:paraId="4E9C5118" w14:textId="55EDB28A" w:rsidR="00440016" w:rsidRPr="00E6167F" w:rsidRDefault="003009A2" w:rsidP="00363D34">
      <w:pPr>
        <w:pStyle w:val="ListParagraph"/>
        <w:numPr>
          <w:ilvl w:val="0"/>
          <w:numId w:val="26"/>
        </w:numPr>
        <w:spacing w:line="240" w:lineRule="auto"/>
        <w:contextualSpacing w:val="0"/>
        <w:jc w:val="both"/>
        <w:rPr>
          <w:rFonts w:cstheme="minorHAnsi"/>
        </w:rPr>
      </w:pPr>
      <w:r>
        <w:rPr>
          <w:rFonts w:cstheme="minorHAnsi"/>
        </w:rPr>
        <w:t xml:space="preserve">To </w:t>
      </w:r>
      <w:r w:rsidR="00531310">
        <w:rPr>
          <w:rFonts w:cstheme="minorHAnsi"/>
        </w:rPr>
        <w:t xml:space="preserve">simplify the SGBP and </w:t>
      </w:r>
      <w:r w:rsidR="000A0A6E" w:rsidRPr="00E6167F">
        <w:rPr>
          <w:rFonts w:cstheme="minorHAnsi"/>
        </w:rPr>
        <w:t>conduct campaign</w:t>
      </w:r>
      <w:r w:rsidR="00531310">
        <w:rPr>
          <w:rFonts w:cstheme="minorHAnsi"/>
        </w:rPr>
        <w:t>s</w:t>
      </w:r>
      <w:r w:rsidR="000A0A6E" w:rsidRPr="00E6167F">
        <w:rPr>
          <w:rFonts w:cstheme="minorHAnsi"/>
        </w:rPr>
        <w:t xml:space="preserve"> to raise </w:t>
      </w:r>
      <w:r w:rsidR="00531310">
        <w:rPr>
          <w:rFonts w:cstheme="minorHAnsi"/>
        </w:rPr>
        <w:t xml:space="preserve">population awareness </w:t>
      </w:r>
      <w:r w:rsidR="000A0A6E" w:rsidRPr="00E6167F">
        <w:rPr>
          <w:rFonts w:cstheme="minorHAnsi"/>
        </w:rPr>
        <w:t>of their entitlement</w:t>
      </w:r>
      <w:r w:rsidR="00531310">
        <w:rPr>
          <w:rFonts w:cstheme="minorHAnsi"/>
        </w:rPr>
        <w:t>s</w:t>
      </w:r>
      <w:r w:rsidR="000A0A6E" w:rsidRPr="00E6167F">
        <w:rPr>
          <w:rFonts w:cstheme="minorHAnsi"/>
        </w:rPr>
        <w:t xml:space="preserve">, </w:t>
      </w:r>
      <w:r w:rsidR="00531310">
        <w:rPr>
          <w:rFonts w:cstheme="minorHAnsi"/>
        </w:rPr>
        <w:t xml:space="preserve">and to </w:t>
      </w:r>
      <w:r w:rsidR="000A0A6E" w:rsidRPr="00E6167F">
        <w:rPr>
          <w:rFonts w:cstheme="minorHAnsi"/>
        </w:rPr>
        <w:t>improve transparency and accountability of the providers</w:t>
      </w:r>
      <w:r w:rsidR="00B05DD6">
        <w:rPr>
          <w:rFonts w:cstheme="minorHAnsi"/>
        </w:rPr>
        <w:t>;</w:t>
      </w:r>
      <w:r w:rsidR="000A0A6E" w:rsidRPr="00E6167F">
        <w:rPr>
          <w:rFonts w:cstheme="minorHAnsi"/>
        </w:rPr>
        <w:t xml:space="preserve"> </w:t>
      </w:r>
    </w:p>
    <w:p w14:paraId="38D77245" w14:textId="1AE7484E" w:rsidR="00303042" w:rsidRPr="00E6167F" w:rsidRDefault="00D05D1C" w:rsidP="00363D34">
      <w:pPr>
        <w:pStyle w:val="ListParagraph"/>
        <w:numPr>
          <w:ilvl w:val="0"/>
          <w:numId w:val="26"/>
        </w:numPr>
        <w:spacing w:line="240" w:lineRule="auto"/>
        <w:contextualSpacing w:val="0"/>
        <w:jc w:val="both"/>
        <w:rPr>
          <w:rFonts w:cstheme="minorHAnsi"/>
        </w:rPr>
      </w:pPr>
      <w:r>
        <w:rPr>
          <w:rFonts w:cstheme="minorHAnsi"/>
        </w:rPr>
        <w:t xml:space="preserve">To </w:t>
      </w:r>
      <w:r w:rsidR="000E55C5" w:rsidRPr="00E6167F">
        <w:rPr>
          <w:rFonts w:cstheme="minorHAnsi"/>
        </w:rPr>
        <w:t xml:space="preserve">move </w:t>
      </w:r>
      <w:r>
        <w:rPr>
          <w:rFonts w:cstheme="minorHAnsi"/>
        </w:rPr>
        <w:t xml:space="preserve">gradually </w:t>
      </w:r>
      <w:r w:rsidR="000E55C5" w:rsidRPr="00E6167F">
        <w:rPr>
          <w:rFonts w:cstheme="minorHAnsi"/>
        </w:rPr>
        <w:t>toward a more explicit version of the SGBP, in line with international trend and best practices</w:t>
      </w:r>
      <w:r w:rsidR="00B05DD6">
        <w:rPr>
          <w:rFonts w:cstheme="minorHAnsi"/>
        </w:rPr>
        <w:t>;</w:t>
      </w:r>
    </w:p>
    <w:p w14:paraId="3D222488" w14:textId="2ECC19E4" w:rsidR="0046399D" w:rsidRPr="00E6167F" w:rsidRDefault="00D05D1C" w:rsidP="00363D34">
      <w:pPr>
        <w:pStyle w:val="ListParagraph"/>
        <w:numPr>
          <w:ilvl w:val="0"/>
          <w:numId w:val="26"/>
        </w:numPr>
        <w:spacing w:line="240" w:lineRule="auto"/>
        <w:contextualSpacing w:val="0"/>
        <w:jc w:val="both"/>
        <w:rPr>
          <w:rFonts w:cstheme="minorHAnsi"/>
        </w:rPr>
      </w:pPr>
      <w:r>
        <w:rPr>
          <w:rFonts w:cstheme="minorHAnsi"/>
        </w:rPr>
        <w:t>To r</w:t>
      </w:r>
      <w:r w:rsidR="00075624" w:rsidRPr="00E6167F">
        <w:rPr>
          <w:rFonts w:cstheme="minorHAnsi"/>
        </w:rPr>
        <w:t xml:space="preserve">efine </w:t>
      </w:r>
      <w:r w:rsidR="004E3178" w:rsidRPr="00E6167F">
        <w:rPr>
          <w:rFonts w:cstheme="minorHAnsi"/>
        </w:rPr>
        <w:t xml:space="preserve">the exemption groups and make it more explicitly </w:t>
      </w:r>
      <w:r w:rsidR="00B05DD6">
        <w:rPr>
          <w:rFonts w:cstheme="minorHAnsi"/>
        </w:rPr>
        <w:t xml:space="preserve">poverty </w:t>
      </w:r>
      <w:r w:rsidR="004E3178" w:rsidRPr="00E6167F">
        <w:rPr>
          <w:rFonts w:cstheme="minorHAnsi"/>
        </w:rPr>
        <w:t>targeted, also in line with international trend and best practices</w:t>
      </w:r>
      <w:r w:rsidR="00B05DD6">
        <w:rPr>
          <w:rFonts w:cstheme="minorHAnsi"/>
        </w:rPr>
        <w:t>;</w:t>
      </w:r>
    </w:p>
    <w:p w14:paraId="73985FB3" w14:textId="03200017" w:rsidR="00440016" w:rsidRPr="00E6167F" w:rsidRDefault="00D13EE0" w:rsidP="00363D34">
      <w:pPr>
        <w:pStyle w:val="ListParagraph"/>
        <w:numPr>
          <w:ilvl w:val="0"/>
          <w:numId w:val="26"/>
        </w:numPr>
        <w:spacing w:line="240" w:lineRule="auto"/>
        <w:contextualSpacing w:val="0"/>
        <w:jc w:val="both"/>
        <w:rPr>
          <w:rFonts w:cstheme="minorHAnsi"/>
        </w:rPr>
      </w:pPr>
      <w:r>
        <w:rPr>
          <w:rFonts w:cstheme="minorHAnsi"/>
        </w:rPr>
        <w:t xml:space="preserve">To implement a whole </w:t>
      </w:r>
      <w:r w:rsidR="00A24AB1" w:rsidRPr="00E6167F">
        <w:rPr>
          <w:rFonts w:cstheme="minorHAnsi"/>
        </w:rPr>
        <w:t>array of measures to improve efficiency</w:t>
      </w:r>
      <w:r>
        <w:rPr>
          <w:rFonts w:cstheme="minorHAnsi"/>
        </w:rPr>
        <w:t xml:space="preserve">, </w:t>
      </w:r>
      <w:r w:rsidR="00A24AB1" w:rsidRPr="00E6167F">
        <w:rPr>
          <w:rFonts w:cstheme="minorHAnsi"/>
        </w:rPr>
        <w:t>reduce cost</w:t>
      </w:r>
      <w:r w:rsidR="00DC16D6">
        <w:rPr>
          <w:rFonts w:cstheme="minorHAnsi"/>
        </w:rPr>
        <w:t>, and control price among providers and pharmacies;</w:t>
      </w:r>
      <w:r w:rsidR="009360A3">
        <w:rPr>
          <w:rFonts w:cstheme="minorHAnsi"/>
        </w:rPr>
        <w:t xml:space="preserve"> and</w:t>
      </w:r>
    </w:p>
    <w:p w14:paraId="66EA70F5" w14:textId="30AC3964" w:rsidR="009360A3" w:rsidRDefault="00DC16D6" w:rsidP="009360A3">
      <w:pPr>
        <w:pStyle w:val="ListParagraph"/>
        <w:numPr>
          <w:ilvl w:val="0"/>
          <w:numId w:val="26"/>
        </w:numPr>
        <w:spacing w:line="240" w:lineRule="auto"/>
        <w:contextualSpacing w:val="0"/>
        <w:jc w:val="both"/>
        <w:rPr>
          <w:rFonts w:cstheme="minorHAnsi"/>
        </w:rPr>
      </w:pPr>
      <w:r>
        <w:rPr>
          <w:rFonts w:cstheme="minorHAnsi"/>
        </w:rPr>
        <w:t xml:space="preserve">To improve the data </w:t>
      </w:r>
      <w:r w:rsidR="00440016" w:rsidRPr="00E6167F">
        <w:rPr>
          <w:rFonts w:cstheme="minorHAnsi"/>
        </w:rPr>
        <w:t>system</w:t>
      </w:r>
      <w:r w:rsidR="009360A3">
        <w:rPr>
          <w:rFonts w:cstheme="minorHAnsi"/>
        </w:rPr>
        <w:t xml:space="preserve"> and </w:t>
      </w:r>
      <w:r w:rsidR="001D5DD4">
        <w:rPr>
          <w:rFonts w:cstheme="minorHAnsi"/>
        </w:rPr>
        <w:t xml:space="preserve">generate more data </w:t>
      </w:r>
      <w:r w:rsidR="009360A3">
        <w:rPr>
          <w:rFonts w:cstheme="minorHAnsi"/>
        </w:rPr>
        <w:t>for decision making, including costing data.</w:t>
      </w:r>
    </w:p>
    <w:p w14:paraId="61F7AB3D" w14:textId="5C8B54B9" w:rsidR="00A24AB1" w:rsidRPr="009360A3" w:rsidRDefault="009360A3" w:rsidP="009360A3">
      <w:pPr>
        <w:spacing w:line="240" w:lineRule="auto"/>
        <w:jc w:val="both"/>
        <w:rPr>
          <w:rFonts w:cstheme="minorHAnsi"/>
        </w:rPr>
      </w:pPr>
      <w:r w:rsidRPr="009360A3">
        <w:rPr>
          <w:rFonts w:cstheme="minorHAnsi"/>
        </w:rPr>
        <w:t xml:space="preserve"> </w:t>
      </w:r>
      <w:r w:rsidR="004C61E9" w:rsidRPr="009360A3">
        <w:rPr>
          <w:rFonts w:cstheme="minorHAnsi"/>
        </w:rPr>
        <w:t xml:space="preserve">Note that increasing funding for the SGBP is not an explicit recommendation. </w:t>
      </w:r>
      <w:r w:rsidR="00E573A8">
        <w:rPr>
          <w:rFonts w:cstheme="minorHAnsi"/>
        </w:rPr>
        <w:t xml:space="preserve">It is certainly the case </w:t>
      </w:r>
      <w:r w:rsidR="004C61E9" w:rsidRPr="009360A3">
        <w:rPr>
          <w:rFonts w:cstheme="minorHAnsi"/>
        </w:rPr>
        <w:t xml:space="preserve">that the benefit package is shallow </w:t>
      </w:r>
      <w:r w:rsidR="00FA2B12" w:rsidRPr="009360A3">
        <w:rPr>
          <w:rFonts w:cstheme="minorHAnsi"/>
        </w:rPr>
        <w:t xml:space="preserve">and funding is far from enough. However, a recommendation to increase funding without taking into account competing needs for resources in a poor country </w:t>
      </w:r>
      <w:r w:rsidR="004B6375">
        <w:rPr>
          <w:rFonts w:cstheme="minorHAnsi"/>
        </w:rPr>
        <w:t xml:space="preserve">will not </w:t>
      </w:r>
      <w:r w:rsidR="00FA2B12" w:rsidRPr="009360A3">
        <w:rPr>
          <w:rFonts w:cstheme="minorHAnsi"/>
        </w:rPr>
        <w:t xml:space="preserve">have much </w:t>
      </w:r>
      <w:r w:rsidR="004B6375">
        <w:rPr>
          <w:rFonts w:cstheme="minorHAnsi"/>
        </w:rPr>
        <w:t>attraction</w:t>
      </w:r>
      <w:r w:rsidR="00FA2B12" w:rsidRPr="009360A3">
        <w:rPr>
          <w:rFonts w:cstheme="minorHAnsi"/>
        </w:rPr>
        <w:t xml:space="preserve">. </w:t>
      </w:r>
      <w:r w:rsidR="00F270EA" w:rsidRPr="009360A3">
        <w:rPr>
          <w:rFonts w:cstheme="minorHAnsi"/>
        </w:rPr>
        <w:t xml:space="preserve">The recommendations here focus on measures that could be done without </w:t>
      </w:r>
      <w:r w:rsidR="0007585E">
        <w:rPr>
          <w:rFonts w:cstheme="minorHAnsi"/>
        </w:rPr>
        <w:t xml:space="preserve">significant </w:t>
      </w:r>
      <w:r w:rsidR="0031789E">
        <w:rPr>
          <w:rFonts w:cstheme="minorHAnsi"/>
        </w:rPr>
        <w:t>additional budget</w:t>
      </w:r>
      <w:r w:rsidR="00F270EA" w:rsidRPr="009360A3">
        <w:rPr>
          <w:rFonts w:cstheme="minorHAnsi"/>
        </w:rPr>
        <w:t xml:space="preserve">, some of them will free up resources which can be used </w:t>
      </w:r>
      <w:r w:rsidR="00B463BD" w:rsidRPr="009360A3">
        <w:rPr>
          <w:rFonts w:cstheme="minorHAnsi"/>
        </w:rPr>
        <w:t xml:space="preserve">to deepen the benefits. </w:t>
      </w:r>
    </w:p>
    <w:p w14:paraId="0C03463D" w14:textId="46646C47" w:rsidR="00F37F23" w:rsidRPr="00E6167F" w:rsidRDefault="00F37F23" w:rsidP="00363D34">
      <w:pPr>
        <w:spacing w:line="240" w:lineRule="auto"/>
        <w:jc w:val="both"/>
        <w:rPr>
          <w:rFonts w:cstheme="minorHAnsi"/>
        </w:rPr>
      </w:pPr>
      <w:r w:rsidRPr="00E6167F">
        <w:rPr>
          <w:rFonts w:cstheme="minorHAnsi"/>
        </w:rPr>
        <w:t>Increasing copayment is also not a recommendation</w:t>
      </w:r>
      <w:r w:rsidR="009859C9" w:rsidRPr="00E6167F">
        <w:rPr>
          <w:rFonts w:cstheme="minorHAnsi"/>
        </w:rPr>
        <w:t xml:space="preserve">. </w:t>
      </w:r>
      <w:r w:rsidR="004207F5">
        <w:rPr>
          <w:rFonts w:cstheme="minorHAnsi"/>
        </w:rPr>
        <w:t>W</w:t>
      </w:r>
      <w:r w:rsidR="004207F5" w:rsidRPr="00E6167F">
        <w:rPr>
          <w:rFonts w:cstheme="minorHAnsi"/>
        </w:rPr>
        <w:t xml:space="preserve">ithout </w:t>
      </w:r>
      <w:r w:rsidR="004207F5">
        <w:rPr>
          <w:rFonts w:cstheme="minorHAnsi"/>
        </w:rPr>
        <w:t xml:space="preserve">putting in place a well-functioning </w:t>
      </w:r>
      <w:r w:rsidR="004207F5" w:rsidRPr="00E6167F">
        <w:rPr>
          <w:rFonts w:cstheme="minorHAnsi"/>
        </w:rPr>
        <w:t xml:space="preserve">poverty targeting </w:t>
      </w:r>
      <w:r w:rsidR="004207F5">
        <w:rPr>
          <w:rFonts w:cstheme="minorHAnsi"/>
        </w:rPr>
        <w:t>mechanism,</w:t>
      </w:r>
      <w:r w:rsidR="009859C9" w:rsidRPr="00E6167F">
        <w:rPr>
          <w:rFonts w:cstheme="minorHAnsi"/>
        </w:rPr>
        <w:t xml:space="preserve"> increasing copayment </w:t>
      </w:r>
      <w:r w:rsidR="00221279" w:rsidRPr="00E6167F">
        <w:rPr>
          <w:rFonts w:cstheme="minorHAnsi"/>
        </w:rPr>
        <w:t>may make it more harmful for the poor</w:t>
      </w:r>
      <w:r w:rsidR="00D20100" w:rsidRPr="00E6167F">
        <w:rPr>
          <w:rFonts w:cstheme="minorHAnsi"/>
        </w:rPr>
        <w:t xml:space="preserve"> and </w:t>
      </w:r>
      <w:r w:rsidR="00D53E26">
        <w:rPr>
          <w:rFonts w:cstheme="minorHAnsi"/>
        </w:rPr>
        <w:t>may exacer</w:t>
      </w:r>
      <w:r w:rsidR="004029D5">
        <w:rPr>
          <w:rFonts w:cstheme="minorHAnsi"/>
        </w:rPr>
        <w:t>b</w:t>
      </w:r>
      <w:r w:rsidR="00D53E26">
        <w:rPr>
          <w:rFonts w:cstheme="minorHAnsi"/>
        </w:rPr>
        <w:t xml:space="preserve">ate </w:t>
      </w:r>
      <w:r w:rsidR="002A3247">
        <w:rPr>
          <w:rFonts w:cstheme="minorHAnsi"/>
        </w:rPr>
        <w:t>the differential benefits given to the non-poor population. M</w:t>
      </w:r>
      <w:r w:rsidR="00D20100" w:rsidRPr="00E6167F">
        <w:rPr>
          <w:rFonts w:cstheme="minorHAnsi"/>
        </w:rPr>
        <w:t xml:space="preserve">ore research will need to be done to </w:t>
      </w:r>
      <w:r w:rsidR="002A3247">
        <w:rPr>
          <w:rFonts w:cstheme="minorHAnsi"/>
        </w:rPr>
        <w:t>u</w:t>
      </w:r>
      <w:r w:rsidR="00D20100" w:rsidRPr="00E6167F">
        <w:rPr>
          <w:rFonts w:cstheme="minorHAnsi"/>
        </w:rPr>
        <w:t xml:space="preserve">nderstand the </w:t>
      </w:r>
      <w:r w:rsidR="00A40B9F" w:rsidRPr="00E6167F">
        <w:rPr>
          <w:rFonts w:cstheme="minorHAnsi"/>
        </w:rPr>
        <w:t xml:space="preserve">effects of copayment increase </w:t>
      </w:r>
      <w:r w:rsidR="00230587">
        <w:rPr>
          <w:rFonts w:cstheme="minorHAnsi"/>
        </w:rPr>
        <w:t xml:space="preserve">vis-à-vis </w:t>
      </w:r>
      <w:r w:rsidR="00A40B9F" w:rsidRPr="00E6167F">
        <w:rPr>
          <w:rFonts w:cstheme="minorHAnsi"/>
        </w:rPr>
        <w:t xml:space="preserve">the potential to raise additional revenue and distributional impact on different population groups. </w:t>
      </w:r>
    </w:p>
    <w:p w14:paraId="038DE838" w14:textId="3AAD625C" w:rsidR="00440016" w:rsidRPr="00E6167F" w:rsidRDefault="00A44012" w:rsidP="00363D34">
      <w:pPr>
        <w:spacing w:line="240" w:lineRule="auto"/>
        <w:jc w:val="both"/>
        <w:rPr>
          <w:rFonts w:cstheme="minorHAnsi"/>
        </w:rPr>
      </w:pPr>
      <w:r>
        <w:rPr>
          <w:rFonts w:cstheme="minorHAnsi"/>
        </w:rPr>
        <w:t xml:space="preserve">The </w:t>
      </w:r>
      <w:r w:rsidR="006F1005" w:rsidRPr="00E6167F">
        <w:rPr>
          <w:rFonts w:cstheme="minorHAnsi"/>
        </w:rPr>
        <w:t>following</w:t>
      </w:r>
      <w:r>
        <w:rPr>
          <w:rFonts w:cstheme="minorHAnsi"/>
        </w:rPr>
        <w:t xml:space="preserve"> </w:t>
      </w:r>
      <w:r w:rsidR="006F1005" w:rsidRPr="00E6167F">
        <w:rPr>
          <w:rFonts w:cstheme="minorHAnsi"/>
        </w:rPr>
        <w:t>focus</w:t>
      </w:r>
      <w:r>
        <w:rPr>
          <w:rFonts w:cstheme="minorHAnsi"/>
        </w:rPr>
        <w:t>es</w:t>
      </w:r>
      <w:r w:rsidR="006F1005" w:rsidRPr="00E6167F">
        <w:rPr>
          <w:rFonts w:cstheme="minorHAnsi"/>
        </w:rPr>
        <w:t xml:space="preserve"> on </w:t>
      </w:r>
      <w:r w:rsidR="005E6250">
        <w:rPr>
          <w:rFonts w:cstheme="minorHAnsi"/>
        </w:rPr>
        <w:t>several most acute issues and offer</w:t>
      </w:r>
      <w:r>
        <w:rPr>
          <w:rFonts w:cstheme="minorHAnsi"/>
        </w:rPr>
        <w:t>s</w:t>
      </w:r>
      <w:r w:rsidR="005E6250">
        <w:rPr>
          <w:rFonts w:cstheme="minorHAnsi"/>
        </w:rPr>
        <w:t xml:space="preserve"> </w:t>
      </w:r>
      <w:r>
        <w:rPr>
          <w:rFonts w:cstheme="minorHAnsi"/>
        </w:rPr>
        <w:t>an</w:t>
      </w:r>
      <w:r w:rsidR="00890533" w:rsidRPr="00E6167F">
        <w:rPr>
          <w:rFonts w:cstheme="minorHAnsi"/>
        </w:rPr>
        <w:t xml:space="preserve"> </w:t>
      </w:r>
      <w:r w:rsidR="003B05D5" w:rsidRPr="00E6167F">
        <w:rPr>
          <w:rFonts w:cstheme="minorHAnsi"/>
        </w:rPr>
        <w:t>illustrat</w:t>
      </w:r>
      <w:r>
        <w:rPr>
          <w:rFonts w:cstheme="minorHAnsi"/>
        </w:rPr>
        <w:t xml:space="preserve">ion on </w:t>
      </w:r>
      <w:r w:rsidR="003B05D5" w:rsidRPr="00E6167F">
        <w:rPr>
          <w:rFonts w:cstheme="minorHAnsi"/>
        </w:rPr>
        <w:t xml:space="preserve">possible </w:t>
      </w:r>
      <w:r>
        <w:rPr>
          <w:rFonts w:cstheme="minorHAnsi"/>
        </w:rPr>
        <w:t>ways to proceed</w:t>
      </w:r>
      <w:r w:rsidR="003B05D5" w:rsidRPr="00E6167F">
        <w:rPr>
          <w:rFonts w:cstheme="minorHAnsi"/>
        </w:rPr>
        <w:t xml:space="preserve">. The recommendation takes into account the </w:t>
      </w:r>
      <w:r w:rsidR="00B859EE">
        <w:rPr>
          <w:rFonts w:cstheme="minorHAnsi"/>
        </w:rPr>
        <w:t xml:space="preserve">particular context </w:t>
      </w:r>
      <w:r w:rsidR="003B05D5" w:rsidRPr="00E6167F">
        <w:rPr>
          <w:rFonts w:cstheme="minorHAnsi"/>
        </w:rPr>
        <w:t>of the SGBP</w:t>
      </w:r>
      <w:r w:rsidR="0023109D">
        <w:rPr>
          <w:rFonts w:cstheme="minorHAnsi"/>
        </w:rPr>
        <w:t xml:space="preserve"> in the Kyrgyz Republic</w:t>
      </w:r>
      <w:r w:rsidR="007A488F">
        <w:rPr>
          <w:rFonts w:cstheme="minorHAnsi"/>
        </w:rPr>
        <w:t xml:space="preserve"> and experiences from other countries</w:t>
      </w:r>
      <w:r w:rsidR="003B05D5" w:rsidRPr="00E6167F">
        <w:rPr>
          <w:rFonts w:cstheme="minorHAnsi"/>
        </w:rPr>
        <w:t xml:space="preserve">. </w:t>
      </w:r>
      <w:r w:rsidR="0023109D">
        <w:rPr>
          <w:rFonts w:cstheme="minorHAnsi"/>
        </w:rPr>
        <w:t xml:space="preserve">In addition, some basic principles for the </w:t>
      </w:r>
      <w:r w:rsidR="00B859EE">
        <w:rPr>
          <w:rFonts w:cstheme="minorHAnsi"/>
        </w:rPr>
        <w:t xml:space="preserve">benefit package definition and revision that </w:t>
      </w:r>
      <w:r w:rsidR="0023109D">
        <w:rPr>
          <w:rFonts w:cstheme="minorHAnsi"/>
        </w:rPr>
        <w:t xml:space="preserve">are applied </w:t>
      </w:r>
      <w:r w:rsidR="00D33636">
        <w:rPr>
          <w:rFonts w:cstheme="minorHAnsi"/>
        </w:rPr>
        <w:t xml:space="preserve">universally </w:t>
      </w:r>
      <w:r w:rsidR="000C1209">
        <w:rPr>
          <w:rFonts w:cstheme="minorHAnsi"/>
        </w:rPr>
        <w:t xml:space="preserve">are provided in </w:t>
      </w:r>
      <w:r w:rsidR="00D33636">
        <w:rPr>
          <w:rFonts w:cstheme="minorHAnsi"/>
        </w:rPr>
        <w:t xml:space="preserve">the </w:t>
      </w:r>
      <w:r w:rsidR="000C1209">
        <w:rPr>
          <w:rFonts w:cstheme="minorHAnsi"/>
        </w:rPr>
        <w:t>annex for interested readers</w:t>
      </w:r>
      <w:r w:rsidR="002314B8">
        <w:rPr>
          <w:rFonts w:cstheme="minorHAnsi"/>
        </w:rPr>
        <w:t xml:space="preserve"> (annex 2). </w:t>
      </w:r>
    </w:p>
    <w:p w14:paraId="205C7D8D" w14:textId="4D8C7147" w:rsidR="00520FB7" w:rsidRPr="00C9342F" w:rsidRDefault="007B0123" w:rsidP="00D92F7A">
      <w:pPr>
        <w:pStyle w:val="Subheading1"/>
        <w:numPr>
          <w:ilvl w:val="0"/>
          <w:numId w:val="44"/>
        </w:numPr>
      </w:pPr>
      <w:bookmarkStart w:id="11" w:name="_Toc10477896"/>
      <w:r w:rsidRPr="00C9342F">
        <w:t xml:space="preserve">Making poverty targeting central </w:t>
      </w:r>
      <w:r w:rsidR="00B42745" w:rsidRPr="00C9342F">
        <w:t>in the subsidization of the SGBP</w:t>
      </w:r>
      <w:bookmarkEnd w:id="11"/>
    </w:p>
    <w:p w14:paraId="7EA81616" w14:textId="334E6A27" w:rsidR="003849E4" w:rsidRPr="00E6167F" w:rsidRDefault="00B638AA" w:rsidP="00363D34">
      <w:pPr>
        <w:spacing w:line="240" w:lineRule="auto"/>
        <w:jc w:val="both"/>
        <w:rPr>
          <w:rFonts w:cstheme="minorHAnsi"/>
        </w:rPr>
      </w:pPr>
      <w:r>
        <w:rPr>
          <w:rFonts w:cstheme="minorHAnsi"/>
        </w:rPr>
        <w:t xml:space="preserve">As shown </w:t>
      </w:r>
      <w:r w:rsidR="003849E4" w:rsidRPr="00E6167F">
        <w:rPr>
          <w:rFonts w:cstheme="minorHAnsi"/>
        </w:rPr>
        <w:t>above</w:t>
      </w:r>
      <w:r>
        <w:rPr>
          <w:rFonts w:cstheme="minorHAnsi"/>
        </w:rPr>
        <w:t>,</w:t>
      </w:r>
      <w:r w:rsidR="003849E4" w:rsidRPr="00E6167F">
        <w:rPr>
          <w:rFonts w:cstheme="minorHAnsi"/>
        </w:rPr>
        <w:t xml:space="preserve"> </w:t>
      </w:r>
      <w:r w:rsidR="00D62216" w:rsidRPr="00E6167F">
        <w:rPr>
          <w:rFonts w:cstheme="minorHAnsi"/>
        </w:rPr>
        <w:t xml:space="preserve">two conflicting </w:t>
      </w:r>
      <w:r w:rsidR="00813B47" w:rsidRPr="00E6167F">
        <w:rPr>
          <w:rFonts w:cstheme="minorHAnsi"/>
        </w:rPr>
        <w:t xml:space="preserve">issues </w:t>
      </w:r>
      <w:r w:rsidR="000D7FB4" w:rsidRPr="00E6167F">
        <w:rPr>
          <w:rFonts w:cstheme="minorHAnsi"/>
        </w:rPr>
        <w:t xml:space="preserve">prevail </w:t>
      </w:r>
      <w:r w:rsidR="00813B47" w:rsidRPr="00E6167F">
        <w:rPr>
          <w:rFonts w:cstheme="minorHAnsi"/>
        </w:rPr>
        <w:t>in the list of population eligible for copayment exemption or reduction: (1) the list is too broad and generous</w:t>
      </w:r>
      <w:r w:rsidR="00720FDA">
        <w:rPr>
          <w:rFonts w:cstheme="minorHAnsi"/>
        </w:rPr>
        <w:t xml:space="preserve"> given </w:t>
      </w:r>
      <w:r w:rsidR="00C879B4" w:rsidRPr="00E6167F">
        <w:rPr>
          <w:rFonts w:cstheme="minorHAnsi"/>
        </w:rPr>
        <w:t xml:space="preserve">the resource constraints; and (2) on the other hand, the list </w:t>
      </w:r>
      <w:r w:rsidR="00DC75B4" w:rsidRPr="00E6167F">
        <w:rPr>
          <w:rFonts w:cstheme="minorHAnsi"/>
        </w:rPr>
        <w:t xml:space="preserve">does not provide adequate </w:t>
      </w:r>
      <w:r w:rsidR="00A6272C" w:rsidRPr="00E6167F">
        <w:rPr>
          <w:rFonts w:cstheme="minorHAnsi"/>
        </w:rPr>
        <w:t>protect</w:t>
      </w:r>
      <w:r w:rsidR="00DC75B4" w:rsidRPr="00E6167F">
        <w:rPr>
          <w:rFonts w:cstheme="minorHAnsi"/>
        </w:rPr>
        <w:t xml:space="preserve">ion to the </w:t>
      </w:r>
      <w:r w:rsidR="00A6272C" w:rsidRPr="00E6167F">
        <w:rPr>
          <w:rFonts w:cstheme="minorHAnsi"/>
        </w:rPr>
        <w:t xml:space="preserve">poor from the financial hardship of health care. </w:t>
      </w:r>
    </w:p>
    <w:p w14:paraId="1687508D" w14:textId="6875FBB8" w:rsidR="00C47F90" w:rsidRPr="00E6167F" w:rsidRDefault="000C0345" w:rsidP="00363D34">
      <w:pPr>
        <w:spacing w:line="240" w:lineRule="auto"/>
        <w:jc w:val="both"/>
        <w:rPr>
          <w:rFonts w:cstheme="minorHAnsi"/>
          <w:color w:val="000000"/>
        </w:rPr>
      </w:pPr>
      <w:r w:rsidRPr="00E6167F">
        <w:rPr>
          <w:rFonts w:cstheme="minorHAnsi"/>
        </w:rPr>
        <w:t xml:space="preserve">It is noteworthy, however, that the situation is not unique for the Kyrgyz Republic. </w:t>
      </w:r>
      <w:r w:rsidR="008033A7" w:rsidRPr="00E6167F">
        <w:rPr>
          <w:rFonts w:cstheme="minorHAnsi"/>
        </w:rPr>
        <w:t xml:space="preserve">The </w:t>
      </w:r>
      <w:r w:rsidR="00B64A79" w:rsidRPr="00E6167F">
        <w:rPr>
          <w:rFonts w:cstheme="minorHAnsi"/>
        </w:rPr>
        <w:t xml:space="preserve">review of </w:t>
      </w:r>
      <w:r w:rsidR="00A45DB7">
        <w:rPr>
          <w:rFonts w:cstheme="minorHAnsi"/>
        </w:rPr>
        <w:t>24 universal health coverage</w:t>
      </w:r>
      <w:r w:rsidR="00B64A79" w:rsidRPr="00E6167F">
        <w:rPr>
          <w:rFonts w:cstheme="minorHAnsi"/>
        </w:rPr>
        <w:t xml:space="preserve"> programs conducted by the World Bank reveals that most programs have multiple target populations; most </w:t>
      </w:r>
      <w:r w:rsidR="00A36113" w:rsidRPr="00E6167F">
        <w:rPr>
          <w:rFonts w:cstheme="minorHAnsi"/>
        </w:rPr>
        <w:t>programs aim for the poor, but very few if at all are only for the poor</w:t>
      </w:r>
      <w:r w:rsidR="00073E40" w:rsidRPr="00E6167F">
        <w:rPr>
          <w:rFonts w:cstheme="minorHAnsi"/>
        </w:rPr>
        <w:t xml:space="preserve"> - </w:t>
      </w:r>
      <w:r w:rsidR="00D67D3B" w:rsidRPr="00E6167F">
        <w:rPr>
          <w:rFonts w:cstheme="minorHAnsi"/>
          <w:color w:val="000000"/>
        </w:rPr>
        <w:t>“</w:t>
      </w:r>
      <w:r w:rsidR="00073E40" w:rsidRPr="00E6167F">
        <w:rPr>
          <w:rFonts w:cstheme="minorHAnsi"/>
          <w:color w:val="000000"/>
        </w:rPr>
        <w:t>v</w:t>
      </w:r>
      <w:r w:rsidR="00D67D3B" w:rsidRPr="00E6167F">
        <w:rPr>
          <w:rFonts w:cstheme="minorHAnsi"/>
          <w:color w:val="000000"/>
        </w:rPr>
        <w:t>ulnerable”</w:t>
      </w:r>
      <w:r w:rsidR="00073E40" w:rsidRPr="00E6167F">
        <w:rPr>
          <w:rFonts w:cstheme="minorHAnsi"/>
          <w:color w:val="000000"/>
        </w:rPr>
        <w:t xml:space="preserve"> groups </w:t>
      </w:r>
      <w:r w:rsidR="00D67D3B" w:rsidRPr="00E6167F">
        <w:rPr>
          <w:rFonts w:cstheme="minorHAnsi"/>
          <w:color w:val="000000"/>
        </w:rPr>
        <w:t xml:space="preserve">often </w:t>
      </w:r>
      <w:r w:rsidR="00073E40" w:rsidRPr="00E6167F">
        <w:rPr>
          <w:rFonts w:cstheme="minorHAnsi"/>
          <w:color w:val="000000"/>
        </w:rPr>
        <w:t xml:space="preserve">include also </w:t>
      </w:r>
      <w:r w:rsidR="00D67D3B" w:rsidRPr="00E6167F">
        <w:rPr>
          <w:rFonts w:cstheme="minorHAnsi"/>
          <w:color w:val="000000"/>
        </w:rPr>
        <w:t>mothers</w:t>
      </w:r>
      <w:r w:rsidR="0035090C" w:rsidRPr="00E6167F">
        <w:rPr>
          <w:rFonts w:cstheme="minorHAnsi"/>
          <w:color w:val="000000"/>
        </w:rPr>
        <w:t xml:space="preserve">, </w:t>
      </w:r>
      <w:r w:rsidR="00D67D3B" w:rsidRPr="00E6167F">
        <w:rPr>
          <w:rFonts w:cstheme="minorHAnsi"/>
          <w:color w:val="000000"/>
        </w:rPr>
        <w:t xml:space="preserve">children, </w:t>
      </w:r>
      <w:r w:rsidR="0035090C" w:rsidRPr="00E6167F">
        <w:rPr>
          <w:rFonts w:cstheme="minorHAnsi"/>
          <w:color w:val="000000"/>
        </w:rPr>
        <w:t xml:space="preserve">the elderly, people with </w:t>
      </w:r>
      <w:r w:rsidR="00D67D3B" w:rsidRPr="00E6167F">
        <w:rPr>
          <w:rFonts w:cstheme="minorHAnsi"/>
          <w:color w:val="000000"/>
        </w:rPr>
        <w:t>specific diseases</w:t>
      </w:r>
      <w:r w:rsidR="0035090C" w:rsidRPr="00E6167F">
        <w:rPr>
          <w:rFonts w:cstheme="minorHAnsi"/>
          <w:color w:val="000000"/>
        </w:rPr>
        <w:t xml:space="preserve">, and </w:t>
      </w:r>
      <w:r w:rsidR="0035090C" w:rsidRPr="00E6167F">
        <w:rPr>
          <w:rFonts w:cstheme="minorHAnsi"/>
          <w:color w:val="000000"/>
        </w:rPr>
        <w:lastRenderedPageBreak/>
        <w:t>people with s</w:t>
      </w:r>
      <w:r w:rsidR="00D67D3B" w:rsidRPr="00E6167F">
        <w:rPr>
          <w:rFonts w:cstheme="minorHAnsi"/>
          <w:color w:val="000000"/>
        </w:rPr>
        <w:t>pecial historical categories</w:t>
      </w:r>
      <w:r w:rsidR="0035090C" w:rsidRPr="00E6167F">
        <w:rPr>
          <w:rFonts w:cstheme="minorHAnsi"/>
          <w:color w:val="000000"/>
        </w:rPr>
        <w:t xml:space="preserve"> and h</w:t>
      </w:r>
      <w:r w:rsidR="00D67D3B" w:rsidRPr="00E6167F">
        <w:rPr>
          <w:rFonts w:cstheme="minorHAnsi"/>
          <w:color w:val="000000"/>
        </w:rPr>
        <w:t>ot political targets</w:t>
      </w:r>
      <w:r w:rsidR="005B3AE4" w:rsidRPr="00E6167F">
        <w:rPr>
          <w:rFonts w:cstheme="minorHAnsi"/>
          <w:color w:val="000000"/>
        </w:rPr>
        <w:t xml:space="preserve"> (</w:t>
      </w:r>
      <w:r w:rsidR="00A45DB7">
        <w:rPr>
          <w:rFonts w:cstheme="minorHAnsi"/>
          <w:color w:val="000000"/>
        </w:rPr>
        <w:t>Cotlear et al., 2015</w:t>
      </w:r>
      <w:r w:rsidR="005B3AE4" w:rsidRPr="00E6167F">
        <w:rPr>
          <w:rFonts w:cstheme="minorHAnsi"/>
          <w:color w:val="000000"/>
        </w:rPr>
        <w:t>). Within the countries</w:t>
      </w:r>
      <w:r w:rsidR="00432577" w:rsidRPr="00E6167F">
        <w:rPr>
          <w:rFonts w:cstheme="minorHAnsi"/>
          <w:color w:val="000000"/>
        </w:rPr>
        <w:t xml:space="preserve"> from the former socialist block in the Eastern Europe, </w:t>
      </w:r>
      <w:r w:rsidR="00F95786" w:rsidRPr="00E6167F">
        <w:rPr>
          <w:rFonts w:cstheme="minorHAnsi"/>
          <w:color w:val="000000"/>
        </w:rPr>
        <w:t xml:space="preserve">it is rather common to find veterans from World War II or victims of Chernobyl among the </w:t>
      </w:r>
      <w:r w:rsidR="00F2044E" w:rsidRPr="00E6167F">
        <w:rPr>
          <w:rFonts w:cstheme="minorHAnsi"/>
          <w:color w:val="000000"/>
        </w:rPr>
        <w:t xml:space="preserve">exemption group, as well as pensioners. </w:t>
      </w:r>
      <w:r w:rsidR="008A2BD7" w:rsidRPr="00E6167F">
        <w:rPr>
          <w:rFonts w:cstheme="minorHAnsi"/>
          <w:color w:val="000000"/>
        </w:rPr>
        <w:t>At the same time</w:t>
      </w:r>
      <w:r w:rsidR="0035090C" w:rsidRPr="00E6167F">
        <w:rPr>
          <w:rFonts w:cstheme="minorHAnsi"/>
          <w:color w:val="000000"/>
        </w:rPr>
        <w:t xml:space="preserve">, across </w:t>
      </w:r>
      <w:r w:rsidR="000E5C0E" w:rsidRPr="00E6167F">
        <w:rPr>
          <w:rFonts w:cstheme="minorHAnsi"/>
          <w:color w:val="000000"/>
        </w:rPr>
        <w:t xml:space="preserve">the </w:t>
      </w:r>
      <w:r w:rsidR="0035090C" w:rsidRPr="00E6167F">
        <w:rPr>
          <w:rFonts w:cstheme="minorHAnsi"/>
          <w:color w:val="000000"/>
        </w:rPr>
        <w:t>program</w:t>
      </w:r>
      <w:r w:rsidR="000E5C0E" w:rsidRPr="00E6167F">
        <w:rPr>
          <w:rFonts w:cstheme="minorHAnsi"/>
          <w:color w:val="000000"/>
        </w:rPr>
        <w:t xml:space="preserve">s reviewed by the Bank, there is an increasing recognition of the </w:t>
      </w:r>
      <w:r w:rsidR="0035090C" w:rsidRPr="00E6167F">
        <w:rPr>
          <w:rFonts w:cstheme="minorHAnsi"/>
          <w:color w:val="000000"/>
        </w:rPr>
        <w:t>r</w:t>
      </w:r>
      <w:r w:rsidR="00D67D3B" w:rsidRPr="00E6167F">
        <w:rPr>
          <w:rFonts w:cstheme="minorHAnsi"/>
          <w:color w:val="000000"/>
        </w:rPr>
        <w:t xml:space="preserve">isk of medical impoverishment </w:t>
      </w:r>
      <w:r w:rsidR="000E5C0E" w:rsidRPr="00E6167F">
        <w:rPr>
          <w:rFonts w:cstheme="minorHAnsi"/>
          <w:color w:val="000000"/>
        </w:rPr>
        <w:t>and efforts to improv</w:t>
      </w:r>
      <w:r w:rsidR="00132D43">
        <w:rPr>
          <w:rFonts w:cstheme="minorHAnsi"/>
          <w:color w:val="000000"/>
        </w:rPr>
        <w:t>e</w:t>
      </w:r>
      <w:r w:rsidR="000E5C0E" w:rsidRPr="00E6167F">
        <w:rPr>
          <w:rFonts w:cstheme="minorHAnsi"/>
          <w:color w:val="000000"/>
        </w:rPr>
        <w:t xml:space="preserve"> the targeting of benefits for the poor</w:t>
      </w:r>
      <w:r w:rsidR="007067D1">
        <w:rPr>
          <w:rFonts w:cstheme="minorHAnsi"/>
          <w:color w:val="000000"/>
        </w:rPr>
        <w:t xml:space="preserve"> (</w:t>
      </w:r>
      <w:r w:rsidR="00A45DB7">
        <w:rPr>
          <w:rFonts w:cstheme="minorHAnsi"/>
          <w:color w:val="000000"/>
        </w:rPr>
        <w:t>Cotlear et al., 2015</w:t>
      </w:r>
      <w:r w:rsidR="007067D1">
        <w:rPr>
          <w:rFonts w:cstheme="minorHAnsi"/>
          <w:color w:val="000000"/>
        </w:rPr>
        <w:t>)</w:t>
      </w:r>
      <w:r w:rsidR="000E5C0E" w:rsidRPr="00E6167F">
        <w:rPr>
          <w:rFonts w:cstheme="minorHAnsi"/>
          <w:color w:val="000000"/>
        </w:rPr>
        <w:t xml:space="preserve">. </w:t>
      </w:r>
    </w:p>
    <w:p w14:paraId="5E86E725" w14:textId="71F10CB6" w:rsidR="00927E39" w:rsidRPr="00E6167F" w:rsidRDefault="00BA35BD" w:rsidP="00363D34">
      <w:pPr>
        <w:spacing w:line="240" w:lineRule="auto"/>
        <w:jc w:val="both"/>
        <w:rPr>
          <w:rFonts w:cstheme="minorHAnsi"/>
          <w:color w:val="000000"/>
        </w:rPr>
      </w:pPr>
      <w:r w:rsidRPr="00E6167F">
        <w:rPr>
          <w:rFonts w:cstheme="minorHAnsi"/>
          <w:color w:val="000000"/>
        </w:rPr>
        <w:t>For the SGBP</w:t>
      </w:r>
      <w:r w:rsidR="00171F82" w:rsidRPr="00E6167F">
        <w:rPr>
          <w:rFonts w:cstheme="minorHAnsi"/>
          <w:color w:val="000000"/>
        </w:rPr>
        <w:t xml:space="preserve"> in the Kyrgyz Republic, </w:t>
      </w:r>
      <w:r w:rsidR="00132D43">
        <w:rPr>
          <w:rFonts w:cstheme="minorHAnsi"/>
          <w:color w:val="000000"/>
        </w:rPr>
        <w:t xml:space="preserve">the discussions were often around the possibility of </w:t>
      </w:r>
      <w:r w:rsidR="00402DAE" w:rsidRPr="00E6167F">
        <w:rPr>
          <w:rFonts w:cstheme="minorHAnsi"/>
          <w:color w:val="000000"/>
        </w:rPr>
        <w:t>shorten</w:t>
      </w:r>
      <w:r w:rsidR="00132D43">
        <w:rPr>
          <w:rFonts w:cstheme="minorHAnsi"/>
          <w:color w:val="000000"/>
        </w:rPr>
        <w:t>ing</w:t>
      </w:r>
      <w:r w:rsidR="00402DAE" w:rsidRPr="00E6167F">
        <w:rPr>
          <w:rFonts w:cstheme="minorHAnsi"/>
          <w:color w:val="000000"/>
        </w:rPr>
        <w:t xml:space="preserve"> the list of categories eligible for subsidized care</w:t>
      </w:r>
      <w:r w:rsidR="000513A9" w:rsidRPr="00E6167F">
        <w:rPr>
          <w:rFonts w:cstheme="minorHAnsi"/>
          <w:color w:val="000000"/>
        </w:rPr>
        <w:t xml:space="preserve">. </w:t>
      </w:r>
      <w:r w:rsidR="0006120F" w:rsidRPr="00E6167F">
        <w:rPr>
          <w:rFonts w:cstheme="minorHAnsi"/>
          <w:color w:val="000000"/>
        </w:rPr>
        <w:t>Such</w:t>
      </w:r>
      <w:r w:rsidR="00171F82" w:rsidRPr="00E6167F">
        <w:rPr>
          <w:rFonts w:cstheme="minorHAnsi"/>
          <w:color w:val="000000"/>
        </w:rPr>
        <w:t xml:space="preserve"> proposal to remove certain </w:t>
      </w:r>
      <w:r w:rsidR="006720D4" w:rsidRPr="00E6167F">
        <w:rPr>
          <w:rFonts w:cstheme="minorHAnsi"/>
          <w:color w:val="000000"/>
        </w:rPr>
        <w:t xml:space="preserve">eligible groups </w:t>
      </w:r>
      <w:r w:rsidR="0006120F" w:rsidRPr="00E6167F">
        <w:rPr>
          <w:rFonts w:cstheme="minorHAnsi"/>
          <w:color w:val="000000"/>
        </w:rPr>
        <w:t xml:space="preserve">has proved to </w:t>
      </w:r>
      <w:r w:rsidR="006720D4" w:rsidRPr="00E6167F">
        <w:rPr>
          <w:rFonts w:cstheme="minorHAnsi"/>
          <w:color w:val="000000"/>
        </w:rPr>
        <w:t>be politically challenging</w:t>
      </w:r>
      <w:r w:rsidR="00EC0224" w:rsidRPr="00E6167F">
        <w:rPr>
          <w:rFonts w:cstheme="minorHAnsi"/>
          <w:color w:val="000000"/>
        </w:rPr>
        <w:t xml:space="preserve">, even though the reality of budget constraint is well perceived as well as the need to better </w:t>
      </w:r>
      <w:r w:rsidR="00927E39" w:rsidRPr="00E6167F">
        <w:rPr>
          <w:rFonts w:cstheme="minorHAnsi"/>
          <w:color w:val="000000"/>
        </w:rPr>
        <w:t xml:space="preserve">protect the poor. </w:t>
      </w:r>
    </w:p>
    <w:p w14:paraId="7E5451AF" w14:textId="134206FE" w:rsidR="000750F3" w:rsidRPr="00E6167F" w:rsidRDefault="00D039BC" w:rsidP="00363D34">
      <w:pPr>
        <w:spacing w:line="240" w:lineRule="auto"/>
        <w:jc w:val="both"/>
        <w:rPr>
          <w:rFonts w:cstheme="minorHAnsi"/>
          <w:color w:val="000000"/>
        </w:rPr>
      </w:pPr>
      <w:r w:rsidRPr="00E6167F">
        <w:rPr>
          <w:rFonts w:cstheme="minorHAnsi"/>
          <w:color w:val="000000"/>
        </w:rPr>
        <w:t>A practical option that could help</w:t>
      </w:r>
      <w:r w:rsidR="002263AC" w:rsidRPr="00E6167F">
        <w:rPr>
          <w:rFonts w:cstheme="minorHAnsi"/>
          <w:color w:val="000000"/>
        </w:rPr>
        <w:t xml:space="preserve"> addressing both problems could be using </w:t>
      </w:r>
      <w:r w:rsidR="00946B75" w:rsidRPr="00E6167F">
        <w:rPr>
          <w:rFonts w:cstheme="minorHAnsi"/>
          <w:color w:val="000000"/>
        </w:rPr>
        <w:t xml:space="preserve">poverty status as a filter </w:t>
      </w:r>
      <w:r w:rsidR="0060507E" w:rsidRPr="00E6167F">
        <w:rPr>
          <w:rFonts w:cstheme="minorHAnsi"/>
          <w:color w:val="000000"/>
        </w:rPr>
        <w:t xml:space="preserve">for eligibility among the social and medical categories. </w:t>
      </w:r>
      <w:r w:rsidR="00074FC8" w:rsidRPr="00E6167F">
        <w:rPr>
          <w:rFonts w:cstheme="minorHAnsi"/>
          <w:color w:val="000000"/>
        </w:rPr>
        <w:t>The following example from Romania illustrates the idea</w:t>
      </w:r>
      <w:r w:rsidR="009C28AD">
        <w:rPr>
          <w:rFonts w:cstheme="minorHAnsi"/>
          <w:color w:val="000000"/>
        </w:rPr>
        <w:t xml:space="preserve"> (box 2).</w:t>
      </w:r>
    </w:p>
    <w:p w14:paraId="49277DD0" w14:textId="782706E7" w:rsidR="002E0405" w:rsidRPr="00E6167F" w:rsidRDefault="00D9745D" w:rsidP="00363D34">
      <w:pPr>
        <w:spacing w:line="240" w:lineRule="auto"/>
        <w:jc w:val="both"/>
        <w:rPr>
          <w:rFonts w:cstheme="minorHAnsi"/>
          <w:b/>
          <w:color w:val="000000"/>
        </w:rPr>
      </w:pPr>
      <w:r w:rsidRPr="00E6167F">
        <w:rPr>
          <w:rFonts w:cstheme="minorHAnsi"/>
          <w:noProof/>
        </w:rPr>
        <mc:AlternateContent>
          <mc:Choice Requires="wps">
            <w:drawing>
              <wp:anchor distT="0" distB="0" distL="114300" distR="114300" simplePos="0" relativeHeight="251659264" behindDoc="0" locked="0" layoutInCell="1" allowOverlap="1" wp14:anchorId="73E105E3" wp14:editId="20945B34">
                <wp:simplePos x="0" y="0"/>
                <wp:positionH relativeFrom="column">
                  <wp:posOffset>0</wp:posOffset>
                </wp:positionH>
                <wp:positionV relativeFrom="paragraph">
                  <wp:posOffset>0</wp:posOffset>
                </wp:positionV>
                <wp:extent cx="1828800" cy="1828800"/>
                <wp:effectExtent l="0" t="0" r="21590" b="26035"/>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wps:spPr>
                      <wps:txbx>
                        <w:txbxContent>
                          <w:p w14:paraId="23BA60A6" w14:textId="5EF29196" w:rsidR="006E2D13" w:rsidRPr="00AF5BD0" w:rsidRDefault="006E2D13" w:rsidP="00E71AFD">
                            <w:pPr>
                              <w:spacing w:after="0" w:line="240" w:lineRule="auto"/>
                              <w:rPr>
                                <w:rFonts w:eastAsia="Times New Roman" w:cstheme="minorHAnsi"/>
                                <w:b/>
                                <w:color w:val="000000"/>
                              </w:rPr>
                            </w:pPr>
                            <w:r w:rsidRPr="00AF5BD0">
                              <w:rPr>
                                <w:rFonts w:eastAsia="Times New Roman" w:cstheme="minorHAnsi"/>
                                <w:b/>
                                <w:color w:val="000000"/>
                              </w:rPr>
                              <w:t>Box 2. Romania</w:t>
                            </w:r>
                            <w:r>
                              <w:rPr>
                                <w:rFonts w:eastAsia="Times New Roman" w:cstheme="minorHAnsi"/>
                                <w:b/>
                                <w:color w:val="000000"/>
                              </w:rPr>
                              <w:t>:</w:t>
                            </w:r>
                            <w:r w:rsidRPr="00AF5BD0">
                              <w:rPr>
                                <w:rFonts w:eastAsia="Times New Roman" w:cstheme="minorHAnsi"/>
                                <w:b/>
                                <w:color w:val="000000"/>
                              </w:rPr>
                              <w:t xml:space="preserve"> categories of insured persons </w:t>
                            </w:r>
                            <w:r>
                              <w:rPr>
                                <w:rFonts w:eastAsia="Times New Roman" w:cstheme="minorHAnsi"/>
                                <w:b/>
                                <w:color w:val="000000"/>
                              </w:rPr>
                              <w:t xml:space="preserve">who </w:t>
                            </w:r>
                            <w:r w:rsidRPr="00AF5BD0">
                              <w:rPr>
                                <w:rFonts w:eastAsia="Times New Roman" w:cstheme="minorHAnsi"/>
                                <w:b/>
                                <w:color w:val="000000"/>
                              </w:rPr>
                              <w:t>are exempt</w:t>
                            </w:r>
                            <w:r w:rsidR="00BC22D5">
                              <w:rPr>
                                <w:rFonts w:eastAsia="Times New Roman" w:cstheme="minorHAnsi"/>
                                <w:b/>
                                <w:color w:val="000000"/>
                              </w:rPr>
                              <w:t>ed</w:t>
                            </w:r>
                            <w:r w:rsidRPr="00AF5BD0">
                              <w:rPr>
                                <w:rFonts w:eastAsia="Times New Roman" w:cstheme="minorHAnsi"/>
                                <w:b/>
                                <w:color w:val="000000"/>
                              </w:rPr>
                              <w:t xml:space="preserve"> from co-payments in inpatient treatment</w:t>
                            </w:r>
                          </w:p>
                          <w:p w14:paraId="747C69D8" w14:textId="77777777" w:rsidR="006E2D13" w:rsidRPr="00696171" w:rsidRDefault="006E2D13" w:rsidP="00E71AFD">
                            <w:pPr>
                              <w:spacing w:after="0" w:line="240" w:lineRule="auto"/>
                              <w:rPr>
                                <w:rFonts w:eastAsia="Times New Roman" w:cstheme="minorHAnsi"/>
                                <w:color w:val="000000"/>
                              </w:rPr>
                            </w:pPr>
                          </w:p>
                          <w:p w14:paraId="4FD05FA7" w14:textId="77777777" w:rsidR="006E2D13" w:rsidRPr="00696171" w:rsidRDefault="006E2D13" w:rsidP="007D1BE5">
                            <w:pPr>
                              <w:pStyle w:val="ListParagraph"/>
                              <w:numPr>
                                <w:ilvl w:val="0"/>
                                <w:numId w:val="14"/>
                              </w:numPr>
                              <w:spacing w:after="0" w:line="240" w:lineRule="auto"/>
                              <w:rPr>
                                <w:rFonts w:eastAsia="Times New Roman" w:cstheme="minorHAnsi"/>
                                <w:b/>
                                <w:color w:val="000000"/>
                              </w:rPr>
                            </w:pPr>
                            <w:r w:rsidRPr="00696171">
                              <w:rPr>
                                <w:rFonts w:eastAsia="Times New Roman" w:cstheme="minorHAnsi"/>
                                <w:color w:val="000000"/>
                              </w:rPr>
                              <w:t xml:space="preserve">Children up to 18 years old; youngsters aged between 18 and 26 who are high-school students, high-school graduates for up to three months after graduation, students or apprentices, </w:t>
                            </w:r>
                            <w:r w:rsidRPr="00696171">
                              <w:rPr>
                                <w:rFonts w:eastAsia="Times New Roman" w:cstheme="minorHAnsi"/>
                                <w:b/>
                                <w:color w:val="000000"/>
                              </w:rPr>
                              <w:t>provided they do not have income from work;</w:t>
                            </w:r>
                          </w:p>
                          <w:p w14:paraId="0755F831" w14:textId="2B884443" w:rsidR="006E2D13" w:rsidRPr="00696171" w:rsidRDefault="006E2D13" w:rsidP="007D1BE5">
                            <w:pPr>
                              <w:pStyle w:val="ListParagraph"/>
                              <w:numPr>
                                <w:ilvl w:val="0"/>
                                <w:numId w:val="14"/>
                              </w:numPr>
                              <w:spacing w:after="0" w:line="240" w:lineRule="auto"/>
                              <w:rPr>
                                <w:rFonts w:eastAsia="Times New Roman" w:cstheme="minorHAnsi"/>
                                <w:b/>
                                <w:color w:val="000000"/>
                              </w:rPr>
                            </w:pPr>
                            <w:r w:rsidRPr="00696171">
                              <w:rPr>
                                <w:rFonts w:eastAsia="Times New Roman" w:cstheme="minorHAnsi"/>
                                <w:color w:val="000000"/>
                              </w:rPr>
                              <w:t xml:space="preserve">Sick people covered by the national programs of the Ministry of Health, for the medical services related to their main disease, </w:t>
                            </w:r>
                            <w:r w:rsidRPr="00696171">
                              <w:rPr>
                                <w:rFonts w:eastAsia="Times New Roman" w:cstheme="minorHAnsi"/>
                                <w:b/>
                                <w:color w:val="000000"/>
                              </w:rPr>
                              <w:t>provided they are deprived of income of any source;</w:t>
                            </w:r>
                          </w:p>
                          <w:p w14:paraId="357E5C64" w14:textId="77777777" w:rsidR="006E2D13" w:rsidRPr="00696171" w:rsidRDefault="006E2D13" w:rsidP="007D1BE5">
                            <w:pPr>
                              <w:pStyle w:val="ListParagraph"/>
                              <w:numPr>
                                <w:ilvl w:val="0"/>
                                <w:numId w:val="14"/>
                              </w:numPr>
                              <w:spacing w:after="0" w:line="240" w:lineRule="auto"/>
                              <w:rPr>
                                <w:rFonts w:eastAsia="Times New Roman" w:cstheme="minorHAnsi"/>
                                <w:color w:val="000000"/>
                              </w:rPr>
                            </w:pPr>
                            <w:r w:rsidRPr="00696171">
                              <w:rPr>
                                <w:rFonts w:eastAsia="Times New Roman" w:cstheme="minorHAnsi"/>
                                <w:color w:val="000000"/>
                              </w:rPr>
                              <w:t xml:space="preserve">Pensioners </w:t>
                            </w:r>
                            <w:r w:rsidRPr="00696171">
                              <w:rPr>
                                <w:rFonts w:eastAsia="Times New Roman" w:cstheme="minorHAnsi"/>
                                <w:b/>
                                <w:color w:val="000000"/>
                              </w:rPr>
                              <w:t>whose income does not exceed RON740 (€163) per month</w:t>
                            </w:r>
                            <w:r w:rsidRPr="00696171">
                              <w:rPr>
                                <w:rFonts w:eastAsia="Times New Roman" w:cstheme="minorHAnsi"/>
                                <w:color w:val="000000"/>
                              </w:rPr>
                              <w:t>;</w:t>
                            </w:r>
                          </w:p>
                          <w:p w14:paraId="714ACDC8" w14:textId="063B8C34" w:rsidR="006E2D13" w:rsidRPr="00696171" w:rsidRDefault="006E2D13" w:rsidP="007D1BE5">
                            <w:pPr>
                              <w:pStyle w:val="ListParagraph"/>
                              <w:numPr>
                                <w:ilvl w:val="0"/>
                                <w:numId w:val="14"/>
                              </w:numPr>
                              <w:spacing w:after="0" w:line="240" w:lineRule="auto"/>
                              <w:rPr>
                                <w:rFonts w:eastAsia="Times New Roman" w:cstheme="minorHAnsi"/>
                                <w:color w:val="000000"/>
                              </w:rPr>
                            </w:pPr>
                            <w:r w:rsidRPr="00696171">
                              <w:rPr>
                                <w:rFonts w:eastAsia="Times New Roman" w:cstheme="minorHAnsi"/>
                                <w:color w:val="000000"/>
                              </w:rPr>
                              <w:t xml:space="preserve">Pregnant women and women who have just given birth, for medical services related to pregnancy </w:t>
                            </w:r>
                            <w:r w:rsidRPr="00696171">
                              <w:rPr>
                                <w:rFonts w:eastAsia="Times New Roman" w:cstheme="minorHAnsi"/>
                                <w:b/>
                                <w:color w:val="000000"/>
                              </w:rPr>
                              <w:t>and those who have no income or have incomes below the minimum gross wage</w:t>
                            </w:r>
                            <w:r w:rsidRPr="00696171">
                              <w:rPr>
                                <w:rFonts w:eastAsia="Times New Roman" w:cstheme="minorHAnsi"/>
                                <w:color w:val="000000"/>
                              </w:rPr>
                              <w:t xml:space="preserve"> for all medical services.</w:t>
                            </w:r>
                          </w:p>
                          <w:p w14:paraId="6D5070AA" w14:textId="41FF1F05" w:rsidR="006E2D13" w:rsidRPr="00696171" w:rsidRDefault="006E2D13" w:rsidP="006176C5">
                            <w:pPr>
                              <w:spacing w:after="0" w:line="240" w:lineRule="auto"/>
                              <w:rPr>
                                <w:rFonts w:eastAsia="Times New Roman" w:cstheme="minorHAnsi"/>
                                <w:color w:val="000000"/>
                              </w:rPr>
                            </w:pPr>
                          </w:p>
                          <w:p w14:paraId="776F1C1E" w14:textId="20D49D8F" w:rsidR="006E2D13" w:rsidRPr="00CF2AB7" w:rsidRDefault="006E2D13" w:rsidP="00D9745D">
                            <w:pPr>
                              <w:spacing w:after="0" w:line="240" w:lineRule="auto"/>
                            </w:pPr>
                            <w:r w:rsidRPr="001B0064">
                              <w:rPr>
                                <w:rFonts w:eastAsia="Times New Roman" w:cstheme="minorHAnsi"/>
                                <w:color w:val="000000"/>
                                <w:sz w:val="20"/>
                                <w:szCs w:val="20"/>
                              </w:rPr>
                              <w:t>Source:</w:t>
                            </w:r>
                            <w:r w:rsidRPr="001B0064">
                              <w:rPr>
                                <w:rFonts w:cstheme="minorHAnsi"/>
                                <w:b/>
                                <w:sz w:val="20"/>
                                <w:szCs w:val="20"/>
                              </w:rPr>
                              <w:t xml:space="preserve"> </w:t>
                            </w:r>
                            <w:r w:rsidRPr="001B0064">
                              <w:rPr>
                                <w:rFonts w:cstheme="minorHAnsi"/>
                                <w:sz w:val="20"/>
                                <w:szCs w:val="20"/>
                              </w:rPr>
                              <w:t xml:space="preserve">MISSOC, the 'Mutual Information System on Social Protection' </w:t>
                            </w:r>
                            <w:r w:rsidR="006E4906">
                              <w:rPr>
                                <w:rFonts w:cstheme="minorHAnsi"/>
                                <w:sz w:val="20"/>
                                <w:szCs w:val="20"/>
                              </w:rPr>
                              <w:t>(</w:t>
                            </w:r>
                            <w:r w:rsidRPr="001B0064">
                              <w:rPr>
                                <w:rFonts w:cstheme="minorHAnsi"/>
                                <w:sz w:val="20"/>
                                <w:szCs w:val="20"/>
                              </w:rPr>
                              <w:t>2016</w:t>
                            </w:r>
                            <w:r w:rsidR="006E4906">
                              <w:rPr>
                                <w:rFonts w:cstheme="minorHAnsi"/>
                                <w:sz w:val="20"/>
                                <w:szCs w:val="20"/>
                              </w:rPr>
                              <w:t>)</w:t>
                            </w:r>
                            <w:r w:rsidRPr="001B0064">
                              <w:rPr>
                                <w:rFonts w:cstheme="minorHAnsi"/>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73E105E3" id="Text Box 5" o:spid="_x0000_s1027" type="#_x0000_t202" style="position:absolute;left:0;text-align:left;margin-left:0;margin-top:0;width:2in;height:2in;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y+WAIAAMsEAAAOAAAAZHJzL2Uyb0RvYy54bWysVN9v2jAQfp+0/8Hy+0hg0NGIUDEqpkld&#10;WwmmPhvHIdFsn2UbEvbX7+wQoO2epr2Y+5Xv7r67Y3bXKkkOwroadE6Hg5QSoTkUtd7l9Odm9WlK&#10;ifNMF0yCFjk9Ckfv5h8/zBqTiRFUIAthCYJolzUmp5X3JksSxyuhmBuAERqdJVjFPKp2lxSWNYiu&#10;ZDJK05ukAVsYC1w4h9b7zknnEb8sBfdPZemEJzKnWJuPr43vNrzJfMaynWWmqvmpDPYPVShWa0x6&#10;hrpnnpG9rd9BqZpbcFD6AQeVQFnWXMQesJth+qabdcWMiL0gOc6caXL/D5Y/Hp4tqYucTijRTOGI&#10;NqL15Cu0ZBLYaYzLMGhtMMy3aMYp93aHxtB0W1oVfrEdgn7k+XjmNoDx8NF0NJ2m6OLo6xXETy6f&#10;G+v8NwGKBCGnFocXOWWHB+e70D4kZHMg62JVSxmVsDBiKS05MBz1djeMn8q9+gFFZ7udpJi/w4n7&#10;FcJjAa+QpCZNTm8+T9KI8MoX0l9ySMZ/9XiXWrAhqRE2ENcRFCTfbttI85m8LRRH5NRCt5PO8FWN&#10;8A/M+WdmcQmRKzws/4RPKQFrgpNESQX299/sIR53A72UNLjUOdV4dZTI7xp35nY4HocbiMp48mWE&#10;ir32bK89eq+WgFQO8YANj2KI97IXSwvqBa9vEXKii2mOmXPqe3Hpu0PD6+VisYhBuPWG+Qe9NjxA&#10;h9EFUjftC7PmNHiPO/MI/fKz7M38u9g4dLPYe1jVcTkCyx2nJ/LxYuJ0T9cdTvJaj1GX/6D5HwAA&#10;AP//AwBQSwMEFAAGAAgAAAAhADZUTwHZAAAABQEAAA8AAABkcnMvZG93bnJldi54bWxMj0FLw0AQ&#10;he9C/8Myghexm/ZQQsymaKCXgoJV9LrJTrPR7GzIbtv13zstgl6GebzhzffKdXKDOOIUek8KFvMM&#10;BFLrTU+dgrfXzV0OIkRNRg+eUME3BlhXs6tSF8af6AWPu9gJDqFQaAU2xrGQMrQWnQ5zPyKxt/eT&#10;05Hl1Ekz6ROHu0Eus2wlne6JP1g9Ym2x/dodnIKI9dP+MX2kvP68XfnnZmO37wulbq7Twz2IiCn+&#10;HcMZn9GhYqbGH8gEMSjgIvEy2VvmOcvmd5FVKf/TVz8AAAD//wMAUEsBAi0AFAAGAAgAAAAhALaD&#10;OJL+AAAA4QEAABMAAAAAAAAAAAAAAAAAAAAAAFtDb250ZW50X1R5cGVzXS54bWxQSwECLQAUAAYA&#10;CAAAACEAOP0h/9YAAACUAQAACwAAAAAAAAAAAAAAAAAvAQAAX3JlbHMvLnJlbHNQSwECLQAUAAYA&#10;CAAAACEAHl2cvlgCAADLBAAADgAAAAAAAAAAAAAAAAAuAgAAZHJzL2Uyb0RvYy54bWxQSwECLQAU&#10;AAYACAAAACEANlRPAdkAAAAFAQAADwAAAAAAAAAAAAAAAACyBAAAZHJzL2Rvd25yZXYueG1sUEsF&#10;BgAAAAAEAAQA8wAAALgFAAAAAA==&#10;" fillcolor="#f2f2f2 [3052]" strokeweight=".5pt">
                <v:textbox style="mso-fit-shape-to-text:t">
                  <w:txbxContent>
                    <w:p w14:paraId="23BA60A6" w14:textId="5EF29196" w:rsidR="006E2D13" w:rsidRPr="00AF5BD0" w:rsidRDefault="006E2D13" w:rsidP="00E71AFD">
                      <w:pPr>
                        <w:spacing w:after="0" w:line="240" w:lineRule="auto"/>
                        <w:rPr>
                          <w:rFonts w:eastAsia="Times New Roman" w:cstheme="minorHAnsi"/>
                          <w:b/>
                          <w:color w:val="000000"/>
                        </w:rPr>
                      </w:pPr>
                      <w:r w:rsidRPr="00AF5BD0">
                        <w:rPr>
                          <w:rFonts w:eastAsia="Times New Roman" w:cstheme="minorHAnsi"/>
                          <w:b/>
                          <w:color w:val="000000"/>
                        </w:rPr>
                        <w:t>Box 2. Romania</w:t>
                      </w:r>
                      <w:r>
                        <w:rPr>
                          <w:rFonts w:eastAsia="Times New Roman" w:cstheme="minorHAnsi"/>
                          <w:b/>
                          <w:color w:val="000000"/>
                        </w:rPr>
                        <w:t>:</w:t>
                      </w:r>
                      <w:r w:rsidRPr="00AF5BD0">
                        <w:rPr>
                          <w:rFonts w:eastAsia="Times New Roman" w:cstheme="minorHAnsi"/>
                          <w:b/>
                          <w:color w:val="000000"/>
                        </w:rPr>
                        <w:t xml:space="preserve"> categories of insured persons </w:t>
                      </w:r>
                      <w:r>
                        <w:rPr>
                          <w:rFonts w:eastAsia="Times New Roman" w:cstheme="minorHAnsi"/>
                          <w:b/>
                          <w:color w:val="000000"/>
                        </w:rPr>
                        <w:t xml:space="preserve">who </w:t>
                      </w:r>
                      <w:r w:rsidRPr="00AF5BD0">
                        <w:rPr>
                          <w:rFonts w:eastAsia="Times New Roman" w:cstheme="minorHAnsi"/>
                          <w:b/>
                          <w:color w:val="000000"/>
                        </w:rPr>
                        <w:t>are exempt</w:t>
                      </w:r>
                      <w:r w:rsidR="00BC22D5">
                        <w:rPr>
                          <w:rFonts w:eastAsia="Times New Roman" w:cstheme="minorHAnsi"/>
                          <w:b/>
                          <w:color w:val="000000"/>
                        </w:rPr>
                        <w:t>ed</w:t>
                      </w:r>
                      <w:r w:rsidRPr="00AF5BD0">
                        <w:rPr>
                          <w:rFonts w:eastAsia="Times New Roman" w:cstheme="minorHAnsi"/>
                          <w:b/>
                          <w:color w:val="000000"/>
                        </w:rPr>
                        <w:t xml:space="preserve"> from co-payments in inpatient treatment</w:t>
                      </w:r>
                    </w:p>
                    <w:p w14:paraId="747C69D8" w14:textId="77777777" w:rsidR="006E2D13" w:rsidRPr="00696171" w:rsidRDefault="006E2D13" w:rsidP="00E71AFD">
                      <w:pPr>
                        <w:spacing w:after="0" w:line="240" w:lineRule="auto"/>
                        <w:rPr>
                          <w:rFonts w:eastAsia="Times New Roman" w:cstheme="minorHAnsi"/>
                          <w:color w:val="000000"/>
                        </w:rPr>
                      </w:pPr>
                    </w:p>
                    <w:p w14:paraId="4FD05FA7" w14:textId="77777777" w:rsidR="006E2D13" w:rsidRPr="00696171" w:rsidRDefault="006E2D13" w:rsidP="007D1BE5">
                      <w:pPr>
                        <w:pStyle w:val="ListParagraph"/>
                        <w:numPr>
                          <w:ilvl w:val="0"/>
                          <w:numId w:val="14"/>
                        </w:numPr>
                        <w:spacing w:after="0" w:line="240" w:lineRule="auto"/>
                        <w:rPr>
                          <w:rFonts w:eastAsia="Times New Roman" w:cstheme="minorHAnsi"/>
                          <w:b/>
                          <w:color w:val="000000"/>
                        </w:rPr>
                      </w:pPr>
                      <w:r w:rsidRPr="00696171">
                        <w:rPr>
                          <w:rFonts w:eastAsia="Times New Roman" w:cstheme="minorHAnsi"/>
                          <w:color w:val="000000"/>
                        </w:rPr>
                        <w:t xml:space="preserve">Children up to 18 years old; youngsters aged between 18 and 26 who are high-school students, high-school graduates for up to three months after graduation, students or apprentices, </w:t>
                      </w:r>
                      <w:r w:rsidRPr="00696171">
                        <w:rPr>
                          <w:rFonts w:eastAsia="Times New Roman" w:cstheme="minorHAnsi"/>
                          <w:b/>
                          <w:color w:val="000000"/>
                        </w:rPr>
                        <w:t>provided they do not have income from work;</w:t>
                      </w:r>
                    </w:p>
                    <w:p w14:paraId="0755F831" w14:textId="2B884443" w:rsidR="006E2D13" w:rsidRPr="00696171" w:rsidRDefault="006E2D13" w:rsidP="007D1BE5">
                      <w:pPr>
                        <w:pStyle w:val="ListParagraph"/>
                        <w:numPr>
                          <w:ilvl w:val="0"/>
                          <w:numId w:val="14"/>
                        </w:numPr>
                        <w:spacing w:after="0" w:line="240" w:lineRule="auto"/>
                        <w:rPr>
                          <w:rFonts w:eastAsia="Times New Roman" w:cstheme="minorHAnsi"/>
                          <w:b/>
                          <w:color w:val="000000"/>
                        </w:rPr>
                      </w:pPr>
                      <w:r w:rsidRPr="00696171">
                        <w:rPr>
                          <w:rFonts w:eastAsia="Times New Roman" w:cstheme="minorHAnsi"/>
                          <w:color w:val="000000"/>
                        </w:rPr>
                        <w:t xml:space="preserve">Sick people covered by the national programs of the Ministry of Health, for the medical services related to their main disease, </w:t>
                      </w:r>
                      <w:r w:rsidRPr="00696171">
                        <w:rPr>
                          <w:rFonts w:eastAsia="Times New Roman" w:cstheme="minorHAnsi"/>
                          <w:b/>
                          <w:color w:val="000000"/>
                        </w:rPr>
                        <w:t>provided they are deprived of income of any source;</w:t>
                      </w:r>
                    </w:p>
                    <w:p w14:paraId="357E5C64" w14:textId="77777777" w:rsidR="006E2D13" w:rsidRPr="00696171" w:rsidRDefault="006E2D13" w:rsidP="007D1BE5">
                      <w:pPr>
                        <w:pStyle w:val="ListParagraph"/>
                        <w:numPr>
                          <w:ilvl w:val="0"/>
                          <w:numId w:val="14"/>
                        </w:numPr>
                        <w:spacing w:after="0" w:line="240" w:lineRule="auto"/>
                        <w:rPr>
                          <w:rFonts w:eastAsia="Times New Roman" w:cstheme="minorHAnsi"/>
                          <w:color w:val="000000"/>
                        </w:rPr>
                      </w:pPr>
                      <w:r w:rsidRPr="00696171">
                        <w:rPr>
                          <w:rFonts w:eastAsia="Times New Roman" w:cstheme="minorHAnsi"/>
                          <w:color w:val="000000"/>
                        </w:rPr>
                        <w:t xml:space="preserve">Pensioners </w:t>
                      </w:r>
                      <w:r w:rsidRPr="00696171">
                        <w:rPr>
                          <w:rFonts w:eastAsia="Times New Roman" w:cstheme="minorHAnsi"/>
                          <w:b/>
                          <w:color w:val="000000"/>
                        </w:rPr>
                        <w:t>whose income does not exceed RON740 (€163) per month</w:t>
                      </w:r>
                      <w:r w:rsidRPr="00696171">
                        <w:rPr>
                          <w:rFonts w:eastAsia="Times New Roman" w:cstheme="minorHAnsi"/>
                          <w:color w:val="000000"/>
                        </w:rPr>
                        <w:t>;</w:t>
                      </w:r>
                    </w:p>
                    <w:p w14:paraId="714ACDC8" w14:textId="063B8C34" w:rsidR="006E2D13" w:rsidRPr="00696171" w:rsidRDefault="006E2D13" w:rsidP="007D1BE5">
                      <w:pPr>
                        <w:pStyle w:val="ListParagraph"/>
                        <w:numPr>
                          <w:ilvl w:val="0"/>
                          <w:numId w:val="14"/>
                        </w:numPr>
                        <w:spacing w:after="0" w:line="240" w:lineRule="auto"/>
                        <w:rPr>
                          <w:rFonts w:eastAsia="Times New Roman" w:cstheme="minorHAnsi"/>
                          <w:color w:val="000000"/>
                        </w:rPr>
                      </w:pPr>
                      <w:r w:rsidRPr="00696171">
                        <w:rPr>
                          <w:rFonts w:eastAsia="Times New Roman" w:cstheme="minorHAnsi"/>
                          <w:color w:val="000000"/>
                        </w:rPr>
                        <w:t xml:space="preserve">Pregnant women and women who have just given birth, for medical services related to pregnancy </w:t>
                      </w:r>
                      <w:r w:rsidRPr="00696171">
                        <w:rPr>
                          <w:rFonts w:eastAsia="Times New Roman" w:cstheme="minorHAnsi"/>
                          <w:b/>
                          <w:color w:val="000000"/>
                        </w:rPr>
                        <w:t>and those who have no income or have incomes below the minimum gross wage</w:t>
                      </w:r>
                      <w:r w:rsidRPr="00696171">
                        <w:rPr>
                          <w:rFonts w:eastAsia="Times New Roman" w:cstheme="minorHAnsi"/>
                          <w:color w:val="000000"/>
                        </w:rPr>
                        <w:t xml:space="preserve"> for all medical services.</w:t>
                      </w:r>
                    </w:p>
                    <w:p w14:paraId="6D5070AA" w14:textId="41FF1F05" w:rsidR="006E2D13" w:rsidRPr="00696171" w:rsidRDefault="006E2D13" w:rsidP="006176C5">
                      <w:pPr>
                        <w:spacing w:after="0" w:line="240" w:lineRule="auto"/>
                        <w:rPr>
                          <w:rFonts w:eastAsia="Times New Roman" w:cstheme="minorHAnsi"/>
                          <w:color w:val="000000"/>
                        </w:rPr>
                      </w:pPr>
                    </w:p>
                    <w:p w14:paraId="776F1C1E" w14:textId="20D49D8F" w:rsidR="006E2D13" w:rsidRPr="00CF2AB7" w:rsidRDefault="006E2D13" w:rsidP="00D9745D">
                      <w:pPr>
                        <w:spacing w:after="0" w:line="240" w:lineRule="auto"/>
                      </w:pPr>
                      <w:r w:rsidRPr="001B0064">
                        <w:rPr>
                          <w:rFonts w:eastAsia="Times New Roman" w:cstheme="minorHAnsi"/>
                          <w:color w:val="000000"/>
                          <w:sz w:val="20"/>
                          <w:szCs w:val="20"/>
                        </w:rPr>
                        <w:t>Source:</w:t>
                      </w:r>
                      <w:r w:rsidRPr="001B0064">
                        <w:rPr>
                          <w:rFonts w:cstheme="minorHAnsi"/>
                          <w:b/>
                          <w:sz w:val="20"/>
                          <w:szCs w:val="20"/>
                        </w:rPr>
                        <w:t xml:space="preserve"> </w:t>
                      </w:r>
                      <w:r w:rsidRPr="001B0064">
                        <w:rPr>
                          <w:rFonts w:cstheme="minorHAnsi"/>
                          <w:sz w:val="20"/>
                          <w:szCs w:val="20"/>
                        </w:rPr>
                        <w:t xml:space="preserve">MISSOC, the 'Mutual Information System on Social Protection' </w:t>
                      </w:r>
                      <w:r w:rsidR="006E4906">
                        <w:rPr>
                          <w:rFonts w:cstheme="minorHAnsi"/>
                          <w:sz w:val="20"/>
                          <w:szCs w:val="20"/>
                        </w:rPr>
                        <w:t>(</w:t>
                      </w:r>
                      <w:r w:rsidRPr="001B0064">
                        <w:rPr>
                          <w:rFonts w:cstheme="minorHAnsi"/>
                          <w:sz w:val="20"/>
                          <w:szCs w:val="20"/>
                        </w:rPr>
                        <w:t>2016</w:t>
                      </w:r>
                      <w:r w:rsidR="006E4906">
                        <w:rPr>
                          <w:rFonts w:cstheme="minorHAnsi"/>
                          <w:sz w:val="20"/>
                          <w:szCs w:val="20"/>
                        </w:rPr>
                        <w:t>)</w:t>
                      </w:r>
                      <w:r w:rsidRPr="001B0064">
                        <w:rPr>
                          <w:rFonts w:cstheme="minorHAnsi"/>
                          <w:sz w:val="20"/>
                          <w:szCs w:val="20"/>
                        </w:rPr>
                        <w:t xml:space="preserve"> </w:t>
                      </w:r>
                    </w:p>
                  </w:txbxContent>
                </v:textbox>
                <w10:wrap type="square"/>
              </v:shape>
            </w:pict>
          </mc:Fallback>
        </mc:AlternateContent>
      </w:r>
    </w:p>
    <w:p w14:paraId="3B099051" w14:textId="358EC556" w:rsidR="00074FC8" w:rsidRPr="00E6167F" w:rsidRDefault="002B2077" w:rsidP="00363D34">
      <w:pPr>
        <w:spacing w:line="240" w:lineRule="auto"/>
        <w:jc w:val="both"/>
        <w:rPr>
          <w:rFonts w:cstheme="minorHAnsi"/>
        </w:rPr>
      </w:pPr>
      <w:r w:rsidRPr="00E6167F">
        <w:rPr>
          <w:rFonts w:cstheme="minorHAnsi"/>
        </w:rPr>
        <w:t xml:space="preserve">To illustrate the idea, a </w:t>
      </w:r>
      <w:r w:rsidR="00343C4F" w:rsidRPr="00E6167F">
        <w:rPr>
          <w:rFonts w:cstheme="minorHAnsi"/>
        </w:rPr>
        <w:t xml:space="preserve">simulation </w:t>
      </w:r>
      <w:r w:rsidRPr="00E6167F">
        <w:rPr>
          <w:rFonts w:cstheme="minorHAnsi"/>
        </w:rPr>
        <w:t xml:space="preserve">was performed using </w:t>
      </w:r>
      <w:r w:rsidR="00375550" w:rsidRPr="00E6167F">
        <w:rPr>
          <w:rFonts w:cstheme="minorHAnsi"/>
        </w:rPr>
        <w:t>201</w:t>
      </w:r>
      <w:r w:rsidR="00793654">
        <w:rPr>
          <w:rFonts w:cstheme="minorHAnsi"/>
        </w:rPr>
        <w:t>4</w:t>
      </w:r>
      <w:r w:rsidR="003E42F7" w:rsidRPr="00E6167F">
        <w:rPr>
          <w:rFonts w:cstheme="minorHAnsi"/>
        </w:rPr>
        <w:t xml:space="preserve"> </w:t>
      </w:r>
      <w:r w:rsidR="00343C4F" w:rsidRPr="00E6167F">
        <w:rPr>
          <w:rFonts w:cstheme="minorHAnsi"/>
        </w:rPr>
        <w:t>K</w:t>
      </w:r>
      <w:r w:rsidR="00375550" w:rsidRPr="00E6167F">
        <w:rPr>
          <w:rFonts w:cstheme="minorHAnsi"/>
        </w:rPr>
        <w:t xml:space="preserve">IHS </w:t>
      </w:r>
      <w:r w:rsidR="00343C4F" w:rsidRPr="00E6167F">
        <w:rPr>
          <w:rFonts w:cstheme="minorHAnsi"/>
        </w:rPr>
        <w:t xml:space="preserve">data. </w:t>
      </w:r>
      <w:r w:rsidR="00580ED6" w:rsidRPr="00E6167F">
        <w:rPr>
          <w:rFonts w:cstheme="minorHAnsi"/>
        </w:rPr>
        <w:t xml:space="preserve">In the figure below, </w:t>
      </w:r>
      <w:r w:rsidR="008B5463" w:rsidRPr="00E6167F">
        <w:rPr>
          <w:rFonts w:cstheme="minorHAnsi"/>
        </w:rPr>
        <w:t xml:space="preserve">the first bar represents the whole </w:t>
      </w:r>
      <w:r w:rsidR="0032069A" w:rsidRPr="00E6167F">
        <w:rPr>
          <w:rFonts w:cstheme="minorHAnsi"/>
        </w:rPr>
        <w:t xml:space="preserve">eligible population as currently defined based on the 30+16 categories. </w:t>
      </w:r>
      <w:r w:rsidR="00375550" w:rsidRPr="00E6167F">
        <w:rPr>
          <w:rFonts w:cstheme="minorHAnsi"/>
        </w:rPr>
        <w:t xml:space="preserve">Note that this is a hypothetical figure </w:t>
      </w:r>
      <w:r w:rsidR="003E42F7" w:rsidRPr="00E6167F">
        <w:rPr>
          <w:rFonts w:cstheme="minorHAnsi"/>
        </w:rPr>
        <w:t xml:space="preserve">because the survey does not allow for a full identification of all categories. </w:t>
      </w:r>
      <w:r w:rsidR="000545D0" w:rsidRPr="00E6167F">
        <w:rPr>
          <w:rFonts w:cstheme="minorHAnsi"/>
        </w:rPr>
        <w:t>Using consumption expenditure</w:t>
      </w:r>
      <w:r w:rsidR="00570114" w:rsidRPr="00E6167F">
        <w:rPr>
          <w:rFonts w:cstheme="minorHAnsi"/>
        </w:rPr>
        <w:t>,</w:t>
      </w:r>
      <w:r w:rsidR="005B5EAB" w:rsidRPr="00E6167F">
        <w:rPr>
          <w:rFonts w:cstheme="minorHAnsi"/>
        </w:rPr>
        <w:t xml:space="preserve"> three “poor” groups were estimated based on different criteria</w:t>
      </w:r>
      <w:r w:rsidR="009B0B3A" w:rsidRPr="00E6167F">
        <w:rPr>
          <w:rFonts w:cstheme="minorHAnsi"/>
        </w:rPr>
        <w:t>: bottom 40% of the population, bottom 30% and bottom 20% (the poorest quintile)</w:t>
      </w:r>
      <w:r w:rsidR="000C31CB" w:rsidRPr="00E6167F">
        <w:rPr>
          <w:rFonts w:cstheme="minorHAnsi"/>
        </w:rPr>
        <w:t xml:space="preserve">. If one combines the current eligible criteria (30+16) with poverty status, the size of the group eligible for </w:t>
      </w:r>
      <w:r w:rsidR="00F76DB6" w:rsidRPr="00E6167F">
        <w:rPr>
          <w:rFonts w:cstheme="minorHAnsi"/>
        </w:rPr>
        <w:t xml:space="preserve">SGBP copayment exemption or reduction reduces </w:t>
      </w:r>
      <w:r w:rsidR="002100B0" w:rsidRPr="00E6167F">
        <w:rPr>
          <w:rFonts w:cstheme="minorHAnsi"/>
        </w:rPr>
        <w:t xml:space="preserve">as shown in bars 2, 3, and 4 in the figure. </w:t>
      </w:r>
      <w:r w:rsidR="005B5EAB" w:rsidRPr="00E6167F">
        <w:rPr>
          <w:rFonts w:cstheme="minorHAnsi"/>
        </w:rPr>
        <w:t xml:space="preserve"> </w:t>
      </w:r>
    </w:p>
    <w:p w14:paraId="075774F3" w14:textId="77777777" w:rsidR="00D92F7A" w:rsidRDefault="00D92F7A">
      <w:pPr>
        <w:rPr>
          <w:rFonts w:cstheme="minorHAnsi"/>
          <w:b/>
          <w:bCs/>
        </w:rPr>
      </w:pPr>
      <w:r>
        <w:rPr>
          <w:rFonts w:cstheme="minorHAnsi"/>
          <w:b/>
          <w:bCs/>
        </w:rPr>
        <w:br w:type="page"/>
      </w:r>
    </w:p>
    <w:p w14:paraId="3C7C086C" w14:textId="0E384429" w:rsidR="00315154" w:rsidRPr="00E6167F" w:rsidRDefault="00C8532A" w:rsidP="00363D34">
      <w:pPr>
        <w:spacing w:line="240" w:lineRule="auto"/>
        <w:jc w:val="both"/>
        <w:rPr>
          <w:rFonts w:cstheme="minorHAnsi"/>
        </w:rPr>
      </w:pPr>
      <w:r w:rsidRPr="00E6167F">
        <w:rPr>
          <w:rFonts w:cstheme="minorHAnsi"/>
          <w:b/>
          <w:bCs/>
        </w:rPr>
        <w:lastRenderedPageBreak/>
        <w:t>Figure</w:t>
      </w:r>
      <w:r w:rsidR="003A0977">
        <w:rPr>
          <w:rFonts w:cstheme="minorHAnsi"/>
          <w:b/>
          <w:bCs/>
        </w:rPr>
        <w:t xml:space="preserve"> 3</w:t>
      </w:r>
      <w:r w:rsidRPr="00E6167F">
        <w:rPr>
          <w:rFonts w:cstheme="minorHAnsi"/>
          <w:b/>
          <w:bCs/>
        </w:rPr>
        <w:t xml:space="preserve">: </w:t>
      </w:r>
      <w:r w:rsidR="00FA5A26" w:rsidRPr="00E6167F">
        <w:rPr>
          <w:rFonts w:cstheme="minorHAnsi"/>
          <w:b/>
          <w:bCs/>
        </w:rPr>
        <w:t xml:space="preserve">Hypothetical </w:t>
      </w:r>
      <w:r w:rsidR="0078022E" w:rsidRPr="00E6167F">
        <w:rPr>
          <w:rFonts w:cstheme="minorHAnsi"/>
          <w:b/>
          <w:bCs/>
        </w:rPr>
        <w:t xml:space="preserve">scenarios of </w:t>
      </w:r>
      <w:r w:rsidR="00315154" w:rsidRPr="00E6167F">
        <w:rPr>
          <w:rFonts w:cstheme="minorHAnsi"/>
          <w:b/>
          <w:bCs/>
        </w:rPr>
        <w:t xml:space="preserve">SGBP exemption eligible </w:t>
      </w:r>
      <w:r w:rsidR="0078022E" w:rsidRPr="00E6167F">
        <w:rPr>
          <w:rFonts w:cstheme="minorHAnsi"/>
          <w:b/>
          <w:bCs/>
        </w:rPr>
        <w:t xml:space="preserve">population size </w:t>
      </w:r>
      <w:r w:rsidR="00E5752B" w:rsidRPr="00E6167F">
        <w:rPr>
          <w:rFonts w:cstheme="minorHAnsi"/>
          <w:b/>
          <w:bCs/>
        </w:rPr>
        <w:t>with poverty filtering</w:t>
      </w:r>
    </w:p>
    <w:p w14:paraId="371BC128" w14:textId="4249FA1C" w:rsidR="004C27BC" w:rsidRPr="00E6167F" w:rsidRDefault="00315154" w:rsidP="002C6E2B">
      <w:pPr>
        <w:spacing w:line="240" w:lineRule="auto"/>
        <w:jc w:val="center"/>
        <w:rPr>
          <w:rFonts w:cstheme="minorHAnsi"/>
        </w:rPr>
      </w:pPr>
      <w:r w:rsidRPr="00DD3195">
        <w:rPr>
          <w:rFonts w:cstheme="minorHAnsi"/>
          <w:noProof/>
          <w:shd w:val="clear" w:color="auto" w:fill="F2F2F2" w:themeFill="background1" w:themeFillShade="F2"/>
        </w:rPr>
        <w:drawing>
          <wp:inline distT="0" distB="0" distL="0" distR="0" wp14:anchorId="07303FAB" wp14:editId="657B5B25">
            <wp:extent cx="4541520" cy="2468880"/>
            <wp:effectExtent l="0" t="0" r="11430" b="76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7D9D2FE" w14:textId="5F1FB09C" w:rsidR="00C8532A" w:rsidRPr="001B0064" w:rsidRDefault="00C8532A" w:rsidP="00DD3195">
      <w:pPr>
        <w:spacing w:line="240" w:lineRule="auto"/>
        <w:jc w:val="center"/>
        <w:rPr>
          <w:rFonts w:cstheme="minorHAnsi"/>
          <w:sz w:val="20"/>
          <w:szCs w:val="20"/>
        </w:rPr>
      </w:pPr>
      <w:r w:rsidRPr="001B0064">
        <w:rPr>
          <w:rFonts w:cstheme="minorHAnsi"/>
          <w:sz w:val="20"/>
          <w:szCs w:val="20"/>
        </w:rPr>
        <w:t>Source: authors, based on incomplete identification of</w:t>
      </w:r>
      <w:r w:rsidR="001F0DE6" w:rsidRPr="001B0064">
        <w:rPr>
          <w:rFonts w:cstheme="minorHAnsi"/>
          <w:sz w:val="20"/>
          <w:szCs w:val="20"/>
        </w:rPr>
        <w:t xml:space="preserve"> beneficiary</w:t>
      </w:r>
      <w:r w:rsidRPr="001B0064">
        <w:rPr>
          <w:rFonts w:cstheme="minorHAnsi"/>
          <w:sz w:val="20"/>
          <w:szCs w:val="20"/>
        </w:rPr>
        <w:t xml:space="preserve"> groups, 201</w:t>
      </w:r>
      <w:r w:rsidR="002F51EA" w:rsidRPr="001B0064">
        <w:rPr>
          <w:rFonts w:cstheme="minorHAnsi"/>
          <w:sz w:val="20"/>
          <w:szCs w:val="20"/>
        </w:rPr>
        <w:t>4</w:t>
      </w:r>
      <w:r w:rsidRPr="001B0064">
        <w:rPr>
          <w:rFonts w:cstheme="minorHAnsi"/>
          <w:sz w:val="20"/>
          <w:szCs w:val="20"/>
        </w:rPr>
        <w:t xml:space="preserve"> KIHS data</w:t>
      </w:r>
    </w:p>
    <w:p w14:paraId="564C21D5" w14:textId="3B5416F4" w:rsidR="00946B75" w:rsidRDefault="002844CB" w:rsidP="001B0064">
      <w:pPr>
        <w:spacing w:before="240" w:line="240" w:lineRule="auto"/>
        <w:jc w:val="both"/>
        <w:rPr>
          <w:rFonts w:cstheme="minorHAnsi"/>
        </w:rPr>
      </w:pPr>
      <w:r w:rsidRPr="00E6167F">
        <w:rPr>
          <w:rFonts w:cstheme="minorHAnsi"/>
        </w:rPr>
        <w:t>The above is a hypothetical example and much more work needs to be done to derive a precise estimate</w:t>
      </w:r>
      <w:r w:rsidR="00614F3E" w:rsidRPr="00E6167F">
        <w:rPr>
          <w:rFonts w:cstheme="minorHAnsi"/>
        </w:rPr>
        <w:t xml:space="preserve">, with consideration of each and every current category. </w:t>
      </w:r>
      <w:r w:rsidR="00B4365D" w:rsidRPr="00E6167F">
        <w:rPr>
          <w:rFonts w:cstheme="minorHAnsi"/>
        </w:rPr>
        <w:t>However, it provide</w:t>
      </w:r>
      <w:r w:rsidR="00EF050C">
        <w:rPr>
          <w:rFonts w:cstheme="minorHAnsi"/>
        </w:rPr>
        <w:t>s</w:t>
      </w:r>
      <w:r w:rsidR="00B4365D" w:rsidRPr="00E6167F">
        <w:rPr>
          <w:rFonts w:cstheme="minorHAnsi"/>
        </w:rPr>
        <w:t xml:space="preserve"> a practical option to operate within the budget constraint </w:t>
      </w:r>
      <w:r w:rsidR="00BB11FC" w:rsidRPr="00E6167F">
        <w:rPr>
          <w:rFonts w:cstheme="minorHAnsi"/>
        </w:rPr>
        <w:t xml:space="preserve">and navigate the political pressure </w:t>
      </w:r>
      <w:r w:rsidR="008D70A7" w:rsidRPr="00E6167F">
        <w:rPr>
          <w:rFonts w:cstheme="minorHAnsi"/>
        </w:rPr>
        <w:t>associated with the exemption group</w:t>
      </w:r>
      <w:r w:rsidR="006B4515">
        <w:rPr>
          <w:rFonts w:cstheme="minorHAnsi"/>
        </w:rPr>
        <w:t>s</w:t>
      </w:r>
      <w:r w:rsidR="008D70A7" w:rsidRPr="00E6167F">
        <w:rPr>
          <w:rFonts w:cstheme="minorHAnsi"/>
        </w:rPr>
        <w:t>.</w:t>
      </w:r>
      <w:r w:rsidR="00946B75" w:rsidRPr="00E6167F">
        <w:rPr>
          <w:rFonts w:cstheme="minorHAnsi"/>
        </w:rPr>
        <w:t xml:space="preserve"> </w:t>
      </w:r>
    </w:p>
    <w:p w14:paraId="647554E2" w14:textId="0EF17C4E" w:rsidR="00AB0114" w:rsidRPr="00E6167F" w:rsidRDefault="00D829A0" w:rsidP="00363D34">
      <w:pPr>
        <w:spacing w:line="240" w:lineRule="auto"/>
        <w:jc w:val="both"/>
        <w:rPr>
          <w:rFonts w:cstheme="minorHAnsi"/>
        </w:rPr>
      </w:pPr>
      <w:r>
        <w:rPr>
          <w:rFonts w:cstheme="minorHAnsi"/>
        </w:rPr>
        <w:t>T</w:t>
      </w:r>
      <w:r w:rsidR="00B63180" w:rsidRPr="009124F7">
        <w:rPr>
          <w:rFonts w:cstheme="minorHAnsi"/>
        </w:rPr>
        <w:t xml:space="preserve">he </w:t>
      </w:r>
      <w:r w:rsidR="006B4515">
        <w:rPr>
          <w:rFonts w:cstheme="minorHAnsi"/>
        </w:rPr>
        <w:t xml:space="preserve">Kyrgyz Republic </w:t>
      </w:r>
      <w:r w:rsidR="00B63180" w:rsidRPr="009124F7">
        <w:rPr>
          <w:rFonts w:cstheme="minorHAnsi"/>
        </w:rPr>
        <w:t xml:space="preserve">could consider </w:t>
      </w:r>
      <w:r w:rsidR="00F15CF7" w:rsidRPr="009124F7">
        <w:rPr>
          <w:rFonts w:cstheme="minorHAnsi"/>
        </w:rPr>
        <w:t xml:space="preserve">a </w:t>
      </w:r>
      <w:r w:rsidR="00B63180" w:rsidRPr="009124F7">
        <w:rPr>
          <w:rFonts w:cstheme="minorHAnsi"/>
        </w:rPr>
        <w:t>stop</w:t>
      </w:r>
      <w:r w:rsidR="000C291B">
        <w:rPr>
          <w:rFonts w:cstheme="minorHAnsi"/>
        </w:rPr>
        <w:t>-</w:t>
      </w:r>
      <w:r w:rsidR="00B63180" w:rsidRPr="009124F7">
        <w:rPr>
          <w:rFonts w:cstheme="minorHAnsi"/>
        </w:rPr>
        <w:t>loss clause t</w:t>
      </w:r>
      <w:r w:rsidR="00B30077" w:rsidRPr="009124F7">
        <w:rPr>
          <w:rFonts w:cstheme="minorHAnsi"/>
        </w:rPr>
        <w:t xml:space="preserve">o </w:t>
      </w:r>
      <w:r w:rsidR="00B74C91" w:rsidRPr="009124F7">
        <w:rPr>
          <w:rFonts w:cstheme="minorHAnsi"/>
        </w:rPr>
        <w:t>help protecting against catastrophic payment. Example</w:t>
      </w:r>
      <w:r w:rsidR="00304C1C">
        <w:rPr>
          <w:rFonts w:cstheme="minorHAnsi"/>
        </w:rPr>
        <w:t xml:space="preserve">s of </w:t>
      </w:r>
      <w:r w:rsidR="00B30077" w:rsidRPr="009124F7">
        <w:rPr>
          <w:rFonts w:cstheme="minorHAnsi"/>
        </w:rPr>
        <w:t xml:space="preserve">various caps on out-of-pocket payment </w:t>
      </w:r>
      <w:r w:rsidR="00304C1C">
        <w:rPr>
          <w:rFonts w:cstheme="minorHAnsi"/>
        </w:rPr>
        <w:t xml:space="preserve">from OECD countries are </w:t>
      </w:r>
      <w:r w:rsidR="001B1DED">
        <w:rPr>
          <w:rFonts w:cstheme="minorHAnsi"/>
        </w:rPr>
        <w:t xml:space="preserve">shown in </w:t>
      </w:r>
      <w:r w:rsidR="00B74C91" w:rsidRPr="009124F7">
        <w:rPr>
          <w:rFonts w:cstheme="minorHAnsi"/>
        </w:rPr>
        <w:t>annex</w:t>
      </w:r>
      <w:r w:rsidR="003A0977" w:rsidRPr="009124F7">
        <w:rPr>
          <w:rFonts w:cstheme="minorHAnsi"/>
        </w:rPr>
        <w:t xml:space="preserve"> </w:t>
      </w:r>
      <w:r w:rsidR="002314B8" w:rsidRPr="009124F7">
        <w:rPr>
          <w:rFonts w:cstheme="minorHAnsi"/>
        </w:rPr>
        <w:t>3</w:t>
      </w:r>
      <w:r w:rsidR="00EF02DA">
        <w:rPr>
          <w:rFonts w:cstheme="minorHAnsi"/>
        </w:rPr>
        <w:t xml:space="preserve"> for reference</w:t>
      </w:r>
      <w:r w:rsidR="001B1DED">
        <w:rPr>
          <w:rFonts w:cstheme="minorHAnsi"/>
        </w:rPr>
        <w:t xml:space="preserve">. </w:t>
      </w:r>
      <w:r w:rsidR="0005652E">
        <w:rPr>
          <w:rFonts w:cstheme="minorHAnsi"/>
        </w:rPr>
        <w:t>I</w:t>
      </w:r>
      <w:r w:rsidR="00C2394B">
        <w:rPr>
          <w:rFonts w:cstheme="minorHAnsi"/>
        </w:rPr>
        <w:t>mplementing the stop-loss</w:t>
      </w:r>
      <w:r w:rsidR="00CD24E2">
        <w:rPr>
          <w:rFonts w:cstheme="minorHAnsi"/>
        </w:rPr>
        <w:t xml:space="preserve"> policy requires a developed data system that would help MHIF to track individual patient’s benefits and </w:t>
      </w:r>
      <w:r w:rsidR="002E3CE4">
        <w:rPr>
          <w:rFonts w:cstheme="minorHAnsi"/>
        </w:rPr>
        <w:t xml:space="preserve">cumulative </w:t>
      </w:r>
      <w:r w:rsidR="00CD24E2">
        <w:rPr>
          <w:rFonts w:cstheme="minorHAnsi"/>
        </w:rPr>
        <w:t>co-payment</w:t>
      </w:r>
      <w:r w:rsidR="00BD6C5A">
        <w:rPr>
          <w:rFonts w:cstheme="minorHAnsi"/>
        </w:rPr>
        <w:t xml:space="preserve">. </w:t>
      </w:r>
      <w:r w:rsidR="00D44EC6">
        <w:rPr>
          <w:rFonts w:cstheme="minorHAnsi"/>
        </w:rPr>
        <w:t xml:space="preserve">The MHIF’s hospital database </w:t>
      </w:r>
      <w:r w:rsidR="005B7968">
        <w:rPr>
          <w:rFonts w:cstheme="minorHAnsi"/>
        </w:rPr>
        <w:t xml:space="preserve">is detailed enough </w:t>
      </w:r>
      <w:r w:rsidR="00D41898">
        <w:rPr>
          <w:rFonts w:cstheme="minorHAnsi"/>
        </w:rPr>
        <w:t xml:space="preserve">and only minimal revisions will be required to enable </w:t>
      </w:r>
      <w:r w:rsidR="00882AC6">
        <w:rPr>
          <w:rFonts w:cstheme="minorHAnsi"/>
        </w:rPr>
        <w:t xml:space="preserve">the administration of the stop-loss provision if it is to be adopted. </w:t>
      </w:r>
      <w:r w:rsidR="00CD24E2">
        <w:rPr>
          <w:rFonts w:cstheme="minorHAnsi"/>
        </w:rPr>
        <w:t xml:space="preserve"> </w:t>
      </w:r>
    </w:p>
    <w:p w14:paraId="160B79B2" w14:textId="12786B2B" w:rsidR="00D7038C" w:rsidRPr="007D1BE5" w:rsidRDefault="009A1E88" w:rsidP="00D92F7A">
      <w:pPr>
        <w:pStyle w:val="Subheading1"/>
      </w:pPr>
      <w:bookmarkStart w:id="12" w:name="_Toc10477897"/>
      <w:r>
        <w:t xml:space="preserve">Building on the existing </w:t>
      </w:r>
      <w:r w:rsidR="00D7038C" w:rsidRPr="007D1BE5">
        <w:t xml:space="preserve">extensive </w:t>
      </w:r>
      <w:r w:rsidR="00B009A6" w:rsidRPr="007D1BE5">
        <w:t>c</w:t>
      </w:r>
      <w:r w:rsidR="00D7038C" w:rsidRPr="007D1BE5">
        <w:t xml:space="preserve">linical guidelines and </w:t>
      </w:r>
      <w:r w:rsidR="00B009A6" w:rsidRPr="007D1BE5">
        <w:t>c</w:t>
      </w:r>
      <w:r w:rsidR="00D7038C" w:rsidRPr="007D1BE5">
        <w:t xml:space="preserve">are pathways to </w:t>
      </w:r>
      <w:r w:rsidR="00C91751">
        <w:t xml:space="preserve">develop a detailed list of </w:t>
      </w:r>
      <w:r w:rsidR="00494156" w:rsidRPr="007D1BE5">
        <w:t xml:space="preserve">services included in the </w:t>
      </w:r>
      <w:r w:rsidR="00D7038C" w:rsidRPr="007D1BE5">
        <w:t>SGBP</w:t>
      </w:r>
      <w:bookmarkEnd w:id="12"/>
    </w:p>
    <w:p w14:paraId="0481DB79" w14:textId="391883EB" w:rsidR="00AF4C9A" w:rsidRPr="00E6167F" w:rsidRDefault="00AB16A3" w:rsidP="00363D34">
      <w:pPr>
        <w:spacing w:line="240" w:lineRule="auto"/>
        <w:jc w:val="both"/>
        <w:rPr>
          <w:rFonts w:cstheme="minorHAnsi"/>
        </w:rPr>
      </w:pPr>
      <w:r>
        <w:rPr>
          <w:rFonts w:cstheme="minorHAnsi"/>
        </w:rPr>
        <w:t xml:space="preserve">The </w:t>
      </w:r>
      <w:r w:rsidR="00433D80">
        <w:rPr>
          <w:rFonts w:cstheme="minorHAnsi"/>
        </w:rPr>
        <w:t>K</w:t>
      </w:r>
      <w:r w:rsidR="008B6A7E" w:rsidRPr="00E6167F">
        <w:rPr>
          <w:rFonts w:cstheme="minorHAnsi"/>
        </w:rPr>
        <w:t>yrgyz</w:t>
      </w:r>
      <w:r>
        <w:rPr>
          <w:rFonts w:cstheme="minorHAnsi"/>
        </w:rPr>
        <w:t xml:space="preserve"> Republic </w:t>
      </w:r>
      <w:r w:rsidR="008B6A7E" w:rsidRPr="00E6167F">
        <w:rPr>
          <w:rFonts w:cstheme="minorHAnsi"/>
        </w:rPr>
        <w:t xml:space="preserve">has a very </w:t>
      </w:r>
      <w:r w:rsidR="00F74299" w:rsidRPr="00E6167F">
        <w:rPr>
          <w:rFonts w:cstheme="minorHAnsi"/>
        </w:rPr>
        <w:t xml:space="preserve">large </w:t>
      </w:r>
      <w:r w:rsidR="008B6A7E" w:rsidRPr="00E6167F">
        <w:rPr>
          <w:rFonts w:cstheme="minorHAnsi"/>
        </w:rPr>
        <w:t xml:space="preserve">number of </w:t>
      </w:r>
      <w:r w:rsidR="00F74299" w:rsidRPr="00E6167F">
        <w:rPr>
          <w:rFonts w:cstheme="minorHAnsi"/>
        </w:rPr>
        <w:t>c</w:t>
      </w:r>
      <w:r w:rsidR="005C01C6" w:rsidRPr="00E6167F">
        <w:rPr>
          <w:rFonts w:cstheme="minorHAnsi"/>
        </w:rPr>
        <w:t xml:space="preserve">linical guidelines and </w:t>
      </w:r>
      <w:r w:rsidR="00F74299" w:rsidRPr="00E6167F">
        <w:rPr>
          <w:rFonts w:cstheme="minorHAnsi"/>
        </w:rPr>
        <w:t>c</w:t>
      </w:r>
      <w:r w:rsidR="005C01C6" w:rsidRPr="00E6167F">
        <w:rPr>
          <w:rFonts w:cstheme="minorHAnsi"/>
        </w:rPr>
        <w:t>are pathways</w:t>
      </w:r>
      <w:r w:rsidR="008B6A7E" w:rsidRPr="00E6167F">
        <w:rPr>
          <w:rFonts w:cstheme="minorHAnsi"/>
        </w:rPr>
        <w:t xml:space="preserve"> developed early on</w:t>
      </w:r>
      <w:r w:rsidR="005C01C6" w:rsidRPr="00E6167F">
        <w:rPr>
          <w:rFonts w:cstheme="minorHAnsi"/>
        </w:rPr>
        <w:t>.</w:t>
      </w:r>
      <w:r w:rsidR="00146180">
        <w:rPr>
          <w:rStyle w:val="FootnoteReference"/>
          <w:rFonts w:cstheme="minorHAnsi"/>
        </w:rPr>
        <w:footnoteReference w:id="3"/>
      </w:r>
      <w:r w:rsidR="00451F40" w:rsidRPr="00E6167F">
        <w:rPr>
          <w:rFonts w:cstheme="minorHAnsi"/>
        </w:rPr>
        <w:t xml:space="preserve"> </w:t>
      </w:r>
      <w:r w:rsidR="00666B73">
        <w:rPr>
          <w:rFonts w:cstheme="minorHAnsi"/>
        </w:rPr>
        <w:t>S</w:t>
      </w:r>
      <w:r w:rsidR="00451F40" w:rsidRPr="00E6167F">
        <w:rPr>
          <w:rFonts w:cstheme="minorHAnsi"/>
        </w:rPr>
        <w:t xml:space="preserve">ince </w:t>
      </w:r>
      <w:r w:rsidR="005C01C6" w:rsidRPr="00E6167F">
        <w:rPr>
          <w:rFonts w:cstheme="minorHAnsi"/>
        </w:rPr>
        <w:t>2002</w:t>
      </w:r>
      <w:r w:rsidR="00451F40" w:rsidRPr="00E6167F">
        <w:rPr>
          <w:rFonts w:cstheme="minorHAnsi"/>
        </w:rPr>
        <w:t>,</w:t>
      </w:r>
      <w:r w:rsidR="005C01C6" w:rsidRPr="00E6167F">
        <w:rPr>
          <w:rFonts w:cstheme="minorHAnsi"/>
        </w:rPr>
        <w:t xml:space="preserve"> around 380 </w:t>
      </w:r>
      <w:r w:rsidR="003D3F4C">
        <w:rPr>
          <w:rFonts w:cstheme="minorHAnsi"/>
        </w:rPr>
        <w:t>c</w:t>
      </w:r>
      <w:r w:rsidR="005C01C6" w:rsidRPr="00E6167F">
        <w:rPr>
          <w:rFonts w:cstheme="minorHAnsi"/>
        </w:rPr>
        <w:t xml:space="preserve">linical guidelines and 200 </w:t>
      </w:r>
      <w:r w:rsidR="003D3F4C">
        <w:rPr>
          <w:rFonts w:cstheme="minorHAnsi"/>
        </w:rPr>
        <w:t>c</w:t>
      </w:r>
      <w:r w:rsidR="005C01C6" w:rsidRPr="00E6167F">
        <w:rPr>
          <w:rFonts w:cstheme="minorHAnsi"/>
        </w:rPr>
        <w:t>are pathways were developed</w:t>
      </w:r>
      <w:r w:rsidR="00451F40" w:rsidRPr="00E6167F">
        <w:rPr>
          <w:rFonts w:cstheme="minorHAnsi"/>
          <w:b/>
        </w:rPr>
        <w:t xml:space="preserve">. </w:t>
      </w:r>
      <w:r w:rsidR="005C01C6" w:rsidRPr="00E6167F">
        <w:rPr>
          <w:rFonts w:cstheme="minorHAnsi"/>
        </w:rPr>
        <w:t xml:space="preserve">Clinical guidelines and </w:t>
      </w:r>
      <w:r w:rsidR="00666B73">
        <w:rPr>
          <w:rFonts w:cstheme="minorHAnsi"/>
        </w:rPr>
        <w:t>c</w:t>
      </w:r>
      <w:r w:rsidR="005C01C6" w:rsidRPr="00E6167F">
        <w:rPr>
          <w:rFonts w:cstheme="minorHAnsi"/>
        </w:rPr>
        <w:t>are pathways are divided in groups based on the specialty</w:t>
      </w:r>
      <w:r w:rsidR="00A65C6F" w:rsidRPr="00E6167F">
        <w:rPr>
          <w:rFonts w:cstheme="minorHAnsi"/>
        </w:rPr>
        <w:t xml:space="preserve">, including but are not limited to </w:t>
      </w:r>
      <w:r w:rsidR="005C01C6" w:rsidRPr="00E6167F">
        <w:rPr>
          <w:rFonts w:cstheme="minorHAnsi"/>
        </w:rPr>
        <w:t>obstetrics and gynecology</w:t>
      </w:r>
      <w:r w:rsidR="00A65C6F" w:rsidRPr="00E6167F">
        <w:rPr>
          <w:rFonts w:cstheme="minorHAnsi"/>
        </w:rPr>
        <w:t>, a</w:t>
      </w:r>
      <w:r w:rsidR="005C01C6" w:rsidRPr="00E6167F">
        <w:rPr>
          <w:rFonts w:cstheme="minorHAnsi"/>
        </w:rPr>
        <w:t>llergology</w:t>
      </w:r>
      <w:r w:rsidR="00A65C6F" w:rsidRPr="00E6167F">
        <w:rPr>
          <w:rFonts w:cstheme="minorHAnsi"/>
        </w:rPr>
        <w:t xml:space="preserve">, </w:t>
      </w:r>
      <w:r w:rsidR="005C01C6" w:rsidRPr="00E6167F">
        <w:rPr>
          <w:rFonts w:cstheme="minorHAnsi"/>
        </w:rPr>
        <w:t>gastroenterology</w:t>
      </w:r>
      <w:r w:rsidR="00A65C6F" w:rsidRPr="00E6167F">
        <w:rPr>
          <w:rFonts w:cstheme="minorHAnsi"/>
        </w:rPr>
        <w:t xml:space="preserve">, </w:t>
      </w:r>
      <w:r w:rsidR="005C01C6" w:rsidRPr="00E6167F">
        <w:rPr>
          <w:rFonts w:cstheme="minorHAnsi"/>
        </w:rPr>
        <w:t>hematology</w:t>
      </w:r>
      <w:r w:rsidR="00A65C6F" w:rsidRPr="00E6167F">
        <w:rPr>
          <w:rFonts w:cstheme="minorHAnsi"/>
        </w:rPr>
        <w:t xml:space="preserve">, </w:t>
      </w:r>
      <w:r w:rsidR="005C01C6" w:rsidRPr="00E6167F">
        <w:rPr>
          <w:rFonts w:cstheme="minorHAnsi"/>
        </w:rPr>
        <w:t>dermatology</w:t>
      </w:r>
      <w:r w:rsidR="00A65C6F" w:rsidRPr="00E6167F">
        <w:rPr>
          <w:rFonts w:cstheme="minorHAnsi"/>
        </w:rPr>
        <w:t xml:space="preserve">, etc. </w:t>
      </w:r>
      <w:r w:rsidR="00D7038C" w:rsidRPr="00E6167F">
        <w:rPr>
          <w:rFonts w:cstheme="minorHAnsi"/>
        </w:rPr>
        <w:t>The majority of the guidelines provided guidance on maternal and child health (29</w:t>
      </w:r>
      <w:r w:rsidR="001E49AB">
        <w:rPr>
          <w:rFonts w:cstheme="minorHAnsi"/>
        </w:rPr>
        <w:t>.</w:t>
      </w:r>
      <w:r w:rsidR="00D7038C" w:rsidRPr="00E6167F">
        <w:rPr>
          <w:rFonts w:cstheme="minorHAnsi"/>
        </w:rPr>
        <w:t xml:space="preserve">2%) </w:t>
      </w:r>
      <w:r w:rsidR="00D11F1F">
        <w:rPr>
          <w:rFonts w:cstheme="minorHAnsi"/>
        </w:rPr>
        <w:t xml:space="preserve">and </w:t>
      </w:r>
      <w:r w:rsidR="00D7038C" w:rsidRPr="00E6167F">
        <w:rPr>
          <w:rFonts w:cstheme="minorHAnsi"/>
        </w:rPr>
        <w:t>followed by infectious and parasitic diseases (27</w:t>
      </w:r>
      <w:r w:rsidR="001E49AB">
        <w:rPr>
          <w:rFonts w:cstheme="minorHAnsi"/>
        </w:rPr>
        <w:t>.</w:t>
      </w:r>
      <w:r w:rsidR="00D7038C" w:rsidRPr="00E6167F">
        <w:rPr>
          <w:rFonts w:cstheme="minorHAnsi"/>
        </w:rPr>
        <w:t xml:space="preserve">7%). </w:t>
      </w:r>
      <w:r w:rsidR="00AF4C9A" w:rsidRPr="00E6167F">
        <w:rPr>
          <w:rFonts w:cstheme="minorHAnsi"/>
        </w:rPr>
        <w:t>All guidelines are based on international evidence. For example, for the development of the guideline for Uncomplicated pregnancy, Multiple pregnancy, Acute pyelonephritis in pregnancy, Spontaneous miscarriage, Premature labor, and Infections during pregnancy</w:t>
      </w:r>
      <w:r w:rsidR="002C0451">
        <w:rPr>
          <w:rFonts w:cstheme="minorHAnsi"/>
        </w:rPr>
        <w:t>, the</w:t>
      </w:r>
      <w:r w:rsidR="00AF4C9A" w:rsidRPr="00E6167F">
        <w:rPr>
          <w:rFonts w:cstheme="minorHAnsi"/>
        </w:rPr>
        <w:t xml:space="preserve"> following international sources/journals were used:</w:t>
      </w:r>
    </w:p>
    <w:p w14:paraId="04CD6782" w14:textId="6CF06B87" w:rsidR="00AF4C9A" w:rsidRPr="00E6167F" w:rsidRDefault="00AF4C9A" w:rsidP="00363D34">
      <w:pPr>
        <w:pStyle w:val="ListParagraph"/>
        <w:numPr>
          <w:ilvl w:val="0"/>
          <w:numId w:val="24"/>
        </w:numPr>
        <w:spacing w:after="0" w:line="240" w:lineRule="auto"/>
        <w:contextualSpacing w:val="0"/>
        <w:jc w:val="both"/>
        <w:rPr>
          <w:rFonts w:cstheme="minorHAnsi"/>
        </w:rPr>
      </w:pPr>
      <w:r w:rsidRPr="00E6167F">
        <w:rPr>
          <w:rFonts w:cstheme="minorHAnsi"/>
        </w:rPr>
        <w:lastRenderedPageBreak/>
        <w:t>National Institute for Health and Care Excellence clinical guidelines;</w:t>
      </w:r>
    </w:p>
    <w:p w14:paraId="5708A2B1" w14:textId="5E5A16B9" w:rsidR="00AF4C9A" w:rsidRPr="00E6167F" w:rsidRDefault="00AF4C9A" w:rsidP="00363D34">
      <w:pPr>
        <w:pStyle w:val="ListParagraph"/>
        <w:numPr>
          <w:ilvl w:val="0"/>
          <w:numId w:val="24"/>
        </w:numPr>
        <w:spacing w:after="0" w:line="240" w:lineRule="auto"/>
        <w:contextualSpacing w:val="0"/>
        <w:jc w:val="both"/>
        <w:rPr>
          <w:rFonts w:cstheme="minorHAnsi"/>
        </w:rPr>
      </w:pPr>
      <w:r w:rsidRPr="00E6167F">
        <w:rPr>
          <w:rFonts w:cstheme="minorHAnsi"/>
        </w:rPr>
        <w:t>Centers for Disease Control and Prevention;</w:t>
      </w:r>
    </w:p>
    <w:p w14:paraId="0156508C" w14:textId="77777777" w:rsidR="00AF4C9A" w:rsidRPr="00E6167F" w:rsidRDefault="00AF4C9A" w:rsidP="00363D34">
      <w:pPr>
        <w:pStyle w:val="ListParagraph"/>
        <w:numPr>
          <w:ilvl w:val="0"/>
          <w:numId w:val="24"/>
        </w:numPr>
        <w:spacing w:after="0" w:line="240" w:lineRule="auto"/>
        <w:contextualSpacing w:val="0"/>
        <w:jc w:val="both"/>
        <w:rPr>
          <w:rFonts w:cstheme="minorHAnsi"/>
          <w:lang w:val="en-GB"/>
        </w:rPr>
      </w:pPr>
      <w:r w:rsidRPr="00E6167F">
        <w:rPr>
          <w:rFonts w:cstheme="minorHAnsi"/>
          <w:lang w:val="en-GB"/>
        </w:rPr>
        <w:t>The World Health Organization Reproductive Health Library;</w:t>
      </w:r>
    </w:p>
    <w:p w14:paraId="675CC214" w14:textId="77777777" w:rsidR="00AF4C9A" w:rsidRPr="00E6167F" w:rsidRDefault="00AF4C9A" w:rsidP="00363D34">
      <w:pPr>
        <w:pStyle w:val="ListParagraph"/>
        <w:numPr>
          <w:ilvl w:val="0"/>
          <w:numId w:val="24"/>
        </w:numPr>
        <w:spacing w:after="0" w:line="240" w:lineRule="auto"/>
        <w:contextualSpacing w:val="0"/>
        <w:jc w:val="both"/>
        <w:rPr>
          <w:rFonts w:cstheme="minorHAnsi"/>
        </w:rPr>
      </w:pPr>
      <w:r w:rsidRPr="00E6167F">
        <w:rPr>
          <w:rFonts w:cstheme="minorHAnsi"/>
        </w:rPr>
        <w:t>The Journal of Infectious Diseases;</w:t>
      </w:r>
    </w:p>
    <w:p w14:paraId="6C8E7472" w14:textId="77777777" w:rsidR="00AF4C9A" w:rsidRPr="00E6167F" w:rsidRDefault="00AF4C9A" w:rsidP="00363D34">
      <w:pPr>
        <w:pStyle w:val="ListParagraph"/>
        <w:numPr>
          <w:ilvl w:val="0"/>
          <w:numId w:val="24"/>
        </w:numPr>
        <w:spacing w:after="0" w:line="240" w:lineRule="auto"/>
        <w:contextualSpacing w:val="0"/>
        <w:jc w:val="both"/>
        <w:rPr>
          <w:rFonts w:cstheme="minorHAnsi"/>
        </w:rPr>
      </w:pPr>
      <w:r w:rsidRPr="00E6167F">
        <w:rPr>
          <w:rFonts w:cstheme="minorHAnsi"/>
        </w:rPr>
        <w:t>The Journal of Reproductive Medicine;</w:t>
      </w:r>
    </w:p>
    <w:p w14:paraId="30163665" w14:textId="77777777" w:rsidR="00AF4C9A" w:rsidRPr="00E6167F" w:rsidRDefault="00AF4C9A" w:rsidP="00363D34">
      <w:pPr>
        <w:pStyle w:val="ListParagraph"/>
        <w:numPr>
          <w:ilvl w:val="0"/>
          <w:numId w:val="24"/>
        </w:numPr>
        <w:spacing w:after="0" w:line="240" w:lineRule="auto"/>
        <w:contextualSpacing w:val="0"/>
        <w:jc w:val="both"/>
        <w:rPr>
          <w:rFonts w:cstheme="minorHAnsi"/>
        </w:rPr>
      </w:pPr>
      <w:r w:rsidRPr="00E6167F">
        <w:rPr>
          <w:rFonts w:cstheme="minorHAnsi"/>
        </w:rPr>
        <w:t>American Family Physician;</w:t>
      </w:r>
    </w:p>
    <w:p w14:paraId="5F3199A1" w14:textId="0D5B3D4E" w:rsidR="00AF4C9A" w:rsidRPr="00E6167F" w:rsidRDefault="00AF4C9A" w:rsidP="00363D34">
      <w:pPr>
        <w:pStyle w:val="ListParagraph"/>
        <w:numPr>
          <w:ilvl w:val="0"/>
          <w:numId w:val="24"/>
        </w:numPr>
        <w:spacing w:after="0" w:line="240" w:lineRule="auto"/>
        <w:contextualSpacing w:val="0"/>
        <w:jc w:val="both"/>
        <w:rPr>
          <w:rFonts w:cstheme="minorHAnsi"/>
        </w:rPr>
      </w:pPr>
      <w:r w:rsidRPr="00E6167F">
        <w:rPr>
          <w:rFonts w:cstheme="minorHAnsi"/>
        </w:rPr>
        <w:t>The Journal of the American Medical Association;</w:t>
      </w:r>
    </w:p>
    <w:p w14:paraId="0CDFA6A2" w14:textId="77777777" w:rsidR="00AF4C9A" w:rsidRPr="00E6167F" w:rsidRDefault="00AF4C9A" w:rsidP="00363D34">
      <w:pPr>
        <w:pStyle w:val="ListParagraph"/>
        <w:numPr>
          <w:ilvl w:val="0"/>
          <w:numId w:val="24"/>
        </w:numPr>
        <w:spacing w:after="0" w:line="240" w:lineRule="auto"/>
        <w:contextualSpacing w:val="0"/>
        <w:jc w:val="both"/>
        <w:rPr>
          <w:rFonts w:cstheme="minorHAnsi"/>
        </w:rPr>
      </w:pPr>
      <w:r w:rsidRPr="00E6167F">
        <w:rPr>
          <w:rFonts w:cstheme="minorHAnsi"/>
        </w:rPr>
        <w:t>Prenatal Diagnosis;</w:t>
      </w:r>
    </w:p>
    <w:p w14:paraId="7B0852F7" w14:textId="77777777" w:rsidR="00AF4C9A" w:rsidRPr="00E6167F" w:rsidRDefault="00AF4C9A" w:rsidP="00363D34">
      <w:pPr>
        <w:pStyle w:val="ListParagraph"/>
        <w:numPr>
          <w:ilvl w:val="0"/>
          <w:numId w:val="24"/>
        </w:numPr>
        <w:spacing w:after="0" w:line="240" w:lineRule="auto"/>
        <w:contextualSpacing w:val="0"/>
        <w:jc w:val="both"/>
        <w:rPr>
          <w:rFonts w:cstheme="minorHAnsi"/>
        </w:rPr>
      </w:pPr>
      <w:r w:rsidRPr="00E6167F">
        <w:rPr>
          <w:rFonts w:cstheme="minorHAnsi"/>
        </w:rPr>
        <w:t xml:space="preserve">American Journal of Perinatology; </w:t>
      </w:r>
    </w:p>
    <w:p w14:paraId="0963BDD4" w14:textId="77777777" w:rsidR="00AF4C9A" w:rsidRPr="00E6167F" w:rsidRDefault="00AF4C9A" w:rsidP="00363D34">
      <w:pPr>
        <w:pStyle w:val="ListParagraph"/>
        <w:numPr>
          <w:ilvl w:val="0"/>
          <w:numId w:val="24"/>
        </w:numPr>
        <w:spacing w:after="0" w:line="240" w:lineRule="auto"/>
        <w:contextualSpacing w:val="0"/>
        <w:jc w:val="both"/>
        <w:rPr>
          <w:rFonts w:cstheme="minorHAnsi"/>
        </w:rPr>
      </w:pPr>
      <w:r w:rsidRPr="00E6167F">
        <w:rPr>
          <w:rFonts w:cstheme="minorHAnsi"/>
        </w:rPr>
        <w:t>Obstetrics &amp; Gynecology;</w:t>
      </w:r>
    </w:p>
    <w:p w14:paraId="5276174D" w14:textId="77777777" w:rsidR="00AF4C9A" w:rsidRPr="00E6167F" w:rsidRDefault="00AF4C9A" w:rsidP="00363D34">
      <w:pPr>
        <w:pStyle w:val="ListParagraph"/>
        <w:numPr>
          <w:ilvl w:val="0"/>
          <w:numId w:val="24"/>
        </w:numPr>
        <w:spacing w:after="0" w:line="240" w:lineRule="auto"/>
        <w:contextualSpacing w:val="0"/>
        <w:jc w:val="both"/>
        <w:rPr>
          <w:rFonts w:cstheme="minorHAnsi"/>
        </w:rPr>
      </w:pPr>
      <w:r w:rsidRPr="00E6167F">
        <w:rPr>
          <w:rFonts w:cstheme="minorHAnsi"/>
        </w:rPr>
        <w:t>Birth Defects Research;</w:t>
      </w:r>
    </w:p>
    <w:p w14:paraId="1768C209" w14:textId="77777777" w:rsidR="00AF4C9A" w:rsidRPr="00E6167F" w:rsidRDefault="00AF4C9A" w:rsidP="00363D34">
      <w:pPr>
        <w:pStyle w:val="ListParagraph"/>
        <w:numPr>
          <w:ilvl w:val="0"/>
          <w:numId w:val="24"/>
        </w:numPr>
        <w:spacing w:after="0" w:line="240" w:lineRule="auto"/>
        <w:contextualSpacing w:val="0"/>
        <w:jc w:val="both"/>
        <w:rPr>
          <w:rFonts w:cstheme="minorHAnsi"/>
        </w:rPr>
      </w:pPr>
      <w:r w:rsidRPr="00E6167F">
        <w:rPr>
          <w:rFonts w:cstheme="minorHAnsi"/>
        </w:rPr>
        <w:t>Clinical and Molecular Teratology.</w:t>
      </w:r>
    </w:p>
    <w:p w14:paraId="5F89DFEC" w14:textId="77777777" w:rsidR="00475D26" w:rsidRDefault="00475D26" w:rsidP="00363D34">
      <w:pPr>
        <w:spacing w:line="240" w:lineRule="auto"/>
        <w:jc w:val="both"/>
        <w:rPr>
          <w:rFonts w:cstheme="minorHAnsi"/>
        </w:rPr>
      </w:pPr>
    </w:p>
    <w:p w14:paraId="6B8EAF07" w14:textId="64C2E108" w:rsidR="00475D26" w:rsidRPr="00475D26" w:rsidRDefault="00475D26" w:rsidP="00363D34">
      <w:pPr>
        <w:spacing w:line="240" w:lineRule="auto"/>
        <w:jc w:val="both"/>
        <w:rPr>
          <w:rFonts w:cstheme="minorHAnsi"/>
        </w:rPr>
      </w:pPr>
      <w:r w:rsidRPr="00475D26">
        <w:rPr>
          <w:rFonts w:cstheme="minorHAnsi"/>
        </w:rPr>
        <w:t>An option for developing a more explicit version of the SGBP could be using the clinical guidelines and care pathway</w:t>
      </w:r>
      <w:r w:rsidR="00AD6F98">
        <w:rPr>
          <w:rFonts w:cstheme="minorHAnsi"/>
        </w:rPr>
        <w:t>s</w:t>
      </w:r>
      <w:r w:rsidRPr="00475D26">
        <w:rPr>
          <w:rFonts w:cstheme="minorHAnsi"/>
        </w:rPr>
        <w:t xml:space="preserve"> to concretize personal health services along a full continuum of care. This start</w:t>
      </w:r>
      <w:r w:rsidR="002F6820">
        <w:rPr>
          <w:rFonts w:cstheme="minorHAnsi"/>
        </w:rPr>
        <w:t>s</w:t>
      </w:r>
      <w:r w:rsidRPr="00475D26">
        <w:rPr>
          <w:rFonts w:cstheme="minorHAnsi"/>
        </w:rPr>
        <w:t xml:space="preserve"> with </w:t>
      </w:r>
      <w:r w:rsidRPr="00475D26">
        <w:rPr>
          <w:rFonts w:cstheme="minorHAnsi"/>
          <w:color w:val="000000"/>
        </w:rPr>
        <w:t xml:space="preserve">documenting all services currently provided in the public sector as per national policy, by level of care. The structure of this SGBP can comprise a database that lists all interventions. The primary policy documents utilized to populate such database could be </w:t>
      </w:r>
      <w:r w:rsidR="00CB6E97">
        <w:rPr>
          <w:rFonts w:cstheme="minorHAnsi"/>
          <w:color w:val="000000"/>
        </w:rPr>
        <w:t>c</w:t>
      </w:r>
      <w:r w:rsidRPr="00475D26">
        <w:rPr>
          <w:rFonts w:cstheme="minorHAnsi"/>
          <w:color w:val="000000"/>
        </w:rPr>
        <w:t xml:space="preserve">linical guidelines and </w:t>
      </w:r>
      <w:r w:rsidR="00CB6E97">
        <w:rPr>
          <w:rFonts w:cstheme="minorHAnsi"/>
          <w:color w:val="000000"/>
        </w:rPr>
        <w:t>c</w:t>
      </w:r>
      <w:r w:rsidRPr="00475D26">
        <w:rPr>
          <w:rFonts w:cstheme="minorHAnsi"/>
          <w:color w:val="000000"/>
        </w:rPr>
        <w:t xml:space="preserve">are pathways. Clinical guidelines can have a substantial influence on clinical decision making, and also contribute to health policies that determine availability of technologies and the type and method of health care provided to patients, with consequences for patient outcomes and access to care, health system costs and resource use. Every intervention reflected in the </w:t>
      </w:r>
      <w:r w:rsidR="00CC4F7A">
        <w:rPr>
          <w:rFonts w:cstheme="minorHAnsi"/>
          <w:color w:val="000000"/>
        </w:rPr>
        <w:t>c</w:t>
      </w:r>
      <w:r w:rsidRPr="00475D26">
        <w:rPr>
          <w:rFonts w:cstheme="minorHAnsi"/>
          <w:color w:val="000000"/>
        </w:rPr>
        <w:t xml:space="preserve">linical guidelines and </w:t>
      </w:r>
      <w:r w:rsidR="00CC4F7A">
        <w:rPr>
          <w:rFonts w:cstheme="minorHAnsi"/>
          <w:color w:val="000000"/>
        </w:rPr>
        <w:t>c</w:t>
      </w:r>
      <w:r w:rsidRPr="00475D26">
        <w:rPr>
          <w:rFonts w:cstheme="minorHAnsi"/>
          <w:color w:val="000000"/>
        </w:rPr>
        <w:t xml:space="preserve">are pathways could be captured in the SGBP.  Such framework should ultimately enable the description and costing of services at differing levels of granularity such that it could be used to inform the full range of health sector stakeholders. </w:t>
      </w:r>
      <w:r w:rsidRPr="00475D26">
        <w:rPr>
          <w:rFonts w:cstheme="minorHAnsi"/>
        </w:rPr>
        <w:t>In this way</w:t>
      </w:r>
      <w:r w:rsidR="00646B64">
        <w:rPr>
          <w:rFonts w:cstheme="minorHAnsi"/>
        </w:rPr>
        <w:t>,</w:t>
      </w:r>
      <w:r w:rsidRPr="00475D26">
        <w:rPr>
          <w:rFonts w:cstheme="minorHAnsi"/>
        </w:rPr>
        <w:t xml:space="preserve"> development of integrated health care will be supported. </w:t>
      </w:r>
    </w:p>
    <w:p w14:paraId="0BD45B8A" w14:textId="77777777" w:rsidR="00D44306" w:rsidRDefault="00183785" w:rsidP="00363D34">
      <w:pPr>
        <w:spacing w:after="120" w:line="240" w:lineRule="auto"/>
        <w:jc w:val="both"/>
        <w:rPr>
          <w:rFonts w:cstheme="minorHAnsi"/>
          <w:color w:val="000000"/>
        </w:rPr>
      </w:pPr>
      <w:r w:rsidRPr="00E6167F">
        <w:rPr>
          <w:rFonts w:cstheme="minorHAnsi"/>
        </w:rPr>
        <w:t xml:space="preserve">Similarly, one could </w:t>
      </w:r>
      <w:r w:rsidR="00E831C7" w:rsidRPr="00E6167F">
        <w:rPr>
          <w:rFonts w:cstheme="minorHAnsi"/>
        </w:rPr>
        <w:t xml:space="preserve">build on </w:t>
      </w:r>
      <w:r w:rsidRPr="00E6167F">
        <w:rPr>
          <w:rFonts w:cstheme="minorHAnsi"/>
        </w:rPr>
        <w:t xml:space="preserve">the existing </w:t>
      </w:r>
      <w:r w:rsidR="00E831C7" w:rsidRPr="00E6167F">
        <w:rPr>
          <w:rFonts w:cstheme="minorHAnsi"/>
        </w:rPr>
        <w:t xml:space="preserve">system of the </w:t>
      </w:r>
      <w:r w:rsidR="00E831C7" w:rsidRPr="00E6167F">
        <w:rPr>
          <w:rFonts w:cstheme="minorHAnsi"/>
          <w:color w:val="000000"/>
        </w:rPr>
        <w:t xml:space="preserve">DRGs </w:t>
      </w:r>
      <w:r w:rsidR="007C3B52" w:rsidRPr="00E6167F">
        <w:rPr>
          <w:rFonts w:cstheme="minorHAnsi"/>
          <w:color w:val="000000"/>
        </w:rPr>
        <w:t xml:space="preserve">(the latest was </w:t>
      </w:r>
      <w:r w:rsidR="00E831C7" w:rsidRPr="00E6167F">
        <w:rPr>
          <w:rFonts w:cstheme="minorHAnsi"/>
          <w:color w:val="000000"/>
        </w:rPr>
        <w:t>published in 2015</w:t>
      </w:r>
      <w:r w:rsidR="007C3B52" w:rsidRPr="00E6167F">
        <w:rPr>
          <w:rFonts w:cstheme="minorHAnsi"/>
          <w:color w:val="000000"/>
        </w:rPr>
        <w:t xml:space="preserve">) and other guidelines to develop a concrete list of services, procedures, or drugs </w:t>
      </w:r>
      <w:r w:rsidR="00256F21" w:rsidRPr="00E6167F">
        <w:rPr>
          <w:rFonts w:cstheme="minorHAnsi"/>
          <w:color w:val="000000"/>
        </w:rPr>
        <w:t xml:space="preserve">to be included in the SGBP. </w:t>
      </w:r>
    </w:p>
    <w:p w14:paraId="203E5C46" w14:textId="30F1BFBA" w:rsidR="00C41FB2" w:rsidRPr="00E6167F" w:rsidRDefault="00AB070A" w:rsidP="00363D34">
      <w:pPr>
        <w:spacing w:after="120" w:line="240" w:lineRule="auto"/>
        <w:jc w:val="both"/>
        <w:rPr>
          <w:rFonts w:cstheme="minorHAnsi"/>
        </w:rPr>
      </w:pPr>
      <w:r w:rsidRPr="00E6167F">
        <w:rPr>
          <w:rFonts w:cstheme="minorHAnsi"/>
        </w:rPr>
        <w:t xml:space="preserve">Some illustrations </w:t>
      </w:r>
      <w:r w:rsidR="00D44306">
        <w:rPr>
          <w:rFonts w:cstheme="minorHAnsi"/>
        </w:rPr>
        <w:t xml:space="preserve">of using guidelines and </w:t>
      </w:r>
      <w:r w:rsidR="00EB751F">
        <w:rPr>
          <w:rFonts w:cstheme="minorHAnsi"/>
        </w:rPr>
        <w:t xml:space="preserve">DRGs system to develop an explicit list of services </w:t>
      </w:r>
      <w:r w:rsidR="006D4C4C">
        <w:rPr>
          <w:rFonts w:cstheme="minorHAnsi"/>
        </w:rPr>
        <w:t xml:space="preserve">to be included in the SGBP </w:t>
      </w:r>
      <w:r w:rsidRPr="00E6167F">
        <w:rPr>
          <w:rFonts w:cstheme="minorHAnsi"/>
        </w:rPr>
        <w:t>are provided below</w:t>
      </w:r>
      <w:r w:rsidR="006D4C4C">
        <w:rPr>
          <w:rFonts w:cstheme="minorHAnsi"/>
        </w:rPr>
        <w:t>.</w:t>
      </w:r>
    </w:p>
    <w:p w14:paraId="3361DC02" w14:textId="3AB6E3A8" w:rsidR="00D7038C" w:rsidRPr="00433D80" w:rsidRDefault="00537C45" w:rsidP="00D92F7A">
      <w:pPr>
        <w:pStyle w:val="ListParagraph"/>
        <w:numPr>
          <w:ilvl w:val="0"/>
          <w:numId w:val="25"/>
        </w:numPr>
        <w:spacing w:before="240" w:after="120" w:line="240" w:lineRule="auto"/>
        <w:jc w:val="both"/>
        <w:rPr>
          <w:rFonts w:cstheme="minorHAnsi"/>
          <w:b/>
          <w:color w:val="000000"/>
        </w:rPr>
      </w:pPr>
      <w:r w:rsidRPr="00433D80">
        <w:rPr>
          <w:rFonts w:cstheme="minorHAnsi"/>
          <w:b/>
          <w:color w:val="000000"/>
        </w:rPr>
        <w:t>U</w:t>
      </w:r>
      <w:r w:rsidR="00D7038C" w:rsidRPr="00433D80">
        <w:rPr>
          <w:rFonts w:cstheme="minorHAnsi"/>
          <w:b/>
          <w:color w:val="000000"/>
        </w:rPr>
        <w:t xml:space="preserve">ncomplicated pregnancy </w:t>
      </w:r>
    </w:p>
    <w:p w14:paraId="3DB3E1D1" w14:textId="4CA40A80" w:rsidR="0009491D" w:rsidRDefault="007423A5" w:rsidP="00363D34">
      <w:pPr>
        <w:autoSpaceDE w:val="0"/>
        <w:autoSpaceDN w:val="0"/>
        <w:adjustRightInd w:val="0"/>
        <w:spacing w:after="0" w:line="240" w:lineRule="auto"/>
        <w:jc w:val="both"/>
        <w:rPr>
          <w:rFonts w:cstheme="minorHAnsi"/>
          <w:color w:val="000000"/>
        </w:rPr>
      </w:pPr>
      <w:r w:rsidRPr="00E6167F">
        <w:rPr>
          <w:rFonts w:cstheme="minorHAnsi"/>
          <w:color w:val="000000"/>
        </w:rPr>
        <w:t>A c</w:t>
      </w:r>
      <w:r w:rsidR="00D7038C" w:rsidRPr="00E6167F">
        <w:rPr>
          <w:rFonts w:cstheme="minorHAnsi"/>
          <w:color w:val="000000"/>
        </w:rPr>
        <w:t>ollection of clinical protocols for Uncomplicated pregnancy; Multiple pregnancy; Acute pyelonephritis in pregnancy; Spontaneous miscarriage; Premature labor; Infections during pregnancy</w:t>
      </w:r>
      <w:r w:rsidRPr="00E6167F">
        <w:rPr>
          <w:rFonts w:cstheme="minorHAnsi"/>
          <w:color w:val="000000"/>
        </w:rPr>
        <w:t xml:space="preserve"> was published by the </w:t>
      </w:r>
      <w:proofErr w:type="spellStart"/>
      <w:r w:rsidRPr="00E6167F">
        <w:rPr>
          <w:rFonts w:cstheme="minorHAnsi"/>
          <w:color w:val="000000"/>
        </w:rPr>
        <w:t>MoH</w:t>
      </w:r>
      <w:proofErr w:type="spellEnd"/>
      <w:r w:rsidRPr="00E6167F">
        <w:rPr>
          <w:rFonts w:cstheme="minorHAnsi"/>
          <w:color w:val="000000"/>
        </w:rPr>
        <w:t xml:space="preserve"> in 2013. </w:t>
      </w:r>
      <w:r w:rsidR="00D7038C" w:rsidRPr="00E6167F">
        <w:rPr>
          <w:rFonts w:cstheme="minorHAnsi"/>
          <w:color w:val="000000"/>
        </w:rPr>
        <w:t xml:space="preserve">This guideline lists every health intervention that </w:t>
      </w:r>
      <w:r w:rsidR="00DF04D4">
        <w:rPr>
          <w:rFonts w:cstheme="minorHAnsi"/>
          <w:color w:val="000000"/>
        </w:rPr>
        <w:t xml:space="preserve">the </w:t>
      </w:r>
      <w:r w:rsidR="00D7038C" w:rsidRPr="00E6167F">
        <w:rPr>
          <w:rFonts w:cstheme="minorHAnsi"/>
          <w:color w:val="000000"/>
        </w:rPr>
        <w:t xml:space="preserve">current national policy dictates should be provided under </w:t>
      </w:r>
      <w:r w:rsidR="009D2D31">
        <w:rPr>
          <w:rFonts w:cstheme="minorHAnsi"/>
          <w:color w:val="000000"/>
        </w:rPr>
        <w:t>a</w:t>
      </w:r>
      <w:r w:rsidR="00D7038C" w:rsidRPr="00E6167F">
        <w:rPr>
          <w:rFonts w:cstheme="minorHAnsi"/>
          <w:color w:val="000000"/>
        </w:rPr>
        <w:t xml:space="preserve">ntenatal care for uncomplicated pregnancy. It includes 6 antenatal visits. Table </w:t>
      </w:r>
      <w:r w:rsidR="00482E46">
        <w:rPr>
          <w:rFonts w:cstheme="minorHAnsi"/>
          <w:color w:val="000000"/>
        </w:rPr>
        <w:t xml:space="preserve">10 </w:t>
      </w:r>
      <w:r w:rsidR="00D7038C" w:rsidRPr="00E6167F">
        <w:rPr>
          <w:rFonts w:cstheme="minorHAnsi"/>
          <w:color w:val="000000"/>
        </w:rPr>
        <w:t>below presents an example</w:t>
      </w:r>
      <w:r w:rsidR="007F01FF">
        <w:rPr>
          <w:rFonts w:cstheme="minorHAnsi"/>
          <w:color w:val="000000"/>
        </w:rPr>
        <w:t xml:space="preserve"> of</w:t>
      </w:r>
      <w:r w:rsidR="00D7038C" w:rsidRPr="00E6167F">
        <w:rPr>
          <w:rFonts w:cstheme="minorHAnsi"/>
          <w:color w:val="000000"/>
        </w:rPr>
        <w:t xml:space="preserve"> how data for antenatal visits can be separated into six categories: Name of the program</w:t>
      </w:r>
      <w:r w:rsidR="00DC79B9">
        <w:rPr>
          <w:rFonts w:cstheme="minorHAnsi"/>
          <w:color w:val="000000"/>
        </w:rPr>
        <w:t xml:space="preserve"> (condition)</w:t>
      </w:r>
      <w:r w:rsidR="00D7038C" w:rsidRPr="00E6167F">
        <w:rPr>
          <w:rFonts w:cstheme="minorHAnsi"/>
          <w:color w:val="000000"/>
        </w:rPr>
        <w:t xml:space="preserve">; </w:t>
      </w:r>
      <w:r w:rsidR="00E27AF2">
        <w:rPr>
          <w:rFonts w:cstheme="minorHAnsi"/>
          <w:color w:val="000000"/>
        </w:rPr>
        <w:t>C</w:t>
      </w:r>
      <w:r w:rsidR="00D7038C" w:rsidRPr="00E6167F">
        <w:rPr>
          <w:rFonts w:cstheme="minorHAnsi"/>
          <w:color w:val="000000"/>
        </w:rPr>
        <w:t>are</w:t>
      </w:r>
      <w:r w:rsidR="00E27AF2">
        <w:rPr>
          <w:rFonts w:cstheme="minorHAnsi"/>
          <w:color w:val="000000"/>
        </w:rPr>
        <w:t xml:space="preserve"> provider</w:t>
      </w:r>
      <w:r w:rsidR="00D7038C" w:rsidRPr="00E6167F">
        <w:rPr>
          <w:rFonts w:cstheme="minorHAnsi"/>
          <w:color w:val="000000"/>
        </w:rPr>
        <w:t xml:space="preserve">; Procedures; Laboratory tests; Prescribed drugs; and Coverage. This provides </w:t>
      </w:r>
      <w:r w:rsidR="00DC79B9">
        <w:rPr>
          <w:rFonts w:cstheme="minorHAnsi"/>
          <w:color w:val="000000"/>
        </w:rPr>
        <w:t xml:space="preserve">a </w:t>
      </w:r>
      <w:r w:rsidR="00D7038C" w:rsidRPr="00E6167F">
        <w:rPr>
          <w:rFonts w:cstheme="minorHAnsi"/>
          <w:color w:val="000000"/>
        </w:rPr>
        <w:t xml:space="preserve">framework </w:t>
      </w:r>
      <w:r w:rsidR="00DC79B9">
        <w:rPr>
          <w:rFonts w:cstheme="minorHAnsi"/>
          <w:color w:val="000000"/>
        </w:rPr>
        <w:t xml:space="preserve">for </w:t>
      </w:r>
      <w:r w:rsidR="00D7038C" w:rsidRPr="00E6167F">
        <w:rPr>
          <w:rFonts w:cstheme="minorHAnsi"/>
          <w:color w:val="000000"/>
        </w:rPr>
        <w:t>a systematic approach to the creation of a standard set of health service benefits that are provided efficiently and effectively.</w:t>
      </w:r>
    </w:p>
    <w:p w14:paraId="4C33B2E1" w14:textId="76624E88" w:rsidR="00BD2BC4" w:rsidRDefault="00BD2BC4" w:rsidP="00363D34">
      <w:pPr>
        <w:autoSpaceDE w:val="0"/>
        <w:autoSpaceDN w:val="0"/>
        <w:adjustRightInd w:val="0"/>
        <w:spacing w:after="0" w:line="240" w:lineRule="auto"/>
        <w:jc w:val="both"/>
        <w:rPr>
          <w:rFonts w:cstheme="minorHAnsi"/>
          <w:color w:val="000000"/>
        </w:rPr>
      </w:pPr>
    </w:p>
    <w:p w14:paraId="346BADB8" w14:textId="21F43E7E" w:rsidR="00BD2BC4" w:rsidRDefault="00BD2BC4" w:rsidP="00363D34">
      <w:pPr>
        <w:autoSpaceDE w:val="0"/>
        <w:autoSpaceDN w:val="0"/>
        <w:adjustRightInd w:val="0"/>
        <w:spacing w:after="0" w:line="240" w:lineRule="auto"/>
        <w:jc w:val="both"/>
        <w:rPr>
          <w:rFonts w:cstheme="minorHAnsi"/>
          <w:color w:val="000000"/>
        </w:rPr>
      </w:pPr>
    </w:p>
    <w:p w14:paraId="320E28AA" w14:textId="643AC0C5" w:rsidR="00BD2BC4" w:rsidRDefault="00BD2BC4" w:rsidP="00363D34">
      <w:pPr>
        <w:autoSpaceDE w:val="0"/>
        <w:autoSpaceDN w:val="0"/>
        <w:adjustRightInd w:val="0"/>
        <w:spacing w:after="0" w:line="240" w:lineRule="auto"/>
        <w:jc w:val="both"/>
        <w:rPr>
          <w:rFonts w:cstheme="minorHAnsi"/>
          <w:color w:val="000000"/>
        </w:rPr>
      </w:pPr>
    </w:p>
    <w:p w14:paraId="3D023C8E" w14:textId="19D9D826" w:rsidR="00BD2BC4" w:rsidRDefault="00BD2BC4" w:rsidP="00363D34">
      <w:pPr>
        <w:autoSpaceDE w:val="0"/>
        <w:autoSpaceDN w:val="0"/>
        <w:adjustRightInd w:val="0"/>
        <w:spacing w:after="0" w:line="240" w:lineRule="auto"/>
        <w:jc w:val="both"/>
        <w:rPr>
          <w:rFonts w:cstheme="minorHAnsi"/>
          <w:color w:val="000000"/>
        </w:rPr>
      </w:pPr>
    </w:p>
    <w:p w14:paraId="5545E4FF" w14:textId="756EF781" w:rsidR="00BD2BC4" w:rsidRDefault="00BD2BC4" w:rsidP="00363D34">
      <w:pPr>
        <w:autoSpaceDE w:val="0"/>
        <w:autoSpaceDN w:val="0"/>
        <w:adjustRightInd w:val="0"/>
        <w:spacing w:after="0" w:line="240" w:lineRule="auto"/>
        <w:jc w:val="both"/>
        <w:rPr>
          <w:rFonts w:cstheme="minorHAnsi"/>
          <w:color w:val="000000"/>
        </w:rPr>
      </w:pPr>
    </w:p>
    <w:p w14:paraId="3D1A0D25" w14:textId="2B7712E5" w:rsidR="00BD2BC4" w:rsidRDefault="00BD2BC4" w:rsidP="00363D34">
      <w:pPr>
        <w:autoSpaceDE w:val="0"/>
        <w:autoSpaceDN w:val="0"/>
        <w:adjustRightInd w:val="0"/>
        <w:spacing w:after="0" w:line="240" w:lineRule="auto"/>
        <w:jc w:val="both"/>
        <w:rPr>
          <w:rFonts w:cstheme="minorHAnsi"/>
          <w:color w:val="000000"/>
        </w:rPr>
      </w:pPr>
    </w:p>
    <w:p w14:paraId="121C957D" w14:textId="6D9F9C06" w:rsidR="00BD2BC4" w:rsidRDefault="00BD2BC4" w:rsidP="00363D34">
      <w:pPr>
        <w:autoSpaceDE w:val="0"/>
        <w:autoSpaceDN w:val="0"/>
        <w:adjustRightInd w:val="0"/>
        <w:spacing w:after="0" w:line="240" w:lineRule="auto"/>
        <w:jc w:val="both"/>
        <w:rPr>
          <w:rFonts w:cstheme="minorHAnsi"/>
          <w:color w:val="000000"/>
        </w:rPr>
      </w:pPr>
    </w:p>
    <w:p w14:paraId="34284E9D" w14:textId="202DE0F7" w:rsidR="00D7038C" w:rsidRPr="00132B20" w:rsidRDefault="00023A9B" w:rsidP="00132B20">
      <w:pPr>
        <w:autoSpaceDE w:val="0"/>
        <w:autoSpaceDN w:val="0"/>
        <w:adjustRightInd w:val="0"/>
        <w:spacing w:before="240" w:after="120" w:line="240" w:lineRule="auto"/>
        <w:jc w:val="both"/>
        <w:rPr>
          <w:rFonts w:cstheme="minorHAnsi"/>
          <w:b/>
          <w:color w:val="000000"/>
        </w:rPr>
      </w:pPr>
      <w:r w:rsidRPr="00132B20">
        <w:rPr>
          <w:rFonts w:cstheme="minorHAnsi"/>
          <w:b/>
          <w:color w:val="000000"/>
        </w:rPr>
        <w:lastRenderedPageBreak/>
        <w:t>Table 1</w:t>
      </w:r>
      <w:r w:rsidR="00E86BBF">
        <w:rPr>
          <w:rFonts w:cstheme="minorHAnsi"/>
          <w:b/>
          <w:color w:val="000000"/>
        </w:rPr>
        <w:t>2</w:t>
      </w:r>
      <w:r w:rsidRPr="00132B20">
        <w:rPr>
          <w:rFonts w:cstheme="minorHAnsi"/>
          <w:b/>
          <w:color w:val="000000"/>
        </w:rPr>
        <w:t>.</w:t>
      </w:r>
      <w:r w:rsidR="004200BD" w:rsidRPr="00132B20">
        <w:rPr>
          <w:rFonts w:cstheme="minorHAnsi"/>
          <w:b/>
          <w:color w:val="000000"/>
        </w:rPr>
        <w:t xml:space="preserve"> Translating the guideline for uncomplicated pregnancy to an explicit list of services</w:t>
      </w:r>
    </w:p>
    <w:tbl>
      <w:tblPr>
        <w:tblStyle w:val="TableGrid"/>
        <w:tblW w:w="5000" w:type="pct"/>
        <w:jc w:val="center"/>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013"/>
        <w:gridCol w:w="1699"/>
        <w:gridCol w:w="2555"/>
        <w:gridCol w:w="1181"/>
        <w:gridCol w:w="1068"/>
      </w:tblGrid>
      <w:tr w:rsidR="00D7038C" w:rsidRPr="00E6167F" w14:paraId="3A961D61" w14:textId="77777777" w:rsidTr="00EA4C3D">
        <w:trPr>
          <w:tblHeader/>
          <w:jc w:val="center"/>
        </w:trPr>
        <w:tc>
          <w:tcPr>
            <w:tcW w:w="1005" w:type="pct"/>
            <w:tcBorders>
              <w:top w:val="single" w:sz="4" w:space="0" w:color="auto"/>
              <w:bottom w:val="single" w:sz="4" w:space="0" w:color="auto"/>
            </w:tcBorders>
            <w:shd w:val="clear" w:color="auto" w:fill="F2F2F2" w:themeFill="background1" w:themeFillShade="F2"/>
            <w:vAlign w:val="center"/>
          </w:tcPr>
          <w:p w14:paraId="095CA425" w14:textId="77777777" w:rsidR="00D7038C" w:rsidRPr="00E6167F" w:rsidRDefault="00D7038C" w:rsidP="00363D34">
            <w:pPr>
              <w:jc w:val="both"/>
              <w:rPr>
                <w:rFonts w:cstheme="minorHAnsi"/>
                <w:b/>
              </w:rPr>
            </w:pPr>
            <w:r w:rsidRPr="00302AD7">
              <w:rPr>
                <w:rFonts w:cstheme="minorHAnsi"/>
                <w:b/>
              </w:rPr>
              <w:t>Program</w:t>
            </w:r>
          </w:p>
        </w:tc>
        <w:tc>
          <w:tcPr>
            <w:tcW w:w="539" w:type="pct"/>
            <w:tcBorders>
              <w:top w:val="single" w:sz="4" w:space="0" w:color="auto"/>
              <w:bottom w:val="single" w:sz="4" w:space="0" w:color="auto"/>
            </w:tcBorders>
            <w:shd w:val="clear" w:color="auto" w:fill="F2F2F2" w:themeFill="background1" w:themeFillShade="F2"/>
            <w:vAlign w:val="center"/>
          </w:tcPr>
          <w:p w14:paraId="4211E161" w14:textId="1896896E" w:rsidR="00D7038C" w:rsidRPr="00E6167F" w:rsidRDefault="002F4277" w:rsidP="00363D34">
            <w:pPr>
              <w:jc w:val="both"/>
              <w:rPr>
                <w:rFonts w:cstheme="minorHAnsi"/>
                <w:b/>
              </w:rPr>
            </w:pPr>
            <w:r>
              <w:rPr>
                <w:rFonts w:cstheme="minorHAnsi"/>
                <w:b/>
              </w:rPr>
              <w:t xml:space="preserve">Care </w:t>
            </w:r>
            <w:r w:rsidR="00D7038C" w:rsidRPr="00E6167F">
              <w:rPr>
                <w:rFonts w:cstheme="minorHAnsi"/>
                <w:b/>
              </w:rPr>
              <w:t>provide</w:t>
            </w:r>
            <w:r>
              <w:rPr>
                <w:rFonts w:cstheme="minorHAnsi"/>
                <w:b/>
              </w:rPr>
              <w:t>r</w:t>
            </w:r>
          </w:p>
        </w:tc>
        <w:tc>
          <w:tcPr>
            <w:tcW w:w="903" w:type="pct"/>
            <w:tcBorders>
              <w:top w:val="single" w:sz="4" w:space="0" w:color="auto"/>
              <w:bottom w:val="single" w:sz="4" w:space="0" w:color="auto"/>
            </w:tcBorders>
            <w:shd w:val="clear" w:color="auto" w:fill="F2F2F2" w:themeFill="background1" w:themeFillShade="F2"/>
            <w:vAlign w:val="center"/>
          </w:tcPr>
          <w:p w14:paraId="43001A15" w14:textId="77777777" w:rsidR="00D7038C" w:rsidRPr="00E6167F" w:rsidRDefault="00D7038C" w:rsidP="00363D34">
            <w:pPr>
              <w:jc w:val="both"/>
              <w:rPr>
                <w:rFonts w:cstheme="minorHAnsi"/>
                <w:b/>
              </w:rPr>
            </w:pPr>
            <w:r w:rsidRPr="00E6167F">
              <w:rPr>
                <w:rFonts w:cstheme="minorHAnsi"/>
                <w:b/>
              </w:rPr>
              <w:t>Procedures</w:t>
            </w:r>
          </w:p>
        </w:tc>
        <w:tc>
          <w:tcPr>
            <w:tcW w:w="1358" w:type="pct"/>
            <w:tcBorders>
              <w:top w:val="single" w:sz="4" w:space="0" w:color="auto"/>
              <w:bottom w:val="single" w:sz="4" w:space="0" w:color="auto"/>
            </w:tcBorders>
            <w:shd w:val="clear" w:color="auto" w:fill="F2F2F2" w:themeFill="background1" w:themeFillShade="F2"/>
            <w:vAlign w:val="center"/>
          </w:tcPr>
          <w:p w14:paraId="75F57B48" w14:textId="77777777" w:rsidR="00D7038C" w:rsidRPr="00E6167F" w:rsidRDefault="00D7038C" w:rsidP="00363D34">
            <w:pPr>
              <w:jc w:val="both"/>
              <w:rPr>
                <w:rFonts w:cstheme="minorHAnsi"/>
                <w:b/>
              </w:rPr>
            </w:pPr>
            <w:r w:rsidRPr="00E6167F">
              <w:rPr>
                <w:rFonts w:cstheme="minorHAnsi"/>
                <w:b/>
              </w:rPr>
              <w:t>Laboratory tests</w:t>
            </w:r>
          </w:p>
        </w:tc>
        <w:tc>
          <w:tcPr>
            <w:tcW w:w="628" w:type="pct"/>
            <w:tcBorders>
              <w:top w:val="single" w:sz="4" w:space="0" w:color="auto"/>
              <w:bottom w:val="single" w:sz="4" w:space="0" w:color="auto"/>
            </w:tcBorders>
            <w:shd w:val="clear" w:color="auto" w:fill="F2F2F2" w:themeFill="background1" w:themeFillShade="F2"/>
            <w:vAlign w:val="center"/>
          </w:tcPr>
          <w:p w14:paraId="65876952" w14:textId="77777777" w:rsidR="00D7038C" w:rsidRPr="00E6167F" w:rsidRDefault="00D7038C" w:rsidP="00363D34">
            <w:pPr>
              <w:jc w:val="both"/>
              <w:rPr>
                <w:rFonts w:cstheme="minorHAnsi"/>
                <w:b/>
              </w:rPr>
            </w:pPr>
            <w:r w:rsidRPr="00E6167F">
              <w:rPr>
                <w:rFonts w:cstheme="minorHAnsi"/>
                <w:b/>
              </w:rPr>
              <w:t>Prescribed drugs</w:t>
            </w:r>
          </w:p>
        </w:tc>
        <w:tc>
          <w:tcPr>
            <w:tcW w:w="568" w:type="pct"/>
            <w:tcBorders>
              <w:top w:val="single" w:sz="4" w:space="0" w:color="auto"/>
              <w:bottom w:val="single" w:sz="4" w:space="0" w:color="auto"/>
            </w:tcBorders>
            <w:shd w:val="clear" w:color="auto" w:fill="F2F2F2" w:themeFill="background1" w:themeFillShade="F2"/>
            <w:vAlign w:val="center"/>
          </w:tcPr>
          <w:p w14:paraId="16E06BD9" w14:textId="77777777" w:rsidR="00D7038C" w:rsidRPr="00E6167F" w:rsidRDefault="00D7038C" w:rsidP="00363D34">
            <w:pPr>
              <w:jc w:val="both"/>
              <w:rPr>
                <w:rFonts w:cstheme="minorHAnsi"/>
                <w:b/>
              </w:rPr>
            </w:pPr>
            <w:r w:rsidRPr="00E6167F">
              <w:rPr>
                <w:rFonts w:cstheme="minorHAnsi"/>
                <w:b/>
              </w:rPr>
              <w:t>Coverage</w:t>
            </w:r>
          </w:p>
        </w:tc>
      </w:tr>
      <w:tr w:rsidR="00D7038C" w:rsidRPr="00E6167F" w14:paraId="781AAE0B" w14:textId="77777777" w:rsidTr="00EA4C3D">
        <w:trPr>
          <w:jc w:val="center"/>
        </w:trPr>
        <w:tc>
          <w:tcPr>
            <w:tcW w:w="5000" w:type="pct"/>
            <w:gridSpan w:val="6"/>
            <w:tcBorders>
              <w:top w:val="single" w:sz="4" w:space="0" w:color="auto"/>
            </w:tcBorders>
            <w:shd w:val="clear" w:color="auto" w:fill="FFFFFF" w:themeFill="background1"/>
          </w:tcPr>
          <w:p w14:paraId="2BF1D8E6" w14:textId="77777777" w:rsidR="00D7038C" w:rsidRPr="00E33B87" w:rsidRDefault="00D7038C" w:rsidP="00363D34">
            <w:pPr>
              <w:jc w:val="both"/>
              <w:rPr>
                <w:rFonts w:cstheme="minorHAnsi"/>
                <w:b/>
              </w:rPr>
            </w:pPr>
            <w:r w:rsidRPr="00E33B87">
              <w:rPr>
                <w:rFonts w:cstheme="minorHAnsi"/>
                <w:b/>
              </w:rPr>
              <w:t>1. Pregnancy</w:t>
            </w:r>
          </w:p>
        </w:tc>
      </w:tr>
      <w:tr w:rsidR="00D7038C" w:rsidRPr="00E6167F" w14:paraId="6A824428" w14:textId="77777777" w:rsidTr="00EA4C3D">
        <w:trPr>
          <w:jc w:val="center"/>
        </w:trPr>
        <w:tc>
          <w:tcPr>
            <w:tcW w:w="5000" w:type="pct"/>
            <w:gridSpan w:val="6"/>
            <w:shd w:val="clear" w:color="auto" w:fill="F2F2F2" w:themeFill="background1" w:themeFillShade="F2"/>
          </w:tcPr>
          <w:p w14:paraId="3293C891" w14:textId="77777777" w:rsidR="00D7038C" w:rsidRPr="00E6167F" w:rsidRDefault="00D7038C" w:rsidP="00363D34">
            <w:pPr>
              <w:jc w:val="both"/>
              <w:rPr>
                <w:rFonts w:cstheme="minorHAnsi"/>
              </w:rPr>
            </w:pPr>
            <w:r w:rsidRPr="00E6167F">
              <w:rPr>
                <w:rFonts w:cstheme="minorHAnsi"/>
              </w:rPr>
              <w:t>1.1. Antenatal care for uncomplicated pregnancy</w:t>
            </w:r>
          </w:p>
        </w:tc>
      </w:tr>
      <w:tr w:rsidR="00D7038C" w:rsidRPr="00E6167F" w14:paraId="1454DF9B" w14:textId="77777777" w:rsidTr="00EA4C3D">
        <w:trPr>
          <w:jc w:val="center"/>
        </w:trPr>
        <w:tc>
          <w:tcPr>
            <w:tcW w:w="1005" w:type="pct"/>
          </w:tcPr>
          <w:p w14:paraId="227D9870" w14:textId="77777777" w:rsidR="00D7038C" w:rsidRPr="00E6167F" w:rsidRDefault="00D7038C" w:rsidP="00363D34">
            <w:pPr>
              <w:jc w:val="both"/>
              <w:rPr>
                <w:rFonts w:cstheme="minorHAnsi"/>
              </w:rPr>
            </w:pPr>
            <w:r w:rsidRPr="00E6167F">
              <w:rPr>
                <w:rFonts w:cstheme="minorHAnsi"/>
              </w:rPr>
              <w:t>1.1.1. First visit</w:t>
            </w:r>
          </w:p>
        </w:tc>
        <w:tc>
          <w:tcPr>
            <w:tcW w:w="539" w:type="pct"/>
          </w:tcPr>
          <w:p w14:paraId="474DB55D" w14:textId="77777777" w:rsidR="00D7038C" w:rsidRPr="00E6167F" w:rsidRDefault="00D7038C" w:rsidP="00363D34">
            <w:pPr>
              <w:jc w:val="both"/>
              <w:rPr>
                <w:rFonts w:cstheme="minorHAnsi"/>
              </w:rPr>
            </w:pPr>
            <w:r w:rsidRPr="00E6167F">
              <w:rPr>
                <w:rFonts w:cstheme="minorHAnsi"/>
              </w:rPr>
              <w:t>FMC</w:t>
            </w:r>
          </w:p>
        </w:tc>
        <w:tc>
          <w:tcPr>
            <w:tcW w:w="903" w:type="pct"/>
          </w:tcPr>
          <w:p w14:paraId="0B337EDD" w14:textId="77777777" w:rsidR="00D7038C" w:rsidRPr="00E6167F" w:rsidRDefault="00D7038C" w:rsidP="00363D34">
            <w:pPr>
              <w:jc w:val="both"/>
              <w:rPr>
                <w:rFonts w:cstheme="minorHAnsi"/>
              </w:rPr>
            </w:pPr>
            <w:r w:rsidRPr="00E6167F">
              <w:rPr>
                <w:rFonts w:cstheme="minorHAnsi"/>
              </w:rPr>
              <w:t>Anamnesis</w:t>
            </w:r>
          </w:p>
          <w:p w14:paraId="5196A21A" w14:textId="77777777" w:rsidR="00D7038C" w:rsidRPr="00E6167F" w:rsidRDefault="00D7038C" w:rsidP="00363D34">
            <w:pPr>
              <w:jc w:val="both"/>
              <w:rPr>
                <w:rFonts w:cstheme="minorHAnsi"/>
              </w:rPr>
            </w:pPr>
            <w:r w:rsidRPr="00E6167F">
              <w:rPr>
                <w:rFonts w:cstheme="minorHAnsi"/>
              </w:rPr>
              <w:t>Clinical examination</w:t>
            </w:r>
          </w:p>
          <w:p w14:paraId="1AD593AB" w14:textId="77777777" w:rsidR="00D7038C" w:rsidRPr="00E6167F" w:rsidRDefault="00D7038C" w:rsidP="00363D34">
            <w:pPr>
              <w:jc w:val="both"/>
              <w:rPr>
                <w:rFonts w:cstheme="minorHAnsi"/>
              </w:rPr>
            </w:pPr>
            <w:r w:rsidRPr="00E6167F">
              <w:rPr>
                <w:rFonts w:cstheme="minorHAnsi"/>
              </w:rPr>
              <w:t>Counseling</w:t>
            </w:r>
          </w:p>
          <w:p w14:paraId="0E8EC0E5" w14:textId="77777777" w:rsidR="00D7038C" w:rsidRPr="00E6167F" w:rsidRDefault="00D7038C" w:rsidP="00363D34">
            <w:pPr>
              <w:jc w:val="both"/>
              <w:rPr>
                <w:rFonts w:cstheme="minorHAnsi"/>
              </w:rPr>
            </w:pPr>
            <w:r w:rsidRPr="00E6167F">
              <w:rPr>
                <w:rFonts w:cstheme="minorHAnsi"/>
              </w:rPr>
              <w:t>Ultrasound</w:t>
            </w:r>
          </w:p>
        </w:tc>
        <w:tc>
          <w:tcPr>
            <w:tcW w:w="1358" w:type="pct"/>
          </w:tcPr>
          <w:p w14:paraId="158AC665" w14:textId="77777777" w:rsidR="00D7038C" w:rsidRPr="00E6167F" w:rsidRDefault="00D7038C" w:rsidP="00363D34">
            <w:pPr>
              <w:jc w:val="both"/>
              <w:rPr>
                <w:rFonts w:cstheme="minorHAnsi"/>
              </w:rPr>
            </w:pPr>
            <w:r w:rsidRPr="00E6167F">
              <w:rPr>
                <w:rFonts w:cstheme="minorHAnsi"/>
              </w:rPr>
              <w:t>Hemoglobin; Blood group and Rh factor; Urine protein test; Screening for bacteriuria; Vaginal smear only in the presence of clinical symptoms of vulvovaginitis; HIV testing; RW; HBsAg; Screening for rubella</w:t>
            </w:r>
          </w:p>
        </w:tc>
        <w:tc>
          <w:tcPr>
            <w:tcW w:w="628" w:type="pct"/>
          </w:tcPr>
          <w:p w14:paraId="07E9C2D2" w14:textId="77777777" w:rsidR="00D7038C" w:rsidRPr="00E6167F" w:rsidRDefault="00D7038C" w:rsidP="00363D34">
            <w:pPr>
              <w:jc w:val="both"/>
              <w:rPr>
                <w:rFonts w:cstheme="minorHAnsi"/>
              </w:rPr>
            </w:pPr>
            <w:r w:rsidRPr="00E6167F">
              <w:rPr>
                <w:rFonts w:cstheme="minorHAnsi"/>
              </w:rPr>
              <w:t>Folic acid; Potassium iodide; Aspirin; Calcium carbonate</w:t>
            </w:r>
          </w:p>
        </w:tc>
        <w:tc>
          <w:tcPr>
            <w:tcW w:w="568" w:type="pct"/>
          </w:tcPr>
          <w:p w14:paraId="2DE3B99F" w14:textId="77777777" w:rsidR="00D7038C" w:rsidRPr="00E6167F" w:rsidRDefault="00D7038C" w:rsidP="00363D34">
            <w:pPr>
              <w:jc w:val="both"/>
              <w:rPr>
                <w:rFonts w:cstheme="minorHAnsi"/>
              </w:rPr>
            </w:pPr>
            <w:r w:rsidRPr="00E6167F">
              <w:rPr>
                <w:rFonts w:cstheme="minorHAnsi"/>
              </w:rPr>
              <w:t>All pregnant women</w:t>
            </w:r>
          </w:p>
        </w:tc>
      </w:tr>
      <w:tr w:rsidR="00D7038C" w:rsidRPr="00E6167F" w14:paraId="47F961B3" w14:textId="77777777" w:rsidTr="00EA4C3D">
        <w:trPr>
          <w:jc w:val="center"/>
        </w:trPr>
        <w:tc>
          <w:tcPr>
            <w:tcW w:w="1005" w:type="pct"/>
          </w:tcPr>
          <w:p w14:paraId="171304CB" w14:textId="2DC3E4A8" w:rsidR="00D7038C" w:rsidRPr="00E6167F" w:rsidRDefault="00D7038C" w:rsidP="00363D34">
            <w:pPr>
              <w:jc w:val="both"/>
              <w:rPr>
                <w:rFonts w:cstheme="minorHAnsi"/>
              </w:rPr>
            </w:pPr>
            <w:r w:rsidRPr="00E6167F">
              <w:rPr>
                <w:rFonts w:cstheme="minorHAnsi"/>
              </w:rPr>
              <w:t>1.1.2.</w:t>
            </w:r>
            <w:r w:rsidR="00E33B87">
              <w:rPr>
                <w:rFonts w:cstheme="minorHAnsi"/>
              </w:rPr>
              <w:t xml:space="preserve"> </w:t>
            </w:r>
            <w:r w:rsidRPr="00E6167F">
              <w:rPr>
                <w:rFonts w:cstheme="minorHAnsi"/>
              </w:rPr>
              <w:t>Second visit</w:t>
            </w:r>
          </w:p>
        </w:tc>
        <w:tc>
          <w:tcPr>
            <w:tcW w:w="539" w:type="pct"/>
          </w:tcPr>
          <w:p w14:paraId="4FAB9E29" w14:textId="77777777" w:rsidR="00D7038C" w:rsidRPr="00E6167F" w:rsidRDefault="00D7038C" w:rsidP="00363D34">
            <w:pPr>
              <w:jc w:val="both"/>
              <w:rPr>
                <w:rFonts w:cstheme="minorHAnsi"/>
              </w:rPr>
            </w:pPr>
            <w:r w:rsidRPr="00E6167F">
              <w:rPr>
                <w:rFonts w:cstheme="minorHAnsi"/>
              </w:rPr>
              <w:t>FMC</w:t>
            </w:r>
          </w:p>
        </w:tc>
        <w:tc>
          <w:tcPr>
            <w:tcW w:w="903" w:type="pct"/>
          </w:tcPr>
          <w:p w14:paraId="05DF7080" w14:textId="77777777" w:rsidR="00D7038C" w:rsidRPr="00E6167F" w:rsidRDefault="00D7038C" w:rsidP="00363D34">
            <w:pPr>
              <w:jc w:val="both"/>
              <w:rPr>
                <w:rFonts w:cstheme="minorHAnsi"/>
              </w:rPr>
            </w:pPr>
            <w:r w:rsidRPr="00E6167F">
              <w:rPr>
                <w:rFonts w:cstheme="minorHAnsi"/>
              </w:rPr>
              <w:t>Anamnesis</w:t>
            </w:r>
          </w:p>
          <w:p w14:paraId="67EB9DAA" w14:textId="77777777" w:rsidR="00D7038C" w:rsidRPr="00E6167F" w:rsidRDefault="00D7038C" w:rsidP="00363D34">
            <w:pPr>
              <w:jc w:val="both"/>
              <w:rPr>
                <w:rFonts w:cstheme="minorHAnsi"/>
              </w:rPr>
            </w:pPr>
            <w:r w:rsidRPr="00E6167F">
              <w:rPr>
                <w:rFonts w:cstheme="minorHAnsi"/>
              </w:rPr>
              <w:t>Clinical examination</w:t>
            </w:r>
          </w:p>
          <w:p w14:paraId="550C6151" w14:textId="77777777" w:rsidR="00D7038C" w:rsidRPr="00E6167F" w:rsidRDefault="00D7038C" w:rsidP="00363D34">
            <w:pPr>
              <w:jc w:val="both"/>
              <w:rPr>
                <w:rFonts w:cstheme="minorHAnsi"/>
              </w:rPr>
            </w:pPr>
            <w:r w:rsidRPr="00E6167F">
              <w:rPr>
                <w:rFonts w:cstheme="minorHAnsi"/>
              </w:rPr>
              <w:t>Counseling</w:t>
            </w:r>
          </w:p>
          <w:p w14:paraId="56FE431B" w14:textId="77777777" w:rsidR="00D7038C" w:rsidRPr="00E6167F" w:rsidRDefault="00D7038C" w:rsidP="00363D34">
            <w:pPr>
              <w:jc w:val="both"/>
              <w:rPr>
                <w:rFonts w:cstheme="minorHAnsi"/>
              </w:rPr>
            </w:pPr>
            <w:r w:rsidRPr="00E6167F">
              <w:rPr>
                <w:rFonts w:cstheme="minorHAnsi"/>
              </w:rPr>
              <w:t>Ultrasound</w:t>
            </w:r>
          </w:p>
        </w:tc>
        <w:tc>
          <w:tcPr>
            <w:tcW w:w="1358" w:type="pct"/>
          </w:tcPr>
          <w:p w14:paraId="7361451D" w14:textId="77777777" w:rsidR="00D7038C" w:rsidRPr="00E6167F" w:rsidRDefault="00D7038C" w:rsidP="00363D34">
            <w:pPr>
              <w:jc w:val="both"/>
              <w:rPr>
                <w:rFonts w:cstheme="minorHAnsi"/>
              </w:rPr>
            </w:pPr>
            <w:r w:rsidRPr="00E6167F">
              <w:rPr>
                <w:rFonts w:cstheme="minorHAnsi"/>
              </w:rPr>
              <w:t xml:space="preserve">Urine protein test; Screening for Down's syndrome (women over the age of 35 or if the previous child has chromosomal abnormalities) </w:t>
            </w:r>
          </w:p>
        </w:tc>
        <w:tc>
          <w:tcPr>
            <w:tcW w:w="628" w:type="pct"/>
          </w:tcPr>
          <w:p w14:paraId="75A54F5C" w14:textId="77777777" w:rsidR="00D7038C" w:rsidRPr="00E6167F" w:rsidRDefault="00D7038C" w:rsidP="00363D34">
            <w:pPr>
              <w:jc w:val="both"/>
              <w:rPr>
                <w:rFonts w:cstheme="minorHAnsi"/>
              </w:rPr>
            </w:pPr>
            <w:r w:rsidRPr="00E6167F">
              <w:rPr>
                <w:rFonts w:cstheme="minorHAnsi"/>
              </w:rPr>
              <w:t>Potassium iodide; Aspirin; Calcium carbonate</w:t>
            </w:r>
          </w:p>
        </w:tc>
        <w:tc>
          <w:tcPr>
            <w:tcW w:w="568" w:type="pct"/>
          </w:tcPr>
          <w:p w14:paraId="61E276EE" w14:textId="77777777" w:rsidR="00D7038C" w:rsidRPr="00E6167F" w:rsidRDefault="00D7038C" w:rsidP="00363D34">
            <w:pPr>
              <w:jc w:val="both"/>
              <w:rPr>
                <w:rFonts w:cstheme="minorHAnsi"/>
              </w:rPr>
            </w:pPr>
            <w:r w:rsidRPr="00E6167F">
              <w:rPr>
                <w:rFonts w:cstheme="minorHAnsi"/>
              </w:rPr>
              <w:t>All pregnant women</w:t>
            </w:r>
          </w:p>
        </w:tc>
      </w:tr>
      <w:tr w:rsidR="00D7038C" w:rsidRPr="00E6167F" w14:paraId="59BD9956" w14:textId="77777777" w:rsidTr="00EA4C3D">
        <w:trPr>
          <w:jc w:val="center"/>
        </w:trPr>
        <w:tc>
          <w:tcPr>
            <w:tcW w:w="1005" w:type="pct"/>
          </w:tcPr>
          <w:p w14:paraId="4525F6AE" w14:textId="77777777" w:rsidR="00D7038C" w:rsidRPr="00E6167F" w:rsidRDefault="00D7038C" w:rsidP="00363D34">
            <w:pPr>
              <w:jc w:val="both"/>
              <w:rPr>
                <w:rFonts w:cstheme="minorHAnsi"/>
              </w:rPr>
            </w:pPr>
            <w:r w:rsidRPr="00E6167F">
              <w:rPr>
                <w:rFonts w:cstheme="minorHAnsi"/>
              </w:rPr>
              <w:t>Etc.</w:t>
            </w:r>
          </w:p>
        </w:tc>
        <w:tc>
          <w:tcPr>
            <w:tcW w:w="539" w:type="pct"/>
          </w:tcPr>
          <w:p w14:paraId="5C754534" w14:textId="77777777" w:rsidR="00D7038C" w:rsidRPr="00E6167F" w:rsidRDefault="00D7038C" w:rsidP="00363D34">
            <w:pPr>
              <w:jc w:val="both"/>
              <w:rPr>
                <w:rFonts w:cstheme="minorHAnsi"/>
              </w:rPr>
            </w:pPr>
          </w:p>
        </w:tc>
        <w:tc>
          <w:tcPr>
            <w:tcW w:w="903" w:type="pct"/>
          </w:tcPr>
          <w:p w14:paraId="19ECCD7C" w14:textId="77777777" w:rsidR="00D7038C" w:rsidRPr="00E6167F" w:rsidRDefault="00D7038C" w:rsidP="00363D34">
            <w:pPr>
              <w:jc w:val="both"/>
              <w:rPr>
                <w:rFonts w:cstheme="minorHAnsi"/>
              </w:rPr>
            </w:pPr>
          </w:p>
        </w:tc>
        <w:tc>
          <w:tcPr>
            <w:tcW w:w="1358" w:type="pct"/>
          </w:tcPr>
          <w:p w14:paraId="2C93CF9C" w14:textId="77777777" w:rsidR="00D7038C" w:rsidRPr="00E6167F" w:rsidRDefault="00D7038C" w:rsidP="00363D34">
            <w:pPr>
              <w:jc w:val="both"/>
              <w:rPr>
                <w:rFonts w:cstheme="minorHAnsi"/>
              </w:rPr>
            </w:pPr>
          </w:p>
        </w:tc>
        <w:tc>
          <w:tcPr>
            <w:tcW w:w="628" w:type="pct"/>
          </w:tcPr>
          <w:p w14:paraId="3D906B0A" w14:textId="77777777" w:rsidR="00D7038C" w:rsidRPr="00E6167F" w:rsidRDefault="00D7038C" w:rsidP="00363D34">
            <w:pPr>
              <w:jc w:val="both"/>
              <w:rPr>
                <w:rFonts w:cstheme="minorHAnsi"/>
              </w:rPr>
            </w:pPr>
          </w:p>
        </w:tc>
        <w:tc>
          <w:tcPr>
            <w:tcW w:w="568" w:type="pct"/>
          </w:tcPr>
          <w:p w14:paraId="68673087" w14:textId="77777777" w:rsidR="00D7038C" w:rsidRPr="00E6167F" w:rsidRDefault="00D7038C" w:rsidP="00363D34">
            <w:pPr>
              <w:jc w:val="both"/>
              <w:rPr>
                <w:rFonts w:cstheme="minorHAnsi"/>
              </w:rPr>
            </w:pPr>
          </w:p>
        </w:tc>
      </w:tr>
      <w:tr w:rsidR="00D7038C" w:rsidRPr="00E6167F" w14:paraId="5E71A878" w14:textId="77777777" w:rsidTr="00EA4C3D">
        <w:trPr>
          <w:jc w:val="center"/>
        </w:trPr>
        <w:tc>
          <w:tcPr>
            <w:tcW w:w="5000" w:type="pct"/>
            <w:gridSpan w:val="6"/>
            <w:shd w:val="clear" w:color="auto" w:fill="F2F2F2" w:themeFill="background1" w:themeFillShade="F2"/>
          </w:tcPr>
          <w:p w14:paraId="59B06077" w14:textId="77777777" w:rsidR="00D7038C" w:rsidRPr="00E6167F" w:rsidRDefault="00D7038C" w:rsidP="00363D34">
            <w:pPr>
              <w:jc w:val="both"/>
              <w:rPr>
                <w:rFonts w:cstheme="minorHAnsi"/>
              </w:rPr>
            </w:pPr>
            <w:r w:rsidRPr="00E6167F">
              <w:rPr>
                <w:rFonts w:cstheme="minorHAnsi"/>
              </w:rPr>
              <w:t>1.2. Management of specific clinical conditions</w:t>
            </w:r>
          </w:p>
        </w:tc>
      </w:tr>
      <w:tr w:rsidR="00D7038C" w:rsidRPr="00E6167F" w14:paraId="7875C504" w14:textId="77777777" w:rsidTr="00EA4C3D">
        <w:trPr>
          <w:jc w:val="center"/>
        </w:trPr>
        <w:tc>
          <w:tcPr>
            <w:tcW w:w="1005" w:type="pct"/>
            <w:shd w:val="clear" w:color="auto" w:fill="FFFFFF" w:themeFill="background1"/>
          </w:tcPr>
          <w:p w14:paraId="4958EB5F" w14:textId="77777777" w:rsidR="00D7038C" w:rsidRPr="00E6167F" w:rsidRDefault="00D7038C" w:rsidP="00363D34">
            <w:pPr>
              <w:jc w:val="both"/>
              <w:rPr>
                <w:rFonts w:cstheme="minorHAnsi"/>
              </w:rPr>
            </w:pPr>
            <w:r w:rsidRPr="00E6167F">
              <w:rPr>
                <w:rFonts w:cstheme="minorHAnsi"/>
              </w:rPr>
              <w:t>1.2.1. Diabetes in pregnancy</w:t>
            </w:r>
          </w:p>
        </w:tc>
        <w:tc>
          <w:tcPr>
            <w:tcW w:w="539" w:type="pct"/>
            <w:shd w:val="clear" w:color="auto" w:fill="FFFFFF" w:themeFill="background1"/>
            <w:vAlign w:val="center"/>
          </w:tcPr>
          <w:p w14:paraId="734A64F0" w14:textId="77777777" w:rsidR="00D7038C" w:rsidRPr="00E6167F" w:rsidRDefault="00D7038C" w:rsidP="00363D34">
            <w:pPr>
              <w:jc w:val="both"/>
              <w:rPr>
                <w:rFonts w:cstheme="minorHAnsi"/>
              </w:rPr>
            </w:pPr>
            <w:r w:rsidRPr="00E6167F">
              <w:rPr>
                <w:rFonts w:cstheme="minorHAnsi"/>
              </w:rPr>
              <w:t>TBD</w:t>
            </w:r>
          </w:p>
        </w:tc>
        <w:tc>
          <w:tcPr>
            <w:tcW w:w="903" w:type="pct"/>
            <w:shd w:val="clear" w:color="auto" w:fill="FFFFFF" w:themeFill="background1"/>
            <w:vAlign w:val="center"/>
          </w:tcPr>
          <w:p w14:paraId="080F4BB1" w14:textId="77777777" w:rsidR="00D7038C" w:rsidRPr="00E6167F" w:rsidRDefault="00D7038C" w:rsidP="00363D34">
            <w:pPr>
              <w:jc w:val="both"/>
              <w:rPr>
                <w:rFonts w:cstheme="minorHAnsi"/>
              </w:rPr>
            </w:pPr>
            <w:r w:rsidRPr="00E6167F">
              <w:rPr>
                <w:rFonts w:cstheme="minorHAnsi"/>
              </w:rPr>
              <w:t>TBD</w:t>
            </w:r>
          </w:p>
        </w:tc>
        <w:tc>
          <w:tcPr>
            <w:tcW w:w="1358" w:type="pct"/>
            <w:shd w:val="clear" w:color="auto" w:fill="FFFFFF" w:themeFill="background1"/>
            <w:vAlign w:val="center"/>
          </w:tcPr>
          <w:p w14:paraId="4DD78C8F" w14:textId="77777777" w:rsidR="00D7038C" w:rsidRPr="00E6167F" w:rsidRDefault="00D7038C" w:rsidP="00363D34">
            <w:pPr>
              <w:jc w:val="both"/>
              <w:rPr>
                <w:rFonts w:cstheme="minorHAnsi"/>
              </w:rPr>
            </w:pPr>
            <w:r w:rsidRPr="00E6167F">
              <w:rPr>
                <w:rFonts w:cstheme="minorHAnsi"/>
              </w:rPr>
              <w:t>TBD</w:t>
            </w:r>
          </w:p>
        </w:tc>
        <w:tc>
          <w:tcPr>
            <w:tcW w:w="628" w:type="pct"/>
            <w:shd w:val="clear" w:color="auto" w:fill="FFFFFF" w:themeFill="background1"/>
            <w:vAlign w:val="center"/>
          </w:tcPr>
          <w:p w14:paraId="613819D2" w14:textId="77777777" w:rsidR="00D7038C" w:rsidRPr="00E6167F" w:rsidRDefault="00D7038C" w:rsidP="00363D34">
            <w:pPr>
              <w:jc w:val="both"/>
              <w:rPr>
                <w:rFonts w:cstheme="minorHAnsi"/>
              </w:rPr>
            </w:pPr>
            <w:r w:rsidRPr="00E6167F">
              <w:rPr>
                <w:rFonts w:cstheme="minorHAnsi"/>
              </w:rPr>
              <w:t>TBD</w:t>
            </w:r>
          </w:p>
        </w:tc>
        <w:tc>
          <w:tcPr>
            <w:tcW w:w="568" w:type="pct"/>
            <w:shd w:val="clear" w:color="auto" w:fill="FFFFFF" w:themeFill="background1"/>
            <w:vAlign w:val="center"/>
          </w:tcPr>
          <w:p w14:paraId="40437F41" w14:textId="77777777" w:rsidR="00D7038C" w:rsidRPr="00E6167F" w:rsidRDefault="00D7038C" w:rsidP="00363D34">
            <w:pPr>
              <w:jc w:val="both"/>
              <w:rPr>
                <w:rFonts w:cstheme="minorHAnsi"/>
              </w:rPr>
            </w:pPr>
            <w:r w:rsidRPr="00E6167F">
              <w:rPr>
                <w:rFonts w:cstheme="minorHAnsi"/>
              </w:rPr>
              <w:t>TBD</w:t>
            </w:r>
          </w:p>
        </w:tc>
      </w:tr>
      <w:tr w:rsidR="00D7038C" w:rsidRPr="00E6167F" w14:paraId="04C36665" w14:textId="77777777" w:rsidTr="00EA4C3D">
        <w:trPr>
          <w:jc w:val="center"/>
        </w:trPr>
        <w:tc>
          <w:tcPr>
            <w:tcW w:w="1005" w:type="pct"/>
            <w:shd w:val="clear" w:color="auto" w:fill="FFFFFF" w:themeFill="background1"/>
          </w:tcPr>
          <w:p w14:paraId="59141394" w14:textId="77777777" w:rsidR="00D7038C" w:rsidRPr="00E6167F" w:rsidRDefault="00D7038C" w:rsidP="00363D34">
            <w:pPr>
              <w:jc w:val="both"/>
              <w:rPr>
                <w:rFonts w:cstheme="minorHAnsi"/>
              </w:rPr>
            </w:pPr>
            <w:r w:rsidRPr="00E6167F">
              <w:rPr>
                <w:rFonts w:cstheme="minorHAnsi"/>
              </w:rPr>
              <w:t>Etc.</w:t>
            </w:r>
          </w:p>
        </w:tc>
        <w:tc>
          <w:tcPr>
            <w:tcW w:w="539" w:type="pct"/>
            <w:shd w:val="clear" w:color="auto" w:fill="FFFFFF" w:themeFill="background1"/>
          </w:tcPr>
          <w:p w14:paraId="723FE89C" w14:textId="77777777" w:rsidR="00D7038C" w:rsidRPr="00E6167F" w:rsidRDefault="00D7038C" w:rsidP="00363D34">
            <w:pPr>
              <w:jc w:val="both"/>
              <w:rPr>
                <w:rFonts w:cstheme="minorHAnsi"/>
              </w:rPr>
            </w:pPr>
          </w:p>
        </w:tc>
        <w:tc>
          <w:tcPr>
            <w:tcW w:w="903" w:type="pct"/>
            <w:shd w:val="clear" w:color="auto" w:fill="FFFFFF" w:themeFill="background1"/>
          </w:tcPr>
          <w:p w14:paraId="18CB8C54" w14:textId="77777777" w:rsidR="00D7038C" w:rsidRPr="00E6167F" w:rsidRDefault="00D7038C" w:rsidP="00363D34">
            <w:pPr>
              <w:jc w:val="both"/>
              <w:rPr>
                <w:rFonts w:cstheme="minorHAnsi"/>
              </w:rPr>
            </w:pPr>
          </w:p>
        </w:tc>
        <w:tc>
          <w:tcPr>
            <w:tcW w:w="1358" w:type="pct"/>
            <w:shd w:val="clear" w:color="auto" w:fill="FFFFFF" w:themeFill="background1"/>
          </w:tcPr>
          <w:p w14:paraId="53D33C78" w14:textId="77777777" w:rsidR="00D7038C" w:rsidRPr="00E6167F" w:rsidRDefault="00D7038C" w:rsidP="00363D34">
            <w:pPr>
              <w:jc w:val="both"/>
              <w:rPr>
                <w:rFonts w:cstheme="minorHAnsi"/>
              </w:rPr>
            </w:pPr>
          </w:p>
        </w:tc>
        <w:tc>
          <w:tcPr>
            <w:tcW w:w="628" w:type="pct"/>
            <w:shd w:val="clear" w:color="auto" w:fill="FFFFFF" w:themeFill="background1"/>
          </w:tcPr>
          <w:p w14:paraId="69C3AC25" w14:textId="77777777" w:rsidR="00D7038C" w:rsidRPr="00E6167F" w:rsidRDefault="00D7038C" w:rsidP="00363D34">
            <w:pPr>
              <w:jc w:val="both"/>
              <w:rPr>
                <w:rFonts w:cstheme="minorHAnsi"/>
              </w:rPr>
            </w:pPr>
          </w:p>
        </w:tc>
        <w:tc>
          <w:tcPr>
            <w:tcW w:w="568" w:type="pct"/>
            <w:shd w:val="clear" w:color="auto" w:fill="FFFFFF" w:themeFill="background1"/>
          </w:tcPr>
          <w:p w14:paraId="12AFFE81" w14:textId="77777777" w:rsidR="00D7038C" w:rsidRPr="00E6167F" w:rsidRDefault="00D7038C" w:rsidP="00363D34">
            <w:pPr>
              <w:jc w:val="both"/>
              <w:rPr>
                <w:rFonts w:cstheme="minorHAnsi"/>
              </w:rPr>
            </w:pPr>
          </w:p>
        </w:tc>
      </w:tr>
    </w:tbl>
    <w:p w14:paraId="573BE7C3" w14:textId="1324DC02" w:rsidR="00D7038C" w:rsidRPr="001B0064" w:rsidRDefault="004200BD" w:rsidP="00363D34">
      <w:pPr>
        <w:autoSpaceDE w:val="0"/>
        <w:autoSpaceDN w:val="0"/>
        <w:adjustRightInd w:val="0"/>
        <w:spacing w:after="0" w:line="240" w:lineRule="auto"/>
        <w:jc w:val="both"/>
        <w:rPr>
          <w:rFonts w:cstheme="minorHAnsi"/>
          <w:color w:val="000000"/>
          <w:sz w:val="20"/>
          <w:szCs w:val="20"/>
        </w:rPr>
      </w:pPr>
      <w:r w:rsidRPr="001B0064">
        <w:rPr>
          <w:rFonts w:cstheme="minorHAnsi"/>
          <w:color w:val="000000"/>
          <w:sz w:val="20"/>
          <w:szCs w:val="20"/>
        </w:rPr>
        <w:t xml:space="preserve">FMC: </w:t>
      </w:r>
      <w:r w:rsidR="00DB3F1A" w:rsidRPr="001B0064">
        <w:rPr>
          <w:rFonts w:cstheme="minorHAnsi"/>
          <w:color w:val="000000"/>
          <w:sz w:val="20"/>
          <w:szCs w:val="20"/>
        </w:rPr>
        <w:t xml:space="preserve">family medicine center; </w:t>
      </w:r>
      <w:r w:rsidR="00D7038C" w:rsidRPr="001B0064">
        <w:rPr>
          <w:rFonts w:cstheme="minorHAnsi"/>
          <w:color w:val="000000"/>
          <w:sz w:val="20"/>
          <w:szCs w:val="20"/>
        </w:rPr>
        <w:t>TBD = To Be Determined</w:t>
      </w:r>
    </w:p>
    <w:p w14:paraId="4D413706" w14:textId="77777777" w:rsidR="00EA4C3D" w:rsidRDefault="00EA4C3D" w:rsidP="00363D34">
      <w:pPr>
        <w:autoSpaceDE w:val="0"/>
        <w:autoSpaceDN w:val="0"/>
        <w:adjustRightInd w:val="0"/>
        <w:spacing w:after="0" w:line="240" w:lineRule="auto"/>
        <w:jc w:val="both"/>
        <w:rPr>
          <w:rFonts w:cstheme="minorHAnsi"/>
          <w:color w:val="000000"/>
          <w:sz w:val="20"/>
          <w:szCs w:val="20"/>
        </w:rPr>
      </w:pPr>
    </w:p>
    <w:p w14:paraId="5DA274FA" w14:textId="09EC673D" w:rsidR="0009491D" w:rsidRPr="00EA4C3D" w:rsidRDefault="00D7038C" w:rsidP="00363D34">
      <w:pPr>
        <w:autoSpaceDE w:val="0"/>
        <w:autoSpaceDN w:val="0"/>
        <w:adjustRightInd w:val="0"/>
        <w:spacing w:after="0" w:line="240" w:lineRule="auto"/>
        <w:jc w:val="both"/>
        <w:rPr>
          <w:rFonts w:cstheme="minorHAnsi"/>
          <w:color w:val="000000"/>
        </w:rPr>
      </w:pPr>
      <w:r w:rsidRPr="00EA4C3D">
        <w:rPr>
          <w:rFonts w:cstheme="minorHAnsi"/>
          <w:color w:val="000000"/>
        </w:rPr>
        <w:t>In this way</w:t>
      </w:r>
      <w:r w:rsidR="00566979" w:rsidRPr="00EA4C3D">
        <w:rPr>
          <w:rFonts w:cstheme="minorHAnsi"/>
          <w:color w:val="000000"/>
        </w:rPr>
        <w:t>,</w:t>
      </w:r>
      <w:r w:rsidR="00AF4790" w:rsidRPr="00EA4C3D">
        <w:rPr>
          <w:rFonts w:cstheme="minorHAnsi"/>
          <w:color w:val="000000"/>
        </w:rPr>
        <w:t xml:space="preserve"> a</w:t>
      </w:r>
      <w:r w:rsidRPr="00EA4C3D">
        <w:rPr>
          <w:rFonts w:cstheme="minorHAnsi"/>
          <w:color w:val="000000"/>
        </w:rPr>
        <w:t xml:space="preserve"> very explicit list of benefits can be created. It is also possible to use </w:t>
      </w:r>
      <w:r w:rsidR="00DB3F1A" w:rsidRPr="00EA4C3D">
        <w:rPr>
          <w:rFonts w:cstheme="minorHAnsi"/>
          <w:color w:val="000000"/>
        </w:rPr>
        <w:t>c</w:t>
      </w:r>
      <w:r w:rsidRPr="00EA4C3D">
        <w:rPr>
          <w:rFonts w:cstheme="minorHAnsi"/>
          <w:color w:val="000000"/>
        </w:rPr>
        <w:t>linical guidelines to create less explicit list of benefits as we show bellow.</w:t>
      </w:r>
    </w:p>
    <w:p w14:paraId="065A522D" w14:textId="23819216" w:rsidR="00D7038C" w:rsidRPr="00132B20" w:rsidRDefault="0009491D" w:rsidP="00132B20">
      <w:pPr>
        <w:autoSpaceDE w:val="0"/>
        <w:autoSpaceDN w:val="0"/>
        <w:adjustRightInd w:val="0"/>
        <w:spacing w:before="240" w:after="120" w:line="240" w:lineRule="auto"/>
        <w:jc w:val="both"/>
        <w:rPr>
          <w:rFonts w:cstheme="minorHAnsi"/>
          <w:b/>
          <w:color w:val="000000"/>
        </w:rPr>
      </w:pPr>
      <w:r w:rsidRPr="00132B20">
        <w:rPr>
          <w:rFonts w:cstheme="minorHAnsi"/>
          <w:b/>
          <w:color w:val="000000"/>
        </w:rPr>
        <w:t>Table 1</w:t>
      </w:r>
      <w:r w:rsidR="00E86BBF">
        <w:rPr>
          <w:rFonts w:cstheme="minorHAnsi"/>
          <w:b/>
          <w:color w:val="000000"/>
        </w:rPr>
        <w:t>3</w:t>
      </w:r>
      <w:r w:rsidRPr="00132B20">
        <w:rPr>
          <w:rFonts w:cstheme="minorHAnsi"/>
          <w:b/>
          <w:color w:val="000000"/>
        </w:rPr>
        <w:t xml:space="preserve">. </w:t>
      </w:r>
      <w:r w:rsidR="00DB3F1A" w:rsidRPr="00132B20">
        <w:rPr>
          <w:rFonts w:cstheme="minorHAnsi"/>
          <w:b/>
          <w:color w:val="000000"/>
        </w:rPr>
        <w:t>Translating the guideline for uncomplicated pregnancy to an explicit list of services</w:t>
      </w:r>
      <w:r w:rsidR="00675422" w:rsidRPr="00132B20">
        <w:rPr>
          <w:rFonts w:cstheme="minorHAnsi"/>
          <w:b/>
          <w:color w:val="000000"/>
        </w:rPr>
        <w:t>, a simplified version</w:t>
      </w:r>
    </w:p>
    <w:tbl>
      <w:tblPr>
        <w:tblStyle w:val="TableGrid"/>
        <w:tblW w:w="5000" w:type="pct"/>
        <w:jc w:val="center"/>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1161"/>
        <w:gridCol w:w="1746"/>
        <w:gridCol w:w="1739"/>
        <w:gridCol w:w="1068"/>
      </w:tblGrid>
      <w:tr w:rsidR="00D7038C" w:rsidRPr="00E6167F" w14:paraId="10259C7F" w14:textId="77777777" w:rsidTr="00880781">
        <w:trPr>
          <w:tblHeader/>
          <w:jc w:val="center"/>
        </w:trPr>
        <w:tc>
          <w:tcPr>
            <w:tcW w:w="1969" w:type="pct"/>
            <w:tcBorders>
              <w:top w:val="single" w:sz="4" w:space="0" w:color="auto"/>
              <w:bottom w:val="single" w:sz="4" w:space="0" w:color="auto"/>
            </w:tcBorders>
            <w:shd w:val="clear" w:color="auto" w:fill="F2F2F2" w:themeFill="background1" w:themeFillShade="F2"/>
            <w:vAlign w:val="center"/>
          </w:tcPr>
          <w:p w14:paraId="520F4484" w14:textId="77777777" w:rsidR="00D7038C" w:rsidRPr="00E6167F" w:rsidRDefault="00D7038C" w:rsidP="00363D34">
            <w:pPr>
              <w:jc w:val="both"/>
              <w:rPr>
                <w:rFonts w:cstheme="minorHAnsi"/>
                <w:b/>
              </w:rPr>
            </w:pPr>
            <w:r w:rsidRPr="00E6167F">
              <w:rPr>
                <w:rFonts w:cstheme="minorHAnsi"/>
                <w:b/>
              </w:rPr>
              <w:t>Program</w:t>
            </w:r>
          </w:p>
        </w:tc>
        <w:tc>
          <w:tcPr>
            <w:tcW w:w="623" w:type="pct"/>
            <w:tcBorders>
              <w:top w:val="single" w:sz="4" w:space="0" w:color="auto"/>
              <w:bottom w:val="single" w:sz="4" w:space="0" w:color="auto"/>
            </w:tcBorders>
            <w:shd w:val="clear" w:color="auto" w:fill="F2F2F2" w:themeFill="background1" w:themeFillShade="F2"/>
            <w:vAlign w:val="center"/>
          </w:tcPr>
          <w:p w14:paraId="2EC45053" w14:textId="2BAA36E3" w:rsidR="00D7038C" w:rsidRPr="00E6167F" w:rsidRDefault="002F4277" w:rsidP="00363D34">
            <w:pPr>
              <w:jc w:val="both"/>
              <w:rPr>
                <w:rFonts w:cstheme="minorHAnsi"/>
                <w:b/>
              </w:rPr>
            </w:pPr>
            <w:r>
              <w:rPr>
                <w:rFonts w:cstheme="minorHAnsi"/>
                <w:b/>
              </w:rPr>
              <w:t>Care provider</w:t>
            </w:r>
          </w:p>
        </w:tc>
        <w:tc>
          <w:tcPr>
            <w:tcW w:w="934" w:type="pct"/>
            <w:tcBorders>
              <w:top w:val="single" w:sz="4" w:space="0" w:color="auto"/>
              <w:bottom w:val="single" w:sz="4" w:space="0" w:color="auto"/>
            </w:tcBorders>
            <w:shd w:val="clear" w:color="auto" w:fill="F2F2F2" w:themeFill="background1" w:themeFillShade="F2"/>
            <w:vAlign w:val="center"/>
          </w:tcPr>
          <w:p w14:paraId="3C4A47DC" w14:textId="77777777" w:rsidR="00D7038C" w:rsidRPr="00E6167F" w:rsidRDefault="00D7038C" w:rsidP="00363D34">
            <w:pPr>
              <w:jc w:val="both"/>
              <w:rPr>
                <w:rFonts w:cstheme="minorHAnsi"/>
                <w:b/>
              </w:rPr>
            </w:pPr>
            <w:r w:rsidRPr="00E6167F">
              <w:rPr>
                <w:rFonts w:cstheme="minorHAnsi"/>
                <w:b/>
              </w:rPr>
              <w:t>Medical management</w:t>
            </w:r>
          </w:p>
        </w:tc>
        <w:tc>
          <w:tcPr>
            <w:tcW w:w="930" w:type="pct"/>
            <w:tcBorders>
              <w:top w:val="single" w:sz="4" w:space="0" w:color="auto"/>
              <w:bottom w:val="single" w:sz="4" w:space="0" w:color="auto"/>
            </w:tcBorders>
            <w:shd w:val="clear" w:color="auto" w:fill="F2F2F2" w:themeFill="background1" w:themeFillShade="F2"/>
            <w:vAlign w:val="center"/>
          </w:tcPr>
          <w:p w14:paraId="08B3963F" w14:textId="77777777" w:rsidR="00D7038C" w:rsidRPr="00E6167F" w:rsidRDefault="00D7038C" w:rsidP="00363D34">
            <w:pPr>
              <w:jc w:val="both"/>
              <w:rPr>
                <w:rFonts w:cstheme="minorHAnsi"/>
                <w:b/>
              </w:rPr>
            </w:pPr>
            <w:r w:rsidRPr="00E6167F">
              <w:rPr>
                <w:rFonts w:cstheme="minorHAnsi"/>
                <w:b/>
              </w:rPr>
              <w:t>Surgical management</w:t>
            </w:r>
          </w:p>
        </w:tc>
        <w:tc>
          <w:tcPr>
            <w:tcW w:w="544" w:type="pct"/>
            <w:tcBorders>
              <w:top w:val="single" w:sz="4" w:space="0" w:color="auto"/>
              <w:bottom w:val="single" w:sz="4" w:space="0" w:color="auto"/>
            </w:tcBorders>
            <w:shd w:val="clear" w:color="auto" w:fill="F2F2F2" w:themeFill="background1" w:themeFillShade="F2"/>
            <w:vAlign w:val="center"/>
          </w:tcPr>
          <w:p w14:paraId="6C97A1C3" w14:textId="77777777" w:rsidR="00D7038C" w:rsidRPr="00E6167F" w:rsidRDefault="00D7038C" w:rsidP="00363D34">
            <w:pPr>
              <w:jc w:val="both"/>
              <w:rPr>
                <w:rFonts w:cstheme="minorHAnsi"/>
                <w:b/>
              </w:rPr>
            </w:pPr>
            <w:r w:rsidRPr="00E6167F">
              <w:rPr>
                <w:rFonts w:cstheme="minorHAnsi"/>
                <w:b/>
              </w:rPr>
              <w:t>Coverage</w:t>
            </w:r>
          </w:p>
        </w:tc>
      </w:tr>
      <w:tr w:rsidR="00D7038C" w:rsidRPr="00E6167F" w14:paraId="00464D8A" w14:textId="77777777" w:rsidTr="00880781">
        <w:trPr>
          <w:jc w:val="center"/>
        </w:trPr>
        <w:tc>
          <w:tcPr>
            <w:tcW w:w="5000" w:type="pct"/>
            <w:gridSpan w:val="5"/>
            <w:tcBorders>
              <w:top w:val="single" w:sz="4" w:space="0" w:color="auto"/>
            </w:tcBorders>
            <w:shd w:val="clear" w:color="auto" w:fill="FFFFFF" w:themeFill="background1"/>
          </w:tcPr>
          <w:p w14:paraId="0DF161EC" w14:textId="77777777" w:rsidR="00D7038C" w:rsidRPr="00880781" w:rsidRDefault="00D7038C" w:rsidP="00363D34">
            <w:pPr>
              <w:jc w:val="both"/>
              <w:rPr>
                <w:rFonts w:cstheme="minorHAnsi"/>
                <w:b/>
              </w:rPr>
            </w:pPr>
            <w:r w:rsidRPr="00880781">
              <w:rPr>
                <w:rFonts w:cstheme="minorHAnsi"/>
                <w:b/>
              </w:rPr>
              <w:t>1. Pregnancy</w:t>
            </w:r>
          </w:p>
        </w:tc>
      </w:tr>
      <w:tr w:rsidR="00D7038C" w:rsidRPr="00E6167F" w14:paraId="10125AF4" w14:textId="77777777" w:rsidTr="00880781">
        <w:trPr>
          <w:jc w:val="center"/>
        </w:trPr>
        <w:tc>
          <w:tcPr>
            <w:tcW w:w="1969" w:type="pct"/>
          </w:tcPr>
          <w:p w14:paraId="24196074" w14:textId="77777777" w:rsidR="00D7038C" w:rsidRPr="00E6167F" w:rsidRDefault="00D7038C" w:rsidP="00363D34">
            <w:pPr>
              <w:jc w:val="both"/>
              <w:rPr>
                <w:rFonts w:cstheme="minorHAnsi"/>
              </w:rPr>
            </w:pPr>
            <w:r w:rsidRPr="00E6167F">
              <w:rPr>
                <w:rFonts w:cstheme="minorHAnsi"/>
              </w:rPr>
              <w:t xml:space="preserve">1.1. Antenatal care for uncomplicated pregnancy </w:t>
            </w:r>
          </w:p>
        </w:tc>
        <w:tc>
          <w:tcPr>
            <w:tcW w:w="623" w:type="pct"/>
          </w:tcPr>
          <w:p w14:paraId="7C961A41" w14:textId="77777777" w:rsidR="00D7038C" w:rsidRPr="00E6167F" w:rsidRDefault="00D7038C" w:rsidP="00363D34">
            <w:pPr>
              <w:jc w:val="both"/>
              <w:rPr>
                <w:rFonts w:cstheme="minorHAnsi"/>
              </w:rPr>
            </w:pPr>
            <w:r w:rsidRPr="00E6167F">
              <w:rPr>
                <w:rFonts w:cstheme="minorHAnsi"/>
              </w:rPr>
              <w:t>FMC</w:t>
            </w:r>
          </w:p>
        </w:tc>
        <w:tc>
          <w:tcPr>
            <w:tcW w:w="934" w:type="pct"/>
          </w:tcPr>
          <w:p w14:paraId="257A2F38" w14:textId="77777777" w:rsidR="00D7038C" w:rsidRPr="00E6167F" w:rsidRDefault="00D7038C" w:rsidP="00363D34">
            <w:pPr>
              <w:jc w:val="both"/>
              <w:rPr>
                <w:rFonts w:cstheme="minorHAnsi"/>
              </w:rPr>
            </w:pPr>
            <w:r w:rsidRPr="00E6167F">
              <w:rPr>
                <w:rFonts w:cstheme="minorHAnsi"/>
              </w:rPr>
              <w:t>6 antenatal visits; basic laboratory tests; medications</w:t>
            </w:r>
          </w:p>
        </w:tc>
        <w:tc>
          <w:tcPr>
            <w:tcW w:w="930" w:type="pct"/>
          </w:tcPr>
          <w:p w14:paraId="5B7237B5" w14:textId="77777777" w:rsidR="00D7038C" w:rsidRPr="00E6167F" w:rsidRDefault="00D7038C" w:rsidP="00363D34">
            <w:pPr>
              <w:jc w:val="both"/>
              <w:rPr>
                <w:rFonts w:cstheme="minorHAnsi"/>
              </w:rPr>
            </w:pPr>
            <w:r w:rsidRPr="00E6167F">
              <w:rPr>
                <w:rFonts w:cstheme="minorHAnsi"/>
              </w:rPr>
              <w:t>-</w:t>
            </w:r>
          </w:p>
        </w:tc>
        <w:tc>
          <w:tcPr>
            <w:tcW w:w="544" w:type="pct"/>
          </w:tcPr>
          <w:p w14:paraId="47CFF5B7" w14:textId="77777777" w:rsidR="00D7038C" w:rsidRPr="00E6167F" w:rsidRDefault="00D7038C" w:rsidP="00363D34">
            <w:pPr>
              <w:jc w:val="both"/>
              <w:rPr>
                <w:rFonts w:cstheme="minorHAnsi"/>
              </w:rPr>
            </w:pPr>
            <w:r w:rsidRPr="00E6167F">
              <w:rPr>
                <w:rFonts w:cstheme="minorHAnsi"/>
              </w:rPr>
              <w:t>All pregnant women</w:t>
            </w:r>
          </w:p>
        </w:tc>
      </w:tr>
      <w:tr w:rsidR="00D7038C" w:rsidRPr="00E6167F" w14:paraId="74682797" w14:textId="77777777" w:rsidTr="00880781">
        <w:trPr>
          <w:jc w:val="center"/>
        </w:trPr>
        <w:tc>
          <w:tcPr>
            <w:tcW w:w="1969" w:type="pct"/>
            <w:shd w:val="clear" w:color="auto" w:fill="FFFFFF" w:themeFill="background1"/>
          </w:tcPr>
          <w:p w14:paraId="2B380494" w14:textId="77777777" w:rsidR="00D7038C" w:rsidRPr="00E6167F" w:rsidRDefault="00D7038C" w:rsidP="00363D34">
            <w:pPr>
              <w:jc w:val="both"/>
              <w:rPr>
                <w:rFonts w:cstheme="minorHAnsi"/>
              </w:rPr>
            </w:pPr>
            <w:r w:rsidRPr="00E6167F">
              <w:rPr>
                <w:rFonts w:cstheme="minorHAnsi"/>
              </w:rPr>
              <w:t>1.2. Ectopic pregnancy</w:t>
            </w:r>
          </w:p>
        </w:tc>
        <w:tc>
          <w:tcPr>
            <w:tcW w:w="623" w:type="pct"/>
            <w:shd w:val="clear" w:color="auto" w:fill="FFFFFF" w:themeFill="background1"/>
          </w:tcPr>
          <w:p w14:paraId="1F14759D" w14:textId="77777777" w:rsidR="00D7038C" w:rsidRPr="00E6167F" w:rsidRDefault="00D7038C" w:rsidP="00363D34">
            <w:pPr>
              <w:jc w:val="both"/>
              <w:rPr>
                <w:rFonts w:cstheme="minorHAnsi"/>
              </w:rPr>
            </w:pPr>
            <w:r w:rsidRPr="00E6167F">
              <w:rPr>
                <w:rFonts w:cstheme="minorHAnsi"/>
              </w:rPr>
              <w:t>Hospital</w:t>
            </w:r>
          </w:p>
        </w:tc>
        <w:tc>
          <w:tcPr>
            <w:tcW w:w="934" w:type="pct"/>
            <w:shd w:val="clear" w:color="auto" w:fill="FFFFFF" w:themeFill="background1"/>
          </w:tcPr>
          <w:p w14:paraId="6EF0C553" w14:textId="77777777" w:rsidR="00D7038C" w:rsidRPr="00E6167F" w:rsidRDefault="00D7038C" w:rsidP="00363D34">
            <w:pPr>
              <w:jc w:val="both"/>
              <w:rPr>
                <w:rFonts w:cstheme="minorHAnsi"/>
              </w:rPr>
            </w:pPr>
            <w:r w:rsidRPr="00E6167F">
              <w:rPr>
                <w:rFonts w:cstheme="minorHAnsi"/>
              </w:rPr>
              <w:t>Ultrasound; laboratory tests; medications</w:t>
            </w:r>
          </w:p>
        </w:tc>
        <w:tc>
          <w:tcPr>
            <w:tcW w:w="930" w:type="pct"/>
            <w:shd w:val="clear" w:color="auto" w:fill="FFFFFF" w:themeFill="background1"/>
          </w:tcPr>
          <w:p w14:paraId="25CEF152" w14:textId="77777777" w:rsidR="00D7038C" w:rsidRPr="00E6167F" w:rsidRDefault="00D7038C" w:rsidP="00363D34">
            <w:pPr>
              <w:jc w:val="both"/>
              <w:rPr>
                <w:rFonts w:cstheme="minorHAnsi"/>
              </w:rPr>
            </w:pPr>
            <w:r w:rsidRPr="00E6167F">
              <w:rPr>
                <w:rFonts w:cstheme="minorHAnsi"/>
              </w:rPr>
              <w:t>Laparoscopic surgery</w:t>
            </w:r>
          </w:p>
        </w:tc>
        <w:tc>
          <w:tcPr>
            <w:tcW w:w="544" w:type="pct"/>
            <w:shd w:val="clear" w:color="auto" w:fill="FFFFFF" w:themeFill="background1"/>
          </w:tcPr>
          <w:p w14:paraId="0F0CAD7C" w14:textId="77777777" w:rsidR="00D7038C" w:rsidRPr="00E6167F" w:rsidRDefault="00D7038C" w:rsidP="00363D34">
            <w:pPr>
              <w:jc w:val="both"/>
              <w:rPr>
                <w:rFonts w:cstheme="minorHAnsi"/>
              </w:rPr>
            </w:pPr>
            <w:r w:rsidRPr="00E6167F">
              <w:rPr>
                <w:rFonts w:cstheme="minorHAnsi"/>
              </w:rPr>
              <w:t>All pregnant women</w:t>
            </w:r>
          </w:p>
        </w:tc>
      </w:tr>
      <w:tr w:rsidR="00D7038C" w:rsidRPr="00E6167F" w14:paraId="500DB215" w14:textId="77777777" w:rsidTr="00880781">
        <w:trPr>
          <w:jc w:val="center"/>
        </w:trPr>
        <w:tc>
          <w:tcPr>
            <w:tcW w:w="1969" w:type="pct"/>
            <w:shd w:val="clear" w:color="auto" w:fill="FFFFFF" w:themeFill="background1"/>
          </w:tcPr>
          <w:p w14:paraId="5AC3B8E0" w14:textId="77777777" w:rsidR="00D7038C" w:rsidRPr="00E6167F" w:rsidRDefault="00D7038C" w:rsidP="00363D34">
            <w:pPr>
              <w:jc w:val="both"/>
              <w:rPr>
                <w:rFonts w:cstheme="minorHAnsi"/>
              </w:rPr>
            </w:pPr>
            <w:r w:rsidRPr="00E6167F">
              <w:rPr>
                <w:rFonts w:cstheme="minorHAnsi"/>
              </w:rPr>
              <w:t>Etc.</w:t>
            </w:r>
          </w:p>
        </w:tc>
        <w:tc>
          <w:tcPr>
            <w:tcW w:w="623" w:type="pct"/>
            <w:shd w:val="clear" w:color="auto" w:fill="FFFFFF" w:themeFill="background1"/>
          </w:tcPr>
          <w:p w14:paraId="21984E4E" w14:textId="77777777" w:rsidR="00D7038C" w:rsidRPr="00E6167F" w:rsidRDefault="00D7038C" w:rsidP="00363D34">
            <w:pPr>
              <w:jc w:val="both"/>
              <w:rPr>
                <w:rFonts w:cstheme="minorHAnsi"/>
              </w:rPr>
            </w:pPr>
          </w:p>
        </w:tc>
        <w:tc>
          <w:tcPr>
            <w:tcW w:w="934" w:type="pct"/>
            <w:shd w:val="clear" w:color="auto" w:fill="FFFFFF" w:themeFill="background1"/>
          </w:tcPr>
          <w:p w14:paraId="6B00D383" w14:textId="77777777" w:rsidR="00D7038C" w:rsidRPr="00E6167F" w:rsidRDefault="00D7038C" w:rsidP="00363D34">
            <w:pPr>
              <w:jc w:val="both"/>
              <w:rPr>
                <w:rFonts w:cstheme="minorHAnsi"/>
              </w:rPr>
            </w:pPr>
          </w:p>
        </w:tc>
        <w:tc>
          <w:tcPr>
            <w:tcW w:w="930" w:type="pct"/>
            <w:shd w:val="clear" w:color="auto" w:fill="FFFFFF" w:themeFill="background1"/>
          </w:tcPr>
          <w:p w14:paraId="19BF25E1" w14:textId="77777777" w:rsidR="00D7038C" w:rsidRPr="00E6167F" w:rsidRDefault="00D7038C" w:rsidP="00363D34">
            <w:pPr>
              <w:jc w:val="both"/>
              <w:rPr>
                <w:rFonts w:cstheme="minorHAnsi"/>
              </w:rPr>
            </w:pPr>
          </w:p>
        </w:tc>
        <w:tc>
          <w:tcPr>
            <w:tcW w:w="544" w:type="pct"/>
            <w:shd w:val="clear" w:color="auto" w:fill="FFFFFF" w:themeFill="background1"/>
          </w:tcPr>
          <w:p w14:paraId="551CE1C2" w14:textId="77777777" w:rsidR="00D7038C" w:rsidRPr="00E6167F" w:rsidRDefault="00D7038C" w:rsidP="00363D34">
            <w:pPr>
              <w:jc w:val="both"/>
              <w:rPr>
                <w:rFonts w:cstheme="minorHAnsi"/>
              </w:rPr>
            </w:pPr>
          </w:p>
        </w:tc>
      </w:tr>
    </w:tbl>
    <w:p w14:paraId="3875AAF8" w14:textId="77777777" w:rsidR="00D7038C" w:rsidRPr="00E6167F" w:rsidRDefault="00D7038C" w:rsidP="00363D34">
      <w:pPr>
        <w:autoSpaceDE w:val="0"/>
        <w:autoSpaceDN w:val="0"/>
        <w:adjustRightInd w:val="0"/>
        <w:spacing w:after="0" w:line="240" w:lineRule="auto"/>
        <w:jc w:val="both"/>
        <w:rPr>
          <w:rFonts w:cstheme="minorHAnsi"/>
          <w:color w:val="000000"/>
        </w:rPr>
      </w:pPr>
    </w:p>
    <w:p w14:paraId="6CBD8EFF" w14:textId="4C189ABE" w:rsidR="00D7038C" w:rsidRPr="00D92F7A" w:rsidRDefault="00DC158C" w:rsidP="00D92F7A">
      <w:pPr>
        <w:pStyle w:val="ListParagraph"/>
        <w:numPr>
          <w:ilvl w:val="0"/>
          <w:numId w:val="25"/>
        </w:numPr>
        <w:autoSpaceDE w:val="0"/>
        <w:autoSpaceDN w:val="0"/>
        <w:adjustRightInd w:val="0"/>
        <w:spacing w:before="240" w:after="120" w:line="240" w:lineRule="auto"/>
        <w:jc w:val="both"/>
        <w:rPr>
          <w:rFonts w:cstheme="minorHAnsi"/>
          <w:b/>
          <w:color w:val="000000"/>
        </w:rPr>
      </w:pPr>
      <w:r w:rsidRPr="00D92F7A">
        <w:rPr>
          <w:rFonts w:cstheme="minorHAnsi"/>
          <w:b/>
          <w:color w:val="000000"/>
        </w:rPr>
        <w:t xml:space="preserve">Procedures on femur in </w:t>
      </w:r>
      <w:r w:rsidR="007240CE" w:rsidRPr="00D92F7A">
        <w:rPr>
          <w:rFonts w:cstheme="minorHAnsi"/>
          <w:b/>
          <w:color w:val="000000"/>
        </w:rPr>
        <w:t xml:space="preserve">emergency medical service </w:t>
      </w:r>
    </w:p>
    <w:p w14:paraId="0A63089B" w14:textId="270BF065" w:rsidR="00D7038C" w:rsidRDefault="00CF2A7D" w:rsidP="00363D34">
      <w:pPr>
        <w:autoSpaceDE w:val="0"/>
        <w:autoSpaceDN w:val="0"/>
        <w:adjustRightInd w:val="0"/>
        <w:spacing w:after="0" w:line="240" w:lineRule="auto"/>
        <w:jc w:val="both"/>
        <w:rPr>
          <w:rFonts w:cstheme="minorHAnsi"/>
          <w:color w:val="000000"/>
        </w:rPr>
      </w:pPr>
      <w:r>
        <w:rPr>
          <w:rFonts w:cstheme="minorHAnsi"/>
          <w:color w:val="000000"/>
        </w:rPr>
        <w:lastRenderedPageBreak/>
        <w:t xml:space="preserve">Currently, </w:t>
      </w:r>
      <w:r w:rsidR="00D7038C" w:rsidRPr="00E6167F">
        <w:rPr>
          <w:rFonts w:cstheme="minorHAnsi"/>
          <w:color w:val="000000"/>
        </w:rPr>
        <w:t xml:space="preserve">DRG number 810 (Procedures on femur) describes list of procedures provided by </w:t>
      </w:r>
      <w:r w:rsidR="00675422">
        <w:rPr>
          <w:rFonts w:cstheme="minorHAnsi"/>
          <w:color w:val="000000"/>
        </w:rPr>
        <w:t xml:space="preserve">emergency medical service </w:t>
      </w:r>
      <w:r w:rsidR="00577DF6">
        <w:rPr>
          <w:rFonts w:cstheme="minorHAnsi"/>
          <w:color w:val="000000"/>
        </w:rPr>
        <w:t xml:space="preserve">(EMS) </w:t>
      </w:r>
      <w:r w:rsidR="00D7038C" w:rsidRPr="00E6167F">
        <w:rPr>
          <w:rFonts w:cstheme="minorHAnsi"/>
          <w:color w:val="000000"/>
        </w:rPr>
        <w:t>for injury of femur</w:t>
      </w:r>
      <w:r>
        <w:rPr>
          <w:rFonts w:cstheme="minorHAnsi"/>
          <w:color w:val="000000"/>
        </w:rPr>
        <w:t xml:space="preserve"> as below:</w:t>
      </w:r>
    </w:p>
    <w:p w14:paraId="144DDD0E" w14:textId="4A984C5F" w:rsidR="00D7038C" w:rsidRPr="00132B20" w:rsidRDefault="0009491D" w:rsidP="00132B20">
      <w:pPr>
        <w:autoSpaceDE w:val="0"/>
        <w:autoSpaceDN w:val="0"/>
        <w:adjustRightInd w:val="0"/>
        <w:spacing w:before="240" w:after="120" w:line="240" w:lineRule="auto"/>
        <w:ind w:left="720" w:firstLine="720"/>
        <w:jc w:val="both"/>
        <w:rPr>
          <w:rFonts w:cstheme="minorHAnsi"/>
          <w:b/>
          <w:color w:val="000000"/>
        </w:rPr>
      </w:pPr>
      <w:r w:rsidRPr="00132B20">
        <w:rPr>
          <w:rFonts w:cstheme="minorHAnsi"/>
          <w:b/>
          <w:color w:val="000000"/>
        </w:rPr>
        <w:t>Table 1</w:t>
      </w:r>
      <w:r w:rsidR="00E86BBF">
        <w:rPr>
          <w:rFonts w:cstheme="minorHAnsi"/>
          <w:b/>
          <w:color w:val="000000"/>
        </w:rPr>
        <w:t>4</w:t>
      </w:r>
      <w:r w:rsidR="00675422" w:rsidRPr="00132B20">
        <w:rPr>
          <w:rFonts w:cstheme="minorHAnsi"/>
          <w:b/>
          <w:color w:val="000000"/>
        </w:rPr>
        <w:t xml:space="preserve">. </w:t>
      </w:r>
      <w:r w:rsidR="00577DF6" w:rsidRPr="00132B20">
        <w:rPr>
          <w:rFonts w:cstheme="minorHAnsi"/>
          <w:b/>
          <w:color w:val="000000"/>
        </w:rPr>
        <w:t xml:space="preserve">DRG code and procedures for femur </w:t>
      </w:r>
    </w:p>
    <w:tbl>
      <w:tblPr>
        <w:tblStyle w:val="TableGrid"/>
        <w:tblW w:w="0" w:type="auto"/>
        <w:jc w:val="center"/>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
        <w:gridCol w:w="1158"/>
        <w:gridCol w:w="4545"/>
      </w:tblGrid>
      <w:tr w:rsidR="00D7038C" w:rsidRPr="00E6167F" w14:paraId="33B351B2" w14:textId="77777777" w:rsidTr="007368E6">
        <w:trPr>
          <w:jc w:val="center"/>
        </w:trPr>
        <w:tc>
          <w:tcPr>
            <w:tcW w:w="682" w:type="dxa"/>
            <w:tcBorders>
              <w:top w:val="single" w:sz="4" w:space="0" w:color="auto"/>
              <w:bottom w:val="single" w:sz="4" w:space="0" w:color="auto"/>
            </w:tcBorders>
            <w:shd w:val="clear" w:color="auto" w:fill="F2F2F2" w:themeFill="background1" w:themeFillShade="F2"/>
            <w:vAlign w:val="center"/>
          </w:tcPr>
          <w:p w14:paraId="0A262526" w14:textId="77777777" w:rsidR="00D7038C" w:rsidRPr="00E6167F" w:rsidRDefault="00D7038C" w:rsidP="00363D34">
            <w:pPr>
              <w:jc w:val="both"/>
              <w:rPr>
                <w:rFonts w:cstheme="minorHAnsi"/>
                <w:b/>
                <w:color w:val="000000"/>
                <w:lang w:val="hr-HR"/>
              </w:rPr>
            </w:pPr>
            <w:r w:rsidRPr="00E6167F">
              <w:rPr>
                <w:rFonts w:cstheme="minorHAnsi"/>
                <w:b/>
                <w:color w:val="000000"/>
                <w:lang w:val="hr-HR"/>
              </w:rPr>
              <w:t>DRG</w:t>
            </w:r>
          </w:p>
          <w:p w14:paraId="746BEC15" w14:textId="2320DC24" w:rsidR="00D7038C" w:rsidRPr="00E6167F" w:rsidRDefault="00577DF6" w:rsidP="00363D34">
            <w:pPr>
              <w:jc w:val="both"/>
              <w:rPr>
                <w:rFonts w:cstheme="minorHAnsi"/>
                <w:b/>
                <w:color w:val="000000"/>
                <w:lang w:val="hr-HR"/>
              </w:rPr>
            </w:pPr>
            <w:r w:rsidRPr="00E6167F">
              <w:rPr>
                <w:rFonts w:cstheme="minorHAnsi"/>
                <w:b/>
                <w:color w:val="000000"/>
                <w:lang w:val="hr-HR"/>
              </w:rPr>
              <w:t>C</w:t>
            </w:r>
            <w:r w:rsidR="00D7038C" w:rsidRPr="00E6167F">
              <w:rPr>
                <w:rFonts w:cstheme="minorHAnsi"/>
                <w:b/>
                <w:color w:val="000000"/>
                <w:lang w:val="hr-HR"/>
              </w:rPr>
              <w:t>ode</w:t>
            </w:r>
          </w:p>
        </w:tc>
        <w:tc>
          <w:tcPr>
            <w:tcW w:w="1158" w:type="dxa"/>
            <w:tcBorders>
              <w:top w:val="single" w:sz="4" w:space="0" w:color="auto"/>
              <w:bottom w:val="single" w:sz="4" w:space="0" w:color="auto"/>
            </w:tcBorders>
            <w:shd w:val="clear" w:color="auto" w:fill="F2F2F2" w:themeFill="background1" w:themeFillShade="F2"/>
            <w:vAlign w:val="center"/>
          </w:tcPr>
          <w:p w14:paraId="6B4CD431" w14:textId="77777777" w:rsidR="00D7038C" w:rsidRPr="00E6167F" w:rsidRDefault="00D7038C" w:rsidP="00363D34">
            <w:pPr>
              <w:autoSpaceDE w:val="0"/>
              <w:autoSpaceDN w:val="0"/>
              <w:adjustRightInd w:val="0"/>
              <w:jc w:val="both"/>
              <w:rPr>
                <w:rFonts w:cstheme="minorHAnsi"/>
                <w:b/>
                <w:color w:val="000000"/>
              </w:rPr>
            </w:pPr>
            <w:r w:rsidRPr="00E6167F">
              <w:rPr>
                <w:rFonts w:cstheme="minorHAnsi"/>
                <w:b/>
                <w:color w:val="000000"/>
              </w:rPr>
              <w:t>Procedure</w:t>
            </w:r>
          </w:p>
          <w:p w14:paraId="7D7551A9" w14:textId="194D8F5E" w:rsidR="00D7038C" w:rsidRPr="00E6167F" w:rsidRDefault="00CF2A7D" w:rsidP="00363D34">
            <w:pPr>
              <w:autoSpaceDE w:val="0"/>
              <w:autoSpaceDN w:val="0"/>
              <w:adjustRightInd w:val="0"/>
              <w:jc w:val="both"/>
              <w:rPr>
                <w:rFonts w:cstheme="minorHAnsi"/>
                <w:b/>
                <w:color w:val="000000"/>
              </w:rPr>
            </w:pPr>
            <w:r w:rsidRPr="00E6167F">
              <w:rPr>
                <w:rFonts w:cstheme="minorHAnsi"/>
                <w:b/>
                <w:color w:val="000000"/>
              </w:rPr>
              <w:t>C</w:t>
            </w:r>
            <w:r w:rsidR="00D7038C" w:rsidRPr="00E6167F">
              <w:rPr>
                <w:rFonts w:cstheme="minorHAnsi"/>
                <w:b/>
                <w:color w:val="000000"/>
              </w:rPr>
              <w:t>ode</w:t>
            </w:r>
          </w:p>
        </w:tc>
        <w:tc>
          <w:tcPr>
            <w:tcW w:w="4545" w:type="dxa"/>
            <w:tcBorders>
              <w:top w:val="single" w:sz="4" w:space="0" w:color="auto"/>
              <w:bottom w:val="single" w:sz="4" w:space="0" w:color="auto"/>
            </w:tcBorders>
            <w:shd w:val="clear" w:color="auto" w:fill="F2F2F2" w:themeFill="background1" w:themeFillShade="F2"/>
            <w:vAlign w:val="center"/>
          </w:tcPr>
          <w:p w14:paraId="18CAB5F6" w14:textId="77777777" w:rsidR="00D7038C" w:rsidRPr="00E6167F" w:rsidRDefault="00D7038C" w:rsidP="00363D34">
            <w:pPr>
              <w:autoSpaceDE w:val="0"/>
              <w:autoSpaceDN w:val="0"/>
              <w:adjustRightInd w:val="0"/>
              <w:jc w:val="both"/>
              <w:rPr>
                <w:rFonts w:cstheme="minorHAnsi"/>
                <w:b/>
                <w:color w:val="000000"/>
              </w:rPr>
            </w:pPr>
            <w:r w:rsidRPr="00E6167F">
              <w:rPr>
                <w:rFonts w:cstheme="minorHAnsi"/>
                <w:b/>
                <w:color w:val="000000"/>
              </w:rPr>
              <w:t>Name</w:t>
            </w:r>
          </w:p>
        </w:tc>
      </w:tr>
      <w:tr w:rsidR="00D7038C" w:rsidRPr="00E6167F" w14:paraId="556664C4" w14:textId="77777777" w:rsidTr="007368E6">
        <w:trPr>
          <w:jc w:val="center"/>
        </w:trPr>
        <w:tc>
          <w:tcPr>
            <w:tcW w:w="682" w:type="dxa"/>
            <w:tcBorders>
              <w:top w:val="single" w:sz="4" w:space="0" w:color="auto"/>
            </w:tcBorders>
          </w:tcPr>
          <w:p w14:paraId="0151DD67" w14:textId="77777777" w:rsidR="00D7038C" w:rsidRPr="00E6167F" w:rsidRDefault="00D7038C" w:rsidP="00363D34">
            <w:pPr>
              <w:jc w:val="both"/>
              <w:rPr>
                <w:rFonts w:cstheme="minorHAnsi"/>
              </w:rPr>
            </w:pPr>
            <w:r w:rsidRPr="00E6167F">
              <w:rPr>
                <w:rFonts w:cstheme="minorHAnsi"/>
                <w:color w:val="000000"/>
                <w:lang w:val="ru-RU"/>
              </w:rPr>
              <w:t>810</w:t>
            </w:r>
          </w:p>
        </w:tc>
        <w:tc>
          <w:tcPr>
            <w:tcW w:w="1158" w:type="dxa"/>
            <w:tcBorders>
              <w:top w:val="single" w:sz="4" w:space="0" w:color="auto"/>
            </w:tcBorders>
          </w:tcPr>
          <w:p w14:paraId="3CA773B0" w14:textId="77777777" w:rsidR="00D7038C" w:rsidRPr="00E6167F" w:rsidRDefault="00D7038C" w:rsidP="00363D34">
            <w:pPr>
              <w:autoSpaceDE w:val="0"/>
              <w:autoSpaceDN w:val="0"/>
              <w:adjustRightInd w:val="0"/>
              <w:jc w:val="both"/>
              <w:rPr>
                <w:rFonts w:cstheme="minorHAnsi"/>
                <w:color w:val="000000"/>
              </w:rPr>
            </w:pPr>
          </w:p>
        </w:tc>
        <w:tc>
          <w:tcPr>
            <w:tcW w:w="4545" w:type="dxa"/>
            <w:tcBorders>
              <w:top w:val="single" w:sz="4" w:space="0" w:color="auto"/>
            </w:tcBorders>
          </w:tcPr>
          <w:p w14:paraId="7F0DF469" w14:textId="77777777" w:rsidR="00D7038C" w:rsidRPr="00E6167F" w:rsidRDefault="00D7038C" w:rsidP="00363D34">
            <w:pPr>
              <w:autoSpaceDE w:val="0"/>
              <w:autoSpaceDN w:val="0"/>
              <w:adjustRightInd w:val="0"/>
              <w:jc w:val="both"/>
              <w:rPr>
                <w:rFonts w:cstheme="minorHAnsi"/>
                <w:color w:val="000000"/>
              </w:rPr>
            </w:pPr>
            <w:r w:rsidRPr="00E6167F">
              <w:rPr>
                <w:rFonts w:cstheme="minorHAnsi"/>
                <w:color w:val="000000"/>
              </w:rPr>
              <w:t>Procedures on femur</w:t>
            </w:r>
          </w:p>
        </w:tc>
      </w:tr>
      <w:tr w:rsidR="00D7038C" w:rsidRPr="00E6167F" w14:paraId="26F7098A" w14:textId="77777777" w:rsidTr="007368E6">
        <w:trPr>
          <w:trHeight w:val="171"/>
          <w:jc w:val="center"/>
        </w:trPr>
        <w:tc>
          <w:tcPr>
            <w:tcW w:w="682" w:type="dxa"/>
          </w:tcPr>
          <w:p w14:paraId="5434A086" w14:textId="77777777" w:rsidR="00D7038C" w:rsidRPr="00E6167F" w:rsidRDefault="00D7038C" w:rsidP="00363D34">
            <w:pPr>
              <w:jc w:val="both"/>
              <w:rPr>
                <w:rFonts w:cstheme="minorHAnsi"/>
              </w:rPr>
            </w:pPr>
            <w:r w:rsidRPr="00E6167F">
              <w:rPr>
                <w:rFonts w:cstheme="minorHAnsi"/>
                <w:color w:val="000000"/>
                <w:lang w:val="ru-RU"/>
              </w:rPr>
              <w:t>810</w:t>
            </w:r>
          </w:p>
        </w:tc>
        <w:tc>
          <w:tcPr>
            <w:tcW w:w="1158" w:type="dxa"/>
          </w:tcPr>
          <w:p w14:paraId="01FF0F0C" w14:textId="77777777" w:rsidR="00D7038C" w:rsidRPr="00E6167F" w:rsidRDefault="00D7038C" w:rsidP="00363D34">
            <w:pPr>
              <w:autoSpaceDE w:val="0"/>
              <w:autoSpaceDN w:val="0"/>
              <w:adjustRightInd w:val="0"/>
              <w:jc w:val="both"/>
              <w:rPr>
                <w:rFonts w:cstheme="minorHAnsi"/>
                <w:color w:val="000000"/>
                <w:lang w:val="ru-RU"/>
              </w:rPr>
            </w:pPr>
            <w:r w:rsidRPr="00E6167F">
              <w:rPr>
                <w:rFonts w:cstheme="minorHAnsi"/>
                <w:color w:val="000000"/>
                <w:lang w:val="ru-RU"/>
              </w:rPr>
              <w:t>78.15</w:t>
            </w:r>
          </w:p>
        </w:tc>
        <w:tc>
          <w:tcPr>
            <w:tcW w:w="4545" w:type="dxa"/>
          </w:tcPr>
          <w:p w14:paraId="30F0F516" w14:textId="77777777" w:rsidR="00D7038C" w:rsidRPr="00E6167F" w:rsidRDefault="00D7038C" w:rsidP="00363D34">
            <w:pPr>
              <w:autoSpaceDE w:val="0"/>
              <w:autoSpaceDN w:val="0"/>
              <w:adjustRightInd w:val="0"/>
              <w:jc w:val="both"/>
              <w:rPr>
                <w:rFonts w:cstheme="minorHAnsi"/>
                <w:color w:val="000000"/>
              </w:rPr>
            </w:pPr>
            <w:r w:rsidRPr="00E6167F">
              <w:rPr>
                <w:rFonts w:cstheme="minorHAnsi"/>
                <w:color w:val="000000"/>
              </w:rPr>
              <w:t>Application of external fixator device, femur</w:t>
            </w:r>
          </w:p>
        </w:tc>
      </w:tr>
      <w:tr w:rsidR="00D7038C" w:rsidRPr="00E6167F" w14:paraId="72B8D26F" w14:textId="77777777" w:rsidTr="007368E6">
        <w:trPr>
          <w:jc w:val="center"/>
        </w:trPr>
        <w:tc>
          <w:tcPr>
            <w:tcW w:w="682" w:type="dxa"/>
          </w:tcPr>
          <w:p w14:paraId="6E35B49E" w14:textId="77777777" w:rsidR="00D7038C" w:rsidRPr="00E6167F" w:rsidRDefault="00D7038C" w:rsidP="00363D34">
            <w:pPr>
              <w:jc w:val="both"/>
              <w:rPr>
                <w:rFonts w:cstheme="minorHAnsi"/>
              </w:rPr>
            </w:pPr>
            <w:r w:rsidRPr="00E6167F">
              <w:rPr>
                <w:rFonts w:cstheme="minorHAnsi"/>
                <w:color w:val="000000"/>
                <w:lang w:val="ru-RU"/>
              </w:rPr>
              <w:t>810</w:t>
            </w:r>
          </w:p>
        </w:tc>
        <w:tc>
          <w:tcPr>
            <w:tcW w:w="1158" w:type="dxa"/>
          </w:tcPr>
          <w:p w14:paraId="1D5F082A" w14:textId="77777777" w:rsidR="00D7038C" w:rsidRPr="00E6167F" w:rsidRDefault="00D7038C" w:rsidP="00363D34">
            <w:pPr>
              <w:autoSpaceDE w:val="0"/>
              <w:autoSpaceDN w:val="0"/>
              <w:adjustRightInd w:val="0"/>
              <w:jc w:val="both"/>
              <w:rPr>
                <w:rFonts w:cstheme="minorHAnsi"/>
                <w:color w:val="000000"/>
                <w:lang w:val="ru-RU"/>
              </w:rPr>
            </w:pPr>
            <w:r w:rsidRPr="00E6167F">
              <w:rPr>
                <w:rFonts w:cstheme="minorHAnsi"/>
                <w:color w:val="000000"/>
                <w:lang w:val="ru-RU"/>
              </w:rPr>
              <w:t>79.45</w:t>
            </w:r>
          </w:p>
        </w:tc>
        <w:tc>
          <w:tcPr>
            <w:tcW w:w="4545" w:type="dxa"/>
          </w:tcPr>
          <w:p w14:paraId="61C8E2FC" w14:textId="77777777" w:rsidR="00D7038C" w:rsidRPr="00E6167F" w:rsidRDefault="00D7038C" w:rsidP="00363D34">
            <w:pPr>
              <w:autoSpaceDE w:val="0"/>
              <w:autoSpaceDN w:val="0"/>
              <w:adjustRightInd w:val="0"/>
              <w:jc w:val="both"/>
              <w:rPr>
                <w:rFonts w:cstheme="minorHAnsi"/>
                <w:color w:val="000000"/>
              </w:rPr>
            </w:pPr>
            <w:r w:rsidRPr="00E6167F">
              <w:rPr>
                <w:rFonts w:cstheme="minorHAnsi"/>
                <w:color w:val="000000"/>
              </w:rPr>
              <w:t>Closed reduction of separated epiphysis, femur</w:t>
            </w:r>
          </w:p>
        </w:tc>
      </w:tr>
      <w:tr w:rsidR="00D7038C" w:rsidRPr="00E6167F" w14:paraId="47E0F99F" w14:textId="77777777" w:rsidTr="007368E6">
        <w:trPr>
          <w:jc w:val="center"/>
        </w:trPr>
        <w:tc>
          <w:tcPr>
            <w:tcW w:w="682" w:type="dxa"/>
          </w:tcPr>
          <w:p w14:paraId="376DD3F3" w14:textId="77777777" w:rsidR="00D7038C" w:rsidRPr="00E6167F" w:rsidRDefault="00D7038C" w:rsidP="00363D34">
            <w:pPr>
              <w:autoSpaceDE w:val="0"/>
              <w:autoSpaceDN w:val="0"/>
              <w:adjustRightInd w:val="0"/>
              <w:jc w:val="both"/>
              <w:rPr>
                <w:rFonts w:cstheme="minorHAnsi"/>
                <w:color w:val="000000"/>
                <w:lang w:val="ru-RU"/>
              </w:rPr>
            </w:pPr>
            <w:r w:rsidRPr="00E6167F">
              <w:rPr>
                <w:rFonts w:cstheme="minorHAnsi"/>
                <w:color w:val="000000"/>
                <w:lang w:val="ru-RU"/>
              </w:rPr>
              <w:t>810</w:t>
            </w:r>
          </w:p>
        </w:tc>
        <w:tc>
          <w:tcPr>
            <w:tcW w:w="1158" w:type="dxa"/>
          </w:tcPr>
          <w:p w14:paraId="0B68F336" w14:textId="77777777" w:rsidR="00D7038C" w:rsidRPr="00E6167F" w:rsidRDefault="00D7038C" w:rsidP="00363D34">
            <w:pPr>
              <w:autoSpaceDE w:val="0"/>
              <w:autoSpaceDN w:val="0"/>
              <w:adjustRightInd w:val="0"/>
              <w:jc w:val="both"/>
              <w:rPr>
                <w:rFonts w:cstheme="minorHAnsi"/>
                <w:color w:val="000000"/>
              </w:rPr>
            </w:pPr>
            <w:r w:rsidRPr="00E6167F">
              <w:rPr>
                <w:rFonts w:cstheme="minorHAnsi"/>
                <w:color w:val="000000"/>
              </w:rPr>
              <w:t>79.65</w:t>
            </w:r>
          </w:p>
        </w:tc>
        <w:tc>
          <w:tcPr>
            <w:tcW w:w="4545" w:type="dxa"/>
          </w:tcPr>
          <w:p w14:paraId="5447219A" w14:textId="77777777" w:rsidR="00D7038C" w:rsidRPr="00E6167F" w:rsidRDefault="00D7038C" w:rsidP="00363D34">
            <w:pPr>
              <w:autoSpaceDE w:val="0"/>
              <w:autoSpaceDN w:val="0"/>
              <w:adjustRightInd w:val="0"/>
              <w:jc w:val="both"/>
              <w:rPr>
                <w:rFonts w:cstheme="minorHAnsi"/>
                <w:color w:val="000000"/>
              </w:rPr>
            </w:pPr>
            <w:r w:rsidRPr="00E6167F">
              <w:rPr>
                <w:rFonts w:cstheme="minorHAnsi"/>
                <w:color w:val="000000"/>
              </w:rPr>
              <w:t>Debridement of open fracture site, femur</w:t>
            </w:r>
          </w:p>
        </w:tc>
      </w:tr>
    </w:tbl>
    <w:p w14:paraId="1CD51916" w14:textId="77777777" w:rsidR="00D7038C" w:rsidRPr="00E6167F" w:rsidRDefault="00D7038C" w:rsidP="00363D34">
      <w:pPr>
        <w:autoSpaceDE w:val="0"/>
        <w:autoSpaceDN w:val="0"/>
        <w:adjustRightInd w:val="0"/>
        <w:spacing w:after="0" w:line="240" w:lineRule="auto"/>
        <w:jc w:val="both"/>
        <w:rPr>
          <w:rFonts w:cstheme="minorHAnsi"/>
          <w:b/>
          <w:color w:val="000000"/>
        </w:rPr>
      </w:pPr>
    </w:p>
    <w:p w14:paraId="3630300B" w14:textId="3EAA24B3" w:rsidR="00D7038C" w:rsidRDefault="00D7038C" w:rsidP="00363D34">
      <w:pPr>
        <w:autoSpaceDE w:val="0"/>
        <w:autoSpaceDN w:val="0"/>
        <w:adjustRightInd w:val="0"/>
        <w:spacing w:after="0" w:line="240" w:lineRule="auto"/>
        <w:jc w:val="both"/>
        <w:rPr>
          <w:rFonts w:cstheme="minorHAnsi"/>
          <w:color w:val="000000"/>
        </w:rPr>
      </w:pPr>
      <w:r w:rsidRPr="00E6167F">
        <w:rPr>
          <w:rFonts w:cstheme="minorHAnsi"/>
          <w:color w:val="000000"/>
        </w:rPr>
        <w:t xml:space="preserve">This list can be translated in to </w:t>
      </w:r>
      <w:r w:rsidR="00CF2A7D">
        <w:rPr>
          <w:rFonts w:cstheme="minorHAnsi"/>
          <w:color w:val="000000"/>
        </w:rPr>
        <w:t xml:space="preserve">the </w:t>
      </w:r>
      <w:r w:rsidRPr="00E6167F">
        <w:rPr>
          <w:rFonts w:cstheme="minorHAnsi"/>
          <w:color w:val="000000"/>
        </w:rPr>
        <w:t xml:space="preserve">SGBP </w:t>
      </w:r>
      <w:r w:rsidR="00280197">
        <w:rPr>
          <w:rFonts w:cstheme="minorHAnsi"/>
          <w:color w:val="000000"/>
        </w:rPr>
        <w:t xml:space="preserve">in a similar way as was illustrated with the uncomplicated pregnancy. </w:t>
      </w:r>
    </w:p>
    <w:p w14:paraId="71AFE1AC" w14:textId="31D8F65B" w:rsidR="00D7038C" w:rsidRPr="00E6167F" w:rsidRDefault="0009491D" w:rsidP="00132B20">
      <w:pPr>
        <w:autoSpaceDE w:val="0"/>
        <w:autoSpaceDN w:val="0"/>
        <w:adjustRightInd w:val="0"/>
        <w:spacing w:before="240" w:after="120" w:line="240" w:lineRule="auto"/>
        <w:jc w:val="both"/>
        <w:rPr>
          <w:rFonts w:cstheme="minorHAnsi"/>
          <w:b/>
          <w:color w:val="000000"/>
        </w:rPr>
      </w:pPr>
      <w:r>
        <w:rPr>
          <w:rFonts w:cstheme="minorHAnsi"/>
          <w:b/>
          <w:color w:val="000000"/>
        </w:rPr>
        <w:t>Table 1</w:t>
      </w:r>
      <w:r w:rsidR="00E86BBF">
        <w:rPr>
          <w:rFonts w:cstheme="minorHAnsi"/>
          <w:b/>
          <w:color w:val="000000"/>
        </w:rPr>
        <w:t>5</w:t>
      </w:r>
      <w:r w:rsidR="00577DF6">
        <w:rPr>
          <w:rFonts w:cstheme="minorHAnsi"/>
          <w:b/>
          <w:color w:val="000000"/>
        </w:rPr>
        <w:t xml:space="preserve">. Translating the </w:t>
      </w:r>
      <w:r w:rsidR="00C821D8">
        <w:rPr>
          <w:rFonts w:cstheme="minorHAnsi"/>
          <w:b/>
          <w:color w:val="000000"/>
        </w:rPr>
        <w:t xml:space="preserve">DRG </w:t>
      </w:r>
      <w:r w:rsidR="00302C51">
        <w:rPr>
          <w:rFonts w:cstheme="minorHAnsi"/>
          <w:b/>
          <w:color w:val="000000"/>
        </w:rPr>
        <w:t>for femur to an explicit list of procedures</w:t>
      </w:r>
    </w:p>
    <w:tbl>
      <w:tblPr>
        <w:tblStyle w:val="TableGrid"/>
        <w:tblW w:w="5000" w:type="pct"/>
        <w:jc w:val="center"/>
        <w:tblInd w:w="0" w:type="dxa"/>
        <w:tblBorders>
          <w:left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602"/>
        <w:gridCol w:w="1330"/>
        <w:gridCol w:w="3007"/>
        <w:gridCol w:w="1218"/>
        <w:gridCol w:w="1181"/>
        <w:gridCol w:w="1068"/>
      </w:tblGrid>
      <w:tr w:rsidR="00D7038C" w:rsidRPr="00E6167F" w14:paraId="07357C67" w14:textId="77777777" w:rsidTr="007368E6">
        <w:trPr>
          <w:tblHeader/>
          <w:jc w:val="center"/>
        </w:trPr>
        <w:tc>
          <w:tcPr>
            <w:tcW w:w="889" w:type="pct"/>
            <w:tcBorders>
              <w:top w:val="single" w:sz="4" w:space="0" w:color="auto"/>
              <w:bottom w:val="single" w:sz="4" w:space="0" w:color="auto"/>
            </w:tcBorders>
            <w:shd w:val="clear" w:color="auto" w:fill="F2F2F2" w:themeFill="background1" w:themeFillShade="F2"/>
            <w:vAlign w:val="center"/>
          </w:tcPr>
          <w:p w14:paraId="03716EDC" w14:textId="77777777" w:rsidR="00D7038C" w:rsidRPr="00E6167F" w:rsidRDefault="00D7038C" w:rsidP="00363D34">
            <w:pPr>
              <w:jc w:val="both"/>
              <w:rPr>
                <w:rFonts w:cstheme="minorHAnsi"/>
                <w:b/>
              </w:rPr>
            </w:pPr>
            <w:r w:rsidRPr="00E6167F">
              <w:rPr>
                <w:rFonts w:cstheme="minorHAnsi"/>
                <w:b/>
              </w:rPr>
              <w:t>Program</w:t>
            </w:r>
          </w:p>
        </w:tc>
        <w:tc>
          <w:tcPr>
            <w:tcW w:w="744" w:type="pct"/>
            <w:tcBorders>
              <w:top w:val="single" w:sz="4" w:space="0" w:color="auto"/>
              <w:bottom w:val="single" w:sz="4" w:space="0" w:color="auto"/>
            </w:tcBorders>
            <w:shd w:val="clear" w:color="auto" w:fill="F2F2F2" w:themeFill="background1" w:themeFillShade="F2"/>
            <w:vAlign w:val="center"/>
          </w:tcPr>
          <w:p w14:paraId="31B6ACA3" w14:textId="00496F69" w:rsidR="00D7038C" w:rsidRPr="00E6167F" w:rsidRDefault="00280197" w:rsidP="00363D34">
            <w:pPr>
              <w:jc w:val="both"/>
              <w:rPr>
                <w:rFonts w:cstheme="minorHAnsi"/>
                <w:b/>
              </w:rPr>
            </w:pPr>
            <w:r>
              <w:rPr>
                <w:rFonts w:cstheme="minorHAnsi"/>
                <w:b/>
              </w:rPr>
              <w:t>Care provider</w:t>
            </w:r>
          </w:p>
        </w:tc>
        <w:tc>
          <w:tcPr>
            <w:tcW w:w="1635" w:type="pct"/>
            <w:tcBorders>
              <w:top w:val="single" w:sz="4" w:space="0" w:color="auto"/>
              <w:bottom w:val="single" w:sz="4" w:space="0" w:color="auto"/>
            </w:tcBorders>
            <w:shd w:val="clear" w:color="auto" w:fill="F2F2F2" w:themeFill="background1" w:themeFillShade="F2"/>
            <w:vAlign w:val="center"/>
          </w:tcPr>
          <w:p w14:paraId="4809C454" w14:textId="77777777" w:rsidR="00D7038C" w:rsidRPr="00E6167F" w:rsidRDefault="00D7038C" w:rsidP="00363D34">
            <w:pPr>
              <w:jc w:val="both"/>
              <w:rPr>
                <w:rFonts w:cstheme="minorHAnsi"/>
                <w:b/>
              </w:rPr>
            </w:pPr>
            <w:r w:rsidRPr="00E6167F">
              <w:rPr>
                <w:rFonts w:cstheme="minorHAnsi"/>
                <w:b/>
              </w:rPr>
              <w:t>Procedures</w:t>
            </w:r>
          </w:p>
        </w:tc>
        <w:tc>
          <w:tcPr>
            <w:tcW w:w="595" w:type="pct"/>
            <w:tcBorders>
              <w:top w:val="single" w:sz="4" w:space="0" w:color="auto"/>
              <w:bottom w:val="single" w:sz="4" w:space="0" w:color="auto"/>
            </w:tcBorders>
            <w:shd w:val="clear" w:color="auto" w:fill="F2F2F2" w:themeFill="background1" w:themeFillShade="F2"/>
            <w:vAlign w:val="center"/>
          </w:tcPr>
          <w:p w14:paraId="39BD9F8F" w14:textId="77777777" w:rsidR="00D7038C" w:rsidRPr="00E6167F" w:rsidRDefault="00D7038C" w:rsidP="00363D34">
            <w:pPr>
              <w:jc w:val="both"/>
              <w:rPr>
                <w:rFonts w:cstheme="minorHAnsi"/>
                <w:b/>
              </w:rPr>
            </w:pPr>
            <w:r w:rsidRPr="00E6167F">
              <w:rPr>
                <w:rFonts w:cstheme="minorHAnsi"/>
                <w:b/>
              </w:rPr>
              <w:t>Laboratory tests</w:t>
            </w:r>
          </w:p>
        </w:tc>
        <w:tc>
          <w:tcPr>
            <w:tcW w:w="595" w:type="pct"/>
            <w:tcBorders>
              <w:top w:val="single" w:sz="4" w:space="0" w:color="auto"/>
              <w:bottom w:val="single" w:sz="4" w:space="0" w:color="auto"/>
            </w:tcBorders>
            <w:shd w:val="clear" w:color="auto" w:fill="F2F2F2" w:themeFill="background1" w:themeFillShade="F2"/>
            <w:vAlign w:val="center"/>
          </w:tcPr>
          <w:p w14:paraId="3A9F1102" w14:textId="77777777" w:rsidR="00D7038C" w:rsidRPr="00E6167F" w:rsidRDefault="00D7038C" w:rsidP="00363D34">
            <w:pPr>
              <w:jc w:val="both"/>
              <w:rPr>
                <w:rFonts w:cstheme="minorHAnsi"/>
                <w:b/>
              </w:rPr>
            </w:pPr>
            <w:r w:rsidRPr="00E6167F">
              <w:rPr>
                <w:rFonts w:cstheme="minorHAnsi"/>
                <w:b/>
              </w:rPr>
              <w:t>Prescribed drugs</w:t>
            </w:r>
          </w:p>
        </w:tc>
        <w:tc>
          <w:tcPr>
            <w:tcW w:w="543" w:type="pct"/>
            <w:tcBorders>
              <w:top w:val="single" w:sz="4" w:space="0" w:color="auto"/>
              <w:bottom w:val="single" w:sz="4" w:space="0" w:color="auto"/>
            </w:tcBorders>
            <w:shd w:val="clear" w:color="auto" w:fill="F2F2F2" w:themeFill="background1" w:themeFillShade="F2"/>
            <w:vAlign w:val="center"/>
          </w:tcPr>
          <w:p w14:paraId="035C4E53" w14:textId="77777777" w:rsidR="00D7038C" w:rsidRPr="00E6167F" w:rsidRDefault="00D7038C" w:rsidP="00363D34">
            <w:pPr>
              <w:jc w:val="both"/>
              <w:rPr>
                <w:rFonts w:cstheme="minorHAnsi"/>
                <w:b/>
              </w:rPr>
            </w:pPr>
            <w:r w:rsidRPr="00E6167F">
              <w:rPr>
                <w:rFonts w:cstheme="minorHAnsi"/>
                <w:b/>
              </w:rPr>
              <w:t>Coverage</w:t>
            </w:r>
          </w:p>
        </w:tc>
      </w:tr>
      <w:tr w:rsidR="00D7038C" w:rsidRPr="007368E6" w14:paraId="4DE9373D" w14:textId="77777777" w:rsidTr="007368E6">
        <w:trPr>
          <w:jc w:val="center"/>
        </w:trPr>
        <w:tc>
          <w:tcPr>
            <w:tcW w:w="5000" w:type="pct"/>
            <w:gridSpan w:val="6"/>
            <w:tcBorders>
              <w:top w:val="single" w:sz="4" w:space="0" w:color="auto"/>
            </w:tcBorders>
            <w:shd w:val="clear" w:color="auto" w:fill="FFFFFF" w:themeFill="background1"/>
          </w:tcPr>
          <w:p w14:paraId="29F24260" w14:textId="77777777" w:rsidR="00D7038C" w:rsidRPr="007368E6" w:rsidRDefault="00D7038C" w:rsidP="00363D34">
            <w:pPr>
              <w:jc w:val="both"/>
              <w:rPr>
                <w:rFonts w:cstheme="minorHAnsi"/>
                <w:b/>
              </w:rPr>
            </w:pPr>
            <w:r w:rsidRPr="007368E6">
              <w:rPr>
                <w:rFonts w:cstheme="minorHAnsi"/>
                <w:b/>
              </w:rPr>
              <w:t>1. Emergency Medical Services</w:t>
            </w:r>
          </w:p>
        </w:tc>
      </w:tr>
      <w:tr w:rsidR="00D7038C" w:rsidRPr="00E6167F" w14:paraId="104F9FAF" w14:textId="77777777" w:rsidTr="007368E6">
        <w:trPr>
          <w:jc w:val="center"/>
        </w:trPr>
        <w:tc>
          <w:tcPr>
            <w:tcW w:w="889" w:type="pct"/>
            <w:shd w:val="clear" w:color="auto" w:fill="FFFFFF" w:themeFill="background1"/>
          </w:tcPr>
          <w:p w14:paraId="06F8FB40" w14:textId="77777777" w:rsidR="00D7038C" w:rsidRPr="00E6167F" w:rsidRDefault="00D7038C" w:rsidP="00363D34">
            <w:pPr>
              <w:jc w:val="both"/>
              <w:rPr>
                <w:rFonts w:cstheme="minorHAnsi"/>
              </w:rPr>
            </w:pPr>
            <w:r w:rsidRPr="00E6167F">
              <w:rPr>
                <w:rFonts w:cstheme="minorHAnsi"/>
              </w:rPr>
              <w:t>1.1. Procedures on femur</w:t>
            </w:r>
          </w:p>
        </w:tc>
        <w:tc>
          <w:tcPr>
            <w:tcW w:w="744" w:type="pct"/>
            <w:shd w:val="clear" w:color="auto" w:fill="FFFFFF" w:themeFill="background1"/>
          </w:tcPr>
          <w:p w14:paraId="18CB82CB" w14:textId="77777777" w:rsidR="00D7038C" w:rsidRPr="00E6167F" w:rsidRDefault="00D7038C" w:rsidP="00363D34">
            <w:pPr>
              <w:jc w:val="both"/>
              <w:rPr>
                <w:rFonts w:cstheme="minorHAnsi"/>
              </w:rPr>
            </w:pPr>
            <w:r w:rsidRPr="00E6167F">
              <w:rPr>
                <w:rFonts w:cstheme="minorHAnsi"/>
              </w:rPr>
              <w:t>Outpatient EMS</w:t>
            </w:r>
          </w:p>
          <w:p w14:paraId="52657698" w14:textId="77777777" w:rsidR="00D7038C" w:rsidRPr="00E6167F" w:rsidRDefault="00D7038C" w:rsidP="00363D34">
            <w:pPr>
              <w:jc w:val="both"/>
              <w:rPr>
                <w:rFonts w:cstheme="minorHAnsi"/>
              </w:rPr>
            </w:pPr>
            <w:r w:rsidRPr="00E6167F">
              <w:rPr>
                <w:rFonts w:cstheme="minorHAnsi"/>
              </w:rPr>
              <w:t>Inpatient EMS</w:t>
            </w:r>
          </w:p>
        </w:tc>
        <w:tc>
          <w:tcPr>
            <w:tcW w:w="1635" w:type="pct"/>
            <w:shd w:val="clear" w:color="auto" w:fill="FFFFFF" w:themeFill="background1"/>
          </w:tcPr>
          <w:p w14:paraId="19837EB0" w14:textId="77777777" w:rsidR="00D7038C" w:rsidRPr="00E6167F" w:rsidRDefault="00D7038C" w:rsidP="00363D34">
            <w:pPr>
              <w:jc w:val="both"/>
              <w:rPr>
                <w:rFonts w:cstheme="minorHAnsi"/>
              </w:rPr>
            </w:pPr>
            <w:r w:rsidRPr="00E6167F">
              <w:rPr>
                <w:rFonts w:cstheme="minorHAnsi"/>
              </w:rPr>
              <w:t>Application of external fixator device</w:t>
            </w:r>
          </w:p>
          <w:p w14:paraId="649FD4C4" w14:textId="77777777" w:rsidR="00D7038C" w:rsidRPr="00E6167F" w:rsidRDefault="00D7038C" w:rsidP="00363D34">
            <w:pPr>
              <w:jc w:val="both"/>
              <w:rPr>
                <w:rFonts w:cstheme="minorHAnsi"/>
              </w:rPr>
            </w:pPr>
            <w:r w:rsidRPr="00E6167F">
              <w:rPr>
                <w:rFonts w:cstheme="minorHAnsi"/>
              </w:rPr>
              <w:t>Closed reduction of separated epiphysis</w:t>
            </w:r>
          </w:p>
          <w:p w14:paraId="62B25132" w14:textId="77777777" w:rsidR="00D7038C" w:rsidRPr="00E6167F" w:rsidRDefault="00D7038C" w:rsidP="00363D34">
            <w:pPr>
              <w:jc w:val="both"/>
              <w:rPr>
                <w:rFonts w:cstheme="minorHAnsi"/>
              </w:rPr>
            </w:pPr>
            <w:r w:rsidRPr="00E6167F">
              <w:rPr>
                <w:rFonts w:cstheme="minorHAnsi"/>
              </w:rPr>
              <w:t>Debridement of open fracture site</w:t>
            </w:r>
          </w:p>
        </w:tc>
        <w:tc>
          <w:tcPr>
            <w:tcW w:w="595" w:type="pct"/>
            <w:shd w:val="clear" w:color="auto" w:fill="FFFFFF" w:themeFill="background1"/>
          </w:tcPr>
          <w:p w14:paraId="6DE1DDE0" w14:textId="77777777" w:rsidR="00D7038C" w:rsidRPr="00E6167F" w:rsidRDefault="00D7038C" w:rsidP="00363D34">
            <w:pPr>
              <w:jc w:val="both"/>
              <w:rPr>
                <w:rFonts w:cstheme="minorHAnsi"/>
              </w:rPr>
            </w:pPr>
            <w:r w:rsidRPr="00E6167F">
              <w:rPr>
                <w:rFonts w:cstheme="minorHAnsi"/>
              </w:rPr>
              <w:t>-</w:t>
            </w:r>
          </w:p>
        </w:tc>
        <w:tc>
          <w:tcPr>
            <w:tcW w:w="595" w:type="pct"/>
            <w:shd w:val="clear" w:color="auto" w:fill="FFFFFF" w:themeFill="background1"/>
          </w:tcPr>
          <w:p w14:paraId="0D09DE1A" w14:textId="77777777" w:rsidR="00D7038C" w:rsidRPr="00E6167F" w:rsidRDefault="00D7038C" w:rsidP="00363D34">
            <w:pPr>
              <w:jc w:val="both"/>
              <w:rPr>
                <w:rFonts w:cstheme="minorHAnsi"/>
              </w:rPr>
            </w:pPr>
            <w:r w:rsidRPr="00E6167F">
              <w:rPr>
                <w:rFonts w:cstheme="minorHAnsi"/>
              </w:rPr>
              <w:t>-</w:t>
            </w:r>
          </w:p>
        </w:tc>
        <w:tc>
          <w:tcPr>
            <w:tcW w:w="543" w:type="pct"/>
            <w:shd w:val="clear" w:color="auto" w:fill="FFFFFF" w:themeFill="background1"/>
          </w:tcPr>
          <w:p w14:paraId="4E9A4B82" w14:textId="77777777" w:rsidR="00D7038C" w:rsidRPr="00E6167F" w:rsidRDefault="00D7038C" w:rsidP="00363D34">
            <w:pPr>
              <w:jc w:val="both"/>
              <w:rPr>
                <w:rFonts w:cstheme="minorHAnsi"/>
              </w:rPr>
            </w:pPr>
            <w:r w:rsidRPr="00E6167F">
              <w:rPr>
                <w:rFonts w:cstheme="minorHAnsi"/>
              </w:rPr>
              <w:t>All citizens</w:t>
            </w:r>
          </w:p>
        </w:tc>
      </w:tr>
      <w:tr w:rsidR="00D7038C" w:rsidRPr="00E6167F" w14:paraId="76729515" w14:textId="77777777" w:rsidTr="007368E6">
        <w:trPr>
          <w:jc w:val="center"/>
        </w:trPr>
        <w:tc>
          <w:tcPr>
            <w:tcW w:w="889" w:type="pct"/>
            <w:shd w:val="clear" w:color="auto" w:fill="FFFFFF" w:themeFill="background1"/>
          </w:tcPr>
          <w:p w14:paraId="59ADADCD" w14:textId="77777777" w:rsidR="00D7038C" w:rsidRPr="00E6167F" w:rsidRDefault="00D7038C" w:rsidP="00363D34">
            <w:pPr>
              <w:jc w:val="both"/>
              <w:rPr>
                <w:rFonts w:cstheme="minorHAnsi"/>
              </w:rPr>
            </w:pPr>
            <w:r w:rsidRPr="00E6167F">
              <w:rPr>
                <w:rFonts w:cstheme="minorHAnsi"/>
              </w:rPr>
              <w:t>Etc.</w:t>
            </w:r>
          </w:p>
        </w:tc>
        <w:tc>
          <w:tcPr>
            <w:tcW w:w="744" w:type="pct"/>
            <w:shd w:val="clear" w:color="auto" w:fill="FFFFFF" w:themeFill="background1"/>
          </w:tcPr>
          <w:p w14:paraId="76F17845" w14:textId="77777777" w:rsidR="00D7038C" w:rsidRPr="00E6167F" w:rsidRDefault="00D7038C" w:rsidP="00363D34">
            <w:pPr>
              <w:jc w:val="both"/>
              <w:rPr>
                <w:rFonts w:cstheme="minorHAnsi"/>
              </w:rPr>
            </w:pPr>
          </w:p>
        </w:tc>
        <w:tc>
          <w:tcPr>
            <w:tcW w:w="1635" w:type="pct"/>
            <w:shd w:val="clear" w:color="auto" w:fill="FFFFFF" w:themeFill="background1"/>
          </w:tcPr>
          <w:p w14:paraId="289FF75D" w14:textId="77777777" w:rsidR="00D7038C" w:rsidRPr="00E6167F" w:rsidRDefault="00D7038C" w:rsidP="00363D34">
            <w:pPr>
              <w:jc w:val="both"/>
              <w:rPr>
                <w:rFonts w:cstheme="minorHAnsi"/>
              </w:rPr>
            </w:pPr>
          </w:p>
        </w:tc>
        <w:tc>
          <w:tcPr>
            <w:tcW w:w="595" w:type="pct"/>
            <w:shd w:val="clear" w:color="auto" w:fill="FFFFFF" w:themeFill="background1"/>
          </w:tcPr>
          <w:p w14:paraId="1BE16DD9" w14:textId="77777777" w:rsidR="00D7038C" w:rsidRPr="00E6167F" w:rsidRDefault="00D7038C" w:rsidP="00363D34">
            <w:pPr>
              <w:jc w:val="both"/>
              <w:rPr>
                <w:rFonts w:cstheme="minorHAnsi"/>
              </w:rPr>
            </w:pPr>
          </w:p>
        </w:tc>
        <w:tc>
          <w:tcPr>
            <w:tcW w:w="595" w:type="pct"/>
            <w:shd w:val="clear" w:color="auto" w:fill="FFFFFF" w:themeFill="background1"/>
          </w:tcPr>
          <w:p w14:paraId="323FE71D" w14:textId="77777777" w:rsidR="00D7038C" w:rsidRPr="00E6167F" w:rsidRDefault="00D7038C" w:rsidP="00363D34">
            <w:pPr>
              <w:jc w:val="both"/>
              <w:rPr>
                <w:rFonts w:cstheme="minorHAnsi"/>
              </w:rPr>
            </w:pPr>
          </w:p>
        </w:tc>
        <w:tc>
          <w:tcPr>
            <w:tcW w:w="543" w:type="pct"/>
            <w:shd w:val="clear" w:color="auto" w:fill="FFFFFF" w:themeFill="background1"/>
          </w:tcPr>
          <w:p w14:paraId="58920FBC" w14:textId="77777777" w:rsidR="00D7038C" w:rsidRPr="00E6167F" w:rsidRDefault="00D7038C" w:rsidP="00363D34">
            <w:pPr>
              <w:jc w:val="both"/>
              <w:rPr>
                <w:rFonts w:cstheme="minorHAnsi"/>
              </w:rPr>
            </w:pPr>
          </w:p>
        </w:tc>
      </w:tr>
    </w:tbl>
    <w:p w14:paraId="7C8628E3" w14:textId="41DB9609" w:rsidR="00D22710" w:rsidRPr="00433D80" w:rsidRDefault="00D7038C" w:rsidP="00D92F7A">
      <w:pPr>
        <w:pStyle w:val="ListParagraph"/>
        <w:numPr>
          <w:ilvl w:val="0"/>
          <w:numId w:val="25"/>
        </w:numPr>
        <w:spacing w:before="240" w:after="120" w:line="240" w:lineRule="auto"/>
        <w:jc w:val="both"/>
        <w:rPr>
          <w:rFonts w:cstheme="minorHAnsi"/>
          <w:b/>
        </w:rPr>
      </w:pPr>
      <w:r w:rsidRPr="00433D80">
        <w:rPr>
          <w:rFonts w:cstheme="minorHAnsi"/>
          <w:b/>
        </w:rPr>
        <w:t>Outpatient drug</w:t>
      </w:r>
      <w:r w:rsidR="00D22710" w:rsidRPr="00433D80">
        <w:rPr>
          <w:rFonts w:cstheme="minorHAnsi"/>
          <w:b/>
        </w:rPr>
        <w:t>s</w:t>
      </w:r>
      <w:r w:rsidRPr="00433D80">
        <w:rPr>
          <w:rFonts w:cstheme="minorHAnsi"/>
          <w:b/>
        </w:rPr>
        <w:t xml:space="preserve"> </w:t>
      </w:r>
    </w:p>
    <w:p w14:paraId="15D9C9A6" w14:textId="117241A4" w:rsidR="00D7038C" w:rsidRPr="00E6167F" w:rsidRDefault="00742FA1" w:rsidP="00363D34">
      <w:pPr>
        <w:spacing w:after="0" w:line="240" w:lineRule="auto"/>
        <w:jc w:val="both"/>
        <w:rPr>
          <w:rFonts w:cstheme="minorHAnsi"/>
        </w:rPr>
      </w:pPr>
      <w:r w:rsidRPr="00E6167F">
        <w:rPr>
          <w:rFonts w:cstheme="minorHAnsi"/>
        </w:rPr>
        <w:t xml:space="preserve">Outpatient drug </w:t>
      </w:r>
      <w:r w:rsidR="00D7038C" w:rsidRPr="00E6167F">
        <w:rPr>
          <w:rFonts w:cstheme="minorHAnsi"/>
        </w:rPr>
        <w:t xml:space="preserve">benefit includes free of charge drugs list and subsidized drugs list. </w:t>
      </w:r>
      <w:r w:rsidR="00712F9F">
        <w:rPr>
          <w:rFonts w:cstheme="minorHAnsi"/>
        </w:rPr>
        <w:t>I</w:t>
      </w:r>
      <w:r w:rsidR="00D7038C" w:rsidRPr="00E6167F">
        <w:rPr>
          <w:rFonts w:cstheme="minorHAnsi"/>
        </w:rPr>
        <w:t>t includes concentrates of factors VIII/ IX for children under 16 with hemophilia.</w:t>
      </w:r>
      <w:r w:rsidR="00712F9F">
        <w:rPr>
          <w:rFonts w:cstheme="minorHAnsi"/>
        </w:rPr>
        <w:t xml:space="preserve"> </w:t>
      </w:r>
    </w:p>
    <w:p w14:paraId="5F19ACC9" w14:textId="3BA96CB0" w:rsidR="00D7038C" w:rsidRPr="00132B20" w:rsidRDefault="002314B8" w:rsidP="00CA6CF9">
      <w:pPr>
        <w:spacing w:before="240" w:after="120" w:line="240" w:lineRule="auto"/>
        <w:jc w:val="center"/>
        <w:rPr>
          <w:rFonts w:cstheme="minorHAnsi"/>
          <w:b/>
        </w:rPr>
      </w:pPr>
      <w:r w:rsidRPr="00132B20">
        <w:rPr>
          <w:rFonts w:cstheme="minorHAnsi"/>
          <w:b/>
        </w:rPr>
        <w:t>Table 1</w:t>
      </w:r>
      <w:r w:rsidR="00E86BBF">
        <w:rPr>
          <w:rFonts w:cstheme="minorHAnsi"/>
          <w:b/>
        </w:rPr>
        <w:t>6</w:t>
      </w:r>
      <w:r w:rsidR="00302C51" w:rsidRPr="00132B20">
        <w:rPr>
          <w:rFonts w:cstheme="minorHAnsi"/>
          <w:b/>
        </w:rPr>
        <w:t xml:space="preserve">. </w:t>
      </w:r>
      <w:r w:rsidR="00151B2E" w:rsidRPr="00132B20">
        <w:rPr>
          <w:rFonts w:cstheme="minorHAnsi"/>
          <w:b/>
        </w:rPr>
        <w:t xml:space="preserve">Current </w:t>
      </w:r>
      <w:r w:rsidR="004318A3" w:rsidRPr="00132B20">
        <w:rPr>
          <w:rFonts w:cstheme="minorHAnsi"/>
          <w:b/>
        </w:rPr>
        <w:t>coverage of concentrates of factors V</w:t>
      </w:r>
      <w:r w:rsidR="00016548" w:rsidRPr="00132B20">
        <w:rPr>
          <w:rFonts w:cstheme="minorHAnsi"/>
          <w:b/>
        </w:rPr>
        <w:t>III/IX for children with hemophilia</w:t>
      </w:r>
    </w:p>
    <w:tbl>
      <w:tblPr>
        <w:tblW w:w="0" w:type="auto"/>
        <w:jc w:val="center"/>
        <w:tblBorders>
          <w:top w:val="single" w:sz="4" w:space="0" w:color="auto"/>
          <w:bottom w:val="single" w:sz="4" w:space="0" w:color="auto"/>
        </w:tblBorders>
        <w:shd w:val="clear" w:color="auto" w:fill="EAF3FB"/>
        <w:tblCellMar>
          <w:top w:w="15" w:type="dxa"/>
          <w:left w:w="15" w:type="dxa"/>
          <w:bottom w:w="15" w:type="dxa"/>
          <w:right w:w="15" w:type="dxa"/>
        </w:tblCellMar>
        <w:tblLook w:val="04A0" w:firstRow="1" w:lastRow="0" w:firstColumn="1" w:lastColumn="0" w:noHBand="0" w:noVBand="1"/>
      </w:tblPr>
      <w:tblGrid>
        <w:gridCol w:w="2340"/>
        <w:gridCol w:w="3060"/>
        <w:gridCol w:w="1082"/>
        <w:gridCol w:w="1258"/>
      </w:tblGrid>
      <w:tr w:rsidR="004E7F01" w:rsidRPr="004E7F01" w14:paraId="37732180" w14:textId="77777777" w:rsidTr="00CA6CF9">
        <w:trPr>
          <w:jc w:val="center"/>
        </w:trPr>
        <w:tc>
          <w:tcPr>
            <w:tcW w:w="2340" w:type="dxa"/>
            <w:tcBorders>
              <w:top w:val="single" w:sz="4" w:space="0" w:color="auto"/>
              <w:bottom w:val="single" w:sz="4" w:space="0" w:color="auto"/>
            </w:tcBorders>
            <w:shd w:val="clear" w:color="auto" w:fill="F2F2F2" w:themeFill="background1" w:themeFillShade="F2"/>
            <w:vAlign w:val="center"/>
            <w:hideMark/>
          </w:tcPr>
          <w:p w14:paraId="77067FCC" w14:textId="77777777" w:rsidR="00D7038C" w:rsidRPr="004E7F01" w:rsidRDefault="00D7038C" w:rsidP="006E5F12">
            <w:pPr>
              <w:spacing w:before="15" w:after="15" w:line="240" w:lineRule="auto"/>
              <w:ind w:left="144" w:right="144"/>
              <w:jc w:val="both"/>
              <w:rPr>
                <w:rFonts w:eastAsia="Times New Roman" w:cstheme="minorHAnsi"/>
                <w:lang w:eastAsia="ru-RU"/>
              </w:rPr>
            </w:pPr>
            <w:r w:rsidRPr="004E7F01">
              <w:rPr>
                <w:rFonts w:eastAsia="Times New Roman" w:cstheme="minorHAnsi"/>
                <w:b/>
                <w:bCs/>
                <w:lang w:eastAsia="ru-RU"/>
              </w:rPr>
              <w:t>Disease</w:t>
            </w:r>
          </w:p>
        </w:tc>
        <w:tc>
          <w:tcPr>
            <w:tcW w:w="3060" w:type="dxa"/>
            <w:tcBorders>
              <w:top w:val="single" w:sz="4" w:space="0" w:color="auto"/>
              <w:bottom w:val="single" w:sz="4" w:space="0" w:color="auto"/>
            </w:tcBorders>
            <w:shd w:val="clear" w:color="auto" w:fill="F2F2F2" w:themeFill="background1" w:themeFillShade="F2"/>
            <w:vAlign w:val="center"/>
            <w:hideMark/>
          </w:tcPr>
          <w:p w14:paraId="4F619AB6" w14:textId="77777777" w:rsidR="00D7038C" w:rsidRPr="004E7F01" w:rsidRDefault="00D7038C" w:rsidP="006E5F12">
            <w:pPr>
              <w:spacing w:before="15" w:after="15" w:line="240" w:lineRule="auto"/>
              <w:ind w:left="144" w:right="144"/>
              <w:jc w:val="both"/>
              <w:rPr>
                <w:rFonts w:eastAsia="Times New Roman" w:cstheme="minorHAnsi"/>
                <w:lang w:eastAsia="ru-RU"/>
              </w:rPr>
            </w:pPr>
            <w:r w:rsidRPr="004E7F01">
              <w:rPr>
                <w:rFonts w:eastAsia="Times New Roman" w:cstheme="minorHAnsi"/>
                <w:b/>
                <w:bCs/>
                <w:lang w:eastAsia="ru-RU"/>
              </w:rPr>
              <w:t>Drug or medical device</w:t>
            </w:r>
          </w:p>
        </w:tc>
        <w:tc>
          <w:tcPr>
            <w:tcW w:w="2340" w:type="dxa"/>
            <w:gridSpan w:val="2"/>
            <w:tcBorders>
              <w:top w:val="single" w:sz="4" w:space="0" w:color="auto"/>
              <w:bottom w:val="single" w:sz="4" w:space="0" w:color="auto"/>
            </w:tcBorders>
            <w:shd w:val="clear" w:color="auto" w:fill="F2F2F2" w:themeFill="background1" w:themeFillShade="F2"/>
            <w:vAlign w:val="center"/>
            <w:hideMark/>
          </w:tcPr>
          <w:p w14:paraId="6E791DA4" w14:textId="77777777" w:rsidR="00D7038C" w:rsidRPr="004E7F01" w:rsidRDefault="00D7038C" w:rsidP="006E5F12">
            <w:pPr>
              <w:spacing w:before="15" w:after="15" w:line="240" w:lineRule="auto"/>
              <w:ind w:left="144" w:right="144"/>
              <w:jc w:val="both"/>
              <w:rPr>
                <w:rFonts w:eastAsia="Times New Roman" w:cstheme="minorHAnsi"/>
                <w:lang w:eastAsia="ru-RU"/>
              </w:rPr>
            </w:pPr>
            <w:r w:rsidRPr="004E7F01">
              <w:rPr>
                <w:rFonts w:eastAsia="Times New Roman" w:cstheme="minorHAnsi"/>
                <w:b/>
                <w:bCs/>
                <w:lang w:eastAsia="ru-RU"/>
              </w:rPr>
              <w:t>Rate of distribution per patient per year</w:t>
            </w:r>
          </w:p>
        </w:tc>
      </w:tr>
      <w:tr w:rsidR="004E7F01" w:rsidRPr="004E7F01" w14:paraId="1B10E6A2" w14:textId="77777777" w:rsidTr="00CA6CF9">
        <w:trPr>
          <w:jc w:val="center"/>
        </w:trPr>
        <w:tc>
          <w:tcPr>
            <w:tcW w:w="2340" w:type="dxa"/>
            <w:tcBorders>
              <w:top w:val="single" w:sz="4" w:space="0" w:color="auto"/>
            </w:tcBorders>
            <w:shd w:val="clear" w:color="auto" w:fill="auto"/>
            <w:vAlign w:val="center"/>
            <w:hideMark/>
          </w:tcPr>
          <w:p w14:paraId="7C84D728" w14:textId="77777777" w:rsidR="00D7038C" w:rsidRDefault="00D7038C" w:rsidP="006E5F12">
            <w:pPr>
              <w:spacing w:before="15" w:after="15" w:line="240" w:lineRule="auto"/>
              <w:ind w:left="144" w:right="144"/>
              <w:jc w:val="both"/>
              <w:rPr>
                <w:rFonts w:cstheme="minorHAnsi"/>
              </w:rPr>
            </w:pPr>
            <w:r w:rsidRPr="004E7F01">
              <w:rPr>
                <w:rFonts w:cstheme="minorHAnsi"/>
              </w:rPr>
              <w:t>Children under 16 with hemophilia</w:t>
            </w:r>
          </w:p>
          <w:p w14:paraId="56D90E54" w14:textId="172188AB" w:rsidR="0081583E" w:rsidRPr="004E7F01" w:rsidRDefault="0081583E" w:rsidP="006E5F12">
            <w:pPr>
              <w:spacing w:before="15" w:after="15" w:line="240" w:lineRule="auto"/>
              <w:ind w:left="144" w:right="144"/>
              <w:jc w:val="both"/>
              <w:rPr>
                <w:rFonts w:eastAsia="Times New Roman" w:cstheme="minorHAnsi"/>
                <w:lang w:eastAsia="ru-RU"/>
              </w:rPr>
            </w:pPr>
          </w:p>
        </w:tc>
        <w:tc>
          <w:tcPr>
            <w:tcW w:w="4142" w:type="dxa"/>
            <w:gridSpan w:val="2"/>
            <w:tcBorders>
              <w:top w:val="single" w:sz="4" w:space="0" w:color="auto"/>
            </w:tcBorders>
            <w:shd w:val="clear" w:color="auto" w:fill="auto"/>
            <w:vAlign w:val="center"/>
            <w:hideMark/>
          </w:tcPr>
          <w:p w14:paraId="050475A2" w14:textId="77777777" w:rsidR="0081583E" w:rsidRDefault="00D7038C" w:rsidP="006E5F12">
            <w:pPr>
              <w:spacing w:before="15" w:after="15" w:line="240" w:lineRule="auto"/>
              <w:ind w:left="144" w:right="144"/>
              <w:jc w:val="both"/>
              <w:rPr>
                <w:rFonts w:cstheme="minorHAnsi"/>
              </w:rPr>
            </w:pPr>
            <w:r w:rsidRPr="004E7F01">
              <w:rPr>
                <w:rFonts w:cstheme="minorHAnsi"/>
              </w:rPr>
              <w:t>Concentrates of factors VIII/ IX</w:t>
            </w:r>
          </w:p>
          <w:p w14:paraId="60079CC2" w14:textId="0204963E" w:rsidR="00D7038C" w:rsidRPr="004E7F01" w:rsidRDefault="00D7038C" w:rsidP="006E5F12">
            <w:pPr>
              <w:spacing w:before="15" w:after="15" w:line="240" w:lineRule="auto"/>
              <w:ind w:left="144" w:right="144"/>
              <w:jc w:val="both"/>
              <w:rPr>
                <w:rFonts w:eastAsia="Times New Roman" w:cstheme="minorHAnsi"/>
                <w:lang w:eastAsia="ru-RU"/>
              </w:rPr>
            </w:pPr>
            <w:r w:rsidRPr="004E7F01">
              <w:rPr>
                <w:rFonts w:cstheme="minorHAnsi"/>
              </w:rPr>
              <w:t xml:space="preserve"> </w:t>
            </w:r>
          </w:p>
        </w:tc>
        <w:tc>
          <w:tcPr>
            <w:tcW w:w="1258" w:type="dxa"/>
            <w:tcBorders>
              <w:top w:val="single" w:sz="4" w:space="0" w:color="auto"/>
            </w:tcBorders>
            <w:shd w:val="clear" w:color="auto" w:fill="auto"/>
            <w:vAlign w:val="center"/>
            <w:hideMark/>
          </w:tcPr>
          <w:p w14:paraId="4D7D5E61" w14:textId="77777777" w:rsidR="00D7038C" w:rsidRDefault="00D7038C" w:rsidP="006E5F12">
            <w:pPr>
              <w:spacing w:before="15" w:after="15" w:line="240" w:lineRule="auto"/>
              <w:ind w:left="144" w:right="144"/>
              <w:jc w:val="both"/>
              <w:rPr>
                <w:rFonts w:eastAsia="Times New Roman" w:cstheme="minorHAnsi"/>
                <w:lang w:eastAsia="ru-RU"/>
              </w:rPr>
            </w:pPr>
            <w:r w:rsidRPr="004E7F01">
              <w:rPr>
                <w:rFonts w:eastAsia="Times New Roman" w:cstheme="minorHAnsi"/>
                <w:lang w:eastAsia="ru-RU"/>
              </w:rPr>
              <w:t>6500 I.U.</w:t>
            </w:r>
          </w:p>
          <w:p w14:paraId="1F159C10" w14:textId="4EC743B5" w:rsidR="004E7F01" w:rsidRPr="004E7F01" w:rsidRDefault="004E7F01" w:rsidP="006E5F12">
            <w:pPr>
              <w:spacing w:before="15" w:after="15" w:line="240" w:lineRule="auto"/>
              <w:ind w:left="144" w:right="144"/>
              <w:jc w:val="both"/>
              <w:rPr>
                <w:rFonts w:eastAsia="Times New Roman" w:cstheme="minorHAnsi"/>
                <w:lang w:eastAsia="ru-RU"/>
              </w:rPr>
            </w:pPr>
          </w:p>
        </w:tc>
      </w:tr>
    </w:tbl>
    <w:p w14:paraId="726CA000" w14:textId="77777777" w:rsidR="00D7038C" w:rsidRPr="00E6167F" w:rsidRDefault="00D7038C" w:rsidP="00363D34">
      <w:pPr>
        <w:autoSpaceDE w:val="0"/>
        <w:autoSpaceDN w:val="0"/>
        <w:adjustRightInd w:val="0"/>
        <w:spacing w:after="0" w:line="240" w:lineRule="auto"/>
        <w:jc w:val="both"/>
        <w:rPr>
          <w:rFonts w:cstheme="minorHAnsi"/>
          <w:b/>
          <w:color w:val="000000"/>
        </w:rPr>
      </w:pPr>
    </w:p>
    <w:p w14:paraId="4C432752" w14:textId="78FE9512" w:rsidR="00D7038C" w:rsidRPr="00E6167F" w:rsidRDefault="00DC2B4B" w:rsidP="00363D34">
      <w:pPr>
        <w:autoSpaceDE w:val="0"/>
        <w:autoSpaceDN w:val="0"/>
        <w:adjustRightInd w:val="0"/>
        <w:spacing w:after="0" w:line="240" w:lineRule="auto"/>
        <w:jc w:val="both"/>
        <w:rPr>
          <w:rFonts w:cstheme="minorHAnsi"/>
          <w:color w:val="000000"/>
        </w:rPr>
      </w:pPr>
      <w:r>
        <w:rPr>
          <w:rFonts w:cstheme="minorHAnsi"/>
          <w:color w:val="000000"/>
        </w:rPr>
        <w:t xml:space="preserve">As </w:t>
      </w:r>
      <w:r w:rsidR="00044463">
        <w:rPr>
          <w:rFonts w:cstheme="minorHAnsi"/>
          <w:color w:val="000000"/>
        </w:rPr>
        <w:t xml:space="preserve">currently </w:t>
      </w:r>
      <w:r>
        <w:rPr>
          <w:rFonts w:cstheme="minorHAnsi"/>
          <w:color w:val="000000"/>
        </w:rPr>
        <w:t>regulated, the t</w:t>
      </w:r>
      <w:r w:rsidR="00D7038C" w:rsidRPr="00E6167F">
        <w:rPr>
          <w:rFonts w:cstheme="minorHAnsi"/>
          <w:color w:val="000000"/>
        </w:rPr>
        <w:t xml:space="preserve">otal quantity per year is </w:t>
      </w:r>
      <w:r w:rsidR="00D7038C" w:rsidRPr="00E6167F">
        <w:rPr>
          <w:rFonts w:eastAsia="Times New Roman" w:cstheme="minorHAnsi"/>
          <w:lang w:eastAsia="ru-RU"/>
        </w:rPr>
        <w:t xml:space="preserve">6500 I.U. for each child </w:t>
      </w:r>
      <w:r>
        <w:rPr>
          <w:rFonts w:eastAsia="Times New Roman" w:cstheme="minorHAnsi"/>
          <w:lang w:eastAsia="ru-RU"/>
        </w:rPr>
        <w:t xml:space="preserve">regardless </w:t>
      </w:r>
      <w:r w:rsidR="00D7038C" w:rsidRPr="00E6167F">
        <w:rPr>
          <w:rFonts w:eastAsia="Times New Roman" w:cstheme="minorHAnsi"/>
          <w:lang w:eastAsia="ru-RU"/>
        </w:rPr>
        <w:t xml:space="preserve">of </w:t>
      </w:r>
      <w:r w:rsidR="00D7038C" w:rsidRPr="00E6167F">
        <w:rPr>
          <w:rFonts w:cstheme="minorHAnsi"/>
        </w:rPr>
        <w:t xml:space="preserve">hemophilia severity. </w:t>
      </w:r>
      <w:r w:rsidR="00044463">
        <w:rPr>
          <w:rFonts w:cstheme="minorHAnsi"/>
        </w:rPr>
        <w:t>However, the n</w:t>
      </w:r>
      <w:r w:rsidR="00D7038C" w:rsidRPr="00E6167F">
        <w:rPr>
          <w:rFonts w:cstheme="minorHAnsi"/>
          <w:color w:val="000000"/>
        </w:rPr>
        <w:t xml:space="preserve">eed for concentrates of factors is different depending on </w:t>
      </w:r>
      <w:r w:rsidR="001D7B74">
        <w:rPr>
          <w:rFonts w:cstheme="minorHAnsi"/>
          <w:color w:val="000000"/>
        </w:rPr>
        <w:t xml:space="preserve">the level of </w:t>
      </w:r>
      <w:r w:rsidR="00D7038C" w:rsidRPr="00E6167F">
        <w:rPr>
          <w:rFonts w:cstheme="minorHAnsi"/>
          <w:color w:val="000000"/>
        </w:rPr>
        <w:t>severity</w:t>
      </w:r>
      <w:r w:rsidR="001D7B74">
        <w:rPr>
          <w:rFonts w:cstheme="minorHAnsi"/>
          <w:color w:val="000000"/>
        </w:rPr>
        <w:t xml:space="preserve">, which is based </w:t>
      </w:r>
      <w:r w:rsidR="00044463" w:rsidRPr="00E6167F">
        <w:rPr>
          <w:rFonts w:cstheme="minorHAnsi"/>
        </w:rPr>
        <w:t>on p</w:t>
      </w:r>
      <w:r w:rsidR="00044463" w:rsidRPr="00E6167F">
        <w:rPr>
          <w:rFonts w:cstheme="minorHAnsi"/>
          <w:color w:val="000000"/>
        </w:rPr>
        <w:t xml:space="preserve">ercentage of normal factor activity in blood. </w:t>
      </w:r>
      <w:r w:rsidR="003C3FFB">
        <w:rPr>
          <w:rFonts w:cstheme="minorHAnsi"/>
          <w:color w:val="000000"/>
        </w:rPr>
        <w:t xml:space="preserve">Therefore, </w:t>
      </w:r>
      <w:r w:rsidR="00D7038C" w:rsidRPr="00E6167F">
        <w:rPr>
          <w:rFonts w:cstheme="minorHAnsi"/>
          <w:color w:val="000000"/>
        </w:rPr>
        <w:t>outpatient drug benefit may be refined in order to differentiate concentrates of factors VIII/ IX availability based on severity of hemophilia</w:t>
      </w:r>
      <w:r w:rsidR="00F1259A">
        <w:rPr>
          <w:rFonts w:cstheme="minorHAnsi"/>
          <w:color w:val="000000"/>
        </w:rPr>
        <w:t xml:space="preserve"> (mild, moderate, severe)</w:t>
      </w:r>
      <w:r w:rsidR="00D7038C" w:rsidRPr="00E6167F">
        <w:rPr>
          <w:rFonts w:cstheme="minorHAnsi"/>
          <w:color w:val="000000"/>
        </w:rPr>
        <w:t xml:space="preserve">. Similar </w:t>
      </w:r>
      <w:r w:rsidR="003C3FFB">
        <w:rPr>
          <w:rFonts w:cstheme="minorHAnsi"/>
          <w:color w:val="000000"/>
        </w:rPr>
        <w:t xml:space="preserve">solution can be applied to </w:t>
      </w:r>
      <w:r w:rsidR="00D7038C" w:rsidRPr="00E6167F">
        <w:rPr>
          <w:rFonts w:cstheme="minorHAnsi"/>
          <w:color w:val="000000"/>
        </w:rPr>
        <w:t>other diseases (drugs) included in outpatient drug benefit</w:t>
      </w:r>
      <w:r w:rsidR="00547EC7">
        <w:rPr>
          <w:rFonts w:cstheme="minorHAnsi"/>
          <w:color w:val="000000"/>
        </w:rPr>
        <w:t>s</w:t>
      </w:r>
      <w:r w:rsidR="00D7038C" w:rsidRPr="00E6167F">
        <w:rPr>
          <w:rFonts w:cstheme="minorHAnsi"/>
          <w:color w:val="000000"/>
        </w:rPr>
        <w:t>.</w:t>
      </w:r>
    </w:p>
    <w:p w14:paraId="4748506D" w14:textId="77777777" w:rsidR="00D7038C" w:rsidRPr="00E6167F" w:rsidRDefault="00D7038C" w:rsidP="00363D34">
      <w:pPr>
        <w:autoSpaceDE w:val="0"/>
        <w:autoSpaceDN w:val="0"/>
        <w:adjustRightInd w:val="0"/>
        <w:spacing w:after="0" w:line="240" w:lineRule="auto"/>
        <w:jc w:val="both"/>
        <w:rPr>
          <w:rFonts w:cstheme="minorHAnsi"/>
          <w:color w:val="000000"/>
        </w:rPr>
      </w:pPr>
    </w:p>
    <w:p w14:paraId="556013A9" w14:textId="5C7274CA" w:rsidR="00D7038C" w:rsidRPr="00E6167F" w:rsidRDefault="00D7038C" w:rsidP="00363D34">
      <w:pPr>
        <w:pStyle w:val="CommentText"/>
        <w:jc w:val="both"/>
        <w:rPr>
          <w:rFonts w:cstheme="minorHAnsi"/>
          <w:sz w:val="22"/>
          <w:szCs w:val="22"/>
        </w:rPr>
      </w:pPr>
      <w:r w:rsidRPr="00E6167F">
        <w:rPr>
          <w:rFonts w:cstheme="minorHAnsi"/>
          <w:sz w:val="22"/>
          <w:szCs w:val="22"/>
        </w:rPr>
        <w:t xml:space="preserve">As it can be seen from </w:t>
      </w:r>
      <w:r w:rsidR="00547EC7">
        <w:rPr>
          <w:rFonts w:cstheme="minorHAnsi"/>
          <w:sz w:val="22"/>
          <w:szCs w:val="22"/>
        </w:rPr>
        <w:t xml:space="preserve">the above three </w:t>
      </w:r>
      <w:r w:rsidRPr="00E6167F">
        <w:rPr>
          <w:rFonts w:cstheme="minorHAnsi"/>
          <w:sz w:val="22"/>
          <w:szCs w:val="22"/>
        </w:rPr>
        <w:t>examples</w:t>
      </w:r>
      <w:r w:rsidR="00547EC7">
        <w:rPr>
          <w:rFonts w:cstheme="minorHAnsi"/>
          <w:sz w:val="22"/>
          <w:szCs w:val="22"/>
        </w:rPr>
        <w:t>,</w:t>
      </w:r>
      <w:r w:rsidRPr="00E6167F">
        <w:rPr>
          <w:rFonts w:cstheme="minorHAnsi"/>
          <w:sz w:val="22"/>
          <w:szCs w:val="22"/>
        </w:rPr>
        <w:t xml:space="preserve"> </w:t>
      </w:r>
      <w:r w:rsidR="00547EC7">
        <w:rPr>
          <w:rFonts w:cstheme="minorHAnsi"/>
          <w:sz w:val="22"/>
          <w:szCs w:val="22"/>
        </w:rPr>
        <w:t xml:space="preserve">the </w:t>
      </w:r>
      <w:r w:rsidRPr="00E6167F">
        <w:rPr>
          <w:rFonts w:cstheme="minorHAnsi"/>
          <w:sz w:val="22"/>
          <w:szCs w:val="22"/>
        </w:rPr>
        <w:t>propos</w:t>
      </w:r>
      <w:r w:rsidR="00547EC7">
        <w:rPr>
          <w:rFonts w:cstheme="minorHAnsi"/>
          <w:sz w:val="22"/>
          <w:szCs w:val="22"/>
        </w:rPr>
        <w:t xml:space="preserve">ed </w:t>
      </w:r>
      <w:r w:rsidR="0036174D">
        <w:rPr>
          <w:rFonts w:cstheme="minorHAnsi"/>
          <w:sz w:val="22"/>
          <w:szCs w:val="22"/>
        </w:rPr>
        <w:t xml:space="preserve">strategy for revising the </w:t>
      </w:r>
      <w:r w:rsidRPr="00E6167F">
        <w:rPr>
          <w:rFonts w:cstheme="minorHAnsi"/>
          <w:sz w:val="22"/>
          <w:szCs w:val="22"/>
        </w:rPr>
        <w:t xml:space="preserve">SGBP </w:t>
      </w:r>
      <w:r w:rsidR="0036174D">
        <w:rPr>
          <w:rFonts w:cstheme="minorHAnsi"/>
          <w:sz w:val="22"/>
          <w:szCs w:val="22"/>
        </w:rPr>
        <w:t xml:space="preserve">is built </w:t>
      </w:r>
      <w:r w:rsidRPr="00E6167F">
        <w:rPr>
          <w:rFonts w:cstheme="minorHAnsi"/>
          <w:sz w:val="22"/>
          <w:szCs w:val="22"/>
        </w:rPr>
        <w:t xml:space="preserve">on the available resources and knowledge as much as possible. </w:t>
      </w:r>
      <w:r w:rsidR="000D3272">
        <w:rPr>
          <w:rFonts w:cstheme="minorHAnsi"/>
          <w:sz w:val="22"/>
          <w:szCs w:val="22"/>
        </w:rPr>
        <w:t>Furthermore, this principle will not only make the</w:t>
      </w:r>
      <w:r w:rsidRPr="00E6167F">
        <w:rPr>
          <w:rFonts w:cstheme="minorHAnsi"/>
          <w:sz w:val="22"/>
          <w:szCs w:val="22"/>
        </w:rPr>
        <w:t xml:space="preserve"> SGBP more explicit and precise</w:t>
      </w:r>
      <w:r w:rsidR="000D3272">
        <w:rPr>
          <w:rFonts w:cstheme="minorHAnsi"/>
          <w:sz w:val="22"/>
          <w:szCs w:val="22"/>
        </w:rPr>
        <w:t xml:space="preserve">, it will </w:t>
      </w:r>
      <w:r w:rsidRPr="00E6167F">
        <w:rPr>
          <w:rFonts w:cstheme="minorHAnsi"/>
          <w:sz w:val="22"/>
          <w:szCs w:val="22"/>
        </w:rPr>
        <w:t xml:space="preserve">also help enforcing adherence to guidelines and referral </w:t>
      </w:r>
      <w:r w:rsidRPr="00E6167F">
        <w:rPr>
          <w:rFonts w:cstheme="minorHAnsi"/>
          <w:sz w:val="22"/>
          <w:szCs w:val="22"/>
        </w:rPr>
        <w:lastRenderedPageBreak/>
        <w:t>pathways</w:t>
      </w:r>
      <w:r w:rsidR="005F73A3">
        <w:rPr>
          <w:rFonts w:cstheme="minorHAnsi"/>
          <w:sz w:val="22"/>
          <w:szCs w:val="22"/>
        </w:rPr>
        <w:t xml:space="preserve">, as well as facilitating further development of the guidelines themselves. </w:t>
      </w:r>
      <w:r w:rsidRPr="00E6167F">
        <w:rPr>
          <w:rFonts w:cstheme="minorHAnsi"/>
          <w:sz w:val="22"/>
          <w:szCs w:val="22"/>
        </w:rPr>
        <w:t xml:space="preserve">Eventually this process will inform the areas </w:t>
      </w:r>
      <w:r w:rsidR="00F07271">
        <w:rPr>
          <w:rFonts w:cstheme="minorHAnsi"/>
          <w:sz w:val="22"/>
          <w:szCs w:val="22"/>
        </w:rPr>
        <w:t xml:space="preserve">subject to </w:t>
      </w:r>
      <w:r w:rsidRPr="00E6167F">
        <w:rPr>
          <w:rFonts w:cstheme="minorHAnsi"/>
          <w:sz w:val="22"/>
          <w:szCs w:val="22"/>
        </w:rPr>
        <w:t xml:space="preserve">Health Technology Assessment </w:t>
      </w:r>
      <w:r w:rsidR="00903A8A">
        <w:rPr>
          <w:rFonts w:cstheme="minorHAnsi"/>
          <w:sz w:val="22"/>
          <w:szCs w:val="22"/>
        </w:rPr>
        <w:t xml:space="preserve">(HTA) and help building capacity in this aspect as well. </w:t>
      </w:r>
    </w:p>
    <w:p w14:paraId="110F41D0" w14:textId="31211839" w:rsidR="00D7038C" w:rsidRPr="007D1BE5" w:rsidRDefault="00D7038C" w:rsidP="00D92F7A">
      <w:pPr>
        <w:pStyle w:val="Subheading1"/>
      </w:pPr>
      <w:bookmarkStart w:id="13" w:name="_Toc10477898"/>
      <w:r w:rsidRPr="007D1BE5">
        <w:t>Develop</w:t>
      </w:r>
      <w:r w:rsidR="007240CE" w:rsidRPr="007D1BE5">
        <w:t>ing</w:t>
      </w:r>
      <w:r w:rsidRPr="007D1BE5">
        <w:t xml:space="preserve"> an approach to on-going regular revisions of SGBP</w:t>
      </w:r>
      <w:bookmarkEnd w:id="13"/>
    </w:p>
    <w:p w14:paraId="628A9AD3" w14:textId="699B6C46" w:rsidR="00D7038C" w:rsidRPr="0032524C" w:rsidRDefault="00D7038C" w:rsidP="00363D34">
      <w:pPr>
        <w:autoSpaceDE w:val="0"/>
        <w:autoSpaceDN w:val="0"/>
        <w:adjustRightInd w:val="0"/>
        <w:spacing w:before="120" w:after="120" w:line="240" w:lineRule="auto"/>
        <w:jc w:val="both"/>
        <w:rPr>
          <w:rFonts w:cstheme="minorHAnsi"/>
        </w:rPr>
      </w:pPr>
      <w:r w:rsidRPr="0032524C">
        <w:rPr>
          <w:rFonts w:cstheme="minorHAnsi"/>
        </w:rPr>
        <w:t>The SGBP process should be considered continuous and comprised of learning, adjusting and starting over</w:t>
      </w:r>
      <w:r w:rsidR="00540B06">
        <w:rPr>
          <w:rFonts w:cstheme="minorHAnsi"/>
        </w:rPr>
        <w:t>. I</w:t>
      </w:r>
      <w:r w:rsidR="00523924">
        <w:rPr>
          <w:rFonts w:cstheme="minorHAnsi"/>
        </w:rPr>
        <w:t xml:space="preserve">t is </w:t>
      </w:r>
      <w:r w:rsidR="00540B06">
        <w:rPr>
          <w:rFonts w:cstheme="minorHAnsi"/>
        </w:rPr>
        <w:t xml:space="preserve">therefore </w:t>
      </w:r>
      <w:r w:rsidRPr="0032524C">
        <w:rPr>
          <w:rFonts w:cstheme="minorHAnsi"/>
        </w:rPr>
        <w:t>recommend</w:t>
      </w:r>
      <w:r w:rsidR="00523924">
        <w:rPr>
          <w:rFonts w:cstheme="minorHAnsi"/>
        </w:rPr>
        <w:t>ed</w:t>
      </w:r>
      <w:r w:rsidRPr="0032524C">
        <w:rPr>
          <w:rFonts w:cstheme="minorHAnsi"/>
        </w:rPr>
        <w:t xml:space="preserve"> that a permanent structure responsible for on-going regular revisions of SGBP be established. </w:t>
      </w:r>
      <w:r w:rsidR="00543ABA" w:rsidRPr="0032524C">
        <w:rPr>
          <w:rFonts w:cstheme="minorHAnsi"/>
        </w:rPr>
        <w:t xml:space="preserve">The </w:t>
      </w:r>
      <w:r w:rsidRPr="0032524C">
        <w:rPr>
          <w:rFonts w:cstheme="minorHAnsi"/>
          <w:color w:val="000000"/>
        </w:rPr>
        <w:t xml:space="preserve">need for a standardized and evidence-based approach to </w:t>
      </w:r>
      <w:r w:rsidR="00540B06">
        <w:rPr>
          <w:rFonts w:cstheme="minorHAnsi"/>
          <w:color w:val="000000"/>
        </w:rPr>
        <w:t>c</w:t>
      </w:r>
      <w:r w:rsidRPr="0032524C">
        <w:rPr>
          <w:rFonts w:cstheme="minorHAnsi"/>
          <w:color w:val="000000"/>
        </w:rPr>
        <w:t xml:space="preserve">linical guideline development has been already recognized in Kyrgyz Republic by </w:t>
      </w:r>
      <w:r w:rsidR="00540B06">
        <w:rPr>
          <w:rFonts w:cstheme="minorHAnsi"/>
          <w:color w:val="000000"/>
        </w:rPr>
        <w:t xml:space="preserve">the </w:t>
      </w:r>
      <w:r w:rsidRPr="0032524C">
        <w:rPr>
          <w:rFonts w:cstheme="minorHAnsi"/>
          <w:color w:val="000000"/>
        </w:rPr>
        <w:t xml:space="preserve">establishment of </w:t>
      </w:r>
      <w:r w:rsidR="00D17F63">
        <w:rPr>
          <w:rFonts w:cstheme="minorHAnsi"/>
          <w:color w:val="000000"/>
        </w:rPr>
        <w:t xml:space="preserve">an </w:t>
      </w:r>
      <w:r w:rsidRPr="0032524C">
        <w:rPr>
          <w:rFonts w:cstheme="minorHAnsi"/>
          <w:color w:val="000000"/>
        </w:rPr>
        <w:t xml:space="preserve">Evidence Based Medicine Unit within </w:t>
      </w:r>
      <w:r w:rsidR="00D17F63">
        <w:rPr>
          <w:rFonts w:cstheme="minorHAnsi"/>
          <w:color w:val="000000"/>
        </w:rPr>
        <w:t xml:space="preserve">the </w:t>
      </w:r>
      <w:proofErr w:type="spellStart"/>
      <w:r w:rsidRPr="0032524C">
        <w:rPr>
          <w:rFonts w:cstheme="minorHAnsi"/>
          <w:color w:val="000000"/>
        </w:rPr>
        <w:t>MoH</w:t>
      </w:r>
      <w:proofErr w:type="spellEnd"/>
      <w:r w:rsidRPr="0032524C">
        <w:rPr>
          <w:rFonts w:cstheme="minorHAnsi"/>
          <w:color w:val="000000"/>
        </w:rPr>
        <w:t>. Given the direct link between guideline development and SGBP</w:t>
      </w:r>
      <w:r w:rsidR="00852E64">
        <w:rPr>
          <w:rFonts w:cstheme="minorHAnsi"/>
          <w:color w:val="000000"/>
        </w:rPr>
        <w:t xml:space="preserve">, </w:t>
      </w:r>
      <w:r w:rsidR="0082053F">
        <w:rPr>
          <w:rFonts w:cstheme="minorHAnsi"/>
        </w:rPr>
        <w:t xml:space="preserve">the </w:t>
      </w:r>
      <w:proofErr w:type="spellStart"/>
      <w:r w:rsidRPr="0032524C">
        <w:rPr>
          <w:rFonts w:cstheme="minorHAnsi"/>
        </w:rPr>
        <w:t>MoH</w:t>
      </w:r>
      <w:proofErr w:type="spellEnd"/>
      <w:r w:rsidR="002D2856">
        <w:rPr>
          <w:rFonts w:cstheme="minorHAnsi"/>
        </w:rPr>
        <w:t xml:space="preserve"> would be a </w:t>
      </w:r>
      <w:r w:rsidR="00E27ED5">
        <w:rPr>
          <w:rFonts w:cstheme="minorHAnsi"/>
        </w:rPr>
        <w:t xml:space="preserve">natural </w:t>
      </w:r>
      <w:r w:rsidR="002D2856">
        <w:rPr>
          <w:rFonts w:cstheme="minorHAnsi"/>
        </w:rPr>
        <w:t>home of such unit</w:t>
      </w:r>
      <w:r w:rsidRPr="0032524C">
        <w:rPr>
          <w:rFonts w:cstheme="minorHAnsi"/>
        </w:rPr>
        <w:t xml:space="preserve">. It should include current Evidence Based Medicine Unit and new HTA capacities to support </w:t>
      </w:r>
      <w:proofErr w:type="spellStart"/>
      <w:r w:rsidRPr="0032524C">
        <w:rPr>
          <w:rFonts w:cstheme="minorHAnsi"/>
        </w:rPr>
        <w:t>MoH</w:t>
      </w:r>
      <w:proofErr w:type="spellEnd"/>
      <w:r w:rsidRPr="0032524C">
        <w:rPr>
          <w:rFonts w:cstheme="minorHAnsi"/>
        </w:rPr>
        <w:t xml:space="preserve"> with decision-making and inform adjustments to the SGBP on an ongoing basis. The core remit of this unit will be: </w:t>
      </w:r>
    </w:p>
    <w:p w14:paraId="3724AE60" w14:textId="6FA894C1" w:rsidR="00532B33" w:rsidRDefault="00532B33" w:rsidP="00363D34">
      <w:pPr>
        <w:pStyle w:val="ListParagraph"/>
        <w:numPr>
          <w:ilvl w:val="0"/>
          <w:numId w:val="27"/>
        </w:numPr>
        <w:spacing w:before="120" w:after="120" w:line="240" w:lineRule="auto"/>
        <w:contextualSpacing w:val="0"/>
        <w:jc w:val="both"/>
        <w:rPr>
          <w:rFonts w:cstheme="minorHAnsi"/>
        </w:rPr>
      </w:pPr>
      <w:r>
        <w:rPr>
          <w:rFonts w:cstheme="minorHAnsi"/>
        </w:rPr>
        <w:t>To lead the process of SGBP revision</w:t>
      </w:r>
      <w:r w:rsidR="000B36C3">
        <w:rPr>
          <w:rFonts w:cstheme="minorHAnsi"/>
        </w:rPr>
        <w:t xml:space="preserve">, coordinating among different stakeholders; </w:t>
      </w:r>
    </w:p>
    <w:p w14:paraId="315FA30E" w14:textId="720E5615" w:rsidR="000B36C3" w:rsidRDefault="000B36C3" w:rsidP="00363D34">
      <w:pPr>
        <w:pStyle w:val="ListParagraph"/>
        <w:numPr>
          <w:ilvl w:val="0"/>
          <w:numId w:val="27"/>
        </w:numPr>
        <w:spacing w:before="120" w:after="120" w:line="240" w:lineRule="auto"/>
        <w:contextualSpacing w:val="0"/>
        <w:jc w:val="both"/>
        <w:rPr>
          <w:rFonts w:cstheme="minorHAnsi"/>
        </w:rPr>
      </w:pPr>
      <w:r>
        <w:rPr>
          <w:rFonts w:cstheme="minorHAnsi"/>
        </w:rPr>
        <w:t xml:space="preserve">To lead and coordinate the systematic development of clinical guidelines and care pathways; </w:t>
      </w:r>
    </w:p>
    <w:p w14:paraId="7A627CB2" w14:textId="0BBA5619" w:rsidR="00D7038C" w:rsidRPr="0032524C" w:rsidRDefault="00D7038C" w:rsidP="00363D34">
      <w:pPr>
        <w:pStyle w:val="ListParagraph"/>
        <w:numPr>
          <w:ilvl w:val="0"/>
          <w:numId w:val="27"/>
        </w:numPr>
        <w:spacing w:before="120" w:after="120" w:line="240" w:lineRule="auto"/>
        <w:contextualSpacing w:val="0"/>
        <w:jc w:val="both"/>
        <w:rPr>
          <w:rFonts w:cstheme="minorHAnsi"/>
        </w:rPr>
      </w:pPr>
      <w:r w:rsidRPr="0032524C">
        <w:rPr>
          <w:rFonts w:cstheme="minorHAnsi"/>
        </w:rPr>
        <w:t>To review new and high priority technologies (that have been selected through a transparent topic selection process) with consideration of their costs, benefits, equity and social impact, compared to current technologies and/or current practice using the best available evidence</w:t>
      </w:r>
      <w:r w:rsidR="0030752E">
        <w:rPr>
          <w:rFonts w:cstheme="minorHAnsi"/>
        </w:rPr>
        <w:t>.</w:t>
      </w:r>
      <w:r w:rsidRPr="0032524C">
        <w:rPr>
          <w:rFonts w:cstheme="minorHAnsi"/>
        </w:rPr>
        <w:t xml:space="preserve"> </w:t>
      </w:r>
    </w:p>
    <w:p w14:paraId="6C98C134" w14:textId="18D13076" w:rsidR="00D7038C" w:rsidRPr="0032524C" w:rsidRDefault="00D7038C" w:rsidP="00363D34">
      <w:pPr>
        <w:autoSpaceDE w:val="0"/>
        <w:autoSpaceDN w:val="0"/>
        <w:adjustRightInd w:val="0"/>
        <w:spacing w:after="120" w:line="240" w:lineRule="auto"/>
        <w:jc w:val="both"/>
        <w:rPr>
          <w:rFonts w:cstheme="minorHAnsi"/>
        </w:rPr>
      </w:pPr>
      <w:r w:rsidRPr="0032524C">
        <w:rPr>
          <w:rFonts w:cstheme="minorHAnsi"/>
        </w:rPr>
        <w:t xml:space="preserve">This structure should serve as the secretariat for the SGBP </w:t>
      </w:r>
      <w:r w:rsidR="0030752E">
        <w:rPr>
          <w:rFonts w:cstheme="minorHAnsi"/>
        </w:rPr>
        <w:t>w</w:t>
      </w:r>
      <w:r w:rsidRPr="0032524C">
        <w:rPr>
          <w:rFonts w:cstheme="minorHAnsi"/>
        </w:rPr>
        <w:t xml:space="preserve">orking group. This </w:t>
      </w:r>
      <w:r w:rsidR="0030752E">
        <w:rPr>
          <w:rFonts w:cstheme="minorHAnsi"/>
        </w:rPr>
        <w:t>w</w:t>
      </w:r>
      <w:r w:rsidRPr="0032524C">
        <w:rPr>
          <w:rFonts w:cstheme="minorHAnsi"/>
        </w:rPr>
        <w:t>orking group should be established as the permanent body</w:t>
      </w:r>
      <w:r w:rsidR="00BB1A74">
        <w:rPr>
          <w:rFonts w:cstheme="minorHAnsi"/>
        </w:rPr>
        <w:t>. I</w:t>
      </w:r>
      <w:r w:rsidRPr="0032524C">
        <w:rPr>
          <w:rFonts w:cstheme="minorHAnsi"/>
        </w:rPr>
        <w:t xml:space="preserve">t should include </w:t>
      </w:r>
      <w:r w:rsidR="00BB1A74">
        <w:rPr>
          <w:rFonts w:cstheme="minorHAnsi"/>
        </w:rPr>
        <w:t xml:space="preserve">not only </w:t>
      </w:r>
      <w:r w:rsidRPr="0032524C">
        <w:rPr>
          <w:rFonts w:cstheme="minorHAnsi"/>
        </w:rPr>
        <w:t xml:space="preserve">representation of </w:t>
      </w:r>
      <w:r w:rsidR="005D2720">
        <w:rPr>
          <w:rFonts w:cstheme="minorHAnsi"/>
        </w:rPr>
        <w:t xml:space="preserve">the </w:t>
      </w:r>
      <w:proofErr w:type="spellStart"/>
      <w:r w:rsidR="005D2720">
        <w:rPr>
          <w:rFonts w:cstheme="minorHAnsi"/>
        </w:rPr>
        <w:t>MoH</w:t>
      </w:r>
      <w:proofErr w:type="spellEnd"/>
      <w:r w:rsidR="005D2720">
        <w:rPr>
          <w:rFonts w:cstheme="minorHAnsi"/>
        </w:rPr>
        <w:t xml:space="preserve">, MHIF, </w:t>
      </w:r>
      <w:proofErr w:type="spellStart"/>
      <w:r w:rsidR="005D2720">
        <w:rPr>
          <w:rFonts w:cstheme="minorHAnsi"/>
        </w:rPr>
        <w:t>MoF</w:t>
      </w:r>
      <w:proofErr w:type="spellEnd"/>
      <w:r w:rsidR="005D2720">
        <w:rPr>
          <w:rFonts w:cstheme="minorHAnsi"/>
        </w:rPr>
        <w:t xml:space="preserve">, </w:t>
      </w:r>
      <w:proofErr w:type="spellStart"/>
      <w:r w:rsidR="005D2720">
        <w:rPr>
          <w:rFonts w:cstheme="minorHAnsi"/>
        </w:rPr>
        <w:t>MoLSD</w:t>
      </w:r>
      <w:proofErr w:type="spellEnd"/>
      <w:r w:rsidR="005D2720">
        <w:rPr>
          <w:rFonts w:cstheme="minorHAnsi"/>
        </w:rPr>
        <w:t xml:space="preserve">, but also </w:t>
      </w:r>
      <w:r w:rsidRPr="0032524C">
        <w:rPr>
          <w:rFonts w:cstheme="minorHAnsi"/>
        </w:rPr>
        <w:t xml:space="preserve">professional organizations (e.g. medical chamber), scientific organizations (e.g. medical academy), and patient associations. </w:t>
      </w:r>
      <w:r w:rsidRPr="0032524C">
        <w:rPr>
          <w:rFonts w:cstheme="minorHAnsi"/>
          <w:color w:val="000000"/>
        </w:rPr>
        <w:t xml:space="preserve">All stakeholders should be engaged to define a proposal outlining the remit, structure and functions of a </w:t>
      </w:r>
      <w:r w:rsidRPr="0032524C">
        <w:rPr>
          <w:rFonts w:cstheme="minorHAnsi"/>
        </w:rPr>
        <w:t xml:space="preserve">SGBP </w:t>
      </w:r>
      <w:r w:rsidR="009B2114">
        <w:rPr>
          <w:rFonts w:cstheme="minorHAnsi"/>
        </w:rPr>
        <w:t>w</w:t>
      </w:r>
      <w:r w:rsidRPr="0032524C">
        <w:rPr>
          <w:rFonts w:cstheme="minorHAnsi"/>
        </w:rPr>
        <w:t>orking group</w:t>
      </w:r>
      <w:r w:rsidRPr="0032524C">
        <w:rPr>
          <w:rFonts w:cstheme="minorHAnsi"/>
          <w:color w:val="000000"/>
        </w:rPr>
        <w:t xml:space="preserve">. </w:t>
      </w:r>
      <w:r w:rsidRPr="0032524C">
        <w:rPr>
          <w:rFonts w:cstheme="minorHAnsi"/>
        </w:rPr>
        <w:t xml:space="preserve">The work of the SGBP secretariat and SGBP </w:t>
      </w:r>
      <w:r w:rsidR="009B2114">
        <w:rPr>
          <w:rFonts w:cstheme="minorHAnsi"/>
        </w:rPr>
        <w:t>w</w:t>
      </w:r>
      <w:r w:rsidRPr="0032524C">
        <w:rPr>
          <w:rFonts w:cstheme="minorHAnsi"/>
        </w:rPr>
        <w:t>ork</w:t>
      </w:r>
      <w:r w:rsidR="009B2114">
        <w:rPr>
          <w:rFonts w:cstheme="minorHAnsi"/>
        </w:rPr>
        <w:t xml:space="preserve">ing </w:t>
      </w:r>
      <w:r w:rsidRPr="0032524C">
        <w:rPr>
          <w:rFonts w:cstheme="minorHAnsi"/>
        </w:rPr>
        <w:t>group should be focused on the on-going regular revisions of SGBP and costing of SGBP.</w:t>
      </w:r>
    </w:p>
    <w:p w14:paraId="5156BC46" w14:textId="2663F1AF" w:rsidR="00D7038C" w:rsidRPr="00E6167F" w:rsidRDefault="00C128D3" w:rsidP="0010003D">
      <w:pPr>
        <w:spacing w:after="120" w:line="240" w:lineRule="auto"/>
        <w:jc w:val="both"/>
        <w:rPr>
          <w:rFonts w:cstheme="minorHAnsi"/>
          <w:i/>
          <w:color w:val="3B3838" w:themeColor="background2" w:themeShade="40"/>
        </w:rPr>
      </w:pPr>
      <w:r w:rsidRPr="0032524C">
        <w:rPr>
          <w:rFonts w:cstheme="minorHAnsi"/>
        </w:rPr>
        <w:t>The SGBP Unit should also be responsible for developing and upholding key components of clinical guideline development, which includes robust processes for topic selection, guideline development, publication/implementation and review</w:t>
      </w:r>
      <w:r w:rsidR="0010003D">
        <w:rPr>
          <w:rFonts w:cstheme="minorHAnsi"/>
        </w:rPr>
        <w:t xml:space="preserve">. </w:t>
      </w:r>
      <w:r w:rsidR="00D7038C" w:rsidRPr="00E6167F">
        <w:rPr>
          <w:rFonts w:cstheme="minorHAnsi"/>
        </w:rPr>
        <w:t xml:space="preserve">The final list of clinical guidelines (with appropriate content and of acceptable methodological quality as determined by an agreed accreditation process) should then be compared to the proposed SGBP to identify the gaps in up-to-date clinical guidance for the delivery of the SGBP. </w:t>
      </w:r>
    </w:p>
    <w:p w14:paraId="514D1503" w14:textId="4AF6C97E" w:rsidR="00B61672" w:rsidRPr="0032524C" w:rsidRDefault="00B61672" w:rsidP="00B61672">
      <w:pPr>
        <w:spacing w:line="240" w:lineRule="auto"/>
        <w:jc w:val="both"/>
        <w:rPr>
          <w:rFonts w:cstheme="minorHAnsi"/>
        </w:rPr>
      </w:pPr>
      <w:r w:rsidRPr="0032524C">
        <w:rPr>
          <w:rFonts w:cstheme="minorHAnsi"/>
        </w:rPr>
        <w:t xml:space="preserve">The national repository of clinical guidelines should be strengthened with </w:t>
      </w:r>
      <w:r>
        <w:rPr>
          <w:rFonts w:cstheme="minorHAnsi"/>
        </w:rPr>
        <w:t>HTA</w:t>
      </w:r>
      <w:r w:rsidRPr="0032524C">
        <w:rPr>
          <w:rFonts w:cstheme="minorHAnsi"/>
        </w:rPr>
        <w:t xml:space="preserve">. Given the direct link between guideline development and HTA, the Evidence Based Medicine unit should also be a national coordinating center for HTA. </w:t>
      </w:r>
    </w:p>
    <w:p w14:paraId="544AF956" w14:textId="77777777" w:rsidR="004F7137" w:rsidRPr="00E6167F" w:rsidRDefault="004F7137" w:rsidP="00363D34">
      <w:pPr>
        <w:spacing w:line="240" w:lineRule="auto"/>
        <w:jc w:val="both"/>
        <w:rPr>
          <w:rFonts w:cstheme="minorHAnsi"/>
        </w:rPr>
      </w:pPr>
      <w:r w:rsidRPr="00E6167F">
        <w:rPr>
          <w:rFonts w:cstheme="minorHAnsi"/>
        </w:rPr>
        <w:t xml:space="preserve">Ultimately, the establishment of an HTA unit will save more lives and ensure a sustainable SGBP by: </w:t>
      </w:r>
    </w:p>
    <w:p w14:paraId="5B4C488F" w14:textId="77777777" w:rsidR="004F7137" w:rsidRPr="00E6167F" w:rsidRDefault="004F7137" w:rsidP="009566E5">
      <w:pPr>
        <w:pStyle w:val="ListParagraph"/>
        <w:numPr>
          <w:ilvl w:val="0"/>
          <w:numId w:val="40"/>
        </w:numPr>
        <w:spacing w:line="240" w:lineRule="auto"/>
        <w:contextualSpacing w:val="0"/>
        <w:jc w:val="both"/>
        <w:rPr>
          <w:rFonts w:cstheme="minorHAnsi"/>
        </w:rPr>
      </w:pPr>
      <w:r w:rsidRPr="00E6167F">
        <w:rPr>
          <w:rFonts w:cstheme="minorHAnsi"/>
        </w:rPr>
        <w:t>Prioritizing interventions with the highest value and quality;</w:t>
      </w:r>
    </w:p>
    <w:p w14:paraId="18887A81" w14:textId="77777777" w:rsidR="004F7137" w:rsidRPr="00E6167F" w:rsidRDefault="004F7137" w:rsidP="009566E5">
      <w:pPr>
        <w:pStyle w:val="ListParagraph"/>
        <w:numPr>
          <w:ilvl w:val="0"/>
          <w:numId w:val="40"/>
        </w:numPr>
        <w:spacing w:line="240" w:lineRule="auto"/>
        <w:contextualSpacing w:val="0"/>
        <w:jc w:val="both"/>
        <w:rPr>
          <w:rFonts w:cstheme="minorHAnsi"/>
        </w:rPr>
      </w:pPr>
      <w:r w:rsidRPr="00E6167F">
        <w:rPr>
          <w:rFonts w:cstheme="minorHAnsi"/>
        </w:rPr>
        <w:t xml:space="preserve">Reducing wasteful expensive, unnecessary and unsafe care; and </w:t>
      </w:r>
    </w:p>
    <w:p w14:paraId="46D07790" w14:textId="77777777" w:rsidR="004F7137" w:rsidRPr="00E6167F" w:rsidRDefault="004F7137" w:rsidP="009566E5">
      <w:pPr>
        <w:pStyle w:val="ListParagraph"/>
        <w:numPr>
          <w:ilvl w:val="0"/>
          <w:numId w:val="40"/>
        </w:numPr>
        <w:spacing w:line="240" w:lineRule="auto"/>
        <w:contextualSpacing w:val="0"/>
        <w:jc w:val="both"/>
        <w:rPr>
          <w:rFonts w:cstheme="minorHAnsi"/>
        </w:rPr>
      </w:pPr>
      <w:r w:rsidRPr="00E6167F">
        <w:rPr>
          <w:rFonts w:cstheme="minorHAnsi"/>
        </w:rPr>
        <w:t>Realizing resources, through improving efficiency to enable SGBP to reach more people and would ensure greater equity.</w:t>
      </w:r>
    </w:p>
    <w:p w14:paraId="0BF8171B" w14:textId="12CAC813" w:rsidR="000F3F46" w:rsidRPr="0028201F" w:rsidRDefault="0037732C" w:rsidP="00363D34">
      <w:pPr>
        <w:autoSpaceDE w:val="0"/>
        <w:autoSpaceDN w:val="0"/>
        <w:adjustRightInd w:val="0"/>
        <w:spacing w:after="0" w:line="240" w:lineRule="auto"/>
        <w:jc w:val="both"/>
        <w:rPr>
          <w:rFonts w:cstheme="minorHAnsi"/>
          <w:color w:val="000000"/>
        </w:rPr>
      </w:pPr>
      <w:r w:rsidRPr="0028201F">
        <w:rPr>
          <w:rFonts w:cstheme="minorHAnsi"/>
          <w:color w:val="000000"/>
        </w:rPr>
        <w:t xml:space="preserve">In summary, a </w:t>
      </w:r>
      <w:r w:rsidR="000F3F46" w:rsidRPr="0028201F">
        <w:rPr>
          <w:rFonts w:cstheme="minorHAnsi"/>
          <w:color w:val="000000"/>
        </w:rPr>
        <w:t xml:space="preserve">roadmap for SGBP reform </w:t>
      </w:r>
      <w:r w:rsidR="00695342" w:rsidRPr="0028201F">
        <w:rPr>
          <w:rFonts w:cstheme="minorHAnsi"/>
          <w:color w:val="000000"/>
        </w:rPr>
        <w:t xml:space="preserve">would </w:t>
      </w:r>
      <w:r w:rsidR="000F3F46" w:rsidRPr="0028201F">
        <w:rPr>
          <w:rFonts w:cstheme="minorHAnsi"/>
          <w:color w:val="000000"/>
        </w:rPr>
        <w:t>include:</w:t>
      </w:r>
    </w:p>
    <w:p w14:paraId="479B2B71" w14:textId="3AF30627" w:rsidR="000F3F46" w:rsidRPr="0028201F" w:rsidRDefault="000F3F46" w:rsidP="0028201F">
      <w:pPr>
        <w:pStyle w:val="ListParagraph"/>
        <w:numPr>
          <w:ilvl w:val="0"/>
          <w:numId w:val="41"/>
        </w:numPr>
        <w:spacing w:before="120" w:after="120" w:line="240" w:lineRule="auto"/>
        <w:contextualSpacing w:val="0"/>
        <w:jc w:val="both"/>
        <w:rPr>
          <w:rFonts w:cstheme="minorHAnsi"/>
        </w:rPr>
      </w:pPr>
      <w:r w:rsidRPr="0028201F">
        <w:rPr>
          <w:rFonts w:cstheme="minorHAnsi"/>
        </w:rPr>
        <w:t xml:space="preserve">Development of a </w:t>
      </w:r>
      <w:r w:rsidR="006A163F">
        <w:rPr>
          <w:rFonts w:cstheme="minorHAnsi"/>
        </w:rPr>
        <w:t>l</w:t>
      </w:r>
      <w:r w:rsidRPr="0028201F">
        <w:rPr>
          <w:rFonts w:cstheme="minorHAnsi"/>
        </w:rPr>
        <w:t>egal framework which will define SGBP related decision-making process and institutional structures responsible for the revisions of SGBP</w:t>
      </w:r>
      <w:r w:rsidR="004633BD">
        <w:rPr>
          <w:rFonts w:cstheme="minorHAnsi"/>
        </w:rPr>
        <w:t>;</w:t>
      </w:r>
    </w:p>
    <w:p w14:paraId="3108CACC" w14:textId="42218EC7" w:rsidR="000F3F46" w:rsidRPr="0028201F" w:rsidRDefault="000F3F46" w:rsidP="0028201F">
      <w:pPr>
        <w:pStyle w:val="ListParagraph"/>
        <w:numPr>
          <w:ilvl w:val="0"/>
          <w:numId w:val="41"/>
        </w:numPr>
        <w:spacing w:before="120" w:after="120" w:line="240" w:lineRule="auto"/>
        <w:contextualSpacing w:val="0"/>
        <w:jc w:val="both"/>
        <w:rPr>
          <w:rFonts w:cstheme="minorHAnsi"/>
        </w:rPr>
      </w:pPr>
      <w:r w:rsidRPr="0028201F">
        <w:rPr>
          <w:rFonts w:cstheme="minorHAnsi"/>
        </w:rPr>
        <w:lastRenderedPageBreak/>
        <w:t>Creation of the SGBP Unit</w:t>
      </w:r>
      <w:r w:rsidR="004633BD">
        <w:rPr>
          <w:rFonts w:cstheme="minorHAnsi"/>
        </w:rPr>
        <w:t xml:space="preserve"> within the </w:t>
      </w:r>
      <w:proofErr w:type="spellStart"/>
      <w:r w:rsidR="004633BD">
        <w:rPr>
          <w:rFonts w:cstheme="minorHAnsi"/>
        </w:rPr>
        <w:t>MoH</w:t>
      </w:r>
      <w:proofErr w:type="spellEnd"/>
      <w:r w:rsidR="00DA0E68">
        <w:rPr>
          <w:rFonts w:cstheme="minorHAnsi"/>
        </w:rPr>
        <w:t>, with full time staff and plan for staff capacity building in the related areas of the SGBP</w:t>
      </w:r>
      <w:r w:rsidR="000D1FA6">
        <w:rPr>
          <w:rFonts w:cstheme="minorHAnsi"/>
        </w:rPr>
        <w:t xml:space="preserve">; </w:t>
      </w:r>
    </w:p>
    <w:p w14:paraId="3958C02A" w14:textId="7393A0A8" w:rsidR="000F3F46" w:rsidRPr="0028201F" w:rsidRDefault="000F3F46" w:rsidP="0028201F">
      <w:pPr>
        <w:pStyle w:val="ListParagraph"/>
        <w:numPr>
          <w:ilvl w:val="0"/>
          <w:numId w:val="41"/>
        </w:numPr>
        <w:spacing w:before="120" w:after="120" w:line="240" w:lineRule="auto"/>
        <w:contextualSpacing w:val="0"/>
        <w:jc w:val="both"/>
        <w:rPr>
          <w:rFonts w:cstheme="minorHAnsi"/>
        </w:rPr>
      </w:pPr>
      <w:r w:rsidRPr="0028201F">
        <w:rPr>
          <w:rFonts w:cstheme="minorHAnsi"/>
        </w:rPr>
        <w:t xml:space="preserve">Development of a detailed </w:t>
      </w:r>
      <w:r w:rsidR="000D1FA6">
        <w:rPr>
          <w:rFonts w:cstheme="minorHAnsi"/>
        </w:rPr>
        <w:t>i</w:t>
      </w:r>
      <w:r w:rsidRPr="0028201F">
        <w:rPr>
          <w:rFonts w:cstheme="minorHAnsi"/>
        </w:rPr>
        <w:t>mplementation plan.</w:t>
      </w:r>
    </w:p>
    <w:p w14:paraId="1CD0CCBF" w14:textId="77777777" w:rsidR="000F3F46" w:rsidRPr="00E6167F" w:rsidRDefault="000F3F46" w:rsidP="00363D34">
      <w:pPr>
        <w:spacing w:before="120" w:after="120" w:line="240" w:lineRule="auto"/>
        <w:jc w:val="both"/>
        <w:rPr>
          <w:rFonts w:cstheme="minorHAnsi"/>
        </w:rPr>
      </w:pPr>
      <w:r w:rsidRPr="00E6167F">
        <w:rPr>
          <w:rFonts w:cstheme="minorHAnsi"/>
        </w:rPr>
        <w:t xml:space="preserve">These recommendations and associated activities are inextricably linked, and the success of their implementation will depend on a thorough and consultative development process. This will provide a strong foundation for the incremental development of the explicit service entitlements for all levels of care. </w:t>
      </w:r>
    </w:p>
    <w:p w14:paraId="025CF525" w14:textId="0D08B3D6" w:rsidR="00D7038C" w:rsidRPr="00B55BD6" w:rsidRDefault="00D7038C" w:rsidP="00D92F7A">
      <w:pPr>
        <w:pStyle w:val="Heading1"/>
        <w:numPr>
          <w:ilvl w:val="0"/>
          <w:numId w:val="29"/>
        </w:numPr>
        <w:rPr>
          <w:rFonts w:ascii="Calibri" w:hAnsi="Calibri" w:cs="Calibri"/>
          <w:color w:val="1F4E79" w:themeColor="accent1" w:themeShade="80"/>
        </w:rPr>
      </w:pPr>
      <w:bookmarkStart w:id="14" w:name="_Toc10477899"/>
      <w:r w:rsidRPr="00B55BD6">
        <w:rPr>
          <w:rFonts w:ascii="Calibri" w:hAnsi="Calibri" w:cs="Calibri"/>
          <w:color w:val="1F4E79" w:themeColor="accent1" w:themeShade="80"/>
        </w:rPr>
        <w:t>Conclusion</w:t>
      </w:r>
      <w:bookmarkEnd w:id="14"/>
    </w:p>
    <w:p w14:paraId="78FFC066" w14:textId="282878D4" w:rsidR="00FB70AF" w:rsidRDefault="00D7038C" w:rsidP="00363D34">
      <w:pPr>
        <w:tabs>
          <w:tab w:val="left" w:pos="1236"/>
        </w:tabs>
        <w:autoSpaceDE w:val="0"/>
        <w:autoSpaceDN w:val="0"/>
        <w:adjustRightInd w:val="0"/>
        <w:spacing w:before="120" w:after="120" w:line="240" w:lineRule="auto"/>
        <w:jc w:val="both"/>
        <w:rPr>
          <w:rFonts w:cstheme="minorHAnsi"/>
          <w:color w:val="000000"/>
        </w:rPr>
      </w:pPr>
      <w:r w:rsidRPr="00E6167F">
        <w:rPr>
          <w:rFonts w:cstheme="minorHAnsi"/>
          <w:color w:val="000000"/>
        </w:rPr>
        <w:t xml:space="preserve">The government of Kyrgyz Republic is seeking to provide high-quality, accessible, and affordable health services, and has the ambition of providing universal coverage for the population. </w:t>
      </w:r>
      <w:r w:rsidR="00324495">
        <w:rPr>
          <w:rFonts w:cstheme="minorHAnsi"/>
          <w:color w:val="000000"/>
        </w:rPr>
        <w:t>The SGBP is an essential instrument in this endeavor</w:t>
      </w:r>
      <w:r w:rsidRPr="00E6167F">
        <w:rPr>
          <w:rFonts w:cstheme="minorHAnsi"/>
          <w:color w:val="000000"/>
        </w:rPr>
        <w:t>. The primary purpose of the SGBP should be to make the most cost-effective allocation of scarce resources addressing the country’s disease burden, whilst recognizing the limits to available financial resources and the need to promote equity of access to services</w:t>
      </w:r>
      <w:r w:rsidR="00316706">
        <w:rPr>
          <w:rFonts w:cstheme="minorHAnsi"/>
          <w:color w:val="000000"/>
        </w:rPr>
        <w:t xml:space="preserve">. </w:t>
      </w:r>
      <w:r w:rsidR="00C11A9B">
        <w:rPr>
          <w:rFonts w:cstheme="minorHAnsi"/>
          <w:color w:val="000000"/>
        </w:rPr>
        <w:t>Despite the expectations, the current SGBP fails to deliver on its important mission</w:t>
      </w:r>
      <w:r w:rsidR="00393E32">
        <w:rPr>
          <w:rFonts w:cstheme="minorHAnsi"/>
          <w:color w:val="000000"/>
        </w:rPr>
        <w:t xml:space="preserve"> to help achieving effective universal health coverage. </w:t>
      </w:r>
    </w:p>
    <w:p w14:paraId="64FC374B" w14:textId="42EDA692" w:rsidR="00BF1B02" w:rsidRDefault="00393E32" w:rsidP="00BF1B02">
      <w:pPr>
        <w:tabs>
          <w:tab w:val="left" w:pos="1236"/>
        </w:tabs>
        <w:autoSpaceDE w:val="0"/>
        <w:autoSpaceDN w:val="0"/>
        <w:adjustRightInd w:val="0"/>
        <w:spacing w:before="120" w:after="120" w:line="240" w:lineRule="auto"/>
        <w:jc w:val="both"/>
        <w:rPr>
          <w:rFonts w:cstheme="minorHAnsi"/>
          <w:color w:val="000000"/>
        </w:rPr>
      </w:pPr>
      <w:r>
        <w:rPr>
          <w:rFonts w:cstheme="minorHAnsi"/>
          <w:color w:val="000000"/>
        </w:rPr>
        <w:t xml:space="preserve">Going forward, </w:t>
      </w:r>
      <w:r w:rsidR="0084425B">
        <w:rPr>
          <w:rFonts w:cstheme="minorHAnsi"/>
          <w:color w:val="000000"/>
        </w:rPr>
        <w:t xml:space="preserve">the government of the </w:t>
      </w:r>
      <w:r>
        <w:rPr>
          <w:rFonts w:cstheme="minorHAnsi"/>
          <w:color w:val="000000"/>
        </w:rPr>
        <w:t>Kyrgyz Republic ha</w:t>
      </w:r>
      <w:r w:rsidR="00CA4C48">
        <w:rPr>
          <w:rFonts w:cstheme="minorHAnsi"/>
          <w:color w:val="000000"/>
        </w:rPr>
        <w:t xml:space="preserve">ve </w:t>
      </w:r>
      <w:r>
        <w:rPr>
          <w:rFonts w:cstheme="minorHAnsi"/>
          <w:color w:val="000000"/>
        </w:rPr>
        <w:t>determined</w:t>
      </w:r>
      <w:r w:rsidR="00CA4C48">
        <w:rPr>
          <w:rFonts w:cstheme="minorHAnsi"/>
          <w:color w:val="000000"/>
        </w:rPr>
        <w:t xml:space="preserve"> to make significant improvements to the SGBP. </w:t>
      </w:r>
      <w:r w:rsidR="002A7F36">
        <w:rPr>
          <w:rFonts w:cstheme="minorHAnsi"/>
          <w:color w:val="000000"/>
        </w:rPr>
        <w:t xml:space="preserve">This will be a major undertaking that require concerted efforts from </w:t>
      </w:r>
      <w:r w:rsidR="0084425B">
        <w:rPr>
          <w:rFonts w:cstheme="minorHAnsi"/>
          <w:color w:val="000000"/>
        </w:rPr>
        <w:t>different stakeholders inside and outside the health sectors.</w:t>
      </w:r>
      <w:r w:rsidR="00410266">
        <w:rPr>
          <w:rFonts w:cstheme="minorHAnsi"/>
          <w:color w:val="000000"/>
        </w:rPr>
        <w:t xml:space="preserve"> Besides technical solutions, political support to the </w:t>
      </w:r>
      <w:r w:rsidR="00112924">
        <w:rPr>
          <w:rFonts w:cstheme="minorHAnsi"/>
          <w:color w:val="000000"/>
        </w:rPr>
        <w:t xml:space="preserve">SGBP revision will ultimately decide whether the country can </w:t>
      </w:r>
      <w:r w:rsidR="008E5D8C">
        <w:rPr>
          <w:rFonts w:cstheme="minorHAnsi"/>
          <w:color w:val="000000"/>
        </w:rPr>
        <w:t>arrive at a package that</w:t>
      </w:r>
      <w:r w:rsidR="00D31FC4">
        <w:rPr>
          <w:rFonts w:cstheme="minorHAnsi"/>
          <w:color w:val="000000"/>
        </w:rPr>
        <w:t xml:space="preserve"> goes beyond declaration and </w:t>
      </w:r>
      <w:r w:rsidR="008E5D8C">
        <w:rPr>
          <w:rFonts w:cstheme="minorHAnsi"/>
          <w:color w:val="000000"/>
        </w:rPr>
        <w:t xml:space="preserve"> </w:t>
      </w:r>
      <w:r w:rsidR="005A3412">
        <w:rPr>
          <w:rFonts w:cstheme="minorHAnsi"/>
          <w:color w:val="000000"/>
        </w:rPr>
        <w:t>deliver real benefits to the population</w:t>
      </w:r>
      <w:r w:rsidR="008E5D8C">
        <w:rPr>
          <w:rFonts w:cstheme="minorHAnsi"/>
          <w:color w:val="000000"/>
        </w:rPr>
        <w:t xml:space="preserve">. </w:t>
      </w:r>
      <w:r w:rsidR="007824D9">
        <w:rPr>
          <w:rFonts w:cstheme="minorHAnsi"/>
          <w:color w:val="000000"/>
        </w:rPr>
        <w:t xml:space="preserve">It is </w:t>
      </w:r>
      <w:r w:rsidR="00CB2B85">
        <w:rPr>
          <w:rFonts w:cstheme="minorHAnsi"/>
          <w:color w:val="000000"/>
        </w:rPr>
        <w:t xml:space="preserve">expected that the information in this paper will be helpful to the </w:t>
      </w:r>
      <w:r w:rsidR="007557FB">
        <w:rPr>
          <w:rFonts w:cstheme="minorHAnsi"/>
          <w:color w:val="000000"/>
        </w:rPr>
        <w:t xml:space="preserve">government of the Kyrgyz Republic to fulfil this important undertaking. </w:t>
      </w:r>
    </w:p>
    <w:p w14:paraId="60B06348" w14:textId="77777777" w:rsidR="00BF1B02" w:rsidRDefault="00BF1B02">
      <w:pPr>
        <w:rPr>
          <w:rFonts w:cstheme="minorHAnsi"/>
          <w:color w:val="000000"/>
        </w:rPr>
      </w:pPr>
      <w:r>
        <w:rPr>
          <w:rFonts w:cstheme="minorHAnsi"/>
          <w:color w:val="000000"/>
        </w:rPr>
        <w:br w:type="page"/>
      </w:r>
    </w:p>
    <w:p w14:paraId="1018ADEE" w14:textId="3876E441" w:rsidR="00D7038C" w:rsidRPr="007D1BE5" w:rsidRDefault="00D7038C" w:rsidP="00363D34">
      <w:pPr>
        <w:pStyle w:val="Heading1"/>
        <w:numPr>
          <w:ilvl w:val="0"/>
          <w:numId w:val="0"/>
        </w:numPr>
        <w:rPr>
          <w:rFonts w:ascii="Calibri" w:hAnsi="Calibri" w:cs="Calibri"/>
          <w:color w:val="1F4E79" w:themeColor="accent1" w:themeShade="80"/>
        </w:rPr>
      </w:pPr>
      <w:bookmarkStart w:id="15" w:name="_Toc10477900"/>
      <w:r w:rsidRPr="007D1BE5">
        <w:rPr>
          <w:rFonts w:ascii="Calibri" w:hAnsi="Calibri" w:cs="Calibri"/>
          <w:color w:val="1F4E79" w:themeColor="accent1" w:themeShade="80"/>
        </w:rPr>
        <w:lastRenderedPageBreak/>
        <w:t>References</w:t>
      </w:r>
      <w:bookmarkEnd w:id="15"/>
    </w:p>
    <w:p w14:paraId="454C6FD6" w14:textId="20365EBF" w:rsidR="009855B4" w:rsidRDefault="009855B4" w:rsidP="009855B4">
      <w:pPr>
        <w:jc w:val="both"/>
        <w:rPr>
          <w:rFonts w:cstheme="minorHAnsi"/>
          <w:iCs/>
          <w:color w:val="333333"/>
        </w:rPr>
      </w:pPr>
      <w:r w:rsidRPr="00E47EE5">
        <w:rPr>
          <w:rFonts w:cstheme="minorHAnsi"/>
          <w:iCs/>
          <w:color w:val="333333"/>
        </w:rPr>
        <w:t>Cotlear, D</w:t>
      </w:r>
      <w:r>
        <w:rPr>
          <w:rFonts w:cstheme="minorHAnsi"/>
          <w:iCs/>
          <w:color w:val="333333"/>
        </w:rPr>
        <w:t xml:space="preserve">., </w:t>
      </w:r>
      <w:r w:rsidRPr="00E47EE5">
        <w:rPr>
          <w:rFonts w:cstheme="minorHAnsi"/>
          <w:iCs/>
          <w:color w:val="333333"/>
        </w:rPr>
        <w:t>S</w:t>
      </w:r>
      <w:r>
        <w:rPr>
          <w:rFonts w:cstheme="minorHAnsi"/>
          <w:iCs/>
          <w:color w:val="333333"/>
        </w:rPr>
        <w:t xml:space="preserve">. </w:t>
      </w:r>
      <w:proofErr w:type="spellStart"/>
      <w:r>
        <w:rPr>
          <w:rFonts w:cstheme="minorHAnsi"/>
          <w:iCs/>
          <w:color w:val="333333"/>
        </w:rPr>
        <w:t>Napal</w:t>
      </w:r>
      <w:proofErr w:type="spellEnd"/>
      <w:r>
        <w:rPr>
          <w:rFonts w:cstheme="minorHAnsi"/>
          <w:iCs/>
          <w:color w:val="333333"/>
        </w:rPr>
        <w:t xml:space="preserve">, O. </w:t>
      </w:r>
      <w:r w:rsidRPr="00E47EE5">
        <w:rPr>
          <w:rFonts w:cstheme="minorHAnsi"/>
          <w:iCs/>
          <w:color w:val="333333"/>
        </w:rPr>
        <w:t xml:space="preserve">Smith, </w:t>
      </w:r>
      <w:r>
        <w:rPr>
          <w:rFonts w:cstheme="minorHAnsi"/>
          <w:iCs/>
          <w:color w:val="333333"/>
        </w:rPr>
        <w:t>et al. (</w:t>
      </w:r>
      <w:r w:rsidRPr="00E47EE5">
        <w:rPr>
          <w:rFonts w:cstheme="minorHAnsi"/>
          <w:iCs/>
          <w:color w:val="333333"/>
        </w:rPr>
        <w:t>2015</w:t>
      </w:r>
      <w:r>
        <w:rPr>
          <w:rFonts w:cstheme="minorHAnsi"/>
          <w:iCs/>
          <w:color w:val="333333"/>
        </w:rPr>
        <w:t>)</w:t>
      </w:r>
      <w:r w:rsidRPr="00E47EE5">
        <w:rPr>
          <w:rFonts w:cstheme="minorHAnsi"/>
          <w:iCs/>
          <w:color w:val="333333"/>
        </w:rPr>
        <w:t> </w:t>
      </w:r>
      <w:r>
        <w:rPr>
          <w:rFonts w:cstheme="minorHAnsi"/>
          <w:iCs/>
          <w:color w:val="333333"/>
        </w:rPr>
        <w:t>“</w:t>
      </w:r>
      <w:r w:rsidRPr="00E47EE5">
        <w:rPr>
          <w:rStyle w:val="italic"/>
          <w:rFonts w:cstheme="minorHAnsi"/>
          <w:iCs/>
          <w:color w:val="333333"/>
        </w:rPr>
        <w:t>Going Universal : How 24 Developing Countries are Implementing Universal Health Coverage from the Bottom Up</w:t>
      </w:r>
      <w:r w:rsidRPr="00E47EE5">
        <w:rPr>
          <w:rFonts w:cstheme="minorHAnsi"/>
          <w:iCs/>
          <w:color w:val="333333"/>
        </w:rPr>
        <w:t>.</w:t>
      </w:r>
      <w:r>
        <w:rPr>
          <w:rFonts w:cstheme="minorHAnsi"/>
          <w:iCs/>
          <w:color w:val="333333"/>
        </w:rPr>
        <w:t>”</w:t>
      </w:r>
      <w:r w:rsidRPr="00E47EE5">
        <w:rPr>
          <w:rFonts w:cstheme="minorHAnsi"/>
          <w:iCs/>
          <w:color w:val="333333"/>
        </w:rPr>
        <w:t xml:space="preserve"> Washington, D</w:t>
      </w:r>
      <w:r>
        <w:rPr>
          <w:rFonts w:cstheme="minorHAnsi"/>
          <w:iCs/>
          <w:color w:val="333333"/>
        </w:rPr>
        <w:t>.</w:t>
      </w:r>
      <w:r w:rsidRPr="00E47EE5">
        <w:rPr>
          <w:rFonts w:cstheme="minorHAnsi"/>
          <w:iCs/>
          <w:color w:val="333333"/>
        </w:rPr>
        <w:t>C</w:t>
      </w:r>
      <w:r>
        <w:rPr>
          <w:rFonts w:cstheme="minorHAnsi"/>
          <w:iCs/>
          <w:color w:val="333333"/>
        </w:rPr>
        <w:t xml:space="preserve">.. The </w:t>
      </w:r>
      <w:r w:rsidRPr="00E47EE5">
        <w:rPr>
          <w:rFonts w:cstheme="minorHAnsi"/>
          <w:iCs/>
          <w:color w:val="333333"/>
        </w:rPr>
        <w:t>World Bank.</w:t>
      </w:r>
    </w:p>
    <w:p w14:paraId="52A9B208" w14:textId="11E59C4E" w:rsidR="005B26B9" w:rsidRPr="00F720E2" w:rsidRDefault="00B26443" w:rsidP="00F720E2">
      <w:pPr>
        <w:jc w:val="both"/>
        <w:rPr>
          <w:rFonts w:cstheme="minorHAnsi"/>
          <w:iCs/>
          <w:color w:val="333333"/>
        </w:rPr>
      </w:pPr>
      <w:r w:rsidRPr="00F720E2">
        <w:rPr>
          <w:rFonts w:cstheme="minorHAnsi"/>
          <w:iCs/>
          <w:color w:val="333333"/>
        </w:rPr>
        <w:t xml:space="preserve">Giedion, </w:t>
      </w:r>
      <w:r w:rsidR="00FA5112" w:rsidRPr="00F720E2">
        <w:rPr>
          <w:rFonts w:cstheme="minorHAnsi"/>
          <w:iCs/>
          <w:color w:val="333333"/>
        </w:rPr>
        <w:t>U</w:t>
      </w:r>
      <w:r w:rsidR="00C86B5F">
        <w:rPr>
          <w:rFonts w:cstheme="minorHAnsi"/>
          <w:iCs/>
          <w:color w:val="333333"/>
        </w:rPr>
        <w:t>.</w:t>
      </w:r>
      <w:r w:rsidR="00FA5112" w:rsidRPr="00F720E2">
        <w:rPr>
          <w:rFonts w:cstheme="minorHAnsi"/>
          <w:iCs/>
          <w:color w:val="333333"/>
        </w:rPr>
        <w:t>; I</w:t>
      </w:r>
      <w:r w:rsidR="00C86B5F">
        <w:rPr>
          <w:rFonts w:cstheme="minorHAnsi"/>
          <w:iCs/>
          <w:color w:val="333333"/>
        </w:rPr>
        <w:t>.</w:t>
      </w:r>
      <w:r w:rsidRPr="00F720E2">
        <w:rPr>
          <w:rFonts w:cstheme="minorHAnsi"/>
          <w:iCs/>
          <w:color w:val="333333"/>
        </w:rPr>
        <w:t xml:space="preserve"> </w:t>
      </w:r>
      <w:proofErr w:type="spellStart"/>
      <w:r w:rsidRPr="00F720E2">
        <w:rPr>
          <w:rFonts w:cstheme="minorHAnsi"/>
          <w:iCs/>
          <w:color w:val="333333"/>
        </w:rPr>
        <w:t>Tristao</w:t>
      </w:r>
      <w:proofErr w:type="spellEnd"/>
      <w:r w:rsidR="00FA5112" w:rsidRPr="00F720E2">
        <w:rPr>
          <w:rFonts w:cstheme="minorHAnsi"/>
          <w:iCs/>
          <w:color w:val="333333"/>
        </w:rPr>
        <w:t>;</w:t>
      </w:r>
      <w:r w:rsidRPr="00F720E2">
        <w:rPr>
          <w:rFonts w:cstheme="minorHAnsi"/>
          <w:iCs/>
          <w:color w:val="333333"/>
        </w:rPr>
        <w:t xml:space="preserve"> R</w:t>
      </w:r>
      <w:r w:rsidR="00FA5112" w:rsidRPr="00F720E2">
        <w:rPr>
          <w:rFonts w:cstheme="minorHAnsi"/>
          <w:iCs/>
          <w:color w:val="333333"/>
        </w:rPr>
        <w:t xml:space="preserve">. </w:t>
      </w:r>
      <w:proofErr w:type="spellStart"/>
      <w:r w:rsidRPr="00F720E2">
        <w:rPr>
          <w:rFonts w:cstheme="minorHAnsi"/>
          <w:iCs/>
          <w:color w:val="333333"/>
        </w:rPr>
        <w:t>Bitrán</w:t>
      </w:r>
      <w:proofErr w:type="spellEnd"/>
      <w:r w:rsidRPr="00F720E2">
        <w:rPr>
          <w:rFonts w:cstheme="minorHAnsi"/>
          <w:iCs/>
          <w:color w:val="333333"/>
        </w:rPr>
        <w:t>, O</w:t>
      </w:r>
      <w:r w:rsidR="00FA5112" w:rsidRPr="00F720E2">
        <w:rPr>
          <w:rFonts w:cstheme="minorHAnsi"/>
          <w:iCs/>
          <w:color w:val="333333"/>
        </w:rPr>
        <w:t>.</w:t>
      </w:r>
      <w:r w:rsidRPr="00F720E2">
        <w:rPr>
          <w:rFonts w:cstheme="minorHAnsi"/>
          <w:iCs/>
          <w:color w:val="333333"/>
        </w:rPr>
        <w:t xml:space="preserve"> </w:t>
      </w:r>
      <w:proofErr w:type="spellStart"/>
      <w:r w:rsidRPr="00F720E2">
        <w:rPr>
          <w:rFonts w:cstheme="minorHAnsi"/>
          <w:iCs/>
          <w:color w:val="333333"/>
        </w:rPr>
        <w:t>Cañón</w:t>
      </w:r>
      <w:proofErr w:type="spellEnd"/>
      <w:r w:rsidR="00FA5112" w:rsidRPr="00F720E2">
        <w:rPr>
          <w:rFonts w:cstheme="minorHAnsi"/>
          <w:iCs/>
          <w:color w:val="333333"/>
        </w:rPr>
        <w:t xml:space="preserve"> (2013) Making the Implicit Explicit: An</w:t>
      </w:r>
      <w:r w:rsidR="00473393">
        <w:rPr>
          <w:rFonts w:cstheme="minorHAnsi"/>
          <w:iCs/>
          <w:color w:val="333333"/>
        </w:rPr>
        <w:t xml:space="preserve"> </w:t>
      </w:r>
      <w:r w:rsidR="00FA5112" w:rsidRPr="00F720E2">
        <w:rPr>
          <w:rFonts w:cstheme="minorHAnsi"/>
          <w:iCs/>
          <w:color w:val="333333"/>
        </w:rPr>
        <w:t>Analysis of Seven Health Benefit</w:t>
      </w:r>
      <w:r w:rsidR="00473393">
        <w:rPr>
          <w:rFonts w:cstheme="minorHAnsi"/>
          <w:iCs/>
          <w:color w:val="333333"/>
        </w:rPr>
        <w:t xml:space="preserve"> </w:t>
      </w:r>
      <w:r w:rsidR="00FA5112" w:rsidRPr="00F720E2">
        <w:rPr>
          <w:rFonts w:cstheme="minorHAnsi"/>
          <w:iCs/>
          <w:color w:val="333333"/>
        </w:rPr>
        <w:t>Plans in Latin America. In “</w:t>
      </w:r>
      <w:r w:rsidR="005B26B9" w:rsidRPr="00F720E2">
        <w:rPr>
          <w:rFonts w:cstheme="minorHAnsi"/>
          <w:iCs/>
          <w:color w:val="333333"/>
        </w:rPr>
        <w:t>Health benefit plans in Latin America: a regional comparison</w:t>
      </w:r>
      <w:r w:rsidR="00FA5112" w:rsidRPr="00F720E2">
        <w:rPr>
          <w:rFonts w:cstheme="minorHAnsi"/>
          <w:iCs/>
          <w:color w:val="333333"/>
        </w:rPr>
        <w:t xml:space="preserve">” edited by </w:t>
      </w:r>
      <w:r w:rsidR="005B26B9" w:rsidRPr="00F720E2">
        <w:rPr>
          <w:rFonts w:cstheme="minorHAnsi"/>
          <w:iCs/>
          <w:color w:val="333333"/>
        </w:rPr>
        <w:t>Giedion,</w:t>
      </w:r>
      <w:r w:rsidR="00F720E2" w:rsidRPr="00F720E2">
        <w:rPr>
          <w:rFonts w:cstheme="minorHAnsi"/>
          <w:iCs/>
          <w:color w:val="333333"/>
        </w:rPr>
        <w:t xml:space="preserve"> U.; </w:t>
      </w:r>
      <w:r w:rsidR="005B26B9" w:rsidRPr="00F720E2">
        <w:rPr>
          <w:rFonts w:cstheme="minorHAnsi"/>
          <w:iCs/>
          <w:color w:val="333333"/>
        </w:rPr>
        <w:t>R</w:t>
      </w:r>
      <w:r w:rsidR="00F720E2" w:rsidRPr="00F720E2">
        <w:rPr>
          <w:rFonts w:cstheme="minorHAnsi"/>
          <w:iCs/>
          <w:color w:val="333333"/>
        </w:rPr>
        <w:t>.</w:t>
      </w:r>
      <w:r w:rsidR="005B26B9" w:rsidRPr="00F720E2">
        <w:rPr>
          <w:rFonts w:cstheme="minorHAnsi"/>
          <w:iCs/>
          <w:color w:val="333333"/>
        </w:rPr>
        <w:t xml:space="preserve"> </w:t>
      </w:r>
      <w:proofErr w:type="spellStart"/>
      <w:r w:rsidR="005B26B9" w:rsidRPr="00F720E2">
        <w:rPr>
          <w:rFonts w:cstheme="minorHAnsi"/>
          <w:iCs/>
          <w:color w:val="333333"/>
        </w:rPr>
        <w:t>Bitrán</w:t>
      </w:r>
      <w:proofErr w:type="spellEnd"/>
      <w:r w:rsidR="005B26B9" w:rsidRPr="00F720E2">
        <w:rPr>
          <w:rFonts w:cstheme="minorHAnsi"/>
          <w:iCs/>
          <w:color w:val="333333"/>
        </w:rPr>
        <w:t xml:space="preserve">, </w:t>
      </w:r>
      <w:r w:rsidR="00F720E2" w:rsidRPr="00F720E2">
        <w:rPr>
          <w:rFonts w:cstheme="minorHAnsi"/>
          <w:iCs/>
          <w:color w:val="333333"/>
        </w:rPr>
        <w:t xml:space="preserve">and </w:t>
      </w:r>
      <w:r w:rsidR="005B26B9" w:rsidRPr="00F720E2">
        <w:rPr>
          <w:rFonts w:cstheme="minorHAnsi"/>
          <w:iCs/>
          <w:color w:val="333333"/>
        </w:rPr>
        <w:t>I</w:t>
      </w:r>
      <w:r w:rsidR="00F720E2" w:rsidRPr="00F720E2">
        <w:rPr>
          <w:rFonts w:cstheme="minorHAnsi"/>
          <w:iCs/>
          <w:color w:val="333333"/>
        </w:rPr>
        <w:t xml:space="preserve">. </w:t>
      </w:r>
      <w:proofErr w:type="spellStart"/>
      <w:r w:rsidR="005B26B9" w:rsidRPr="00F720E2">
        <w:rPr>
          <w:rFonts w:cstheme="minorHAnsi"/>
          <w:iCs/>
          <w:color w:val="333333"/>
        </w:rPr>
        <w:t>Tristao</w:t>
      </w:r>
      <w:proofErr w:type="spellEnd"/>
      <w:r w:rsidR="005B26B9" w:rsidRPr="00F720E2">
        <w:rPr>
          <w:rFonts w:cstheme="minorHAnsi"/>
          <w:iCs/>
          <w:color w:val="333333"/>
        </w:rPr>
        <w:t>.</w:t>
      </w:r>
      <w:r w:rsidR="00FE718B" w:rsidRPr="00F720E2">
        <w:rPr>
          <w:rFonts w:cstheme="minorHAnsi"/>
          <w:iCs/>
          <w:color w:val="333333"/>
        </w:rPr>
        <w:t xml:space="preserve"> Inter-American Development Bank.</w:t>
      </w:r>
    </w:p>
    <w:p w14:paraId="2A718D6E" w14:textId="77777777" w:rsidR="009855B4" w:rsidRPr="00E47EE5" w:rsidRDefault="009855B4" w:rsidP="009855B4">
      <w:pPr>
        <w:jc w:val="both"/>
        <w:rPr>
          <w:rFonts w:eastAsia="Times New Roman" w:cstheme="minorHAnsi"/>
        </w:rPr>
      </w:pPr>
      <w:r w:rsidRPr="00E47EE5">
        <w:rPr>
          <w:rFonts w:eastAsia="Times New Roman" w:cstheme="minorHAnsi"/>
        </w:rPr>
        <w:t xml:space="preserve">Giuffrida, </w:t>
      </w:r>
      <w:proofErr w:type="spellStart"/>
      <w:r w:rsidRPr="00E47EE5">
        <w:rPr>
          <w:rFonts w:eastAsia="Times New Roman" w:cstheme="minorHAnsi"/>
        </w:rPr>
        <w:t>Jacab</w:t>
      </w:r>
      <w:proofErr w:type="spellEnd"/>
      <w:r w:rsidRPr="00E47EE5">
        <w:rPr>
          <w:rFonts w:eastAsia="Times New Roman" w:cstheme="minorHAnsi"/>
        </w:rPr>
        <w:t xml:space="preserve">, and Dale (2013) Toward Universal Coverage in Health: The Case of the State Guaranteed Benefit Package of the Kyrgyz Republic, UNICO Studies Series 17. The World Bank, Washington D.C.  </w:t>
      </w:r>
    </w:p>
    <w:p w14:paraId="2718979D" w14:textId="77777777" w:rsidR="009855B4" w:rsidRPr="00E47EE5" w:rsidRDefault="009855B4" w:rsidP="009855B4">
      <w:pPr>
        <w:jc w:val="both"/>
        <w:rPr>
          <w:rFonts w:cstheme="minorHAnsi"/>
        </w:rPr>
      </w:pPr>
      <w:r w:rsidRPr="00E47EE5">
        <w:rPr>
          <w:rFonts w:eastAsia="Times New Roman" w:cstheme="minorHAnsi"/>
          <w:color w:val="000000"/>
        </w:rPr>
        <w:t>Glassman, Giedion, and Smith</w:t>
      </w:r>
      <w:r w:rsidRPr="00E47EE5">
        <w:rPr>
          <w:rFonts w:cstheme="minorHAnsi"/>
        </w:rPr>
        <w:t xml:space="preserve"> (2017) The Health Benefits Package. Bringing Universal Health Coverage from Rhetoric to Reality. In “</w:t>
      </w:r>
      <w:r w:rsidRPr="00E47EE5">
        <w:rPr>
          <w:rFonts w:cstheme="minorHAnsi"/>
          <w:color w:val="000000"/>
        </w:rPr>
        <w:t>What's in, what's out : designing benefits for universal health coverage” edited by Amanda Glassman, Ursula Gie</w:t>
      </w:r>
      <w:r w:rsidRPr="00E47EE5">
        <w:rPr>
          <w:rFonts w:cstheme="minorHAnsi"/>
          <w:color w:val="000000"/>
        </w:rPr>
        <w:softHyphen/>
        <w:t>dion, and Peter C. Smith. Washington D</w:t>
      </w:r>
      <w:r>
        <w:rPr>
          <w:rFonts w:cstheme="minorHAnsi"/>
          <w:color w:val="000000"/>
        </w:rPr>
        <w:t>.</w:t>
      </w:r>
      <w:r w:rsidRPr="00E47EE5">
        <w:rPr>
          <w:rFonts w:cstheme="minorHAnsi"/>
          <w:color w:val="000000"/>
        </w:rPr>
        <w:t>C</w:t>
      </w:r>
      <w:r>
        <w:rPr>
          <w:rFonts w:cstheme="minorHAnsi"/>
          <w:color w:val="000000"/>
        </w:rPr>
        <w:t>.</w:t>
      </w:r>
      <w:r w:rsidRPr="00E47EE5">
        <w:rPr>
          <w:rFonts w:cstheme="minorHAnsi"/>
          <w:color w:val="000000"/>
        </w:rPr>
        <w:t xml:space="preserve"> Center For Global Develop</w:t>
      </w:r>
      <w:r w:rsidRPr="00E47EE5">
        <w:rPr>
          <w:rFonts w:cstheme="minorHAnsi"/>
          <w:color w:val="000000"/>
        </w:rPr>
        <w:softHyphen/>
        <w:t>ment</w:t>
      </w:r>
      <w:r>
        <w:rPr>
          <w:rFonts w:cstheme="minorHAnsi"/>
          <w:color w:val="000000"/>
        </w:rPr>
        <w:t>.</w:t>
      </w:r>
      <w:r w:rsidRPr="00E47EE5">
        <w:rPr>
          <w:rFonts w:cstheme="minorHAnsi"/>
          <w:color w:val="000000"/>
        </w:rPr>
        <w:t xml:space="preserve"> </w:t>
      </w:r>
    </w:p>
    <w:p w14:paraId="166E5626" w14:textId="5E5EACC0" w:rsidR="009855B4" w:rsidRDefault="009855B4" w:rsidP="009855B4">
      <w:pPr>
        <w:jc w:val="both"/>
        <w:rPr>
          <w:rFonts w:cstheme="minorHAnsi"/>
          <w:color w:val="000000"/>
        </w:rPr>
      </w:pPr>
      <w:bookmarkStart w:id="16" w:name="_Hlk10215183"/>
      <w:r w:rsidRPr="00AD653A">
        <w:rPr>
          <w:rFonts w:cstheme="minorHAnsi"/>
          <w:color w:val="000000"/>
        </w:rPr>
        <w:t>González-Pier</w:t>
      </w:r>
      <w:bookmarkEnd w:id="16"/>
      <w:r w:rsidRPr="00AD653A">
        <w:rPr>
          <w:rFonts w:cstheme="minorHAnsi"/>
          <w:color w:val="000000"/>
        </w:rPr>
        <w:t>, Eduardo (2017) Revisiting and Reformulating. How Explicit Benefit Packages Have Helped Mexico Move toward Universal Health Coverage</w:t>
      </w:r>
      <w:r>
        <w:rPr>
          <w:rFonts w:cstheme="minorHAnsi"/>
          <w:color w:val="000000"/>
        </w:rPr>
        <w:t>, i</w:t>
      </w:r>
      <w:r w:rsidRPr="00E47EE5">
        <w:rPr>
          <w:rFonts w:cstheme="minorHAnsi"/>
        </w:rPr>
        <w:t>n “</w:t>
      </w:r>
      <w:r w:rsidRPr="00E47EE5">
        <w:rPr>
          <w:rFonts w:cstheme="minorHAnsi"/>
          <w:color w:val="000000"/>
        </w:rPr>
        <w:t>What's in, what's out : designing benefits for universal health coverage” edited by Amanda Glassman, Ursula Gie</w:t>
      </w:r>
      <w:r w:rsidRPr="00E47EE5">
        <w:rPr>
          <w:rFonts w:cstheme="minorHAnsi"/>
          <w:color w:val="000000"/>
        </w:rPr>
        <w:softHyphen/>
        <w:t>dion, and Peter C. Smith. Washington D</w:t>
      </w:r>
      <w:r>
        <w:rPr>
          <w:rFonts w:cstheme="minorHAnsi"/>
          <w:color w:val="000000"/>
        </w:rPr>
        <w:t>.</w:t>
      </w:r>
      <w:r w:rsidRPr="00E47EE5">
        <w:rPr>
          <w:rFonts w:cstheme="minorHAnsi"/>
          <w:color w:val="000000"/>
        </w:rPr>
        <w:t>C</w:t>
      </w:r>
      <w:r>
        <w:rPr>
          <w:rFonts w:cstheme="minorHAnsi"/>
          <w:color w:val="000000"/>
        </w:rPr>
        <w:t>.</w:t>
      </w:r>
      <w:r w:rsidRPr="00E47EE5">
        <w:rPr>
          <w:rFonts w:cstheme="minorHAnsi"/>
          <w:color w:val="000000"/>
        </w:rPr>
        <w:t xml:space="preserve"> Center For Global Develop</w:t>
      </w:r>
      <w:r w:rsidRPr="00E47EE5">
        <w:rPr>
          <w:rFonts w:cstheme="minorHAnsi"/>
          <w:color w:val="000000"/>
        </w:rPr>
        <w:softHyphen/>
        <w:t>ment</w:t>
      </w:r>
      <w:r>
        <w:rPr>
          <w:rFonts w:cstheme="minorHAnsi"/>
          <w:color w:val="000000"/>
        </w:rPr>
        <w:t>.</w:t>
      </w:r>
      <w:r w:rsidRPr="00E47EE5">
        <w:rPr>
          <w:rFonts w:cstheme="minorHAnsi"/>
          <w:color w:val="000000"/>
        </w:rPr>
        <w:t xml:space="preserve"> </w:t>
      </w:r>
    </w:p>
    <w:p w14:paraId="673280B0" w14:textId="77777777" w:rsidR="009855B4" w:rsidRPr="00E47EE5" w:rsidRDefault="009855B4" w:rsidP="009855B4">
      <w:pPr>
        <w:jc w:val="both"/>
        <w:rPr>
          <w:rFonts w:cstheme="minorHAnsi"/>
        </w:rPr>
      </w:pPr>
      <w:r w:rsidRPr="00E47EE5">
        <w:rPr>
          <w:rFonts w:cstheme="minorHAnsi"/>
        </w:rPr>
        <w:t xml:space="preserve">Government of the Kyrgyz Republic (2015). The state guarantee program for the provision of health care to the people. Resolution № 790, November. </w:t>
      </w:r>
    </w:p>
    <w:p w14:paraId="6404EF97" w14:textId="21CEA5FC" w:rsidR="002F288F" w:rsidRDefault="002F288F" w:rsidP="00E47EE5">
      <w:pPr>
        <w:jc w:val="both"/>
        <w:rPr>
          <w:rFonts w:cstheme="minorHAnsi"/>
        </w:rPr>
      </w:pPr>
      <w:r w:rsidRPr="00E47EE5">
        <w:rPr>
          <w:rFonts w:cstheme="minorHAnsi"/>
        </w:rPr>
        <w:t>Ibraimova</w:t>
      </w:r>
      <w:r w:rsidR="00A526E0" w:rsidRPr="00E47EE5">
        <w:rPr>
          <w:rFonts w:cstheme="minorHAnsi"/>
        </w:rPr>
        <w:t>,</w:t>
      </w:r>
      <w:r w:rsidRPr="00E47EE5">
        <w:rPr>
          <w:rFonts w:cstheme="minorHAnsi"/>
        </w:rPr>
        <w:t xml:space="preserve"> </w:t>
      </w:r>
      <w:r w:rsidR="00A526E0" w:rsidRPr="00E47EE5">
        <w:rPr>
          <w:rFonts w:cstheme="minorHAnsi"/>
        </w:rPr>
        <w:t>A. (201</w:t>
      </w:r>
      <w:r w:rsidR="00EB10FA" w:rsidRPr="00E47EE5">
        <w:rPr>
          <w:rFonts w:cstheme="minorHAnsi"/>
        </w:rPr>
        <w:t>1</w:t>
      </w:r>
      <w:r w:rsidR="00A526E0" w:rsidRPr="00E47EE5">
        <w:rPr>
          <w:rFonts w:cstheme="minorHAnsi"/>
        </w:rPr>
        <w:t>) Kyrgyzstan</w:t>
      </w:r>
      <w:r w:rsidR="001E5E90" w:rsidRPr="00E47EE5">
        <w:rPr>
          <w:rFonts w:cstheme="minorHAnsi"/>
        </w:rPr>
        <w:t>:</w:t>
      </w:r>
      <w:r w:rsidR="00A526E0" w:rsidRPr="00E47EE5">
        <w:rPr>
          <w:rFonts w:cstheme="minorHAnsi"/>
        </w:rPr>
        <w:t xml:space="preserve"> A Regional Leader in Health </w:t>
      </w:r>
      <w:r w:rsidR="001E5E90" w:rsidRPr="00E47EE5">
        <w:rPr>
          <w:rFonts w:cstheme="minorHAnsi"/>
        </w:rPr>
        <w:t xml:space="preserve">System </w:t>
      </w:r>
      <w:r w:rsidR="00A526E0" w:rsidRPr="00E47EE5">
        <w:rPr>
          <w:rFonts w:cstheme="minorHAnsi"/>
        </w:rPr>
        <w:t>Reform</w:t>
      </w:r>
      <w:r w:rsidR="00BD69D3" w:rsidRPr="00E47EE5">
        <w:rPr>
          <w:rFonts w:cstheme="minorHAnsi"/>
        </w:rPr>
        <w:t>. In “‘Good health at low cost</w:t>
      </w:r>
      <w:r w:rsidR="00E47EE5">
        <w:rPr>
          <w:rFonts w:cstheme="minorHAnsi"/>
        </w:rPr>
        <w:t xml:space="preserve"> </w:t>
      </w:r>
      <w:r w:rsidR="00BD69D3" w:rsidRPr="00E47EE5">
        <w:rPr>
          <w:rFonts w:cstheme="minorHAnsi"/>
        </w:rPr>
        <w:t xml:space="preserve">25 years on. What makes an effective health system?” edited by </w:t>
      </w:r>
      <w:proofErr w:type="spellStart"/>
      <w:r w:rsidR="00BD69D3" w:rsidRPr="00E47EE5">
        <w:rPr>
          <w:rFonts w:cstheme="minorHAnsi"/>
        </w:rPr>
        <w:t>Balabanova</w:t>
      </w:r>
      <w:proofErr w:type="spellEnd"/>
      <w:r w:rsidR="00BD69D3" w:rsidRPr="00E47EE5">
        <w:rPr>
          <w:rFonts w:cstheme="minorHAnsi"/>
        </w:rPr>
        <w:t xml:space="preserve"> D, McKee M and Mills A. London: London School of Hygiene &amp; Tropical Medicine</w:t>
      </w:r>
      <w:r w:rsidR="00EB10FA" w:rsidRPr="00E47EE5">
        <w:rPr>
          <w:rFonts w:cstheme="minorHAnsi"/>
        </w:rPr>
        <w:t>.</w:t>
      </w:r>
    </w:p>
    <w:p w14:paraId="00F491C9" w14:textId="77777777" w:rsidR="009855B4" w:rsidRPr="00E47EE5" w:rsidRDefault="009855B4" w:rsidP="009855B4">
      <w:pPr>
        <w:jc w:val="both"/>
        <w:rPr>
          <w:rFonts w:cstheme="minorHAnsi"/>
        </w:rPr>
      </w:pPr>
      <w:r w:rsidRPr="00E47EE5">
        <w:rPr>
          <w:rFonts w:cstheme="minorHAnsi"/>
        </w:rPr>
        <w:t>Jamal, S., and M. Jakab (2013) Who Benefits from the State Guaranteed Benefit Package in Kyrgyzstan? WHO Health Financing Policy Paper Series, Geneva.</w:t>
      </w:r>
    </w:p>
    <w:p w14:paraId="55FED7F5" w14:textId="77777777" w:rsidR="009855B4" w:rsidRPr="00AD653A" w:rsidRDefault="009855B4" w:rsidP="009855B4">
      <w:pPr>
        <w:jc w:val="both"/>
        <w:rPr>
          <w:rFonts w:cstheme="minorHAnsi"/>
        </w:rPr>
      </w:pPr>
      <w:r w:rsidRPr="00AD653A">
        <w:rPr>
          <w:rFonts w:cstheme="minorHAnsi"/>
        </w:rPr>
        <w:t>Institute of Medicine</w:t>
      </w:r>
      <w:r>
        <w:rPr>
          <w:rFonts w:cstheme="minorHAnsi"/>
        </w:rPr>
        <w:t xml:space="preserve"> (</w:t>
      </w:r>
      <w:r w:rsidRPr="00AD653A">
        <w:rPr>
          <w:rFonts w:cstheme="minorHAnsi"/>
        </w:rPr>
        <w:t>2012</w:t>
      </w:r>
      <w:r>
        <w:rPr>
          <w:rFonts w:cstheme="minorHAnsi"/>
        </w:rPr>
        <w:t>)</w:t>
      </w:r>
      <w:r w:rsidRPr="00AD653A">
        <w:rPr>
          <w:rFonts w:cstheme="minorHAnsi"/>
        </w:rPr>
        <w:t xml:space="preserve"> “</w:t>
      </w:r>
      <w:r w:rsidRPr="00AD653A">
        <w:rPr>
          <w:rFonts w:cstheme="minorHAnsi"/>
          <w:iCs/>
        </w:rPr>
        <w:t xml:space="preserve">Essential Health Benefits: Balancing Coverage and Cost.” </w:t>
      </w:r>
      <w:r w:rsidRPr="00AD653A">
        <w:rPr>
          <w:rFonts w:cstheme="minorHAnsi"/>
        </w:rPr>
        <w:t>Washington, DC: The National Academies Press.</w:t>
      </w:r>
    </w:p>
    <w:p w14:paraId="15F8B740" w14:textId="77777777" w:rsidR="009855B4" w:rsidRPr="00E47EE5" w:rsidRDefault="009855B4" w:rsidP="009855B4">
      <w:pPr>
        <w:jc w:val="both"/>
        <w:rPr>
          <w:rFonts w:eastAsia="Times New Roman" w:cstheme="minorHAnsi"/>
        </w:rPr>
      </w:pPr>
      <w:proofErr w:type="spellStart"/>
      <w:r w:rsidRPr="00E47EE5">
        <w:rPr>
          <w:rFonts w:eastAsia="Times New Roman" w:cstheme="minorHAnsi"/>
        </w:rPr>
        <w:t>Jacab</w:t>
      </w:r>
      <w:proofErr w:type="spellEnd"/>
      <w:r w:rsidRPr="00E47EE5">
        <w:rPr>
          <w:rFonts w:eastAsia="Times New Roman" w:cstheme="minorHAnsi"/>
        </w:rPr>
        <w:t xml:space="preserve">, M., B. Akkazieva, and J. </w:t>
      </w:r>
      <w:proofErr w:type="spellStart"/>
      <w:r w:rsidRPr="00E47EE5">
        <w:rPr>
          <w:rFonts w:eastAsia="Times New Roman" w:cstheme="minorHAnsi"/>
        </w:rPr>
        <w:t>Kutzin</w:t>
      </w:r>
      <w:proofErr w:type="spellEnd"/>
      <w:r w:rsidRPr="00E47EE5">
        <w:rPr>
          <w:rFonts w:eastAsia="Times New Roman" w:cstheme="minorHAnsi"/>
        </w:rPr>
        <w:t xml:space="preserve"> (2016) Can reductions in informal payments be sustained? Evidence from Kyrgyzstan 2001–2013. Health Financing Policy Papers. World Health Organization</w:t>
      </w:r>
    </w:p>
    <w:p w14:paraId="67244409" w14:textId="77777777" w:rsidR="009855B4" w:rsidRPr="00AD653A" w:rsidRDefault="009855B4" w:rsidP="009855B4">
      <w:pPr>
        <w:jc w:val="both"/>
        <w:rPr>
          <w:rFonts w:cstheme="minorHAnsi"/>
          <w:color w:val="000000"/>
        </w:rPr>
      </w:pPr>
      <w:proofErr w:type="spellStart"/>
      <w:r w:rsidRPr="00AD653A">
        <w:rPr>
          <w:rFonts w:cstheme="minorHAnsi"/>
          <w:color w:val="000000"/>
        </w:rPr>
        <w:t>Kutzin</w:t>
      </w:r>
      <w:proofErr w:type="spellEnd"/>
      <w:r w:rsidRPr="00AD653A">
        <w:rPr>
          <w:rFonts w:cstheme="minorHAnsi"/>
          <w:color w:val="000000"/>
        </w:rPr>
        <w:t xml:space="preserve"> J et al. (2002). Innovations in resource allocation, pooling and purchasing in the Kyrgyz health system. Bishkek, World Health Organization and Health Policy Analysis Center (Policy Research Paper No. 21).</w:t>
      </w:r>
    </w:p>
    <w:p w14:paraId="4F740BD7" w14:textId="5EFD40C8" w:rsidR="00962238" w:rsidRPr="00E47EE5" w:rsidRDefault="00962238" w:rsidP="00E47EE5">
      <w:pPr>
        <w:jc w:val="both"/>
        <w:rPr>
          <w:rFonts w:cstheme="minorHAnsi"/>
        </w:rPr>
      </w:pPr>
      <w:r w:rsidRPr="00E47EE5">
        <w:rPr>
          <w:rFonts w:cstheme="minorHAnsi"/>
        </w:rPr>
        <w:t xml:space="preserve">O’Dougherty, S. and B. Akkazieva (2016) </w:t>
      </w:r>
      <w:r w:rsidR="00A67446" w:rsidRPr="00E47EE5">
        <w:rPr>
          <w:rFonts w:cstheme="minorHAnsi"/>
        </w:rPr>
        <w:t>Integration of Specialized Services into SGBP Including Link to Strengthening Purchasing</w:t>
      </w:r>
      <w:r w:rsidR="00A67446" w:rsidRPr="00E47EE5">
        <w:rPr>
          <w:rFonts w:eastAsia="Times New Roman" w:cstheme="minorHAnsi"/>
        </w:rPr>
        <w:t xml:space="preserve"> Arrangements</w:t>
      </w:r>
      <w:r w:rsidRPr="00E47EE5">
        <w:rPr>
          <w:rFonts w:eastAsia="Times New Roman" w:cstheme="minorHAnsi"/>
        </w:rPr>
        <w:t>. Technical report.</w:t>
      </w:r>
      <w:r w:rsidR="00C32F95">
        <w:rPr>
          <w:rFonts w:eastAsia="Times New Roman" w:cstheme="minorHAnsi"/>
        </w:rPr>
        <w:t xml:space="preserve"> World Health Organization. </w:t>
      </w:r>
      <w:r w:rsidR="00A67446" w:rsidRPr="00E47EE5">
        <w:rPr>
          <w:rFonts w:eastAsia="Times New Roman" w:cstheme="minorHAnsi"/>
        </w:rPr>
        <w:t xml:space="preserve"> </w:t>
      </w:r>
    </w:p>
    <w:p w14:paraId="593B7DE6" w14:textId="3AA3C120" w:rsidR="00595202" w:rsidRDefault="00595202" w:rsidP="00E47EE5">
      <w:pPr>
        <w:jc w:val="both"/>
        <w:rPr>
          <w:rFonts w:cstheme="minorHAnsi"/>
        </w:rPr>
      </w:pPr>
      <w:proofErr w:type="spellStart"/>
      <w:r w:rsidRPr="00E47EE5">
        <w:rPr>
          <w:rFonts w:cstheme="minorHAnsi"/>
        </w:rPr>
        <w:t>Manjieva</w:t>
      </w:r>
      <w:proofErr w:type="spellEnd"/>
      <w:r w:rsidRPr="00E47EE5">
        <w:rPr>
          <w:rFonts w:cstheme="minorHAnsi"/>
        </w:rPr>
        <w:t xml:space="preserve">, E., U. </w:t>
      </w:r>
      <w:proofErr w:type="spellStart"/>
      <w:r w:rsidRPr="00E47EE5">
        <w:rPr>
          <w:rFonts w:cstheme="minorHAnsi"/>
        </w:rPr>
        <w:t>Narmanbetov</w:t>
      </w:r>
      <w:proofErr w:type="spellEnd"/>
      <w:r w:rsidRPr="00E47EE5">
        <w:rPr>
          <w:rFonts w:cstheme="minorHAnsi"/>
        </w:rPr>
        <w:t>, N. Kadyrova, and M. Jakab</w:t>
      </w:r>
      <w:r w:rsidR="00C32F95">
        <w:rPr>
          <w:rFonts w:cstheme="minorHAnsi"/>
        </w:rPr>
        <w:t xml:space="preserve"> (</w:t>
      </w:r>
      <w:r w:rsidRPr="00E47EE5">
        <w:rPr>
          <w:rFonts w:cstheme="minorHAnsi"/>
        </w:rPr>
        <w:t>2007</w:t>
      </w:r>
      <w:r w:rsidR="00C32F95">
        <w:rPr>
          <w:rFonts w:cstheme="minorHAnsi"/>
        </w:rPr>
        <w:t>)</w:t>
      </w:r>
      <w:r w:rsidRPr="00E47EE5">
        <w:rPr>
          <w:rFonts w:cstheme="minorHAnsi"/>
        </w:rPr>
        <w:t xml:space="preserve"> “Analysis of the Medium-Term Financial Sustainability of the State Guaranteed Benefits Package.” World Health Organization and Health Policy Analysis Center, Policy Research Paper No. 43, Bishkek.</w:t>
      </w:r>
    </w:p>
    <w:p w14:paraId="7E1AE0A4" w14:textId="307B77EE" w:rsidR="00E52DA8" w:rsidRPr="00EA2BEB" w:rsidRDefault="00E52DA8" w:rsidP="00EA2BEB">
      <w:pPr>
        <w:spacing w:after="0" w:line="240" w:lineRule="auto"/>
        <w:jc w:val="both"/>
        <w:rPr>
          <w:rFonts w:cstheme="minorHAnsi"/>
          <w:sz w:val="20"/>
          <w:szCs w:val="20"/>
        </w:rPr>
      </w:pPr>
      <w:r w:rsidRPr="00EA2BEB">
        <w:rPr>
          <w:rFonts w:cstheme="minorHAnsi"/>
          <w:sz w:val="20"/>
          <w:szCs w:val="20"/>
        </w:rPr>
        <w:t xml:space="preserve">Mutual Information System on Social Protection' (2016) </w:t>
      </w:r>
      <w:r w:rsidR="00EA2BEB" w:rsidRPr="00EA2BEB">
        <w:rPr>
          <w:rFonts w:cstheme="minorHAnsi"/>
          <w:sz w:val="20"/>
          <w:szCs w:val="20"/>
        </w:rPr>
        <w:t xml:space="preserve">accessed at </w:t>
      </w:r>
      <w:hyperlink r:id="rId22" w:history="1">
        <w:r w:rsidRPr="00EA2BEB">
          <w:rPr>
            <w:rStyle w:val="Hyperlink"/>
            <w:rFonts w:cstheme="minorHAnsi"/>
            <w:sz w:val="20"/>
            <w:szCs w:val="20"/>
          </w:rPr>
          <w:t>http://www.missoc.org/MISSOC/</w:t>
        </w:r>
      </w:hyperlink>
      <w:r w:rsidR="00EA2BEB" w:rsidRPr="00EA2BEB">
        <w:rPr>
          <w:rFonts w:cstheme="minorHAnsi"/>
          <w:sz w:val="20"/>
          <w:szCs w:val="20"/>
        </w:rPr>
        <w:t xml:space="preserve"> on September 15 2016.</w:t>
      </w:r>
    </w:p>
    <w:p w14:paraId="4DA08548" w14:textId="77777777" w:rsidR="00EA2BEB" w:rsidRDefault="00EA2BEB" w:rsidP="009855B4">
      <w:pPr>
        <w:jc w:val="both"/>
        <w:rPr>
          <w:rFonts w:cstheme="minorHAnsi"/>
        </w:rPr>
      </w:pPr>
    </w:p>
    <w:p w14:paraId="33A75702" w14:textId="3FEEF7AD" w:rsidR="009855B4" w:rsidRPr="00AD653A" w:rsidRDefault="009855B4" w:rsidP="009855B4">
      <w:pPr>
        <w:jc w:val="both"/>
        <w:rPr>
          <w:rFonts w:cstheme="minorHAnsi"/>
        </w:rPr>
      </w:pPr>
      <w:r w:rsidRPr="00AD653A">
        <w:rPr>
          <w:rFonts w:cstheme="minorHAnsi"/>
        </w:rPr>
        <w:t>Paris, V., E. Hewlett, J. Alexa, and L. Simon</w:t>
      </w:r>
      <w:r>
        <w:rPr>
          <w:rFonts w:cstheme="minorHAnsi"/>
        </w:rPr>
        <w:t xml:space="preserve"> (</w:t>
      </w:r>
      <w:r w:rsidRPr="00AD653A">
        <w:rPr>
          <w:rFonts w:cstheme="minorHAnsi"/>
        </w:rPr>
        <w:t>2016</w:t>
      </w:r>
      <w:r>
        <w:rPr>
          <w:rFonts w:cstheme="minorHAnsi"/>
        </w:rPr>
        <w:t>)</w:t>
      </w:r>
      <w:r w:rsidRPr="00AD653A">
        <w:rPr>
          <w:rFonts w:cstheme="minorHAnsi"/>
        </w:rPr>
        <w:t xml:space="preserve"> Health care coverage in the OECD countries in 2012.</w:t>
      </w:r>
      <w:r>
        <w:rPr>
          <w:rFonts w:cstheme="minorHAnsi"/>
        </w:rPr>
        <w:t xml:space="preserve"> </w:t>
      </w:r>
      <w:r w:rsidRPr="00AD653A">
        <w:rPr>
          <w:rFonts w:cstheme="minorHAnsi"/>
        </w:rPr>
        <w:t>OECD Health Working Papers No. 88, Paris: OECD.</w:t>
      </w:r>
    </w:p>
    <w:p w14:paraId="20D339DF" w14:textId="3E866CD9" w:rsidR="00CD6988" w:rsidRPr="00E47EE5" w:rsidRDefault="00EF7D41" w:rsidP="00E47EE5">
      <w:pPr>
        <w:jc w:val="both"/>
        <w:rPr>
          <w:rFonts w:eastAsia="Times New Roman" w:cstheme="minorHAnsi"/>
        </w:rPr>
      </w:pPr>
      <w:r w:rsidRPr="00E47EE5">
        <w:rPr>
          <w:rFonts w:eastAsia="Times New Roman" w:cstheme="minorHAnsi"/>
        </w:rPr>
        <w:t xml:space="preserve">The World Bank (2019a) </w:t>
      </w:r>
      <w:r w:rsidR="00CD6988" w:rsidRPr="00E47EE5">
        <w:rPr>
          <w:rFonts w:eastAsia="Times New Roman" w:cstheme="minorHAnsi"/>
        </w:rPr>
        <w:t>Identifying Bottlenecks in Service Delivery: Diabetes Care in the Kyrgyz Republic. Technical report. Washington D.C.</w:t>
      </w:r>
    </w:p>
    <w:p w14:paraId="760A08EB" w14:textId="78E17A04" w:rsidR="00EF7D41" w:rsidRPr="00E47EE5" w:rsidRDefault="00B62C70" w:rsidP="00E47EE5">
      <w:pPr>
        <w:jc w:val="both"/>
        <w:rPr>
          <w:rFonts w:eastAsia="Times New Roman" w:cstheme="minorHAnsi"/>
        </w:rPr>
      </w:pPr>
      <w:r w:rsidRPr="00E47EE5">
        <w:rPr>
          <w:rFonts w:eastAsia="Times New Roman" w:cstheme="minorHAnsi"/>
        </w:rPr>
        <w:t xml:space="preserve">The World Bank </w:t>
      </w:r>
      <w:r w:rsidR="00C8517A" w:rsidRPr="00E47EE5">
        <w:rPr>
          <w:rFonts w:eastAsia="Times New Roman" w:cstheme="minorHAnsi"/>
        </w:rPr>
        <w:t xml:space="preserve">(2019b) Costing of inpatient services. </w:t>
      </w:r>
      <w:r w:rsidR="00C84EE8" w:rsidRPr="00E47EE5">
        <w:rPr>
          <w:rFonts w:eastAsia="Times New Roman" w:cstheme="minorHAnsi"/>
        </w:rPr>
        <w:t>Draft report (forthcoming)</w:t>
      </w:r>
    </w:p>
    <w:p w14:paraId="74951833" w14:textId="787E1635" w:rsidR="000F3BC5" w:rsidRPr="00E47EE5" w:rsidRDefault="000F3BC5" w:rsidP="00E47EE5">
      <w:pPr>
        <w:jc w:val="both"/>
        <w:rPr>
          <w:rFonts w:cstheme="minorHAnsi"/>
        </w:rPr>
      </w:pPr>
      <w:r w:rsidRPr="00E47EE5">
        <w:rPr>
          <w:rFonts w:cstheme="minorHAnsi"/>
        </w:rPr>
        <w:t xml:space="preserve">The World Bank (2014) </w:t>
      </w:r>
      <w:r w:rsidR="00121F9A" w:rsidRPr="00E47EE5">
        <w:rPr>
          <w:rFonts w:cstheme="minorHAnsi"/>
        </w:rPr>
        <w:t>Kyrgyz Republic</w:t>
      </w:r>
      <w:r w:rsidR="007610BE" w:rsidRPr="00E47EE5">
        <w:rPr>
          <w:rFonts w:cstheme="minorHAnsi"/>
        </w:rPr>
        <w:t xml:space="preserve">: </w:t>
      </w:r>
      <w:r w:rsidR="00121F9A" w:rsidRPr="00E47EE5">
        <w:rPr>
          <w:rFonts w:cstheme="minorHAnsi"/>
        </w:rPr>
        <w:t>Public Expenditure Review Policy Notes</w:t>
      </w:r>
      <w:r w:rsidR="007610BE" w:rsidRPr="00E47EE5">
        <w:rPr>
          <w:rFonts w:cstheme="minorHAnsi"/>
        </w:rPr>
        <w:t xml:space="preserve">, </w:t>
      </w:r>
      <w:r w:rsidR="00121F9A" w:rsidRPr="00E47EE5">
        <w:rPr>
          <w:rFonts w:cstheme="minorHAnsi"/>
        </w:rPr>
        <w:t>Health. Report No. 88979</w:t>
      </w:r>
      <w:r w:rsidR="007610BE" w:rsidRPr="00E47EE5">
        <w:rPr>
          <w:rFonts w:cstheme="minorHAnsi"/>
        </w:rPr>
        <w:t>. Washington D.C.</w:t>
      </w:r>
    </w:p>
    <w:p w14:paraId="1826F42E" w14:textId="404DD857" w:rsidR="00493B6D" w:rsidRPr="00E47EE5" w:rsidRDefault="00493B6D" w:rsidP="00E47EE5">
      <w:pPr>
        <w:jc w:val="both"/>
        <w:rPr>
          <w:rFonts w:cstheme="minorHAnsi"/>
        </w:rPr>
      </w:pPr>
      <w:r w:rsidRPr="00E47EE5">
        <w:rPr>
          <w:rFonts w:cstheme="minorHAnsi"/>
        </w:rPr>
        <w:t xml:space="preserve">World Health Organization (2013) </w:t>
      </w:r>
      <w:r w:rsidRPr="00E47EE5">
        <w:rPr>
          <w:rFonts w:cstheme="minorHAnsi"/>
          <w:noProof/>
        </w:rPr>
        <w:t>STEPwise</w:t>
      </w:r>
      <w:r w:rsidRPr="00E47EE5">
        <w:rPr>
          <w:rFonts w:cstheme="minorHAnsi"/>
        </w:rPr>
        <w:t xml:space="preserve"> approach to surveillance (STEPS)</w:t>
      </w:r>
      <w:r w:rsidR="00A45DB7" w:rsidRPr="00E47EE5">
        <w:rPr>
          <w:rFonts w:cstheme="minorHAnsi"/>
        </w:rPr>
        <w:t>. Unpublished report.</w:t>
      </w:r>
    </w:p>
    <w:p w14:paraId="4A112993" w14:textId="7B61C805" w:rsidR="002314B8" w:rsidRPr="00E47EE5" w:rsidRDefault="002314B8" w:rsidP="00E47EE5">
      <w:pPr>
        <w:jc w:val="both"/>
        <w:rPr>
          <w:rFonts w:cstheme="minorHAnsi"/>
          <w:color w:val="000000"/>
        </w:rPr>
      </w:pPr>
    </w:p>
    <w:p w14:paraId="73CCABA6" w14:textId="62C82517" w:rsidR="00382A1A" w:rsidRPr="00E47EE5" w:rsidRDefault="00382A1A" w:rsidP="00E47EE5">
      <w:pPr>
        <w:jc w:val="both"/>
        <w:rPr>
          <w:rFonts w:cstheme="minorHAnsi"/>
          <w:color w:val="000000"/>
        </w:rPr>
      </w:pPr>
    </w:p>
    <w:p w14:paraId="0AFD766B" w14:textId="1FFC8239" w:rsidR="002314B8" w:rsidRDefault="002314B8" w:rsidP="00363D34">
      <w:pPr>
        <w:spacing w:line="240" w:lineRule="auto"/>
        <w:rPr>
          <w:rFonts w:cstheme="minorHAnsi"/>
          <w:color w:val="000000"/>
        </w:rPr>
      </w:pPr>
      <w:r>
        <w:rPr>
          <w:rFonts w:cstheme="minorHAnsi"/>
          <w:color w:val="000000"/>
        </w:rPr>
        <w:br w:type="page"/>
      </w:r>
    </w:p>
    <w:p w14:paraId="323ADCE4" w14:textId="3C4F3BBD" w:rsidR="00E2482F" w:rsidRPr="00E6167F" w:rsidRDefault="007D1BE5" w:rsidP="00D92F7A">
      <w:pPr>
        <w:pStyle w:val="Heading1"/>
        <w:numPr>
          <w:ilvl w:val="0"/>
          <w:numId w:val="0"/>
        </w:numPr>
        <w:rPr>
          <w:rFonts w:cstheme="minorHAnsi"/>
          <w:color w:val="000000"/>
        </w:rPr>
      </w:pPr>
      <w:bookmarkStart w:id="17" w:name="_Toc10477901"/>
      <w:r w:rsidRPr="007D1BE5">
        <w:rPr>
          <w:rFonts w:ascii="Calibri" w:hAnsi="Calibri" w:cs="Calibri"/>
          <w:color w:val="1F4E79" w:themeColor="accent1" w:themeShade="80"/>
        </w:rPr>
        <w:lastRenderedPageBreak/>
        <w:t>Annex</w:t>
      </w:r>
      <w:r w:rsidR="009855B4">
        <w:rPr>
          <w:rFonts w:ascii="Calibri" w:hAnsi="Calibri" w:cs="Calibri"/>
          <w:color w:val="1F4E79" w:themeColor="accent1" w:themeShade="80"/>
        </w:rPr>
        <w:t xml:space="preserve"> 1. C</w:t>
      </w:r>
      <w:r w:rsidR="00FF4FBE" w:rsidRPr="009855B4">
        <w:rPr>
          <w:rFonts w:ascii="Calibri" w:hAnsi="Calibri" w:cs="Calibri"/>
          <w:color w:val="1F4E79" w:themeColor="accent1" w:themeShade="80"/>
        </w:rPr>
        <w:t>ategories of population eligible for copayment reduction and exemption</w:t>
      </w:r>
      <w:bookmarkEnd w:id="17"/>
      <w:r w:rsidR="00FF4FBE" w:rsidRPr="00E6167F">
        <w:rPr>
          <w:rFonts w:cstheme="minorHAnsi"/>
          <w:color w:val="000000"/>
          <w:highlight w:val="yellow"/>
        </w:rPr>
        <w:t xml:space="preserve"> </w:t>
      </w:r>
    </w:p>
    <w:p w14:paraId="3B641CF6" w14:textId="0AB7E981" w:rsidR="00E2482F" w:rsidRPr="00E6167F" w:rsidRDefault="00E2482F" w:rsidP="00363D34">
      <w:pPr>
        <w:autoSpaceDE w:val="0"/>
        <w:autoSpaceDN w:val="0"/>
        <w:adjustRightInd w:val="0"/>
        <w:spacing w:after="0" w:line="240" w:lineRule="auto"/>
        <w:jc w:val="both"/>
        <w:rPr>
          <w:rFonts w:cstheme="minorHAnsi"/>
          <w:color w:val="000000"/>
        </w:rPr>
      </w:pPr>
    </w:p>
    <w:tbl>
      <w:tblPr>
        <w:tblW w:w="5000" w:type="pct"/>
        <w:jc w:val="center"/>
        <w:shd w:val="clear" w:color="auto" w:fill="FFFFFF" w:themeFill="background1"/>
        <w:tblLook w:val="04A0" w:firstRow="1" w:lastRow="0" w:firstColumn="1" w:lastColumn="0" w:noHBand="0" w:noVBand="1"/>
      </w:tblPr>
      <w:tblGrid>
        <w:gridCol w:w="9406"/>
      </w:tblGrid>
      <w:tr w:rsidR="00397DE9" w:rsidRPr="00E6167F" w14:paraId="1366D1ED" w14:textId="77777777" w:rsidTr="00ED39AF">
        <w:trPr>
          <w:cantSplit/>
          <w:trHeight w:val="629"/>
          <w:jc w:val="center"/>
        </w:trPr>
        <w:tc>
          <w:tcPr>
            <w:tcW w:w="5000" w:type="pct"/>
            <w:vMerge w:val="restart"/>
            <w:shd w:val="clear" w:color="auto" w:fill="FFFFFF" w:themeFill="background1"/>
            <w:vAlign w:val="center"/>
            <w:hideMark/>
          </w:tcPr>
          <w:p w14:paraId="49BB5566" w14:textId="2DACB142" w:rsidR="00397DE9" w:rsidRPr="00E6167F" w:rsidRDefault="00397DE9" w:rsidP="00363D34">
            <w:pPr>
              <w:spacing w:after="0" w:line="240" w:lineRule="auto"/>
              <w:jc w:val="both"/>
              <w:rPr>
                <w:rFonts w:eastAsia="Times New Roman" w:cstheme="minorHAnsi"/>
                <w:b/>
                <w:bCs/>
                <w:color w:val="000000" w:themeColor="text1"/>
                <w:lang w:val="hr-HR" w:eastAsia="hr-HR"/>
              </w:rPr>
            </w:pPr>
            <w:r w:rsidRPr="00E6167F">
              <w:rPr>
                <w:rFonts w:eastAsia="Times New Roman" w:cstheme="minorHAnsi"/>
                <w:b/>
                <w:bCs/>
                <w:color w:val="000000" w:themeColor="text1"/>
                <w:lang w:val="hr-HR" w:eastAsia="hr-HR"/>
              </w:rPr>
              <w:t>Categories of citizens entitled to free health care at the outpatient level and in the hospitals based on their social status</w:t>
            </w:r>
          </w:p>
        </w:tc>
      </w:tr>
      <w:tr w:rsidR="00397DE9" w:rsidRPr="00E6167F" w14:paraId="129A7233" w14:textId="77777777" w:rsidTr="00ED39AF">
        <w:trPr>
          <w:cantSplit/>
          <w:trHeight w:val="450"/>
          <w:jc w:val="center"/>
        </w:trPr>
        <w:tc>
          <w:tcPr>
            <w:tcW w:w="5000" w:type="pct"/>
            <w:vMerge/>
            <w:shd w:val="clear" w:color="auto" w:fill="FFFFFF" w:themeFill="background1"/>
            <w:vAlign w:val="center"/>
            <w:hideMark/>
          </w:tcPr>
          <w:p w14:paraId="6A902D56" w14:textId="77777777" w:rsidR="00397DE9" w:rsidRPr="00E6167F" w:rsidRDefault="00397DE9" w:rsidP="00363D34">
            <w:pPr>
              <w:spacing w:after="0" w:line="240" w:lineRule="auto"/>
              <w:jc w:val="both"/>
              <w:rPr>
                <w:rFonts w:eastAsia="Times New Roman" w:cstheme="minorHAnsi"/>
                <w:b/>
                <w:bCs/>
                <w:color w:val="000000" w:themeColor="text1"/>
                <w:lang w:val="hr-HR" w:eastAsia="hr-HR"/>
              </w:rPr>
            </w:pPr>
          </w:p>
        </w:tc>
      </w:tr>
      <w:tr w:rsidR="00397DE9" w:rsidRPr="00E6167F" w14:paraId="3902E2AC" w14:textId="77777777" w:rsidTr="00ED39AF">
        <w:trPr>
          <w:cantSplit/>
          <w:trHeight w:val="315"/>
          <w:jc w:val="center"/>
        </w:trPr>
        <w:tc>
          <w:tcPr>
            <w:tcW w:w="5000" w:type="pct"/>
            <w:shd w:val="clear" w:color="auto" w:fill="FFFFFF" w:themeFill="background1"/>
            <w:vAlign w:val="center"/>
            <w:hideMark/>
          </w:tcPr>
          <w:p w14:paraId="4A1BBDF5"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t>1. Participants in the Great Patriotic War.</w:t>
            </w:r>
          </w:p>
        </w:tc>
      </w:tr>
      <w:tr w:rsidR="00397DE9" w:rsidRPr="00E6167F" w14:paraId="5346ECA4" w14:textId="77777777" w:rsidTr="00ED39AF">
        <w:trPr>
          <w:cantSplit/>
          <w:trHeight w:val="315"/>
          <w:jc w:val="center"/>
        </w:trPr>
        <w:tc>
          <w:tcPr>
            <w:tcW w:w="5000" w:type="pct"/>
            <w:shd w:val="clear" w:color="auto" w:fill="FFFFFF" w:themeFill="background1"/>
            <w:vAlign w:val="center"/>
            <w:hideMark/>
          </w:tcPr>
          <w:p w14:paraId="3EBEAA97"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t>2. Disabled soldiers of the Great Patriotic War and the Batken events.</w:t>
            </w:r>
          </w:p>
        </w:tc>
      </w:tr>
      <w:tr w:rsidR="00397DE9" w:rsidRPr="00E6167F" w14:paraId="3CB9395D" w14:textId="77777777" w:rsidTr="00ED39AF">
        <w:trPr>
          <w:cantSplit/>
          <w:trHeight w:val="383"/>
          <w:jc w:val="center"/>
        </w:trPr>
        <w:tc>
          <w:tcPr>
            <w:tcW w:w="5000" w:type="pct"/>
            <w:shd w:val="clear" w:color="auto" w:fill="FFFFFF" w:themeFill="background1"/>
            <w:vAlign w:val="center"/>
            <w:hideMark/>
          </w:tcPr>
          <w:p w14:paraId="62F125F8"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t>3. Citizens injured and disabled during the fight against international terrorism.</w:t>
            </w:r>
          </w:p>
        </w:tc>
      </w:tr>
      <w:tr w:rsidR="00397DE9" w:rsidRPr="00E6167F" w14:paraId="3F2F85B9" w14:textId="77777777" w:rsidTr="00ED39AF">
        <w:trPr>
          <w:cantSplit/>
          <w:trHeight w:val="449"/>
          <w:jc w:val="center"/>
        </w:trPr>
        <w:tc>
          <w:tcPr>
            <w:tcW w:w="5000" w:type="pct"/>
            <w:shd w:val="clear" w:color="auto" w:fill="FFFFFF" w:themeFill="background1"/>
            <w:vAlign w:val="center"/>
            <w:hideMark/>
          </w:tcPr>
          <w:p w14:paraId="28DA7915"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t>4. Citizens awarded the orders and medals of the USSR for the selfless labor and honorable military service on the home front during the Great Patriotic War.</w:t>
            </w:r>
          </w:p>
        </w:tc>
      </w:tr>
      <w:tr w:rsidR="00397DE9" w:rsidRPr="00E6167F" w14:paraId="650094A0" w14:textId="77777777" w:rsidTr="00ED39AF">
        <w:trPr>
          <w:cantSplit/>
          <w:trHeight w:val="315"/>
          <w:jc w:val="center"/>
        </w:trPr>
        <w:tc>
          <w:tcPr>
            <w:tcW w:w="5000" w:type="pct"/>
            <w:shd w:val="clear" w:color="auto" w:fill="FFFFFF" w:themeFill="background1"/>
            <w:vAlign w:val="center"/>
            <w:hideMark/>
          </w:tcPr>
          <w:p w14:paraId="1D29CE2B"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t xml:space="preserve">5. Former prisoners of the concentration camps. </w:t>
            </w:r>
          </w:p>
        </w:tc>
      </w:tr>
      <w:tr w:rsidR="00397DE9" w:rsidRPr="00E6167F" w14:paraId="7FDE58D7" w14:textId="77777777" w:rsidTr="00ED39AF">
        <w:trPr>
          <w:cantSplit/>
          <w:trHeight w:val="315"/>
          <w:jc w:val="center"/>
        </w:trPr>
        <w:tc>
          <w:tcPr>
            <w:tcW w:w="5000" w:type="pct"/>
            <w:shd w:val="clear" w:color="auto" w:fill="FFFFFF" w:themeFill="background1"/>
            <w:vAlign w:val="center"/>
            <w:hideMark/>
          </w:tcPr>
          <w:p w14:paraId="6252A8BF"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t>6. Survivor of the siege in the city of Leningrad.</w:t>
            </w:r>
          </w:p>
        </w:tc>
      </w:tr>
      <w:tr w:rsidR="00397DE9" w:rsidRPr="00E6167F" w14:paraId="0E199656" w14:textId="77777777" w:rsidTr="00ED39AF">
        <w:trPr>
          <w:cantSplit/>
          <w:trHeight w:val="315"/>
          <w:jc w:val="center"/>
        </w:trPr>
        <w:tc>
          <w:tcPr>
            <w:tcW w:w="5000" w:type="pct"/>
            <w:shd w:val="clear" w:color="auto" w:fill="FFFFFF" w:themeFill="background1"/>
            <w:vAlign w:val="center"/>
            <w:hideMark/>
          </w:tcPr>
          <w:p w14:paraId="10033302"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t>7. Labor veterans over 70 years old.</w:t>
            </w:r>
          </w:p>
        </w:tc>
      </w:tr>
      <w:tr w:rsidR="00397DE9" w:rsidRPr="00E6167F" w14:paraId="7DE49645" w14:textId="77777777" w:rsidTr="00ED39AF">
        <w:trPr>
          <w:cantSplit/>
          <w:trHeight w:val="315"/>
          <w:jc w:val="center"/>
        </w:trPr>
        <w:tc>
          <w:tcPr>
            <w:tcW w:w="5000" w:type="pct"/>
            <w:shd w:val="clear" w:color="auto" w:fill="FFFFFF" w:themeFill="background1"/>
            <w:vAlign w:val="center"/>
            <w:hideMark/>
          </w:tcPr>
          <w:p w14:paraId="06A921AF" w14:textId="77777777" w:rsidR="00397DE9" w:rsidRPr="00E6167F" w:rsidRDefault="00397DE9" w:rsidP="00363D34">
            <w:pPr>
              <w:spacing w:after="0" w:line="240" w:lineRule="auto"/>
              <w:jc w:val="both"/>
              <w:rPr>
                <w:rFonts w:eastAsia="Times New Roman" w:cstheme="minorHAnsi"/>
                <w:color w:val="000000" w:themeColor="text1"/>
                <w:highlight w:val="yellow"/>
                <w:lang w:val="hr-HR" w:eastAsia="hr-HR"/>
              </w:rPr>
            </w:pPr>
            <w:r w:rsidRPr="00E6167F">
              <w:rPr>
                <w:rFonts w:eastAsia="Times New Roman" w:cstheme="minorHAnsi"/>
                <w:color w:val="000000" w:themeColor="text1"/>
                <w:lang w:val="hr-HR" w:eastAsia="hr-HR"/>
              </w:rPr>
              <w:t>8. Persons awarded the Order of "Baatyr ene" and the Order "Heroine Mother".</w:t>
            </w:r>
          </w:p>
        </w:tc>
      </w:tr>
      <w:tr w:rsidR="00397DE9" w:rsidRPr="00E6167F" w14:paraId="125E3E4B" w14:textId="77777777" w:rsidTr="00ED39AF">
        <w:trPr>
          <w:cantSplit/>
          <w:trHeight w:val="668"/>
          <w:jc w:val="center"/>
        </w:trPr>
        <w:tc>
          <w:tcPr>
            <w:tcW w:w="5000" w:type="pct"/>
            <w:shd w:val="clear" w:color="auto" w:fill="FFFFFF" w:themeFill="background1"/>
            <w:vAlign w:val="center"/>
            <w:hideMark/>
          </w:tcPr>
          <w:p w14:paraId="4565CBD4"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t>9. Citizens subjected to illegal forced mobilization in the working columns (labor army) during the Great Patriotic War and subsequently rehabilitated.</w:t>
            </w:r>
          </w:p>
        </w:tc>
      </w:tr>
      <w:tr w:rsidR="00397DE9" w:rsidRPr="00E6167F" w14:paraId="30F89AE9" w14:textId="77777777" w:rsidTr="00ED39AF">
        <w:trPr>
          <w:cantSplit/>
          <w:trHeight w:val="413"/>
          <w:jc w:val="center"/>
        </w:trPr>
        <w:tc>
          <w:tcPr>
            <w:tcW w:w="5000" w:type="pct"/>
            <w:shd w:val="clear" w:color="auto" w:fill="FFFFFF" w:themeFill="background1"/>
            <w:vAlign w:val="center"/>
            <w:hideMark/>
          </w:tcPr>
          <w:p w14:paraId="44887EBD"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t>10. Heroes of the Soviet Union and persons awarded the 3-rd degrees Order of Glory.</w:t>
            </w:r>
          </w:p>
        </w:tc>
      </w:tr>
      <w:tr w:rsidR="00397DE9" w:rsidRPr="00E6167F" w14:paraId="72D2485A" w14:textId="77777777" w:rsidTr="00ED39AF">
        <w:trPr>
          <w:cantSplit/>
          <w:trHeight w:val="315"/>
          <w:jc w:val="center"/>
        </w:trPr>
        <w:tc>
          <w:tcPr>
            <w:tcW w:w="5000" w:type="pct"/>
            <w:shd w:val="clear" w:color="auto" w:fill="FFFFFF" w:themeFill="background1"/>
            <w:vAlign w:val="center"/>
            <w:hideMark/>
          </w:tcPr>
          <w:p w14:paraId="4C5BAF37"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t xml:space="preserve">11. Heroes of Socialist Labor. </w:t>
            </w:r>
          </w:p>
        </w:tc>
      </w:tr>
      <w:tr w:rsidR="00397DE9" w:rsidRPr="00E6167F" w14:paraId="7062B7F7" w14:textId="77777777" w:rsidTr="00ED39AF">
        <w:trPr>
          <w:cantSplit/>
          <w:trHeight w:val="630"/>
          <w:jc w:val="center"/>
        </w:trPr>
        <w:tc>
          <w:tcPr>
            <w:tcW w:w="5000" w:type="pct"/>
            <w:shd w:val="clear" w:color="auto" w:fill="FFFFFF" w:themeFill="background1"/>
            <w:vAlign w:val="center"/>
            <w:hideMark/>
          </w:tcPr>
          <w:p w14:paraId="082E9325"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t>12. Citizens awarded the highest distinction "Kyrgyz Respublikasynyn Baatyry", and persons awarded the I-st degree Order of "Manas".</w:t>
            </w:r>
          </w:p>
        </w:tc>
      </w:tr>
      <w:tr w:rsidR="00397DE9" w:rsidRPr="00E6167F" w14:paraId="161B9A54" w14:textId="77777777" w:rsidTr="00ED39AF">
        <w:trPr>
          <w:cantSplit/>
          <w:trHeight w:val="315"/>
          <w:jc w:val="center"/>
        </w:trPr>
        <w:tc>
          <w:tcPr>
            <w:tcW w:w="5000" w:type="pct"/>
            <w:shd w:val="clear" w:color="auto" w:fill="FFFFFF" w:themeFill="background1"/>
            <w:vAlign w:val="center"/>
            <w:hideMark/>
          </w:tcPr>
          <w:p w14:paraId="1638762B"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t>13. The participants of the military operations in the territory of other states.</w:t>
            </w:r>
          </w:p>
        </w:tc>
      </w:tr>
      <w:tr w:rsidR="00397DE9" w:rsidRPr="00E6167F" w14:paraId="058A2086" w14:textId="77777777" w:rsidTr="00ED39AF">
        <w:trPr>
          <w:cantSplit/>
          <w:trHeight w:val="314"/>
          <w:jc w:val="center"/>
        </w:trPr>
        <w:tc>
          <w:tcPr>
            <w:tcW w:w="5000" w:type="pct"/>
            <w:shd w:val="clear" w:color="auto" w:fill="FFFFFF" w:themeFill="background1"/>
            <w:vAlign w:val="center"/>
            <w:hideMark/>
          </w:tcPr>
          <w:p w14:paraId="3BFC4B21"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t>14. Citizens affected by the Chernobyl NPP accident.</w:t>
            </w:r>
          </w:p>
        </w:tc>
      </w:tr>
      <w:tr w:rsidR="00397DE9" w:rsidRPr="00E6167F" w14:paraId="0382EDB6" w14:textId="77777777" w:rsidTr="00ED39AF">
        <w:trPr>
          <w:cantSplit/>
          <w:trHeight w:val="630"/>
          <w:jc w:val="center"/>
        </w:trPr>
        <w:tc>
          <w:tcPr>
            <w:tcW w:w="5000" w:type="pct"/>
            <w:shd w:val="clear" w:color="auto" w:fill="FFFFFF" w:themeFill="background1"/>
            <w:vAlign w:val="center"/>
            <w:hideMark/>
          </w:tcPr>
          <w:p w14:paraId="1F0E6B9B"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t>15. Persons with disabilities who have been wounded or injured in the performance of duties of military service.</w:t>
            </w:r>
          </w:p>
        </w:tc>
      </w:tr>
      <w:tr w:rsidR="00397DE9" w:rsidRPr="00E6167F" w14:paraId="51142326" w14:textId="77777777" w:rsidTr="00ED39AF">
        <w:trPr>
          <w:cantSplit/>
          <w:trHeight w:val="1591"/>
          <w:jc w:val="center"/>
        </w:trPr>
        <w:tc>
          <w:tcPr>
            <w:tcW w:w="5000" w:type="pct"/>
            <w:shd w:val="clear" w:color="auto" w:fill="FFFFFF" w:themeFill="background1"/>
            <w:vAlign w:val="center"/>
            <w:hideMark/>
          </w:tcPr>
          <w:p w14:paraId="50E62254"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t>16. Family members of the dead or missing persons (parents (father, mother) upon reaching the retirement age, if the deceased was the only child; or children under the age of eighteen years old), who suffered serious, less serious or light injuries confirmed by the adequate medico-legal examination report; persons with recognized disabilities due to injuries sustained in the events of March 17, 2002 in Aksy rayon of Jalal-Abad oblast; events of April 6, 2010 in Talas oblast; events of April 7, 2010 in the cities of Bishkek and Naryn; events of May 13, 14, 19, 2010  in Jalal-Abad, and events in June 2010  in the cities of Osh, and in Osh and Jalal-Abad oblasts.</w:t>
            </w:r>
          </w:p>
        </w:tc>
      </w:tr>
      <w:tr w:rsidR="00397DE9" w:rsidRPr="00E6167F" w14:paraId="336875BA" w14:textId="77777777" w:rsidTr="00ED39AF">
        <w:trPr>
          <w:cantSplit/>
          <w:trHeight w:val="170"/>
          <w:jc w:val="center"/>
        </w:trPr>
        <w:tc>
          <w:tcPr>
            <w:tcW w:w="5000" w:type="pct"/>
            <w:shd w:val="clear" w:color="auto" w:fill="FFFFFF" w:themeFill="background1"/>
            <w:vAlign w:val="center"/>
            <w:hideMark/>
          </w:tcPr>
          <w:p w14:paraId="0C955049"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t>17. Persons with disability groups I and II assigned as a result of work injury, occupational or general disease.</w:t>
            </w:r>
          </w:p>
        </w:tc>
      </w:tr>
      <w:tr w:rsidR="00397DE9" w:rsidRPr="00E6167F" w14:paraId="0E647FF3" w14:textId="77777777" w:rsidTr="00ED39AF">
        <w:trPr>
          <w:cantSplit/>
          <w:trHeight w:val="172"/>
          <w:jc w:val="center"/>
        </w:trPr>
        <w:tc>
          <w:tcPr>
            <w:tcW w:w="5000" w:type="pct"/>
            <w:shd w:val="clear" w:color="auto" w:fill="FFFFFF" w:themeFill="background1"/>
            <w:vAlign w:val="center"/>
            <w:hideMark/>
          </w:tcPr>
          <w:p w14:paraId="49793790"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t>18. Persons with disabilities by sight and hearing.</w:t>
            </w:r>
          </w:p>
        </w:tc>
      </w:tr>
      <w:tr w:rsidR="00397DE9" w:rsidRPr="00E6167F" w14:paraId="2B14B3F1" w14:textId="77777777" w:rsidTr="00ED39AF">
        <w:trPr>
          <w:cantSplit/>
          <w:trHeight w:val="176"/>
          <w:jc w:val="center"/>
        </w:trPr>
        <w:tc>
          <w:tcPr>
            <w:tcW w:w="5000" w:type="pct"/>
            <w:shd w:val="clear" w:color="auto" w:fill="FFFFFF" w:themeFill="background1"/>
            <w:vAlign w:val="center"/>
            <w:hideMark/>
          </w:tcPr>
          <w:p w14:paraId="408D4566"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t>19. Handicapped person from birth.</w:t>
            </w:r>
          </w:p>
        </w:tc>
      </w:tr>
      <w:tr w:rsidR="00397DE9" w:rsidRPr="00E6167F" w14:paraId="33CDED79" w14:textId="77777777" w:rsidTr="00ED39AF">
        <w:trPr>
          <w:cantSplit/>
          <w:trHeight w:val="58"/>
          <w:jc w:val="center"/>
        </w:trPr>
        <w:tc>
          <w:tcPr>
            <w:tcW w:w="5000" w:type="pct"/>
            <w:shd w:val="clear" w:color="auto" w:fill="FFFFFF" w:themeFill="background1"/>
            <w:vAlign w:val="center"/>
            <w:hideMark/>
          </w:tcPr>
          <w:p w14:paraId="5447FC24"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t>20. Children with disabilities under the age of 18 years old.</w:t>
            </w:r>
          </w:p>
        </w:tc>
      </w:tr>
      <w:tr w:rsidR="00397DE9" w:rsidRPr="00E6167F" w14:paraId="6C21040F" w14:textId="77777777" w:rsidTr="00ED39AF">
        <w:trPr>
          <w:cantSplit/>
          <w:trHeight w:val="315"/>
          <w:jc w:val="center"/>
        </w:trPr>
        <w:tc>
          <w:tcPr>
            <w:tcW w:w="5000" w:type="pct"/>
            <w:shd w:val="clear" w:color="auto" w:fill="FFFFFF" w:themeFill="background1"/>
            <w:vAlign w:val="center"/>
            <w:hideMark/>
          </w:tcPr>
          <w:p w14:paraId="7E1BFD6A"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t>21. Children under 5 years old.</w:t>
            </w:r>
          </w:p>
        </w:tc>
      </w:tr>
      <w:tr w:rsidR="00397DE9" w:rsidRPr="00E6167F" w14:paraId="72A105D5" w14:textId="77777777" w:rsidTr="00ED39AF">
        <w:trPr>
          <w:cantSplit/>
          <w:trHeight w:val="597"/>
          <w:jc w:val="center"/>
        </w:trPr>
        <w:tc>
          <w:tcPr>
            <w:tcW w:w="5000" w:type="pct"/>
            <w:shd w:val="clear" w:color="auto" w:fill="FFFFFF" w:themeFill="background1"/>
            <w:vAlign w:val="center"/>
            <w:hideMark/>
          </w:tcPr>
          <w:p w14:paraId="49A5B5E6"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t xml:space="preserve">22. Orphans living in the state children's homes, family-type children's homes (foster families), and boarding schools for orphans and children left without parental care. </w:t>
            </w:r>
          </w:p>
        </w:tc>
      </w:tr>
      <w:tr w:rsidR="00397DE9" w:rsidRPr="00E6167F" w14:paraId="3CF04ABC" w14:textId="77777777" w:rsidTr="00ED39AF">
        <w:trPr>
          <w:cantSplit/>
          <w:trHeight w:val="185"/>
          <w:jc w:val="center"/>
        </w:trPr>
        <w:tc>
          <w:tcPr>
            <w:tcW w:w="5000" w:type="pct"/>
            <w:shd w:val="clear" w:color="auto" w:fill="FFFFFF" w:themeFill="background1"/>
            <w:vAlign w:val="center"/>
            <w:hideMark/>
          </w:tcPr>
          <w:p w14:paraId="2669B850"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t xml:space="preserve">23. The citizens who live in nursing homes for the elderly and for the persons with disabilities. </w:t>
            </w:r>
          </w:p>
        </w:tc>
      </w:tr>
      <w:tr w:rsidR="00397DE9" w:rsidRPr="00E6167F" w14:paraId="08FAA053" w14:textId="77777777" w:rsidTr="00ED39AF">
        <w:trPr>
          <w:cantSplit/>
          <w:trHeight w:val="277"/>
          <w:jc w:val="center"/>
        </w:trPr>
        <w:tc>
          <w:tcPr>
            <w:tcW w:w="5000" w:type="pct"/>
            <w:shd w:val="clear" w:color="auto" w:fill="FFFFFF" w:themeFill="background1"/>
            <w:vAlign w:val="center"/>
            <w:hideMark/>
          </w:tcPr>
          <w:p w14:paraId="696FE3B7"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lastRenderedPageBreak/>
              <w:t xml:space="preserve">24. Citizens subject to the active military service conscription, referred by the military medical commission for medical examination at the outpatient level or to hospital treatment. </w:t>
            </w:r>
          </w:p>
        </w:tc>
      </w:tr>
      <w:tr w:rsidR="00397DE9" w:rsidRPr="00E6167F" w14:paraId="68A42AD0" w14:textId="77777777" w:rsidTr="00ED39AF">
        <w:trPr>
          <w:cantSplit/>
          <w:trHeight w:val="374"/>
          <w:jc w:val="center"/>
        </w:trPr>
        <w:tc>
          <w:tcPr>
            <w:tcW w:w="5000" w:type="pct"/>
            <w:shd w:val="clear" w:color="auto" w:fill="FFFFFF" w:themeFill="background1"/>
            <w:vAlign w:val="center"/>
            <w:hideMark/>
          </w:tcPr>
          <w:p w14:paraId="11E54581"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t xml:space="preserve">25. The conscripts for whom the departmental health organizations are incapable to provide qualified medical assistance during the period of military service. </w:t>
            </w:r>
          </w:p>
        </w:tc>
      </w:tr>
      <w:tr w:rsidR="00397DE9" w:rsidRPr="00E6167F" w14:paraId="7FA82B8F" w14:textId="77777777" w:rsidTr="00ED39AF">
        <w:trPr>
          <w:cantSplit/>
          <w:trHeight w:val="315"/>
          <w:jc w:val="center"/>
        </w:trPr>
        <w:tc>
          <w:tcPr>
            <w:tcW w:w="5000" w:type="pct"/>
            <w:shd w:val="clear" w:color="auto" w:fill="FFFFFF" w:themeFill="background1"/>
            <w:vAlign w:val="center"/>
            <w:hideMark/>
          </w:tcPr>
          <w:p w14:paraId="7D0B545C"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t xml:space="preserve">26. Persons living with HIV / AIDS. </w:t>
            </w:r>
          </w:p>
        </w:tc>
      </w:tr>
      <w:tr w:rsidR="00397DE9" w:rsidRPr="00E6167F" w14:paraId="39AD3A38" w14:textId="77777777" w:rsidTr="00ED39AF">
        <w:trPr>
          <w:cantSplit/>
          <w:trHeight w:val="874"/>
          <w:jc w:val="center"/>
        </w:trPr>
        <w:tc>
          <w:tcPr>
            <w:tcW w:w="5000" w:type="pct"/>
            <w:shd w:val="clear" w:color="auto" w:fill="FFFFFF" w:themeFill="background1"/>
            <w:vAlign w:val="center"/>
            <w:hideMark/>
          </w:tcPr>
          <w:p w14:paraId="719BFF83"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t>27. Children under 16 years old from large low-income families with 4 or more minor children (students of educational institutions before they complete their education, but not beyond the age of 18), upon presentation of the relevant certificate issued by the social development agencies.</w:t>
            </w:r>
          </w:p>
        </w:tc>
      </w:tr>
      <w:tr w:rsidR="00397DE9" w:rsidRPr="00E6167F" w14:paraId="0CA25DAA" w14:textId="77777777" w:rsidTr="00ED39AF">
        <w:trPr>
          <w:cantSplit/>
          <w:trHeight w:val="315"/>
          <w:jc w:val="center"/>
        </w:trPr>
        <w:tc>
          <w:tcPr>
            <w:tcW w:w="5000" w:type="pct"/>
            <w:shd w:val="clear" w:color="auto" w:fill="FFFFFF" w:themeFill="background1"/>
            <w:vAlign w:val="center"/>
            <w:hideMark/>
          </w:tcPr>
          <w:p w14:paraId="459F5979"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t>28. Pensioners over the age of 70.</w:t>
            </w:r>
          </w:p>
        </w:tc>
      </w:tr>
      <w:tr w:rsidR="00397DE9" w:rsidRPr="00E6167F" w14:paraId="33D804BA" w14:textId="77777777" w:rsidTr="00ED39AF">
        <w:trPr>
          <w:cantSplit/>
          <w:trHeight w:val="1182"/>
          <w:jc w:val="center"/>
        </w:trPr>
        <w:tc>
          <w:tcPr>
            <w:tcW w:w="5000" w:type="pct"/>
            <w:shd w:val="clear" w:color="auto" w:fill="FFFFFF" w:themeFill="background1"/>
            <w:vAlign w:val="center"/>
            <w:hideMark/>
          </w:tcPr>
          <w:p w14:paraId="4BEFFFD3"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t>29. Persons under preliminary investigation, as well as those serving sentences, in the event of emergency conditions that threaten their life in case of failure to provide medical care for them in the medical services of the penitentiary system, the detention facility of the State National Security Committee of the Kyrgyz Republic, or the temporary detention of the Ministry of internal Affairs of the Kyrgyz Republic.</w:t>
            </w:r>
          </w:p>
        </w:tc>
      </w:tr>
      <w:tr w:rsidR="00397DE9" w:rsidRPr="00E6167F" w14:paraId="637265FC" w14:textId="77777777" w:rsidTr="00ED39AF">
        <w:trPr>
          <w:cantSplit/>
          <w:trHeight w:val="630"/>
          <w:jc w:val="center"/>
        </w:trPr>
        <w:tc>
          <w:tcPr>
            <w:tcW w:w="5000" w:type="pct"/>
            <w:shd w:val="clear" w:color="auto" w:fill="FFFFFF" w:themeFill="background1"/>
            <w:vAlign w:val="center"/>
            <w:hideMark/>
          </w:tcPr>
          <w:p w14:paraId="013A28EB"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t>30. Graduates of children's homes, boarding homes, left without parental care under the age of 23 years old.</w:t>
            </w:r>
          </w:p>
        </w:tc>
      </w:tr>
      <w:tr w:rsidR="00397DE9" w:rsidRPr="00E6167F" w14:paraId="0D57C1AD" w14:textId="77777777" w:rsidTr="00ED39AF">
        <w:trPr>
          <w:cantSplit/>
          <w:trHeight w:val="629"/>
          <w:jc w:val="center"/>
        </w:trPr>
        <w:tc>
          <w:tcPr>
            <w:tcW w:w="5000" w:type="pct"/>
            <w:vMerge w:val="restart"/>
            <w:shd w:val="clear" w:color="auto" w:fill="FFFFFF" w:themeFill="background1"/>
            <w:vAlign w:val="center"/>
            <w:hideMark/>
          </w:tcPr>
          <w:p w14:paraId="36BF6265" w14:textId="6DADA840" w:rsidR="00397DE9" w:rsidRPr="00E6167F" w:rsidRDefault="00397DE9" w:rsidP="00363D34">
            <w:pPr>
              <w:spacing w:after="0" w:line="240" w:lineRule="auto"/>
              <w:jc w:val="both"/>
              <w:rPr>
                <w:rFonts w:eastAsia="Times New Roman" w:cstheme="minorHAnsi"/>
                <w:b/>
                <w:bCs/>
                <w:color w:val="000000" w:themeColor="text1"/>
                <w:lang w:val="hr-HR" w:eastAsia="hr-HR"/>
              </w:rPr>
            </w:pPr>
            <w:r w:rsidRPr="00E6167F">
              <w:rPr>
                <w:rFonts w:eastAsia="Times New Roman" w:cstheme="minorHAnsi"/>
                <w:b/>
                <w:bCs/>
                <w:color w:val="000000" w:themeColor="text1"/>
                <w:lang w:val="hr-HR" w:eastAsia="hr-HR"/>
              </w:rPr>
              <w:t>Categories of citizens entitled to free health care based on the clinical indications of the underlying disease in the outpatient and inpatient facilities</w:t>
            </w:r>
          </w:p>
        </w:tc>
      </w:tr>
      <w:tr w:rsidR="00397DE9" w:rsidRPr="00E6167F" w14:paraId="39FD9304" w14:textId="77777777" w:rsidTr="00ED39AF">
        <w:trPr>
          <w:cantSplit/>
          <w:trHeight w:val="629"/>
          <w:jc w:val="center"/>
        </w:trPr>
        <w:tc>
          <w:tcPr>
            <w:tcW w:w="5000" w:type="pct"/>
            <w:vMerge/>
            <w:shd w:val="clear" w:color="auto" w:fill="FFFFFF" w:themeFill="background1"/>
            <w:vAlign w:val="center"/>
            <w:hideMark/>
          </w:tcPr>
          <w:p w14:paraId="7AADC21E" w14:textId="77777777" w:rsidR="00397DE9" w:rsidRPr="00E6167F" w:rsidRDefault="00397DE9" w:rsidP="00363D34">
            <w:pPr>
              <w:spacing w:after="0" w:line="240" w:lineRule="auto"/>
              <w:jc w:val="both"/>
              <w:rPr>
                <w:rFonts w:eastAsia="Times New Roman" w:cstheme="minorHAnsi"/>
                <w:b/>
                <w:bCs/>
                <w:color w:val="000000" w:themeColor="text1"/>
                <w:lang w:val="hr-HR" w:eastAsia="hr-HR"/>
              </w:rPr>
            </w:pPr>
          </w:p>
        </w:tc>
      </w:tr>
      <w:tr w:rsidR="00397DE9" w:rsidRPr="00E6167F" w14:paraId="5775EA79" w14:textId="77777777" w:rsidTr="00ED39AF">
        <w:trPr>
          <w:cantSplit/>
          <w:trHeight w:val="315"/>
          <w:jc w:val="center"/>
        </w:trPr>
        <w:tc>
          <w:tcPr>
            <w:tcW w:w="5000" w:type="pct"/>
            <w:shd w:val="clear" w:color="auto" w:fill="FFFFFF" w:themeFill="background1"/>
            <w:vAlign w:val="center"/>
            <w:hideMark/>
          </w:tcPr>
          <w:p w14:paraId="4FFDCFBA"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t>1. Women registered with pregnancy.</w:t>
            </w:r>
          </w:p>
        </w:tc>
      </w:tr>
      <w:tr w:rsidR="00397DE9" w:rsidRPr="00E6167F" w14:paraId="10FDFC67" w14:textId="77777777" w:rsidTr="00ED39AF">
        <w:trPr>
          <w:cantSplit/>
          <w:trHeight w:val="630"/>
          <w:jc w:val="center"/>
        </w:trPr>
        <w:tc>
          <w:tcPr>
            <w:tcW w:w="5000" w:type="pct"/>
            <w:shd w:val="clear" w:color="auto" w:fill="FFFFFF" w:themeFill="background1"/>
            <w:vAlign w:val="center"/>
            <w:hideMark/>
          </w:tcPr>
          <w:p w14:paraId="61B113E6"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t>2. Women with abnormal pregnancy during hospitalization (for underlying diagnosis).</w:t>
            </w:r>
          </w:p>
        </w:tc>
      </w:tr>
      <w:tr w:rsidR="00397DE9" w:rsidRPr="00E6167F" w14:paraId="0CDA1755" w14:textId="77777777" w:rsidTr="00ED39AF">
        <w:trPr>
          <w:cantSplit/>
          <w:trHeight w:val="58"/>
          <w:jc w:val="center"/>
        </w:trPr>
        <w:tc>
          <w:tcPr>
            <w:tcW w:w="5000" w:type="pct"/>
            <w:shd w:val="clear" w:color="auto" w:fill="FFFFFF" w:themeFill="background1"/>
            <w:vAlign w:val="center"/>
            <w:hideMark/>
          </w:tcPr>
          <w:p w14:paraId="7AC8C418"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t>3. Women admitted for abortion for social or medical reasons.</w:t>
            </w:r>
          </w:p>
        </w:tc>
      </w:tr>
      <w:tr w:rsidR="00397DE9" w:rsidRPr="00E6167F" w14:paraId="311DCB96" w14:textId="77777777" w:rsidTr="00ED39AF">
        <w:trPr>
          <w:cantSplit/>
          <w:trHeight w:val="315"/>
          <w:jc w:val="center"/>
        </w:trPr>
        <w:tc>
          <w:tcPr>
            <w:tcW w:w="5000" w:type="pct"/>
            <w:shd w:val="clear" w:color="auto" w:fill="FFFFFF" w:themeFill="background1"/>
            <w:vAlign w:val="center"/>
            <w:hideMark/>
          </w:tcPr>
          <w:p w14:paraId="25BDD0FA"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t>4. Women admitted for the childbirth.</w:t>
            </w:r>
          </w:p>
        </w:tc>
      </w:tr>
      <w:tr w:rsidR="00397DE9" w:rsidRPr="00E6167F" w14:paraId="425A9A1B" w14:textId="77777777" w:rsidTr="00ED39AF">
        <w:trPr>
          <w:cantSplit/>
          <w:trHeight w:val="630"/>
          <w:jc w:val="center"/>
        </w:trPr>
        <w:tc>
          <w:tcPr>
            <w:tcW w:w="5000" w:type="pct"/>
            <w:shd w:val="clear" w:color="auto" w:fill="FFFFFF" w:themeFill="background1"/>
            <w:vAlign w:val="center"/>
            <w:hideMark/>
          </w:tcPr>
          <w:p w14:paraId="5F1809AA"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t>5. Women with obstetric complications during the 10 weeks after childbirth.</w:t>
            </w:r>
          </w:p>
        </w:tc>
      </w:tr>
      <w:tr w:rsidR="00397DE9" w:rsidRPr="00E6167F" w14:paraId="097ADB4D" w14:textId="77777777" w:rsidTr="00ED39AF">
        <w:trPr>
          <w:cantSplit/>
          <w:trHeight w:val="315"/>
          <w:jc w:val="center"/>
        </w:trPr>
        <w:tc>
          <w:tcPr>
            <w:tcW w:w="5000" w:type="pct"/>
            <w:shd w:val="clear" w:color="auto" w:fill="FFFFFF" w:themeFill="background1"/>
            <w:vAlign w:val="center"/>
            <w:hideMark/>
          </w:tcPr>
          <w:p w14:paraId="28D6C37E"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t>6. TB patients.</w:t>
            </w:r>
          </w:p>
        </w:tc>
      </w:tr>
      <w:tr w:rsidR="00397DE9" w:rsidRPr="00E6167F" w14:paraId="09A363B6" w14:textId="77777777" w:rsidTr="00ED39AF">
        <w:trPr>
          <w:cantSplit/>
          <w:trHeight w:val="300"/>
          <w:jc w:val="center"/>
        </w:trPr>
        <w:tc>
          <w:tcPr>
            <w:tcW w:w="5000" w:type="pct"/>
            <w:shd w:val="clear" w:color="auto" w:fill="FFFFFF" w:themeFill="background1"/>
            <w:vAlign w:val="center"/>
            <w:hideMark/>
          </w:tcPr>
          <w:p w14:paraId="493BD8F6"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t>7. Patients with bronchial asthma.</w:t>
            </w:r>
          </w:p>
        </w:tc>
      </w:tr>
      <w:tr w:rsidR="00397DE9" w:rsidRPr="00E6167F" w14:paraId="6BA93DFF" w14:textId="77777777" w:rsidTr="00ED39AF">
        <w:trPr>
          <w:cantSplit/>
          <w:trHeight w:val="300"/>
          <w:jc w:val="center"/>
        </w:trPr>
        <w:tc>
          <w:tcPr>
            <w:tcW w:w="5000" w:type="pct"/>
            <w:shd w:val="clear" w:color="auto" w:fill="FFFFFF" w:themeFill="background1"/>
            <w:vAlign w:val="center"/>
            <w:hideMark/>
          </w:tcPr>
          <w:p w14:paraId="5C34FC35"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t>8. Cancer patients in the terminal stage.</w:t>
            </w:r>
          </w:p>
        </w:tc>
      </w:tr>
      <w:tr w:rsidR="00397DE9" w:rsidRPr="00E6167F" w14:paraId="339158BD" w14:textId="77777777" w:rsidTr="00ED39AF">
        <w:trPr>
          <w:cantSplit/>
          <w:trHeight w:val="300"/>
          <w:jc w:val="center"/>
        </w:trPr>
        <w:tc>
          <w:tcPr>
            <w:tcW w:w="5000" w:type="pct"/>
            <w:shd w:val="clear" w:color="auto" w:fill="FFFFFF" w:themeFill="background1"/>
            <w:vAlign w:val="center"/>
            <w:hideMark/>
          </w:tcPr>
          <w:p w14:paraId="56BC48FC"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t>9. Patients with mental disorders (paranoid schizophrenia, chronic delusional disorders, or affective disorders of various origins).</w:t>
            </w:r>
          </w:p>
        </w:tc>
      </w:tr>
      <w:tr w:rsidR="00397DE9" w:rsidRPr="00E6167F" w14:paraId="7BF3DDCD" w14:textId="77777777" w:rsidTr="00ED39AF">
        <w:trPr>
          <w:cantSplit/>
          <w:trHeight w:val="300"/>
          <w:jc w:val="center"/>
        </w:trPr>
        <w:tc>
          <w:tcPr>
            <w:tcW w:w="5000" w:type="pct"/>
            <w:shd w:val="clear" w:color="auto" w:fill="FFFFFF" w:themeFill="background1"/>
            <w:vAlign w:val="center"/>
            <w:hideMark/>
          </w:tcPr>
          <w:p w14:paraId="6A061716"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t>10. Patients with epilepsy.</w:t>
            </w:r>
          </w:p>
        </w:tc>
      </w:tr>
      <w:tr w:rsidR="00397DE9" w:rsidRPr="00E6167F" w14:paraId="35BEC2AC" w14:textId="77777777" w:rsidTr="00ED39AF">
        <w:trPr>
          <w:cantSplit/>
          <w:trHeight w:val="300"/>
          <w:jc w:val="center"/>
        </w:trPr>
        <w:tc>
          <w:tcPr>
            <w:tcW w:w="5000" w:type="pct"/>
            <w:shd w:val="clear" w:color="auto" w:fill="FFFFFF" w:themeFill="background1"/>
            <w:vAlign w:val="center"/>
            <w:hideMark/>
          </w:tcPr>
          <w:p w14:paraId="55910426"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t>11. Diabetics.</w:t>
            </w:r>
          </w:p>
        </w:tc>
      </w:tr>
      <w:tr w:rsidR="00397DE9" w:rsidRPr="00E6167F" w14:paraId="5A2B4E56" w14:textId="77777777" w:rsidTr="00ED39AF">
        <w:trPr>
          <w:cantSplit/>
          <w:trHeight w:val="300"/>
          <w:jc w:val="center"/>
        </w:trPr>
        <w:tc>
          <w:tcPr>
            <w:tcW w:w="5000" w:type="pct"/>
            <w:shd w:val="clear" w:color="auto" w:fill="FFFFFF" w:themeFill="background1"/>
            <w:vAlign w:val="center"/>
            <w:hideMark/>
          </w:tcPr>
          <w:p w14:paraId="723F0B2F"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t>12. Patients with diabetes insipidus.</w:t>
            </w:r>
          </w:p>
        </w:tc>
      </w:tr>
      <w:tr w:rsidR="00397DE9" w:rsidRPr="00E6167F" w14:paraId="72FF581D" w14:textId="77777777" w:rsidTr="00ED39AF">
        <w:trPr>
          <w:cantSplit/>
          <w:trHeight w:val="300"/>
          <w:jc w:val="center"/>
        </w:trPr>
        <w:tc>
          <w:tcPr>
            <w:tcW w:w="5000" w:type="pct"/>
            <w:shd w:val="clear" w:color="auto" w:fill="FFFFFF" w:themeFill="background1"/>
            <w:vAlign w:val="center"/>
            <w:hideMark/>
          </w:tcPr>
          <w:p w14:paraId="4A6920CB"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t>13. Contact persons and patients with particularly dangerous and quarantine infections (typhoid, paratyphoid, anthrax, plague).</w:t>
            </w:r>
          </w:p>
        </w:tc>
      </w:tr>
      <w:tr w:rsidR="00397DE9" w:rsidRPr="00E6167F" w14:paraId="4DB3A9FD" w14:textId="77777777" w:rsidTr="00ED39AF">
        <w:trPr>
          <w:cantSplit/>
          <w:trHeight w:val="300"/>
          <w:jc w:val="center"/>
        </w:trPr>
        <w:tc>
          <w:tcPr>
            <w:tcW w:w="5000" w:type="pct"/>
            <w:shd w:val="clear" w:color="auto" w:fill="FFFFFF" w:themeFill="background1"/>
            <w:vAlign w:val="center"/>
            <w:hideMark/>
          </w:tcPr>
          <w:p w14:paraId="48E44A5E"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t>14. Hydrophobe patients, and persons who had contact with the patient and the possibility of rabies infection.</w:t>
            </w:r>
          </w:p>
        </w:tc>
      </w:tr>
      <w:tr w:rsidR="00397DE9" w:rsidRPr="00E6167F" w14:paraId="0798402A" w14:textId="77777777" w:rsidTr="00ED39AF">
        <w:trPr>
          <w:cantSplit/>
          <w:trHeight w:val="315"/>
          <w:jc w:val="center"/>
        </w:trPr>
        <w:tc>
          <w:tcPr>
            <w:tcW w:w="5000" w:type="pct"/>
            <w:shd w:val="clear" w:color="auto" w:fill="FFFFFF" w:themeFill="background1"/>
            <w:vAlign w:val="center"/>
            <w:hideMark/>
          </w:tcPr>
          <w:p w14:paraId="008D21DC"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t>15. Patients with meningococcal meningitis.</w:t>
            </w:r>
          </w:p>
        </w:tc>
      </w:tr>
      <w:tr w:rsidR="00397DE9" w:rsidRPr="00E6167F" w14:paraId="424332AD" w14:textId="77777777" w:rsidTr="00ED39AF">
        <w:trPr>
          <w:cantSplit/>
          <w:trHeight w:val="315"/>
          <w:jc w:val="center"/>
        </w:trPr>
        <w:tc>
          <w:tcPr>
            <w:tcW w:w="5000" w:type="pct"/>
            <w:shd w:val="clear" w:color="auto" w:fill="FFFFFF" w:themeFill="background1"/>
            <w:vAlign w:val="center"/>
            <w:hideMark/>
          </w:tcPr>
          <w:p w14:paraId="76E239B6" w14:textId="77777777" w:rsidR="00397DE9" w:rsidRPr="00E6167F" w:rsidRDefault="00397DE9" w:rsidP="00363D34">
            <w:pPr>
              <w:spacing w:after="0" w:line="240" w:lineRule="auto"/>
              <w:jc w:val="both"/>
              <w:rPr>
                <w:rFonts w:eastAsia="Times New Roman" w:cstheme="minorHAnsi"/>
                <w:color w:val="000000" w:themeColor="text1"/>
                <w:lang w:val="hr-HR" w:eastAsia="hr-HR"/>
              </w:rPr>
            </w:pPr>
            <w:r w:rsidRPr="00E6167F">
              <w:rPr>
                <w:rFonts w:eastAsia="Times New Roman" w:cstheme="minorHAnsi"/>
                <w:color w:val="000000" w:themeColor="text1"/>
                <w:lang w:val="hr-HR" w:eastAsia="hr-HR"/>
              </w:rPr>
              <w:t>16. Patients with haemophilia.</w:t>
            </w:r>
          </w:p>
        </w:tc>
      </w:tr>
    </w:tbl>
    <w:p w14:paraId="4C85AF10" w14:textId="01E0A72C" w:rsidR="00E2482F" w:rsidRPr="00E6167F" w:rsidRDefault="00E2482F" w:rsidP="00363D34">
      <w:pPr>
        <w:autoSpaceDE w:val="0"/>
        <w:autoSpaceDN w:val="0"/>
        <w:adjustRightInd w:val="0"/>
        <w:spacing w:after="0" w:line="240" w:lineRule="auto"/>
        <w:jc w:val="both"/>
        <w:rPr>
          <w:rFonts w:cstheme="minorHAnsi"/>
          <w:color w:val="000000"/>
        </w:rPr>
      </w:pPr>
    </w:p>
    <w:p w14:paraId="05F25E1D" w14:textId="2D757137" w:rsidR="009855B4" w:rsidRDefault="009855B4">
      <w:pPr>
        <w:rPr>
          <w:rFonts w:eastAsia="Times New Roman" w:cstheme="minorHAnsi"/>
        </w:rPr>
      </w:pPr>
      <w:r>
        <w:rPr>
          <w:rFonts w:eastAsia="Times New Roman" w:cstheme="minorHAnsi"/>
        </w:rPr>
        <w:br w:type="page"/>
      </w:r>
    </w:p>
    <w:p w14:paraId="5A3E52E6" w14:textId="54567033" w:rsidR="00217C2E" w:rsidRPr="009855B4" w:rsidRDefault="00217C2E" w:rsidP="009855B4">
      <w:pPr>
        <w:pStyle w:val="Heading1"/>
        <w:numPr>
          <w:ilvl w:val="0"/>
          <w:numId w:val="0"/>
        </w:numPr>
        <w:rPr>
          <w:rFonts w:ascii="Calibri" w:hAnsi="Calibri" w:cs="Calibri"/>
          <w:color w:val="1F4E79" w:themeColor="accent1" w:themeShade="80"/>
        </w:rPr>
      </w:pPr>
      <w:bookmarkStart w:id="18" w:name="_Toc10477902"/>
      <w:r w:rsidRPr="009855B4">
        <w:rPr>
          <w:rFonts w:ascii="Calibri" w:hAnsi="Calibri" w:cs="Calibri"/>
          <w:color w:val="1F4E79" w:themeColor="accent1" w:themeShade="80"/>
        </w:rPr>
        <w:lastRenderedPageBreak/>
        <w:t>Annex</w:t>
      </w:r>
      <w:r w:rsidR="004A3BEB" w:rsidRPr="009855B4">
        <w:rPr>
          <w:rFonts w:ascii="Calibri" w:hAnsi="Calibri" w:cs="Calibri"/>
          <w:color w:val="1F4E79" w:themeColor="accent1" w:themeShade="80"/>
        </w:rPr>
        <w:t xml:space="preserve"> 2</w:t>
      </w:r>
      <w:r w:rsidRPr="009855B4">
        <w:rPr>
          <w:rFonts w:ascii="Calibri" w:hAnsi="Calibri" w:cs="Calibri"/>
          <w:color w:val="1F4E79" w:themeColor="accent1" w:themeShade="80"/>
        </w:rPr>
        <w:t>: Key principles for defining and revising the health benefit package</w:t>
      </w:r>
      <w:bookmarkEnd w:id="18"/>
    </w:p>
    <w:p w14:paraId="5890F093" w14:textId="77777777" w:rsidR="00217C2E" w:rsidRPr="00E6167F" w:rsidRDefault="00217C2E" w:rsidP="00363D34">
      <w:pPr>
        <w:autoSpaceDE w:val="0"/>
        <w:autoSpaceDN w:val="0"/>
        <w:adjustRightInd w:val="0"/>
        <w:spacing w:after="0" w:line="240" w:lineRule="auto"/>
        <w:jc w:val="both"/>
        <w:rPr>
          <w:rFonts w:cstheme="minorHAnsi"/>
          <w:color w:val="000000"/>
        </w:rPr>
      </w:pPr>
    </w:p>
    <w:p w14:paraId="02F7C140" w14:textId="46DE6E70" w:rsidR="002D2D8B" w:rsidRPr="00E6167F" w:rsidRDefault="00883517" w:rsidP="00363D34">
      <w:pPr>
        <w:autoSpaceDE w:val="0"/>
        <w:autoSpaceDN w:val="0"/>
        <w:adjustRightInd w:val="0"/>
        <w:spacing w:after="0" w:line="240" w:lineRule="auto"/>
        <w:jc w:val="both"/>
        <w:rPr>
          <w:rFonts w:cstheme="minorHAnsi"/>
          <w:color w:val="000000"/>
        </w:rPr>
      </w:pPr>
      <w:r>
        <w:rPr>
          <w:rFonts w:cstheme="minorHAnsi"/>
          <w:color w:val="000000"/>
        </w:rPr>
        <w:t xml:space="preserve">In developing </w:t>
      </w:r>
      <w:r w:rsidR="002D2D8B" w:rsidRPr="00E6167F">
        <w:rPr>
          <w:rFonts w:cstheme="minorHAnsi"/>
          <w:color w:val="000000"/>
        </w:rPr>
        <w:t>or analyz</w:t>
      </w:r>
      <w:r>
        <w:rPr>
          <w:rFonts w:cstheme="minorHAnsi"/>
          <w:color w:val="000000"/>
        </w:rPr>
        <w:t>ing</w:t>
      </w:r>
      <w:r w:rsidR="002D2D8B" w:rsidRPr="00E6167F">
        <w:rPr>
          <w:rFonts w:cstheme="minorHAnsi"/>
          <w:color w:val="000000"/>
        </w:rPr>
        <w:t xml:space="preserve"> benefit package many different aspects should be taken in to account and many questions should be answered. Some of this questions are listed below. They are meant to provide a framework of relevant questions, though there may be additional relevant questions that are not included. </w:t>
      </w:r>
    </w:p>
    <w:p w14:paraId="75BD5F7B" w14:textId="77777777" w:rsidR="002D2D8B" w:rsidRPr="00E6167F" w:rsidRDefault="002D2D8B" w:rsidP="00363D34">
      <w:pPr>
        <w:autoSpaceDE w:val="0"/>
        <w:autoSpaceDN w:val="0"/>
        <w:adjustRightInd w:val="0"/>
        <w:spacing w:after="0" w:line="240" w:lineRule="auto"/>
        <w:jc w:val="both"/>
        <w:rPr>
          <w:rFonts w:cstheme="minorHAnsi"/>
          <w:b/>
          <w:bCs/>
          <w:color w:val="000000"/>
        </w:rPr>
      </w:pPr>
    </w:p>
    <w:p w14:paraId="7D04EA78" w14:textId="77777777" w:rsidR="002D2D8B" w:rsidRPr="00E6167F" w:rsidRDefault="002D2D8B" w:rsidP="00363D34">
      <w:pPr>
        <w:autoSpaceDE w:val="0"/>
        <w:autoSpaceDN w:val="0"/>
        <w:adjustRightInd w:val="0"/>
        <w:spacing w:after="0" w:line="240" w:lineRule="auto"/>
        <w:jc w:val="both"/>
        <w:rPr>
          <w:rFonts w:cstheme="minorHAnsi"/>
          <w:color w:val="000000"/>
        </w:rPr>
      </w:pPr>
      <w:r w:rsidRPr="00E6167F">
        <w:rPr>
          <w:rFonts w:cstheme="minorHAnsi"/>
          <w:b/>
          <w:bCs/>
          <w:color w:val="000000"/>
        </w:rPr>
        <w:t xml:space="preserve">Impacts on Individual Wellbeing </w:t>
      </w:r>
    </w:p>
    <w:p w14:paraId="40A3E705" w14:textId="77777777" w:rsidR="002D2D8B" w:rsidRPr="00E6167F" w:rsidRDefault="002D2D8B" w:rsidP="00363D34">
      <w:pPr>
        <w:autoSpaceDE w:val="0"/>
        <w:autoSpaceDN w:val="0"/>
        <w:adjustRightInd w:val="0"/>
        <w:spacing w:after="0" w:line="240" w:lineRule="auto"/>
        <w:jc w:val="both"/>
        <w:rPr>
          <w:rFonts w:cstheme="minorHAnsi"/>
          <w:color w:val="000000"/>
        </w:rPr>
      </w:pPr>
      <w:r w:rsidRPr="00E6167F">
        <w:rPr>
          <w:rFonts w:cstheme="minorHAnsi"/>
          <w:color w:val="000000"/>
        </w:rPr>
        <w:t xml:space="preserve">What positive impacts does the intervention provide to those who receive it? </w:t>
      </w:r>
    </w:p>
    <w:p w14:paraId="6AE2742B" w14:textId="77777777" w:rsidR="002D2D8B" w:rsidRPr="00E6167F" w:rsidRDefault="002D2D8B" w:rsidP="00363D34">
      <w:pPr>
        <w:pStyle w:val="ListParagraph"/>
        <w:numPr>
          <w:ilvl w:val="0"/>
          <w:numId w:val="4"/>
        </w:numPr>
        <w:autoSpaceDE w:val="0"/>
        <w:autoSpaceDN w:val="0"/>
        <w:adjustRightInd w:val="0"/>
        <w:spacing w:after="0" w:line="240" w:lineRule="auto"/>
        <w:contextualSpacing w:val="0"/>
        <w:jc w:val="both"/>
        <w:rPr>
          <w:rFonts w:cstheme="minorHAnsi"/>
          <w:color w:val="000000"/>
        </w:rPr>
      </w:pPr>
      <w:r w:rsidRPr="00E6167F">
        <w:rPr>
          <w:rFonts w:cstheme="minorHAnsi"/>
          <w:color w:val="000000"/>
        </w:rPr>
        <w:t xml:space="preserve">What kinds of health gains are associated with the intervention and how likely are they? </w:t>
      </w:r>
    </w:p>
    <w:p w14:paraId="0C8F8F29" w14:textId="77777777" w:rsidR="002D2D8B" w:rsidRPr="00E6167F" w:rsidRDefault="002D2D8B" w:rsidP="00363D34">
      <w:pPr>
        <w:pStyle w:val="ListParagraph"/>
        <w:numPr>
          <w:ilvl w:val="0"/>
          <w:numId w:val="4"/>
        </w:numPr>
        <w:autoSpaceDE w:val="0"/>
        <w:autoSpaceDN w:val="0"/>
        <w:adjustRightInd w:val="0"/>
        <w:spacing w:after="0" w:line="240" w:lineRule="auto"/>
        <w:contextualSpacing w:val="0"/>
        <w:jc w:val="both"/>
        <w:rPr>
          <w:rFonts w:cstheme="minorHAnsi"/>
          <w:color w:val="000000"/>
        </w:rPr>
      </w:pPr>
      <w:r w:rsidRPr="00E6167F">
        <w:rPr>
          <w:rFonts w:cstheme="minorHAnsi"/>
          <w:color w:val="000000"/>
        </w:rPr>
        <w:t xml:space="preserve">How large and/or important are these health gains for those who will experience them? </w:t>
      </w:r>
    </w:p>
    <w:p w14:paraId="7A73BCFB" w14:textId="77777777" w:rsidR="002D2D8B" w:rsidRPr="00E6167F" w:rsidRDefault="002D2D8B" w:rsidP="00363D34">
      <w:pPr>
        <w:pStyle w:val="ListParagraph"/>
        <w:numPr>
          <w:ilvl w:val="1"/>
          <w:numId w:val="4"/>
        </w:numPr>
        <w:autoSpaceDE w:val="0"/>
        <w:autoSpaceDN w:val="0"/>
        <w:adjustRightInd w:val="0"/>
        <w:spacing w:after="0" w:line="240" w:lineRule="auto"/>
        <w:contextualSpacing w:val="0"/>
        <w:jc w:val="both"/>
        <w:rPr>
          <w:rFonts w:cstheme="minorHAnsi"/>
          <w:color w:val="000000"/>
        </w:rPr>
      </w:pPr>
      <w:r w:rsidRPr="00E6167F">
        <w:rPr>
          <w:rFonts w:cstheme="minorHAnsi"/>
          <w:color w:val="000000"/>
        </w:rPr>
        <w:t xml:space="preserve">Is there a subset of people who are more likely to experience greater benefits from the intervention? </w:t>
      </w:r>
    </w:p>
    <w:p w14:paraId="4525E604" w14:textId="77777777" w:rsidR="002D2D8B" w:rsidRPr="00E6167F" w:rsidRDefault="002D2D8B" w:rsidP="00363D34">
      <w:pPr>
        <w:pStyle w:val="ListParagraph"/>
        <w:numPr>
          <w:ilvl w:val="0"/>
          <w:numId w:val="4"/>
        </w:numPr>
        <w:autoSpaceDE w:val="0"/>
        <w:autoSpaceDN w:val="0"/>
        <w:adjustRightInd w:val="0"/>
        <w:spacing w:after="0" w:line="240" w:lineRule="auto"/>
        <w:contextualSpacing w:val="0"/>
        <w:jc w:val="both"/>
        <w:rPr>
          <w:rFonts w:cstheme="minorHAnsi"/>
          <w:color w:val="000000"/>
        </w:rPr>
      </w:pPr>
      <w:r w:rsidRPr="00E6167F">
        <w:rPr>
          <w:rFonts w:cstheme="minorHAnsi"/>
          <w:color w:val="000000"/>
        </w:rPr>
        <w:t xml:space="preserve">Will these health gains have other positive effects on wellbeing beyond health? </w:t>
      </w:r>
    </w:p>
    <w:p w14:paraId="59F5F29B" w14:textId="77777777" w:rsidR="002D2D8B" w:rsidRPr="00E6167F" w:rsidRDefault="002D2D8B" w:rsidP="00363D34">
      <w:pPr>
        <w:autoSpaceDE w:val="0"/>
        <w:autoSpaceDN w:val="0"/>
        <w:adjustRightInd w:val="0"/>
        <w:spacing w:after="0" w:line="240" w:lineRule="auto"/>
        <w:jc w:val="both"/>
        <w:rPr>
          <w:rFonts w:cstheme="minorHAnsi"/>
          <w:color w:val="000000"/>
        </w:rPr>
      </w:pPr>
      <w:r w:rsidRPr="00E6167F">
        <w:rPr>
          <w:rFonts w:cstheme="minorHAnsi"/>
          <w:color w:val="000000"/>
        </w:rPr>
        <w:t xml:space="preserve">What negative outcomes may occur if this intervention is not covered? </w:t>
      </w:r>
    </w:p>
    <w:p w14:paraId="4B690544" w14:textId="77777777" w:rsidR="002D2D8B" w:rsidRPr="00E6167F" w:rsidRDefault="002D2D8B" w:rsidP="00363D34">
      <w:pPr>
        <w:pStyle w:val="ListParagraph"/>
        <w:numPr>
          <w:ilvl w:val="0"/>
          <w:numId w:val="5"/>
        </w:numPr>
        <w:autoSpaceDE w:val="0"/>
        <w:autoSpaceDN w:val="0"/>
        <w:adjustRightInd w:val="0"/>
        <w:spacing w:after="40" w:line="240" w:lineRule="auto"/>
        <w:contextualSpacing w:val="0"/>
        <w:jc w:val="both"/>
        <w:rPr>
          <w:rFonts w:cstheme="minorHAnsi"/>
          <w:color w:val="000000"/>
        </w:rPr>
      </w:pPr>
      <w:r w:rsidRPr="00E6167F">
        <w:rPr>
          <w:rFonts w:cstheme="minorHAnsi"/>
          <w:color w:val="000000"/>
        </w:rPr>
        <w:t xml:space="preserve">How likely are these bad outcomes? </w:t>
      </w:r>
    </w:p>
    <w:p w14:paraId="16FBDD32" w14:textId="77777777" w:rsidR="002D2D8B" w:rsidRPr="00E6167F" w:rsidRDefault="002D2D8B" w:rsidP="00363D34">
      <w:pPr>
        <w:pStyle w:val="ListParagraph"/>
        <w:numPr>
          <w:ilvl w:val="0"/>
          <w:numId w:val="5"/>
        </w:numPr>
        <w:autoSpaceDE w:val="0"/>
        <w:autoSpaceDN w:val="0"/>
        <w:adjustRightInd w:val="0"/>
        <w:spacing w:after="40" w:line="240" w:lineRule="auto"/>
        <w:contextualSpacing w:val="0"/>
        <w:jc w:val="both"/>
        <w:rPr>
          <w:rFonts w:cstheme="minorHAnsi"/>
          <w:color w:val="000000"/>
        </w:rPr>
      </w:pPr>
      <w:r w:rsidRPr="00E6167F">
        <w:rPr>
          <w:rFonts w:cstheme="minorHAnsi"/>
          <w:color w:val="000000"/>
        </w:rPr>
        <w:t xml:space="preserve">How severe are theses outcomes? </w:t>
      </w:r>
    </w:p>
    <w:p w14:paraId="57617252" w14:textId="77777777" w:rsidR="002D2D8B" w:rsidRPr="00E6167F" w:rsidRDefault="002D2D8B" w:rsidP="00363D34">
      <w:pPr>
        <w:pStyle w:val="ListParagraph"/>
        <w:numPr>
          <w:ilvl w:val="0"/>
          <w:numId w:val="5"/>
        </w:numPr>
        <w:autoSpaceDE w:val="0"/>
        <w:autoSpaceDN w:val="0"/>
        <w:adjustRightInd w:val="0"/>
        <w:spacing w:after="40" w:line="240" w:lineRule="auto"/>
        <w:contextualSpacing w:val="0"/>
        <w:jc w:val="both"/>
        <w:rPr>
          <w:rFonts w:cstheme="minorHAnsi"/>
          <w:color w:val="000000"/>
        </w:rPr>
      </w:pPr>
      <w:r w:rsidRPr="00E6167F">
        <w:rPr>
          <w:rFonts w:cstheme="minorHAnsi"/>
          <w:color w:val="000000"/>
        </w:rPr>
        <w:t xml:space="preserve">How long will they impact the wellbeing of those affected? </w:t>
      </w:r>
    </w:p>
    <w:p w14:paraId="506BA59B" w14:textId="77777777" w:rsidR="002D2D8B" w:rsidRPr="00E6167F" w:rsidRDefault="002D2D8B" w:rsidP="00363D34">
      <w:pPr>
        <w:pStyle w:val="ListParagraph"/>
        <w:numPr>
          <w:ilvl w:val="1"/>
          <w:numId w:val="5"/>
        </w:numPr>
        <w:autoSpaceDE w:val="0"/>
        <w:autoSpaceDN w:val="0"/>
        <w:adjustRightInd w:val="0"/>
        <w:spacing w:after="40" w:line="240" w:lineRule="auto"/>
        <w:contextualSpacing w:val="0"/>
        <w:jc w:val="both"/>
        <w:rPr>
          <w:rFonts w:cstheme="minorHAnsi"/>
          <w:color w:val="000000"/>
        </w:rPr>
      </w:pPr>
      <w:r w:rsidRPr="00E6167F">
        <w:rPr>
          <w:rFonts w:cstheme="minorHAnsi"/>
          <w:color w:val="000000"/>
        </w:rPr>
        <w:t xml:space="preserve">Is there a subset of people who may be more likely to experience severe and/or prolonged adverse outcomes if the intervention is not covered? </w:t>
      </w:r>
    </w:p>
    <w:p w14:paraId="4CBD01C7" w14:textId="77777777" w:rsidR="002D2D8B" w:rsidRPr="00E6167F" w:rsidRDefault="002D2D8B" w:rsidP="00363D34">
      <w:pPr>
        <w:autoSpaceDE w:val="0"/>
        <w:autoSpaceDN w:val="0"/>
        <w:adjustRightInd w:val="0"/>
        <w:spacing w:after="0" w:line="240" w:lineRule="auto"/>
        <w:jc w:val="both"/>
        <w:rPr>
          <w:rFonts w:cstheme="minorHAnsi"/>
          <w:color w:val="000000"/>
        </w:rPr>
      </w:pPr>
      <w:r w:rsidRPr="00E6167F">
        <w:rPr>
          <w:rFonts w:cstheme="minorHAnsi"/>
          <w:color w:val="000000"/>
        </w:rPr>
        <w:t xml:space="preserve">Are there any groups of individuals who are likely to have adverse reactions to or complications from this intervention, even if most will benefit from it? (e.g., patients with co-morbidities where there are foreseeable adverse drug interactions; patients with a particular genetic marker that would provide a contraindication) </w:t>
      </w:r>
    </w:p>
    <w:p w14:paraId="09F9FA4D" w14:textId="77777777" w:rsidR="002D2D8B" w:rsidRPr="00E6167F" w:rsidRDefault="002D2D8B" w:rsidP="00363D34">
      <w:pPr>
        <w:pStyle w:val="ListParagraph"/>
        <w:numPr>
          <w:ilvl w:val="0"/>
          <w:numId w:val="6"/>
        </w:numPr>
        <w:autoSpaceDE w:val="0"/>
        <w:autoSpaceDN w:val="0"/>
        <w:adjustRightInd w:val="0"/>
        <w:spacing w:after="0" w:line="240" w:lineRule="auto"/>
        <w:contextualSpacing w:val="0"/>
        <w:jc w:val="both"/>
        <w:rPr>
          <w:rFonts w:cstheme="minorHAnsi"/>
          <w:color w:val="000000"/>
        </w:rPr>
      </w:pPr>
      <w:r w:rsidRPr="00E6167F">
        <w:rPr>
          <w:rFonts w:cstheme="minorHAnsi"/>
          <w:color w:val="000000"/>
        </w:rPr>
        <w:t xml:space="preserve">What can be done to avoid harms among these patients? What could be offered as an alternative intervention? </w:t>
      </w:r>
    </w:p>
    <w:p w14:paraId="560408A1" w14:textId="77777777" w:rsidR="002D2D8B" w:rsidRPr="00E6167F" w:rsidRDefault="002D2D8B" w:rsidP="00363D34">
      <w:pPr>
        <w:autoSpaceDE w:val="0"/>
        <w:autoSpaceDN w:val="0"/>
        <w:adjustRightInd w:val="0"/>
        <w:spacing w:after="0" w:line="240" w:lineRule="auto"/>
        <w:jc w:val="both"/>
        <w:rPr>
          <w:rFonts w:cstheme="minorHAnsi"/>
          <w:color w:val="000000"/>
        </w:rPr>
      </w:pPr>
    </w:p>
    <w:p w14:paraId="73CBEC37" w14:textId="77777777" w:rsidR="002D2D8B" w:rsidRPr="00E6167F" w:rsidRDefault="002D2D8B" w:rsidP="00363D34">
      <w:pPr>
        <w:autoSpaceDE w:val="0"/>
        <w:autoSpaceDN w:val="0"/>
        <w:adjustRightInd w:val="0"/>
        <w:spacing w:after="0" w:line="240" w:lineRule="auto"/>
        <w:jc w:val="both"/>
        <w:rPr>
          <w:rFonts w:cstheme="minorHAnsi"/>
          <w:b/>
          <w:bCs/>
          <w:color w:val="000000"/>
        </w:rPr>
      </w:pPr>
      <w:r w:rsidRPr="00E6167F">
        <w:rPr>
          <w:rFonts w:cstheme="minorHAnsi"/>
          <w:b/>
          <w:bCs/>
          <w:color w:val="000000"/>
        </w:rPr>
        <w:t xml:space="preserve">Population Health Gains </w:t>
      </w:r>
    </w:p>
    <w:p w14:paraId="7131F11D" w14:textId="77777777" w:rsidR="002D2D8B" w:rsidRPr="00E6167F" w:rsidRDefault="002D2D8B" w:rsidP="00363D34">
      <w:pPr>
        <w:autoSpaceDE w:val="0"/>
        <w:autoSpaceDN w:val="0"/>
        <w:adjustRightInd w:val="0"/>
        <w:spacing w:after="0" w:line="240" w:lineRule="auto"/>
        <w:jc w:val="both"/>
        <w:rPr>
          <w:rFonts w:cstheme="minorHAnsi"/>
          <w:color w:val="000000"/>
        </w:rPr>
      </w:pPr>
      <w:r w:rsidRPr="00E6167F">
        <w:rPr>
          <w:rFonts w:cstheme="minorHAnsi"/>
          <w:color w:val="000000"/>
        </w:rPr>
        <w:t xml:space="preserve">How well does this intervention support high-priority public health goals and objectives? </w:t>
      </w:r>
    </w:p>
    <w:p w14:paraId="23FBDE8C" w14:textId="77777777" w:rsidR="002D2D8B" w:rsidRPr="00E6167F" w:rsidRDefault="002D2D8B" w:rsidP="00363D34">
      <w:pPr>
        <w:pStyle w:val="ListParagraph"/>
        <w:numPr>
          <w:ilvl w:val="0"/>
          <w:numId w:val="6"/>
        </w:numPr>
        <w:autoSpaceDE w:val="0"/>
        <w:autoSpaceDN w:val="0"/>
        <w:adjustRightInd w:val="0"/>
        <w:spacing w:after="40" w:line="240" w:lineRule="auto"/>
        <w:contextualSpacing w:val="0"/>
        <w:jc w:val="both"/>
        <w:rPr>
          <w:rFonts w:cstheme="minorHAnsi"/>
          <w:color w:val="000000"/>
        </w:rPr>
      </w:pPr>
      <w:r w:rsidRPr="00E6167F">
        <w:rPr>
          <w:rFonts w:cstheme="minorHAnsi"/>
          <w:color w:val="000000"/>
        </w:rPr>
        <w:t xml:space="preserve">Will this intervention reduce a high disease burden among the population? How significant are the likely impacts? </w:t>
      </w:r>
    </w:p>
    <w:p w14:paraId="109561D3" w14:textId="77777777" w:rsidR="002D2D8B" w:rsidRPr="00E6167F" w:rsidRDefault="002D2D8B" w:rsidP="00363D34">
      <w:pPr>
        <w:pStyle w:val="ListParagraph"/>
        <w:numPr>
          <w:ilvl w:val="0"/>
          <w:numId w:val="6"/>
        </w:numPr>
        <w:autoSpaceDE w:val="0"/>
        <w:autoSpaceDN w:val="0"/>
        <w:adjustRightInd w:val="0"/>
        <w:spacing w:after="40" w:line="240" w:lineRule="auto"/>
        <w:contextualSpacing w:val="0"/>
        <w:jc w:val="both"/>
        <w:rPr>
          <w:rFonts w:cstheme="minorHAnsi"/>
          <w:color w:val="000000"/>
        </w:rPr>
      </w:pPr>
      <w:r w:rsidRPr="00E6167F">
        <w:rPr>
          <w:rFonts w:cstheme="minorHAnsi"/>
          <w:color w:val="000000"/>
        </w:rPr>
        <w:t xml:space="preserve">Will there be additional health benefits for those not directly receiving the intervention? Are there positive health externalities? </w:t>
      </w:r>
    </w:p>
    <w:p w14:paraId="4DD6A1A3" w14:textId="77777777" w:rsidR="002D2D8B" w:rsidRPr="00E6167F" w:rsidRDefault="002D2D8B" w:rsidP="00363D34">
      <w:pPr>
        <w:pStyle w:val="ListParagraph"/>
        <w:numPr>
          <w:ilvl w:val="0"/>
          <w:numId w:val="6"/>
        </w:numPr>
        <w:autoSpaceDE w:val="0"/>
        <w:autoSpaceDN w:val="0"/>
        <w:adjustRightInd w:val="0"/>
        <w:spacing w:after="40" w:line="240" w:lineRule="auto"/>
        <w:contextualSpacing w:val="0"/>
        <w:jc w:val="both"/>
        <w:rPr>
          <w:rFonts w:cstheme="minorHAnsi"/>
          <w:color w:val="000000"/>
        </w:rPr>
      </w:pPr>
      <w:r w:rsidRPr="00E6167F">
        <w:rPr>
          <w:rFonts w:cstheme="minorHAnsi"/>
          <w:color w:val="000000"/>
        </w:rPr>
        <w:t xml:space="preserve">How durable are the impacts of the intervention? (e.g., a vaccine that will offer lifelong protection for the immunized cohort vs. an intervention that must be given continuously to sustain impact) </w:t>
      </w:r>
    </w:p>
    <w:p w14:paraId="3E03B6B8" w14:textId="77777777" w:rsidR="002D2D8B" w:rsidRPr="00E6167F" w:rsidRDefault="002D2D8B" w:rsidP="00363D34">
      <w:pPr>
        <w:autoSpaceDE w:val="0"/>
        <w:autoSpaceDN w:val="0"/>
        <w:adjustRightInd w:val="0"/>
        <w:spacing w:after="0" w:line="240" w:lineRule="auto"/>
        <w:jc w:val="both"/>
        <w:rPr>
          <w:rFonts w:cstheme="minorHAnsi"/>
          <w:color w:val="000000"/>
        </w:rPr>
      </w:pPr>
      <w:r w:rsidRPr="00E6167F">
        <w:rPr>
          <w:rFonts w:cstheme="minorHAnsi"/>
          <w:color w:val="000000"/>
        </w:rPr>
        <w:t xml:space="preserve">What, if any, negative population health consequences could arise if the intervention is not provided? </w:t>
      </w:r>
    </w:p>
    <w:p w14:paraId="2F8575C7" w14:textId="77777777" w:rsidR="002D2D8B" w:rsidRPr="00E6167F" w:rsidRDefault="002D2D8B" w:rsidP="00363D34">
      <w:pPr>
        <w:spacing w:line="240" w:lineRule="auto"/>
        <w:jc w:val="both"/>
        <w:rPr>
          <w:rFonts w:cstheme="minorHAnsi"/>
        </w:rPr>
      </w:pPr>
    </w:p>
    <w:p w14:paraId="2E043154" w14:textId="77777777" w:rsidR="002D2D8B" w:rsidRPr="00E6167F" w:rsidRDefault="002D2D8B" w:rsidP="00363D34">
      <w:pPr>
        <w:spacing w:line="240" w:lineRule="auto"/>
        <w:jc w:val="both"/>
        <w:rPr>
          <w:rFonts w:cstheme="minorHAnsi"/>
          <w:b/>
        </w:rPr>
      </w:pPr>
      <w:r w:rsidRPr="00E6167F">
        <w:rPr>
          <w:rFonts w:cstheme="minorHAnsi"/>
          <w:b/>
        </w:rPr>
        <w:t xml:space="preserve">Equity </w:t>
      </w:r>
    </w:p>
    <w:p w14:paraId="71E53BC7" w14:textId="77777777" w:rsidR="002D2D8B" w:rsidRPr="00E6167F" w:rsidRDefault="002D2D8B" w:rsidP="00363D34">
      <w:pPr>
        <w:spacing w:line="240" w:lineRule="auto"/>
        <w:jc w:val="both"/>
        <w:rPr>
          <w:rFonts w:cstheme="minorHAnsi"/>
        </w:rPr>
      </w:pPr>
      <w:r w:rsidRPr="00E6167F">
        <w:rPr>
          <w:rFonts w:cstheme="minorHAnsi"/>
        </w:rPr>
        <w:t xml:space="preserve">How well does this intervention align with equity objectives? </w:t>
      </w:r>
    </w:p>
    <w:p w14:paraId="02334073" w14:textId="77777777" w:rsidR="002D2D8B" w:rsidRPr="00E6167F" w:rsidRDefault="002D2D8B" w:rsidP="00363D34">
      <w:pPr>
        <w:spacing w:line="240" w:lineRule="auto"/>
        <w:jc w:val="both"/>
        <w:rPr>
          <w:rFonts w:cstheme="minorHAnsi"/>
        </w:rPr>
      </w:pPr>
      <w:r w:rsidRPr="00E6167F">
        <w:rPr>
          <w:rFonts w:cstheme="minorHAnsi"/>
        </w:rPr>
        <w:t xml:space="preserve">Does the intervention under consideration serve populations that are disadvantaged in one or more dimension of their wellbeing? Does it help address disparities between groups, such as by income, gender, geographic location, age, education, etc.? </w:t>
      </w:r>
    </w:p>
    <w:p w14:paraId="033C38B3" w14:textId="77777777" w:rsidR="002D2D8B" w:rsidRPr="00E6167F" w:rsidRDefault="002D2D8B" w:rsidP="00363D34">
      <w:pPr>
        <w:spacing w:line="240" w:lineRule="auto"/>
        <w:jc w:val="both"/>
        <w:rPr>
          <w:rFonts w:cstheme="minorHAnsi"/>
        </w:rPr>
      </w:pPr>
      <w:r w:rsidRPr="00E6167F">
        <w:rPr>
          <w:rFonts w:cstheme="minorHAnsi"/>
        </w:rPr>
        <w:t xml:space="preserve">If so, in what ways? </w:t>
      </w:r>
    </w:p>
    <w:p w14:paraId="3857D1FE" w14:textId="77777777" w:rsidR="002D2D8B" w:rsidRPr="00E6167F" w:rsidRDefault="002D2D8B" w:rsidP="00363D34">
      <w:pPr>
        <w:spacing w:line="240" w:lineRule="auto"/>
        <w:jc w:val="both"/>
        <w:rPr>
          <w:rFonts w:cstheme="minorHAnsi"/>
        </w:rPr>
      </w:pPr>
      <w:r w:rsidRPr="00E6167F">
        <w:rPr>
          <w:rFonts w:cstheme="minorHAnsi"/>
        </w:rPr>
        <w:lastRenderedPageBreak/>
        <w:t xml:space="preserve">Does the intervention under consideration serve populations that are already advantaged? Will coverage of these services exacerbate inequities across the population? </w:t>
      </w:r>
    </w:p>
    <w:p w14:paraId="1C1FD922" w14:textId="77777777" w:rsidR="002D2D8B" w:rsidRPr="00E6167F" w:rsidRDefault="002D2D8B" w:rsidP="00363D34">
      <w:pPr>
        <w:spacing w:line="240" w:lineRule="auto"/>
        <w:jc w:val="both"/>
        <w:rPr>
          <w:rFonts w:cstheme="minorHAnsi"/>
        </w:rPr>
      </w:pPr>
      <w:r w:rsidRPr="00E6167F">
        <w:rPr>
          <w:rFonts w:cstheme="minorHAnsi"/>
        </w:rPr>
        <w:t xml:space="preserve">If so, in what ways? </w:t>
      </w:r>
    </w:p>
    <w:p w14:paraId="0CD9B3B6" w14:textId="77777777" w:rsidR="002D2D8B" w:rsidRPr="00E6167F" w:rsidRDefault="002D2D8B" w:rsidP="00363D34">
      <w:pPr>
        <w:spacing w:line="240" w:lineRule="auto"/>
        <w:jc w:val="both"/>
        <w:rPr>
          <w:rFonts w:cstheme="minorHAnsi"/>
          <w:b/>
        </w:rPr>
      </w:pPr>
      <w:r w:rsidRPr="00E6167F">
        <w:rPr>
          <w:rFonts w:cstheme="minorHAnsi"/>
          <w:b/>
        </w:rPr>
        <w:t xml:space="preserve">Respect for Clinician Judgment </w:t>
      </w:r>
    </w:p>
    <w:p w14:paraId="16D0161A" w14:textId="77777777" w:rsidR="002D2D8B" w:rsidRPr="00E6167F" w:rsidRDefault="002D2D8B" w:rsidP="00363D34">
      <w:pPr>
        <w:spacing w:line="240" w:lineRule="auto"/>
        <w:jc w:val="both"/>
        <w:rPr>
          <w:rFonts w:cstheme="minorHAnsi"/>
        </w:rPr>
      </w:pPr>
      <w:r w:rsidRPr="00E6167F">
        <w:rPr>
          <w:rFonts w:cstheme="minorHAnsi"/>
        </w:rPr>
        <w:t xml:space="preserve">How might restricting coverage of this intervention negatively affect care providers’ ability to exercise their discretion in delivering appropriate care? How stringent are these limitations? Are the restrictions reasonable and justifiable? </w:t>
      </w:r>
    </w:p>
    <w:p w14:paraId="47EC93C6" w14:textId="77777777" w:rsidR="002D2D8B" w:rsidRPr="00E6167F" w:rsidRDefault="002D2D8B" w:rsidP="00363D34">
      <w:pPr>
        <w:spacing w:line="240" w:lineRule="auto"/>
        <w:jc w:val="both"/>
        <w:rPr>
          <w:rFonts w:cstheme="minorHAnsi"/>
        </w:rPr>
      </w:pPr>
      <w:r w:rsidRPr="00E6167F">
        <w:rPr>
          <w:rFonts w:cstheme="minorHAnsi"/>
        </w:rPr>
        <w:t xml:space="preserve">Are there specific ways in which not covering this intervention might negatively impact the provider-patient relationship by limited care decisions? (e.g., if public providers are unable to offer something that is widely covered by private insurers, could that lead to distrust between patients and providers – particularly in cases where many doctors work in both public and private clinics?) </w:t>
      </w:r>
    </w:p>
    <w:p w14:paraId="59EDF2D6" w14:textId="77777777" w:rsidR="002D2D8B" w:rsidRPr="00E6167F" w:rsidRDefault="002D2D8B" w:rsidP="00363D34">
      <w:pPr>
        <w:spacing w:line="240" w:lineRule="auto"/>
        <w:jc w:val="both"/>
        <w:rPr>
          <w:rFonts w:cstheme="minorHAnsi"/>
        </w:rPr>
      </w:pPr>
      <w:r w:rsidRPr="00E6167F">
        <w:rPr>
          <w:rFonts w:cstheme="minorHAnsi"/>
        </w:rPr>
        <w:t xml:space="preserve">Does the community of practice (e.g., medical associations, international and national clinical guidelines) support adoption of this intervention? </w:t>
      </w:r>
    </w:p>
    <w:p w14:paraId="1889E8C4" w14:textId="77777777" w:rsidR="002D2D8B" w:rsidRPr="00E6167F" w:rsidRDefault="002D2D8B" w:rsidP="00363D34">
      <w:pPr>
        <w:spacing w:line="240" w:lineRule="auto"/>
        <w:jc w:val="both"/>
        <w:rPr>
          <w:rFonts w:cstheme="minorHAnsi"/>
        </w:rPr>
      </w:pPr>
      <w:r w:rsidRPr="00E6167F">
        <w:rPr>
          <w:rFonts w:cstheme="minorHAnsi"/>
        </w:rPr>
        <w:t xml:space="preserve">If so, is this intervention the best among available options for the local context, taking into consideration affordability &amp; efficiency, health system capacity, and training level of providers? </w:t>
      </w:r>
    </w:p>
    <w:p w14:paraId="7DB365B1" w14:textId="77777777" w:rsidR="002D2D8B" w:rsidRPr="00E6167F" w:rsidRDefault="002D2D8B" w:rsidP="00363D34">
      <w:pPr>
        <w:spacing w:line="240" w:lineRule="auto"/>
        <w:jc w:val="both"/>
        <w:rPr>
          <w:rFonts w:cstheme="minorHAnsi"/>
        </w:rPr>
      </w:pPr>
      <w:r w:rsidRPr="00E6167F">
        <w:rPr>
          <w:rFonts w:cstheme="minorHAnsi"/>
        </w:rPr>
        <w:t xml:space="preserve">If this intervention is not supported by evidence-based practice guidelines (or even recommended against), yet remains common practice among care providers, what if anything can and should be done to engage providers advocating for it? </w:t>
      </w:r>
    </w:p>
    <w:p w14:paraId="665123DF" w14:textId="77777777" w:rsidR="002D2D8B" w:rsidRPr="00E6167F" w:rsidRDefault="002D2D8B" w:rsidP="00363D34">
      <w:pPr>
        <w:autoSpaceDE w:val="0"/>
        <w:autoSpaceDN w:val="0"/>
        <w:adjustRightInd w:val="0"/>
        <w:spacing w:after="0" w:line="240" w:lineRule="auto"/>
        <w:jc w:val="both"/>
        <w:rPr>
          <w:rFonts w:cstheme="minorHAnsi"/>
          <w:b/>
          <w:bCs/>
        </w:rPr>
      </w:pPr>
    </w:p>
    <w:p w14:paraId="51DA037E" w14:textId="77777777" w:rsidR="002D2D8B" w:rsidRPr="00E6167F" w:rsidRDefault="002D2D8B" w:rsidP="00363D34">
      <w:pPr>
        <w:autoSpaceDE w:val="0"/>
        <w:autoSpaceDN w:val="0"/>
        <w:adjustRightInd w:val="0"/>
        <w:spacing w:after="0" w:line="240" w:lineRule="auto"/>
        <w:jc w:val="both"/>
        <w:rPr>
          <w:rFonts w:cstheme="minorHAnsi"/>
          <w:b/>
          <w:bCs/>
        </w:rPr>
      </w:pPr>
      <w:r w:rsidRPr="00E6167F">
        <w:rPr>
          <w:rFonts w:cstheme="minorHAnsi"/>
          <w:b/>
          <w:bCs/>
        </w:rPr>
        <w:t xml:space="preserve">Evidence-informed decision-making and evidence generation </w:t>
      </w:r>
    </w:p>
    <w:p w14:paraId="33C4DEAD" w14:textId="77777777" w:rsidR="002D2D8B" w:rsidRPr="00E6167F" w:rsidRDefault="002D2D8B" w:rsidP="00363D34">
      <w:pPr>
        <w:pStyle w:val="ListParagraph"/>
        <w:numPr>
          <w:ilvl w:val="0"/>
          <w:numId w:val="7"/>
        </w:numPr>
        <w:autoSpaceDE w:val="0"/>
        <w:autoSpaceDN w:val="0"/>
        <w:adjustRightInd w:val="0"/>
        <w:spacing w:after="45" w:line="240" w:lineRule="auto"/>
        <w:contextualSpacing w:val="0"/>
        <w:jc w:val="both"/>
        <w:rPr>
          <w:rFonts w:cstheme="minorHAnsi"/>
        </w:rPr>
      </w:pPr>
      <w:r w:rsidRPr="00E6167F">
        <w:rPr>
          <w:rFonts w:cstheme="minorHAnsi"/>
        </w:rPr>
        <w:t xml:space="preserve">What evidence exists to inform assessment for each of these considerations? How robust is that evidence? Can reliable conclusions be drawn from the current sources of information? </w:t>
      </w:r>
    </w:p>
    <w:p w14:paraId="229F6DE3" w14:textId="77777777" w:rsidR="002D2D8B" w:rsidRPr="00E6167F" w:rsidRDefault="002D2D8B" w:rsidP="00363D34">
      <w:pPr>
        <w:pStyle w:val="ListParagraph"/>
        <w:numPr>
          <w:ilvl w:val="0"/>
          <w:numId w:val="7"/>
        </w:numPr>
        <w:autoSpaceDE w:val="0"/>
        <w:autoSpaceDN w:val="0"/>
        <w:adjustRightInd w:val="0"/>
        <w:spacing w:after="45" w:line="240" w:lineRule="auto"/>
        <w:contextualSpacing w:val="0"/>
        <w:jc w:val="both"/>
        <w:rPr>
          <w:rFonts w:cstheme="minorHAnsi"/>
        </w:rPr>
      </w:pPr>
      <w:r w:rsidRPr="00E6167F">
        <w:rPr>
          <w:rFonts w:cstheme="minorHAnsi"/>
        </w:rPr>
        <w:t xml:space="preserve">Where there are gaps, what kinds of evidence should be pursued to inform the assessment? </w:t>
      </w:r>
    </w:p>
    <w:p w14:paraId="59476B8A" w14:textId="77777777" w:rsidR="002D2D8B" w:rsidRPr="00E6167F" w:rsidRDefault="002D2D8B" w:rsidP="00363D34">
      <w:pPr>
        <w:pStyle w:val="ListParagraph"/>
        <w:numPr>
          <w:ilvl w:val="0"/>
          <w:numId w:val="7"/>
        </w:numPr>
        <w:autoSpaceDE w:val="0"/>
        <w:autoSpaceDN w:val="0"/>
        <w:adjustRightInd w:val="0"/>
        <w:spacing w:after="0" w:line="240" w:lineRule="auto"/>
        <w:contextualSpacing w:val="0"/>
        <w:jc w:val="both"/>
        <w:rPr>
          <w:rFonts w:cstheme="minorHAnsi"/>
        </w:rPr>
      </w:pPr>
      <w:r w:rsidRPr="00E6167F">
        <w:rPr>
          <w:rFonts w:cstheme="minorHAnsi"/>
        </w:rPr>
        <w:t xml:space="preserve">Which, if any, indicators should be collected routinely in order to inform ongoing coverage decisions? </w:t>
      </w:r>
    </w:p>
    <w:p w14:paraId="23F57150" w14:textId="77777777" w:rsidR="002D2D8B" w:rsidRPr="00E6167F" w:rsidRDefault="002D2D8B" w:rsidP="00363D34">
      <w:pPr>
        <w:autoSpaceDE w:val="0"/>
        <w:autoSpaceDN w:val="0"/>
        <w:adjustRightInd w:val="0"/>
        <w:spacing w:after="0" w:line="240" w:lineRule="auto"/>
        <w:jc w:val="both"/>
        <w:rPr>
          <w:rFonts w:cstheme="minorHAnsi"/>
        </w:rPr>
      </w:pPr>
    </w:p>
    <w:p w14:paraId="1A08DE49" w14:textId="77777777" w:rsidR="002D2D8B" w:rsidRPr="00E6167F" w:rsidRDefault="002D2D8B" w:rsidP="00363D34">
      <w:pPr>
        <w:autoSpaceDE w:val="0"/>
        <w:autoSpaceDN w:val="0"/>
        <w:adjustRightInd w:val="0"/>
        <w:spacing w:after="0" w:line="240" w:lineRule="auto"/>
        <w:jc w:val="both"/>
        <w:rPr>
          <w:rFonts w:cstheme="minorHAnsi"/>
          <w:b/>
          <w:bCs/>
        </w:rPr>
      </w:pPr>
      <w:r w:rsidRPr="00E6167F">
        <w:rPr>
          <w:rFonts w:cstheme="minorHAnsi"/>
          <w:b/>
          <w:bCs/>
        </w:rPr>
        <w:t xml:space="preserve">Fair Processes and Procedures </w:t>
      </w:r>
    </w:p>
    <w:p w14:paraId="6144504A" w14:textId="77777777" w:rsidR="002D2D8B" w:rsidRPr="00E6167F" w:rsidRDefault="002D2D8B" w:rsidP="00363D34">
      <w:pPr>
        <w:pStyle w:val="ListParagraph"/>
        <w:numPr>
          <w:ilvl w:val="0"/>
          <w:numId w:val="8"/>
        </w:numPr>
        <w:autoSpaceDE w:val="0"/>
        <w:autoSpaceDN w:val="0"/>
        <w:adjustRightInd w:val="0"/>
        <w:spacing w:after="46" w:line="240" w:lineRule="auto"/>
        <w:contextualSpacing w:val="0"/>
        <w:jc w:val="both"/>
        <w:rPr>
          <w:rFonts w:cstheme="minorHAnsi"/>
        </w:rPr>
      </w:pPr>
      <w:r w:rsidRPr="00E6167F">
        <w:rPr>
          <w:rFonts w:cstheme="minorHAnsi"/>
        </w:rPr>
        <w:t xml:space="preserve">Whose interests are most affected by the decision to include or exclude this intervention? Who are the relevant stakeholders? </w:t>
      </w:r>
    </w:p>
    <w:p w14:paraId="14C90273" w14:textId="77777777" w:rsidR="002D2D8B" w:rsidRPr="00E6167F" w:rsidRDefault="002D2D8B" w:rsidP="00363D34">
      <w:pPr>
        <w:pStyle w:val="ListParagraph"/>
        <w:numPr>
          <w:ilvl w:val="0"/>
          <w:numId w:val="8"/>
        </w:numPr>
        <w:autoSpaceDE w:val="0"/>
        <w:autoSpaceDN w:val="0"/>
        <w:adjustRightInd w:val="0"/>
        <w:spacing w:after="0" w:line="240" w:lineRule="auto"/>
        <w:contextualSpacing w:val="0"/>
        <w:jc w:val="both"/>
        <w:rPr>
          <w:rFonts w:cstheme="minorHAnsi"/>
        </w:rPr>
      </w:pPr>
      <w:r w:rsidRPr="00E6167F">
        <w:rPr>
          <w:rFonts w:cstheme="minorHAnsi"/>
        </w:rPr>
        <w:t xml:space="preserve">How, when, and for which considerations should these stakeholders be included in the ethics assessment? </w:t>
      </w:r>
    </w:p>
    <w:p w14:paraId="5BCBAE38" w14:textId="77777777" w:rsidR="002D2D8B" w:rsidRPr="00E6167F" w:rsidRDefault="002D2D8B" w:rsidP="00363D34">
      <w:pPr>
        <w:spacing w:line="240" w:lineRule="auto"/>
        <w:jc w:val="both"/>
        <w:rPr>
          <w:rFonts w:cstheme="minorHAnsi"/>
          <w:b/>
        </w:rPr>
      </w:pPr>
    </w:p>
    <w:p w14:paraId="2FE77F20" w14:textId="77777777" w:rsidR="002D2D8B" w:rsidRPr="00E6167F" w:rsidRDefault="002D2D8B" w:rsidP="00363D34">
      <w:pPr>
        <w:autoSpaceDE w:val="0"/>
        <w:autoSpaceDN w:val="0"/>
        <w:adjustRightInd w:val="0"/>
        <w:spacing w:before="120" w:after="120" w:line="240" w:lineRule="auto"/>
        <w:jc w:val="both"/>
        <w:rPr>
          <w:rFonts w:cstheme="minorHAnsi"/>
          <w:color w:val="000000"/>
        </w:rPr>
      </w:pPr>
      <w:r w:rsidRPr="00E6167F">
        <w:rPr>
          <w:rFonts w:cstheme="minorHAnsi"/>
          <w:color w:val="000000"/>
        </w:rPr>
        <w:t xml:space="preserve">Benefit package design is a multistep and dynamic process which should start with setting clear goals and general criteria for the selection of disease control priorities and services and products within each priority. Given the whole inventory of potential candidates for inclusion or exclusion, it should be decided how to classify services into different categories with some kind of rules to define priority inclusions or exclusions, or types of technologies. In this way structure of SGBP, language and granularity, will be defined. </w:t>
      </w:r>
    </w:p>
    <w:p w14:paraId="5F04ADDD" w14:textId="77777777" w:rsidR="002D2D8B" w:rsidRPr="00E6167F" w:rsidRDefault="002D2D8B" w:rsidP="00363D34">
      <w:pPr>
        <w:autoSpaceDE w:val="0"/>
        <w:autoSpaceDN w:val="0"/>
        <w:adjustRightInd w:val="0"/>
        <w:spacing w:before="120" w:after="120" w:line="240" w:lineRule="auto"/>
        <w:jc w:val="both"/>
        <w:rPr>
          <w:rFonts w:cstheme="minorHAnsi"/>
          <w:color w:val="000000"/>
        </w:rPr>
      </w:pPr>
      <w:r w:rsidRPr="00E6167F">
        <w:rPr>
          <w:rFonts w:cstheme="minorHAnsi"/>
          <w:color w:val="000000"/>
        </w:rPr>
        <w:t xml:space="preserve">Priority-setting is essentially about weighing up the costs and benefits of an intervention in relation to the burden of disease, the budgetary envelope and societal preferences. It is necessary even in the most well-resourced environment because all health systems face some form of constraints. </w:t>
      </w:r>
    </w:p>
    <w:p w14:paraId="518EDCD0" w14:textId="77777777" w:rsidR="002D2D8B" w:rsidRPr="00E6167F" w:rsidRDefault="002D2D8B" w:rsidP="00363D34">
      <w:pPr>
        <w:autoSpaceDE w:val="0"/>
        <w:autoSpaceDN w:val="0"/>
        <w:adjustRightInd w:val="0"/>
        <w:spacing w:before="120" w:after="120" w:line="240" w:lineRule="auto"/>
        <w:jc w:val="both"/>
        <w:rPr>
          <w:rFonts w:cstheme="minorHAnsi"/>
          <w:color w:val="000000"/>
        </w:rPr>
      </w:pPr>
      <w:r w:rsidRPr="00E6167F">
        <w:rPr>
          <w:rFonts w:cstheme="minorHAnsi"/>
          <w:color w:val="000000"/>
        </w:rPr>
        <w:lastRenderedPageBreak/>
        <w:t>Once proposals are prepared, a next step is to establish a mechanism that will allow for discussion and deliberation around evidence and proposals as an input to making a recommendation for inclusion or exclusion.</w:t>
      </w:r>
      <w:r w:rsidRPr="00E6167F">
        <w:rPr>
          <w:rFonts w:cstheme="minorHAnsi"/>
          <w:b/>
          <w:color w:val="000000"/>
        </w:rPr>
        <w:t xml:space="preserve"> </w:t>
      </w:r>
      <w:r w:rsidRPr="00E6167F">
        <w:rPr>
          <w:rFonts w:cstheme="minorHAnsi"/>
          <w:color w:val="000000"/>
        </w:rPr>
        <w:t>While deliberation is more commonly applied as part of Health Technology Assessment</w:t>
      </w:r>
      <w:r w:rsidRPr="00E6167F">
        <w:rPr>
          <w:rStyle w:val="FootnoteReference"/>
          <w:rFonts w:cstheme="minorHAnsi"/>
          <w:color w:val="000000"/>
        </w:rPr>
        <w:footnoteReference w:id="4"/>
      </w:r>
      <w:r w:rsidRPr="00E6167F">
        <w:rPr>
          <w:rFonts w:cstheme="minorHAnsi"/>
          <w:color w:val="000000"/>
        </w:rPr>
        <w:t xml:space="preserve"> (HTA), there are good reasons to consider including a process of deliberation around the entire portfolio of SGBP services and its subsequent adjustment as well. In many settings, deliberation ends with a recommendation to policy makers on the individual services or portfolio of services that are to be included in the SGBP, but fails to connect the recommendation with decision-making. In an ideal process, there is an obligation to consider the appraisal and its recommendations in decision making on whether services are included or excluded for public subsidy. </w:t>
      </w:r>
    </w:p>
    <w:p w14:paraId="70B9F61F" w14:textId="77777777" w:rsidR="002D2D8B" w:rsidRPr="00E6167F" w:rsidRDefault="002D2D8B" w:rsidP="00363D34">
      <w:pPr>
        <w:autoSpaceDE w:val="0"/>
        <w:autoSpaceDN w:val="0"/>
        <w:adjustRightInd w:val="0"/>
        <w:spacing w:before="120" w:after="120" w:line="240" w:lineRule="auto"/>
        <w:jc w:val="both"/>
        <w:rPr>
          <w:rFonts w:cstheme="minorHAnsi"/>
          <w:color w:val="000000"/>
        </w:rPr>
      </w:pPr>
      <w:r w:rsidRPr="00E6167F">
        <w:rPr>
          <w:rFonts w:cstheme="minorHAnsi"/>
          <w:color w:val="000000"/>
        </w:rPr>
        <w:t xml:space="preserve">Decision-making process should include: </w:t>
      </w:r>
    </w:p>
    <w:p w14:paraId="2923E5F2" w14:textId="77777777" w:rsidR="002D2D8B" w:rsidRPr="00E6167F" w:rsidRDefault="002D2D8B" w:rsidP="00363D34">
      <w:pPr>
        <w:pStyle w:val="ListParagraph"/>
        <w:numPr>
          <w:ilvl w:val="0"/>
          <w:numId w:val="9"/>
        </w:numPr>
        <w:autoSpaceDE w:val="0"/>
        <w:autoSpaceDN w:val="0"/>
        <w:adjustRightInd w:val="0"/>
        <w:spacing w:before="120" w:after="120" w:line="240" w:lineRule="auto"/>
        <w:contextualSpacing w:val="0"/>
        <w:jc w:val="both"/>
        <w:rPr>
          <w:rFonts w:cstheme="minorHAnsi"/>
          <w:color w:val="000000"/>
        </w:rPr>
      </w:pPr>
      <w:r w:rsidRPr="00E6167F">
        <w:rPr>
          <w:rFonts w:cstheme="minorHAnsi"/>
          <w:b/>
          <w:color w:val="000000"/>
        </w:rPr>
        <w:t>Identification and prioritization</w:t>
      </w:r>
      <w:r w:rsidRPr="00E6167F">
        <w:rPr>
          <w:rFonts w:cstheme="minorHAnsi"/>
          <w:color w:val="000000"/>
        </w:rPr>
        <w:t xml:space="preserve"> of the specific topics or technologies that are to be considered. It is important to establish a topic prioritization criteria to effectively target the most relevant health policy decisions.</w:t>
      </w:r>
    </w:p>
    <w:p w14:paraId="613930EE" w14:textId="77777777" w:rsidR="002D2D8B" w:rsidRPr="00E6167F" w:rsidRDefault="002D2D8B" w:rsidP="00363D34">
      <w:pPr>
        <w:pStyle w:val="ListParagraph"/>
        <w:numPr>
          <w:ilvl w:val="0"/>
          <w:numId w:val="9"/>
        </w:numPr>
        <w:autoSpaceDE w:val="0"/>
        <w:autoSpaceDN w:val="0"/>
        <w:adjustRightInd w:val="0"/>
        <w:spacing w:before="120" w:after="120" w:line="240" w:lineRule="auto"/>
        <w:contextualSpacing w:val="0"/>
        <w:jc w:val="both"/>
        <w:rPr>
          <w:rFonts w:cstheme="minorHAnsi"/>
          <w:color w:val="000000"/>
        </w:rPr>
      </w:pPr>
      <w:r w:rsidRPr="00E6167F">
        <w:rPr>
          <w:rFonts w:cstheme="minorHAnsi"/>
          <w:b/>
          <w:color w:val="000000"/>
        </w:rPr>
        <w:t>Analysis</w:t>
      </w:r>
      <w:r w:rsidRPr="00E6167F">
        <w:rPr>
          <w:rFonts w:cstheme="minorHAnsi"/>
          <w:color w:val="000000"/>
        </w:rPr>
        <w:t xml:space="preserve"> is the technical evaluation phase and involves generating evidence about the likely implications of policy decision, usually in the form of a cost-effectiveness analysis. </w:t>
      </w:r>
    </w:p>
    <w:p w14:paraId="6A170741" w14:textId="77777777" w:rsidR="002D2D8B" w:rsidRPr="00E6167F" w:rsidRDefault="002D2D8B" w:rsidP="00363D34">
      <w:pPr>
        <w:pStyle w:val="ListParagraph"/>
        <w:numPr>
          <w:ilvl w:val="0"/>
          <w:numId w:val="9"/>
        </w:numPr>
        <w:autoSpaceDE w:val="0"/>
        <w:autoSpaceDN w:val="0"/>
        <w:adjustRightInd w:val="0"/>
        <w:spacing w:before="120" w:after="120" w:line="240" w:lineRule="auto"/>
        <w:contextualSpacing w:val="0"/>
        <w:jc w:val="both"/>
        <w:rPr>
          <w:rFonts w:cstheme="minorHAnsi"/>
          <w:color w:val="000000"/>
        </w:rPr>
      </w:pPr>
      <w:r w:rsidRPr="00E6167F">
        <w:rPr>
          <w:rFonts w:cstheme="minorHAnsi"/>
          <w:b/>
          <w:color w:val="000000"/>
        </w:rPr>
        <w:t>Appraisal</w:t>
      </w:r>
      <w:r w:rsidRPr="00E6167F">
        <w:rPr>
          <w:rFonts w:cstheme="minorHAnsi"/>
          <w:color w:val="000000"/>
        </w:rPr>
        <w:t xml:space="preserve"> is the consideration of the evidence produced at the Analysis phase and provides an opportunity for social and scientific value judgments that form assumptions made in the analysis to be tested and challenged. </w:t>
      </w:r>
    </w:p>
    <w:p w14:paraId="107E3EEE" w14:textId="77777777" w:rsidR="002D2D8B" w:rsidRPr="00E6167F" w:rsidRDefault="002D2D8B" w:rsidP="00363D34">
      <w:pPr>
        <w:pStyle w:val="ListParagraph"/>
        <w:numPr>
          <w:ilvl w:val="0"/>
          <w:numId w:val="9"/>
        </w:numPr>
        <w:autoSpaceDE w:val="0"/>
        <w:autoSpaceDN w:val="0"/>
        <w:adjustRightInd w:val="0"/>
        <w:spacing w:before="120" w:after="120" w:line="240" w:lineRule="auto"/>
        <w:contextualSpacing w:val="0"/>
        <w:jc w:val="both"/>
        <w:rPr>
          <w:rFonts w:cstheme="minorHAnsi"/>
          <w:color w:val="000000"/>
        </w:rPr>
      </w:pPr>
      <w:r w:rsidRPr="00E6167F">
        <w:rPr>
          <w:rFonts w:cstheme="minorHAnsi"/>
          <w:b/>
          <w:color w:val="000000"/>
        </w:rPr>
        <w:t>Decision Making</w:t>
      </w:r>
      <w:r w:rsidRPr="00E6167F">
        <w:rPr>
          <w:rFonts w:cstheme="minorHAnsi"/>
          <w:color w:val="000000"/>
        </w:rPr>
        <w:t xml:space="preserve"> is the point where the health policy decision is made. The decision making phase provides an opportunity to incorporate findings of the Analysis, judgments of the Appraisal, and any other criteria that are considered relevant such as specific issues relating to unmet need, previously disadvantaged populations, equity implications, non-health effects of a technology and even wider macroeconomic and industrial policy considerations.</w:t>
      </w:r>
    </w:p>
    <w:p w14:paraId="78495716" w14:textId="77777777" w:rsidR="002314B8" w:rsidRDefault="002D2D8B" w:rsidP="00363D34">
      <w:pPr>
        <w:pStyle w:val="ListParagraph"/>
        <w:numPr>
          <w:ilvl w:val="0"/>
          <w:numId w:val="9"/>
        </w:numPr>
        <w:autoSpaceDE w:val="0"/>
        <w:autoSpaceDN w:val="0"/>
        <w:adjustRightInd w:val="0"/>
        <w:spacing w:before="120" w:after="120" w:line="240" w:lineRule="auto"/>
        <w:contextualSpacing w:val="0"/>
        <w:jc w:val="both"/>
        <w:rPr>
          <w:rFonts w:cstheme="minorHAnsi"/>
          <w:color w:val="000000"/>
        </w:rPr>
      </w:pPr>
      <w:r w:rsidRPr="00E6167F">
        <w:rPr>
          <w:rFonts w:cstheme="minorHAnsi"/>
          <w:b/>
          <w:color w:val="000000"/>
        </w:rPr>
        <w:t>Implementation activities</w:t>
      </w:r>
      <w:r w:rsidRPr="00E6167F">
        <w:rPr>
          <w:rFonts w:cstheme="minorHAnsi"/>
          <w:color w:val="000000"/>
        </w:rPr>
        <w:t xml:space="preserve"> support the uptake of health policy decisions and improve the potential for the health policy decision to have an impact on practice and patient care. Implementation activities should be linked to initiatives for clinical audit and quality indicators, regulation and accreditation frameworks, payment incentive structures, and education and communication resources.</w:t>
      </w:r>
    </w:p>
    <w:p w14:paraId="31743ED4" w14:textId="77777777" w:rsidR="00B44BDD" w:rsidRDefault="00B44BDD" w:rsidP="004A3BEB">
      <w:pPr>
        <w:autoSpaceDE w:val="0"/>
        <w:autoSpaceDN w:val="0"/>
        <w:adjustRightInd w:val="0"/>
        <w:spacing w:before="120" w:after="120" w:line="240" w:lineRule="auto"/>
        <w:ind w:left="360"/>
        <w:jc w:val="both"/>
        <w:rPr>
          <w:rFonts w:cstheme="minorHAnsi"/>
          <w:color w:val="000000"/>
        </w:rPr>
      </w:pPr>
    </w:p>
    <w:p w14:paraId="78301AD3" w14:textId="5FF6CFA4" w:rsidR="002314B8" w:rsidRPr="009855B4" w:rsidRDefault="002314B8" w:rsidP="009855B4">
      <w:pPr>
        <w:pStyle w:val="Heading1"/>
        <w:numPr>
          <w:ilvl w:val="0"/>
          <w:numId w:val="0"/>
        </w:numPr>
        <w:rPr>
          <w:rFonts w:ascii="Calibri" w:hAnsi="Calibri" w:cs="Calibri"/>
          <w:color w:val="1F4E79" w:themeColor="accent1" w:themeShade="80"/>
        </w:rPr>
      </w:pPr>
      <w:bookmarkStart w:id="19" w:name="_Toc10477903"/>
      <w:r w:rsidRPr="009855B4">
        <w:rPr>
          <w:rFonts w:ascii="Calibri" w:hAnsi="Calibri" w:cs="Calibri"/>
          <w:color w:val="1F4E79" w:themeColor="accent1" w:themeShade="80"/>
        </w:rPr>
        <w:lastRenderedPageBreak/>
        <w:t xml:space="preserve">Annex 3. </w:t>
      </w:r>
      <w:r w:rsidR="00741677" w:rsidRPr="009855B4">
        <w:rPr>
          <w:rFonts w:ascii="Calibri" w:hAnsi="Calibri" w:cs="Calibri"/>
          <w:color w:val="1F4E79" w:themeColor="accent1" w:themeShade="80"/>
        </w:rPr>
        <w:t xml:space="preserve">Examples of cap on put-of-pocket payment, </w:t>
      </w:r>
      <w:r w:rsidRPr="009855B4">
        <w:rPr>
          <w:rFonts w:ascii="Calibri" w:hAnsi="Calibri" w:cs="Calibri"/>
          <w:color w:val="1F4E79" w:themeColor="accent1" w:themeShade="80"/>
        </w:rPr>
        <w:t>OECD</w:t>
      </w:r>
      <w:r w:rsidR="00741677" w:rsidRPr="009855B4">
        <w:rPr>
          <w:rFonts w:ascii="Calibri" w:hAnsi="Calibri" w:cs="Calibri"/>
          <w:color w:val="1F4E79" w:themeColor="accent1" w:themeShade="80"/>
        </w:rPr>
        <w:t xml:space="preserve"> countries</w:t>
      </w:r>
      <w:bookmarkEnd w:id="19"/>
    </w:p>
    <w:tbl>
      <w:tblPr>
        <w:tblStyle w:val="TableGridLight1"/>
        <w:tblW w:w="5000" w:type="pct"/>
        <w:tblInd w:w="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shd w:val="clear" w:color="auto" w:fill="FFFFFF" w:themeFill="background1"/>
        <w:tblCellMar>
          <w:top w:w="14" w:type="dxa"/>
          <w:left w:w="115" w:type="dxa"/>
          <w:bottom w:w="14" w:type="dxa"/>
          <w:right w:w="115" w:type="dxa"/>
        </w:tblCellMar>
        <w:tblLook w:val="0420" w:firstRow="1" w:lastRow="0" w:firstColumn="0" w:lastColumn="0" w:noHBand="0" w:noVBand="1"/>
      </w:tblPr>
      <w:tblGrid>
        <w:gridCol w:w="1733"/>
        <w:gridCol w:w="7673"/>
      </w:tblGrid>
      <w:tr w:rsidR="00213D76" w:rsidRPr="00EF36C5" w14:paraId="05FF03F1" w14:textId="77777777" w:rsidTr="00EF36C5">
        <w:tc>
          <w:tcPr>
            <w:tcW w:w="921" w:type="pct"/>
            <w:shd w:val="clear" w:color="auto" w:fill="F2F2F2" w:themeFill="background1" w:themeFillShade="F2"/>
            <w:hideMark/>
          </w:tcPr>
          <w:p w14:paraId="68820876" w14:textId="77777777" w:rsidR="002314B8" w:rsidRPr="00EF36C5" w:rsidRDefault="002314B8" w:rsidP="00363D34">
            <w:pPr>
              <w:pStyle w:val="Tableheading"/>
              <w:jc w:val="both"/>
              <w:rPr>
                <w:rFonts w:asciiTheme="minorHAnsi" w:hAnsiTheme="minorHAnsi" w:cstheme="minorHAnsi"/>
                <w:color w:val="auto"/>
              </w:rPr>
            </w:pPr>
            <w:r w:rsidRPr="00EF36C5">
              <w:rPr>
                <w:rFonts w:asciiTheme="minorHAnsi" w:hAnsiTheme="minorHAnsi" w:cstheme="minorHAnsi"/>
                <w:color w:val="auto"/>
              </w:rPr>
              <w:t>Country</w:t>
            </w:r>
          </w:p>
        </w:tc>
        <w:tc>
          <w:tcPr>
            <w:tcW w:w="4079" w:type="pct"/>
            <w:shd w:val="clear" w:color="auto" w:fill="F2F2F2" w:themeFill="background1" w:themeFillShade="F2"/>
            <w:hideMark/>
          </w:tcPr>
          <w:p w14:paraId="455DC0F6" w14:textId="77777777" w:rsidR="002314B8" w:rsidRDefault="002314B8" w:rsidP="00363D34">
            <w:pPr>
              <w:pStyle w:val="Tableheading"/>
              <w:jc w:val="both"/>
              <w:rPr>
                <w:rFonts w:asciiTheme="minorHAnsi" w:hAnsiTheme="minorHAnsi" w:cstheme="minorHAnsi"/>
                <w:color w:val="auto"/>
              </w:rPr>
            </w:pPr>
            <w:r w:rsidRPr="00EF36C5">
              <w:rPr>
                <w:rFonts w:asciiTheme="minorHAnsi" w:hAnsiTheme="minorHAnsi" w:cstheme="minorHAnsi"/>
                <w:color w:val="auto"/>
              </w:rPr>
              <w:t>Annual cap for cost sharing</w:t>
            </w:r>
          </w:p>
          <w:p w14:paraId="5F8B81CA" w14:textId="303A3DB3" w:rsidR="00483227" w:rsidRPr="00EF36C5" w:rsidRDefault="00483227" w:rsidP="00363D34">
            <w:pPr>
              <w:pStyle w:val="Tableheading"/>
              <w:jc w:val="both"/>
              <w:rPr>
                <w:rFonts w:asciiTheme="minorHAnsi" w:hAnsiTheme="minorHAnsi" w:cstheme="minorHAnsi"/>
                <w:color w:val="auto"/>
              </w:rPr>
            </w:pPr>
          </w:p>
        </w:tc>
      </w:tr>
      <w:tr w:rsidR="00213D76" w:rsidRPr="00EF36C5" w14:paraId="4351CF51" w14:textId="77777777" w:rsidTr="00EF36C5">
        <w:tc>
          <w:tcPr>
            <w:tcW w:w="921" w:type="pct"/>
            <w:shd w:val="clear" w:color="auto" w:fill="FFFFFF" w:themeFill="background1"/>
            <w:hideMark/>
          </w:tcPr>
          <w:p w14:paraId="2346FB0F" w14:textId="77777777" w:rsidR="002314B8" w:rsidRPr="00EF36C5" w:rsidRDefault="002314B8" w:rsidP="00363D34">
            <w:pPr>
              <w:keepNext/>
              <w:jc w:val="both"/>
              <w:rPr>
                <w:rFonts w:cstheme="minorHAnsi"/>
                <w:sz w:val="20"/>
                <w:szCs w:val="20"/>
                <w:lang w:eastAsia="zh-CN"/>
              </w:rPr>
            </w:pPr>
            <w:r w:rsidRPr="00EF36C5">
              <w:rPr>
                <w:rFonts w:cstheme="minorHAnsi"/>
                <w:sz w:val="20"/>
                <w:szCs w:val="20"/>
              </w:rPr>
              <w:t>Australia</w:t>
            </w:r>
          </w:p>
        </w:tc>
        <w:tc>
          <w:tcPr>
            <w:tcW w:w="4079" w:type="pct"/>
            <w:shd w:val="clear" w:color="auto" w:fill="FFFFFF" w:themeFill="background1"/>
            <w:hideMark/>
          </w:tcPr>
          <w:p w14:paraId="751A455D" w14:textId="77777777" w:rsidR="002314B8" w:rsidRPr="00EF36C5" w:rsidRDefault="002314B8" w:rsidP="00363D34">
            <w:pPr>
              <w:keepNext/>
              <w:jc w:val="both"/>
              <w:rPr>
                <w:rFonts w:cstheme="minorHAnsi"/>
                <w:sz w:val="20"/>
                <w:szCs w:val="20"/>
              </w:rPr>
            </w:pPr>
            <w:r w:rsidRPr="00EF36C5">
              <w:rPr>
                <w:rFonts w:cstheme="minorHAnsi"/>
                <w:sz w:val="20"/>
                <w:szCs w:val="20"/>
              </w:rPr>
              <w:t xml:space="preserve">“Extended Medicare Safety Net”: cap on out-of-pocket costs for outpatient services covered by Medicare (i.e. services provided by GPs, specialists, private clinics and private emergency departments). Beyond an expenditure threshold (which is indexed annually), Medicare pays 80% of the out-of-pocket costs. People on low incomes qualify for the Safety Net at a lower threshold. </w:t>
            </w:r>
          </w:p>
          <w:p w14:paraId="0BE3F59A" w14:textId="77777777" w:rsidR="002314B8" w:rsidRPr="00EF36C5" w:rsidRDefault="002314B8" w:rsidP="00363D34">
            <w:pPr>
              <w:keepNext/>
              <w:jc w:val="both"/>
              <w:rPr>
                <w:rFonts w:cstheme="minorHAnsi"/>
                <w:sz w:val="20"/>
                <w:szCs w:val="20"/>
              </w:rPr>
            </w:pPr>
            <w:r w:rsidRPr="00EF36C5">
              <w:rPr>
                <w:rFonts w:cstheme="minorHAnsi"/>
                <w:sz w:val="20"/>
                <w:szCs w:val="20"/>
              </w:rPr>
              <w:t xml:space="preserve">The pharmaceutical safety-net threshold for general patients is currently AUD 1,390.60 (USD 950) for the calendar year, while the concessional-patient threshold is AUD 345.00(USD 242). After reaching the threshold, general patients usually pay AUD 5.90 (USD 3.93) for each prescription for the remainder of the calendar year, while concessional patients receive prescriptions free of charge. </w:t>
            </w:r>
          </w:p>
        </w:tc>
      </w:tr>
      <w:tr w:rsidR="00213D76" w:rsidRPr="00EF36C5" w14:paraId="7BCB585C" w14:textId="77777777" w:rsidTr="00EF36C5">
        <w:tc>
          <w:tcPr>
            <w:tcW w:w="921" w:type="pct"/>
            <w:shd w:val="clear" w:color="auto" w:fill="FFFFFF" w:themeFill="background1"/>
          </w:tcPr>
          <w:p w14:paraId="348B1D02" w14:textId="77777777" w:rsidR="002314B8" w:rsidRPr="00EF36C5" w:rsidRDefault="002314B8" w:rsidP="00363D34">
            <w:pPr>
              <w:keepNext/>
              <w:jc w:val="both"/>
              <w:rPr>
                <w:rFonts w:cstheme="minorHAnsi"/>
                <w:sz w:val="20"/>
                <w:szCs w:val="20"/>
              </w:rPr>
            </w:pPr>
            <w:r w:rsidRPr="00EF36C5">
              <w:rPr>
                <w:rFonts w:cstheme="minorHAnsi"/>
                <w:sz w:val="20"/>
                <w:szCs w:val="20"/>
              </w:rPr>
              <w:t>Austria</w:t>
            </w:r>
          </w:p>
        </w:tc>
        <w:tc>
          <w:tcPr>
            <w:tcW w:w="4079" w:type="pct"/>
            <w:shd w:val="clear" w:color="auto" w:fill="FFFFFF" w:themeFill="background1"/>
          </w:tcPr>
          <w:p w14:paraId="57E4B39C" w14:textId="77777777" w:rsidR="002314B8" w:rsidRPr="00EF36C5" w:rsidRDefault="002314B8" w:rsidP="00363D34">
            <w:pPr>
              <w:keepNext/>
              <w:jc w:val="both"/>
              <w:rPr>
                <w:rFonts w:cstheme="minorHAnsi"/>
                <w:sz w:val="20"/>
                <w:szCs w:val="20"/>
              </w:rPr>
            </w:pPr>
            <w:r w:rsidRPr="00EF36C5">
              <w:rPr>
                <w:rFonts w:cstheme="minorHAnsi"/>
                <w:sz w:val="20"/>
                <w:szCs w:val="20"/>
              </w:rPr>
              <w:t>Maximum threshold of 2% of the annual income.</w:t>
            </w:r>
          </w:p>
        </w:tc>
      </w:tr>
      <w:tr w:rsidR="00213D76" w:rsidRPr="00EF36C5" w14:paraId="1D3B48E0" w14:textId="77777777" w:rsidTr="00EF36C5">
        <w:tc>
          <w:tcPr>
            <w:tcW w:w="921" w:type="pct"/>
            <w:shd w:val="clear" w:color="auto" w:fill="FFFFFF" w:themeFill="background1"/>
            <w:hideMark/>
          </w:tcPr>
          <w:p w14:paraId="4309C8D1" w14:textId="77777777" w:rsidR="002314B8" w:rsidRPr="00EF36C5" w:rsidRDefault="002314B8" w:rsidP="00363D34">
            <w:pPr>
              <w:keepNext/>
              <w:jc w:val="both"/>
              <w:rPr>
                <w:rFonts w:cstheme="minorHAnsi"/>
                <w:sz w:val="20"/>
                <w:szCs w:val="20"/>
              </w:rPr>
            </w:pPr>
            <w:r w:rsidRPr="00EF36C5">
              <w:rPr>
                <w:rFonts w:cstheme="minorHAnsi"/>
                <w:sz w:val="20"/>
                <w:szCs w:val="20"/>
              </w:rPr>
              <w:t>Belgium</w:t>
            </w:r>
          </w:p>
        </w:tc>
        <w:tc>
          <w:tcPr>
            <w:tcW w:w="4079" w:type="pct"/>
            <w:shd w:val="clear" w:color="auto" w:fill="FFFFFF" w:themeFill="background1"/>
            <w:hideMark/>
          </w:tcPr>
          <w:p w14:paraId="6969DC74" w14:textId="77777777" w:rsidR="002314B8" w:rsidRPr="00EF36C5" w:rsidRDefault="002314B8" w:rsidP="00363D34">
            <w:pPr>
              <w:keepNext/>
              <w:jc w:val="both"/>
              <w:rPr>
                <w:rFonts w:cstheme="minorHAnsi"/>
                <w:sz w:val="20"/>
                <w:szCs w:val="20"/>
              </w:rPr>
            </w:pPr>
            <w:r w:rsidRPr="00EF36C5">
              <w:rPr>
                <w:rFonts w:cstheme="minorHAnsi"/>
                <w:sz w:val="20"/>
                <w:szCs w:val="20"/>
              </w:rPr>
              <w:t>Annual cap on cost sharing.</w:t>
            </w:r>
          </w:p>
        </w:tc>
      </w:tr>
      <w:tr w:rsidR="00213D76" w:rsidRPr="00EF36C5" w14:paraId="7F4FA483" w14:textId="77777777" w:rsidTr="00EF36C5">
        <w:tc>
          <w:tcPr>
            <w:tcW w:w="921" w:type="pct"/>
            <w:shd w:val="clear" w:color="auto" w:fill="FFFFFF" w:themeFill="background1"/>
          </w:tcPr>
          <w:p w14:paraId="06678116" w14:textId="77777777" w:rsidR="002314B8" w:rsidRPr="00EF36C5" w:rsidRDefault="002314B8" w:rsidP="00363D34">
            <w:pPr>
              <w:keepNext/>
              <w:jc w:val="both"/>
              <w:rPr>
                <w:rFonts w:cstheme="minorHAnsi"/>
                <w:sz w:val="20"/>
                <w:szCs w:val="20"/>
              </w:rPr>
            </w:pPr>
            <w:r w:rsidRPr="00EF36C5">
              <w:rPr>
                <w:rFonts w:cstheme="minorHAnsi"/>
                <w:sz w:val="20"/>
                <w:szCs w:val="20"/>
              </w:rPr>
              <w:t>Chile</w:t>
            </w:r>
          </w:p>
        </w:tc>
        <w:tc>
          <w:tcPr>
            <w:tcW w:w="4079" w:type="pct"/>
            <w:shd w:val="clear" w:color="auto" w:fill="FFFFFF" w:themeFill="background1"/>
          </w:tcPr>
          <w:p w14:paraId="4BCFD5F3" w14:textId="77777777" w:rsidR="002314B8" w:rsidRPr="00EF36C5" w:rsidRDefault="002314B8" w:rsidP="00363D34">
            <w:pPr>
              <w:keepNext/>
              <w:jc w:val="both"/>
              <w:rPr>
                <w:rFonts w:cstheme="minorHAnsi"/>
                <w:sz w:val="20"/>
                <w:szCs w:val="20"/>
              </w:rPr>
            </w:pPr>
            <w:r w:rsidRPr="00EF36C5">
              <w:rPr>
                <w:rFonts w:cstheme="minorHAnsi"/>
                <w:sz w:val="20"/>
                <w:szCs w:val="20"/>
              </w:rPr>
              <w:t>Annual cap on cost-sharing, plus a cap of 30% of annual household income for conditions or treatments in the GES program.</w:t>
            </w:r>
          </w:p>
        </w:tc>
      </w:tr>
      <w:tr w:rsidR="00213D76" w:rsidRPr="00EF36C5" w14:paraId="7118234D" w14:textId="77777777" w:rsidTr="00EF36C5">
        <w:tc>
          <w:tcPr>
            <w:tcW w:w="921" w:type="pct"/>
            <w:shd w:val="clear" w:color="auto" w:fill="FFFFFF" w:themeFill="background1"/>
            <w:hideMark/>
          </w:tcPr>
          <w:p w14:paraId="2D67429B" w14:textId="77777777" w:rsidR="002314B8" w:rsidRPr="00EF36C5" w:rsidRDefault="002314B8" w:rsidP="00363D34">
            <w:pPr>
              <w:keepNext/>
              <w:jc w:val="both"/>
              <w:rPr>
                <w:rFonts w:cstheme="minorHAnsi"/>
                <w:sz w:val="20"/>
                <w:szCs w:val="20"/>
              </w:rPr>
            </w:pPr>
            <w:r w:rsidRPr="00EF36C5">
              <w:rPr>
                <w:rFonts w:cstheme="minorHAnsi"/>
                <w:sz w:val="20"/>
                <w:szCs w:val="20"/>
              </w:rPr>
              <w:t>Czech Republic</w:t>
            </w:r>
          </w:p>
        </w:tc>
        <w:tc>
          <w:tcPr>
            <w:tcW w:w="4079" w:type="pct"/>
            <w:shd w:val="clear" w:color="auto" w:fill="FFFFFF" w:themeFill="background1"/>
            <w:hideMark/>
          </w:tcPr>
          <w:p w14:paraId="6D730873" w14:textId="77777777" w:rsidR="002314B8" w:rsidRPr="00EF36C5" w:rsidRDefault="002314B8" w:rsidP="00363D34">
            <w:pPr>
              <w:keepNext/>
              <w:jc w:val="both"/>
              <w:rPr>
                <w:rFonts w:cstheme="minorHAnsi"/>
                <w:sz w:val="20"/>
                <w:szCs w:val="20"/>
              </w:rPr>
            </w:pPr>
            <w:r w:rsidRPr="00EF36C5">
              <w:rPr>
                <w:rFonts w:cstheme="minorHAnsi"/>
                <w:sz w:val="20"/>
                <w:szCs w:val="20"/>
              </w:rPr>
              <w:t>Annual cap on all cost sharing.</w:t>
            </w:r>
          </w:p>
        </w:tc>
      </w:tr>
      <w:tr w:rsidR="00213D76" w:rsidRPr="00EF36C5" w14:paraId="1283E955" w14:textId="77777777" w:rsidTr="00EF36C5">
        <w:tc>
          <w:tcPr>
            <w:tcW w:w="921" w:type="pct"/>
            <w:shd w:val="clear" w:color="auto" w:fill="FFFFFF" w:themeFill="background1"/>
            <w:hideMark/>
          </w:tcPr>
          <w:p w14:paraId="460F472B" w14:textId="77777777" w:rsidR="002314B8" w:rsidRPr="00EF36C5" w:rsidRDefault="002314B8" w:rsidP="00363D34">
            <w:pPr>
              <w:pStyle w:val="RowsHeading"/>
              <w:keepNext/>
              <w:jc w:val="both"/>
              <w:rPr>
                <w:rFonts w:asciiTheme="minorHAnsi" w:eastAsiaTheme="minorHAnsi" w:hAnsiTheme="minorHAnsi" w:cstheme="minorHAnsi"/>
                <w:sz w:val="20"/>
                <w:szCs w:val="20"/>
                <w:lang w:val="en-US" w:eastAsia="en-US"/>
              </w:rPr>
            </w:pPr>
            <w:r w:rsidRPr="00EF36C5">
              <w:rPr>
                <w:rFonts w:asciiTheme="minorHAnsi" w:hAnsiTheme="minorHAnsi" w:cstheme="minorHAnsi"/>
                <w:sz w:val="20"/>
                <w:szCs w:val="20"/>
                <w:lang w:val="en-US" w:eastAsia="en-US"/>
              </w:rPr>
              <w:t xml:space="preserve">Denmark </w:t>
            </w:r>
          </w:p>
        </w:tc>
        <w:tc>
          <w:tcPr>
            <w:tcW w:w="4079" w:type="pct"/>
            <w:shd w:val="clear" w:color="auto" w:fill="FFFFFF" w:themeFill="background1"/>
            <w:hideMark/>
          </w:tcPr>
          <w:p w14:paraId="532A22BF" w14:textId="77777777" w:rsidR="002314B8" w:rsidRPr="00EF36C5" w:rsidRDefault="002314B8" w:rsidP="00363D34">
            <w:pPr>
              <w:pStyle w:val="RowsHeading"/>
              <w:keepNext/>
              <w:jc w:val="both"/>
              <w:rPr>
                <w:rFonts w:asciiTheme="minorHAnsi" w:eastAsiaTheme="minorHAnsi" w:hAnsiTheme="minorHAnsi" w:cstheme="minorHAnsi"/>
                <w:sz w:val="20"/>
                <w:szCs w:val="20"/>
                <w:lang w:val="en-US" w:eastAsia="en-US"/>
              </w:rPr>
            </w:pPr>
            <w:r w:rsidRPr="00EF36C5">
              <w:rPr>
                <w:rFonts w:asciiTheme="minorHAnsi" w:hAnsiTheme="minorHAnsi" w:cstheme="minorHAnsi"/>
                <w:sz w:val="20"/>
                <w:szCs w:val="20"/>
                <w:lang w:val="en-US" w:eastAsia="en-US"/>
              </w:rPr>
              <w:t>Annual cap of DKK 3,710 ($472 for pharmaceuticals. Other services of medical diagnostic and curative care are virtually free of charge.</w:t>
            </w:r>
          </w:p>
        </w:tc>
      </w:tr>
      <w:tr w:rsidR="00213D76" w:rsidRPr="00EF36C5" w14:paraId="4D84178C" w14:textId="77777777" w:rsidTr="00EF36C5">
        <w:tc>
          <w:tcPr>
            <w:tcW w:w="921" w:type="pct"/>
            <w:shd w:val="clear" w:color="auto" w:fill="FFFFFF" w:themeFill="background1"/>
            <w:hideMark/>
          </w:tcPr>
          <w:p w14:paraId="699B2397" w14:textId="77777777" w:rsidR="002314B8" w:rsidRPr="00EF36C5" w:rsidRDefault="002314B8" w:rsidP="00363D34">
            <w:pPr>
              <w:pStyle w:val="RowsHeading"/>
              <w:keepNext/>
              <w:jc w:val="both"/>
              <w:rPr>
                <w:rFonts w:asciiTheme="minorHAnsi" w:eastAsiaTheme="minorHAnsi" w:hAnsiTheme="minorHAnsi" w:cstheme="minorHAnsi"/>
                <w:sz w:val="20"/>
                <w:szCs w:val="20"/>
                <w:lang w:val="en-US" w:eastAsia="en-US"/>
              </w:rPr>
            </w:pPr>
            <w:r w:rsidRPr="00EF36C5">
              <w:rPr>
                <w:rFonts w:asciiTheme="minorHAnsi" w:hAnsiTheme="minorHAnsi" w:cstheme="minorHAnsi"/>
                <w:sz w:val="20"/>
                <w:szCs w:val="20"/>
                <w:lang w:val="en-US" w:eastAsia="en-US"/>
              </w:rPr>
              <w:t>Finland</w:t>
            </w:r>
          </w:p>
        </w:tc>
        <w:tc>
          <w:tcPr>
            <w:tcW w:w="4079" w:type="pct"/>
            <w:shd w:val="clear" w:color="auto" w:fill="FFFFFF" w:themeFill="background1"/>
            <w:hideMark/>
          </w:tcPr>
          <w:p w14:paraId="7FB13D28" w14:textId="77777777" w:rsidR="002314B8" w:rsidRPr="00EF36C5" w:rsidRDefault="002314B8" w:rsidP="00363D34">
            <w:pPr>
              <w:pStyle w:val="RowsHeading"/>
              <w:keepNext/>
              <w:jc w:val="both"/>
              <w:rPr>
                <w:rFonts w:asciiTheme="minorHAnsi" w:eastAsiaTheme="minorHAnsi" w:hAnsiTheme="minorHAnsi" w:cstheme="minorHAnsi"/>
                <w:sz w:val="20"/>
                <w:szCs w:val="20"/>
                <w:lang w:val="en-US" w:eastAsia="en-US"/>
              </w:rPr>
            </w:pPr>
            <w:r w:rsidRPr="00EF36C5">
              <w:rPr>
                <w:rFonts w:asciiTheme="minorHAnsi" w:hAnsiTheme="minorHAnsi" w:cstheme="minorHAnsi"/>
                <w:sz w:val="20"/>
                <w:szCs w:val="20"/>
                <w:lang w:val="en-US" w:eastAsia="en-US"/>
              </w:rPr>
              <w:t>Annual copayment cap of €636 ($677) in 2012 on cost sharing for health services provided by municipalities.</w:t>
            </w:r>
          </w:p>
        </w:tc>
      </w:tr>
      <w:tr w:rsidR="00213D76" w:rsidRPr="00EF36C5" w14:paraId="4EA3A05D" w14:textId="77777777" w:rsidTr="00EF36C5">
        <w:tc>
          <w:tcPr>
            <w:tcW w:w="921" w:type="pct"/>
            <w:shd w:val="clear" w:color="auto" w:fill="FFFFFF" w:themeFill="background1"/>
            <w:hideMark/>
          </w:tcPr>
          <w:p w14:paraId="5F8844FA" w14:textId="77777777" w:rsidR="002314B8" w:rsidRPr="00EF36C5" w:rsidRDefault="002314B8" w:rsidP="00363D34">
            <w:pPr>
              <w:pStyle w:val="RowsHeading"/>
              <w:keepNext/>
              <w:jc w:val="both"/>
              <w:rPr>
                <w:rFonts w:asciiTheme="minorHAnsi" w:eastAsiaTheme="minorHAnsi" w:hAnsiTheme="minorHAnsi" w:cstheme="minorHAnsi"/>
                <w:sz w:val="20"/>
                <w:szCs w:val="20"/>
                <w:lang w:val="en-US" w:eastAsia="en-US"/>
              </w:rPr>
            </w:pPr>
            <w:r w:rsidRPr="00EF36C5">
              <w:rPr>
                <w:rFonts w:asciiTheme="minorHAnsi" w:hAnsiTheme="minorHAnsi" w:cstheme="minorHAnsi"/>
                <w:sz w:val="20"/>
                <w:szCs w:val="20"/>
                <w:lang w:val="en-US" w:eastAsia="en-US"/>
              </w:rPr>
              <w:t>Germany</w:t>
            </w:r>
          </w:p>
        </w:tc>
        <w:tc>
          <w:tcPr>
            <w:tcW w:w="4079" w:type="pct"/>
            <w:shd w:val="clear" w:color="auto" w:fill="FFFFFF" w:themeFill="background1"/>
            <w:hideMark/>
          </w:tcPr>
          <w:p w14:paraId="09CB12F9" w14:textId="77777777" w:rsidR="002314B8" w:rsidRPr="00EF36C5" w:rsidRDefault="002314B8" w:rsidP="00363D34">
            <w:pPr>
              <w:pStyle w:val="RowsHeading"/>
              <w:keepNext/>
              <w:jc w:val="both"/>
              <w:rPr>
                <w:rFonts w:asciiTheme="minorHAnsi" w:eastAsiaTheme="minorHAnsi" w:hAnsiTheme="minorHAnsi" w:cstheme="minorHAnsi"/>
                <w:sz w:val="20"/>
                <w:szCs w:val="20"/>
                <w:lang w:val="en-US" w:eastAsia="en-US"/>
              </w:rPr>
            </w:pPr>
            <w:r w:rsidRPr="00EF36C5">
              <w:rPr>
                <w:rFonts w:asciiTheme="minorHAnsi" w:hAnsiTheme="minorHAnsi" w:cstheme="minorHAnsi"/>
                <w:sz w:val="20"/>
                <w:szCs w:val="20"/>
                <w:lang w:val="en-US" w:eastAsia="en-US"/>
              </w:rPr>
              <w:t>Copayments are capped at 2% of gross household income, reduced to 1% for the chronically ill.</w:t>
            </w:r>
          </w:p>
        </w:tc>
      </w:tr>
      <w:tr w:rsidR="00213D76" w:rsidRPr="00EF36C5" w14:paraId="0193CB3A" w14:textId="77777777" w:rsidTr="00EF36C5">
        <w:tc>
          <w:tcPr>
            <w:tcW w:w="921" w:type="pct"/>
            <w:shd w:val="clear" w:color="auto" w:fill="FFFFFF" w:themeFill="background1"/>
            <w:hideMark/>
          </w:tcPr>
          <w:p w14:paraId="764BFBAE" w14:textId="77777777" w:rsidR="002314B8" w:rsidRPr="00EF36C5" w:rsidRDefault="002314B8" w:rsidP="00363D34">
            <w:pPr>
              <w:pStyle w:val="RowsHeading"/>
              <w:keepNext/>
              <w:jc w:val="both"/>
              <w:rPr>
                <w:rFonts w:asciiTheme="minorHAnsi" w:eastAsiaTheme="minorHAnsi" w:hAnsiTheme="minorHAnsi" w:cstheme="minorHAnsi"/>
                <w:sz w:val="20"/>
                <w:szCs w:val="20"/>
                <w:lang w:val="en-US" w:eastAsia="en-US"/>
              </w:rPr>
            </w:pPr>
            <w:r w:rsidRPr="00EF36C5">
              <w:rPr>
                <w:rFonts w:asciiTheme="minorHAnsi" w:hAnsiTheme="minorHAnsi" w:cstheme="minorHAnsi"/>
                <w:sz w:val="20"/>
                <w:szCs w:val="20"/>
                <w:lang w:val="en-US" w:eastAsia="en-US"/>
              </w:rPr>
              <w:t xml:space="preserve">Hungary </w:t>
            </w:r>
          </w:p>
        </w:tc>
        <w:tc>
          <w:tcPr>
            <w:tcW w:w="4079" w:type="pct"/>
            <w:shd w:val="clear" w:color="auto" w:fill="FFFFFF" w:themeFill="background1"/>
            <w:hideMark/>
          </w:tcPr>
          <w:p w14:paraId="5C0331A1" w14:textId="77777777" w:rsidR="002314B8" w:rsidRPr="00EF36C5" w:rsidRDefault="002314B8" w:rsidP="00363D34">
            <w:pPr>
              <w:pStyle w:val="RowsHeading"/>
              <w:keepNext/>
              <w:jc w:val="both"/>
              <w:rPr>
                <w:rFonts w:asciiTheme="minorHAnsi" w:eastAsiaTheme="minorHAnsi" w:hAnsiTheme="minorHAnsi" w:cstheme="minorHAnsi"/>
                <w:sz w:val="20"/>
                <w:szCs w:val="20"/>
                <w:lang w:val="en-US" w:eastAsia="en-US"/>
              </w:rPr>
            </w:pPr>
            <w:r w:rsidRPr="00EF36C5">
              <w:rPr>
                <w:rFonts w:asciiTheme="minorHAnsi" w:hAnsiTheme="minorHAnsi" w:cstheme="minorHAnsi"/>
                <w:sz w:val="20"/>
                <w:szCs w:val="20"/>
                <w:lang w:val="en-US" w:eastAsia="en-US"/>
              </w:rPr>
              <w:t>Entitlement to free pharmaceuticals for those whose medical expense exceeds 10% of the minimum pension (for households with income per capita &lt; minimum pension = €100 in 2010).</w:t>
            </w:r>
          </w:p>
        </w:tc>
      </w:tr>
      <w:tr w:rsidR="00213D76" w:rsidRPr="00EF36C5" w14:paraId="37861649" w14:textId="77777777" w:rsidTr="00EF36C5">
        <w:tc>
          <w:tcPr>
            <w:tcW w:w="921" w:type="pct"/>
            <w:shd w:val="clear" w:color="auto" w:fill="FFFFFF" w:themeFill="background1"/>
            <w:hideMark/>
          </w:tcPr>
          <w:p w14:paraId="1DE82C77" w14:textId="77777777" w:rsidR="002314B8" w:rsidRPr="00EF36C5" w:rsidRDefault="002314B8" w:rsidP="00363D34">
            <w:pPr>
              <w:pStyle w:val="RowsHeading"/>
              <w:keepNext/>
              <w:jc w:val="both"/>
              <w:rPr>
                <w:rFonts w:asciiTheme="minorHAnsi" w:eastAsiaTheme="minorHAnsi" w:hAnsiTheme="minorHAnsi" w:cstheme="minorHAnsi"/>
                <w:sz w:val="20"/>
                <w:szCs w:val="20"/>
                <w:lang w:val="en-US" w:eastAsia="en-US"/>
              </w:rPr>
            </w:pPr>
            <w:r w:rsidRPr="00EF36C5">
              <w:rPr>
                <w:rFonts w:asciiTheme="minorHAnsi" w:hAnsiTheme="minorHAnsi" w:cstheme="minorHAnsi"/>
                <w:sz w:val="20"/>
                <w:szCs w:val="20"/>
                <w:lang w:val="en-US" w:eastAsia="en-US"/>
              </w:rPr>
              <w:t>Iceland</w:t>
            </w:r>
          </w:p>
        </w:tc>
        <w:tc>
          <w:tcPr>
            <w:tcW w:w="4079" w:type="pct"/>
            <w:shd w:val="clear" w:color="auto" w:fill="FFFFFF" w:themeFill="background1"/>
            <w:hideMark/>
          </w:tcPr>
          <w:p w14:paraId="6EFE9424" w14:textId="77777777" w:rsidR="002314B8" w:rsidRPr="00EF36C5" w:rsidRDefault="002314B8" w:rsidP="00363D34">
            <w:pPr>
              <w:pStyle w:val="RowsHeading"/>
              <w:keepNext/>
              <w:jc w:val="both"/>
              <w:rPr>
                <w:rFonts w:asciiTheme="minorHAnsi" w:eastAsiaTheme="minorHAnsi" w:hAnsiTheme="minorHAnsi" w:cstheme="minorHAnsi"/>
                <w:sz w:val="20"/>
                <w:szCs w:val="20"/>
                <w:lang w:val="en-US" w:eastAsia="en-US"/>
              </w:rPr>
            </w:pPr>
            <w:r w:rsidRPr="00EF36C5">
              <w:rPr>
                <w:rFonts w:asciiTheme="minorHAnsi" w:hAnsiTheme="minorHAnsi" w:cstheme="minorHAnsi"/>
                <w:sz w:val="20"/>
                <w:szCs w:val="20"/>
                <w:lang w:val="en-US" w:eastAsia="en-US"/>
              </w:rPr>
              <w:t>Cap on cost sharing for outpatient primary care, outpatient specialist contacts, clinical laboratory tests and diagnostic imaging.</w:t>
            </w:r>
          </w:p>
        </w:tc>
      </w:tr>
      <w:tr w:rsidR="00213D76" w:rsidRPr="00EF36C5" w14:paraId="5576138D" w14:textId="77777777" w:rsidTr="00EF36C5">
        <w:tc>
          <w:tcPr>
            <w:tcW w:w="921" w:type="pct"/>
            <w:shd w:val="clear" w:color="auto" w:fill="FFFFFF" w:themeFill="background1"/>
            <w:hideMark/>
          </w:tcPr>
          <w:p w14:paraId="2E11D1A7" w14:textId="77777777" w:rsidR="002314B8" w:rsidRPr="00EF36C5" w:rsidRDefault="002314B8" w:rsidP="00363D34">
            <w:pPr>
              <w:pStyle w:val="RowsHeading"/>
              <w:keepNext/>
              <w:jc w:val="both"/>
              <w:rPr>
                <w:rFonts w:asciiTheme="minorHAnsi" w:eastAsiaTheme="minorHAnsi" w:hAnsiTheme="minorHAnsi" w:cstheme="minorHAnsi"/>
                <w:sz w:val="20"/>
                <w:szCs w:val="20"/>
                <w:lang w:val="en-US" w:eastAsia="en-US"/>
              </w:rPr>
            </w:pPr>
            <w:r w:rsidRPr="00EF36C5">
              <w:rPr>
                <w:rFonts w:asciiTheme="minorHAnsi" w:hAnsiTheme="minorHAnsi" w:cstheme="minorHAnsi"/>
                <w:sz w:val="20"/>
                <w:szCs w:val="20"/>
                <w:lang w:val="en-US" w:eastAsia="en-US"/>
              </w:rPr>
              <w:t>Ireland</w:t>
            </w:r>
          </w:p>
        </w:tc>
        <w:tc>
          <w:tcPr>
            <w:tcW w:w="4079" w:type="pct"/>
            <w:shd w:val="clear" w:color="auto" w:fill="FFFFFF" w:themeFill="background1"/>
            <w:hideMark/>
          </w:tcPr>
          <w:p w14:paraId="7CA4B30E" w14:textId="77777777" w:rsidR="002314B8" w:rsidRPr="00EF36C5" w:rsidRDefault="002314B8" w:rsidP="00363D34">
            <w:pPr>
              <w:pStyle w:val="RowsHeading"/>
              <w:keepNext/>
              <w:jc w:val="both"/>
              <w:rPr>
                <w:rFonts w:asciiTheme="minorHAnsi" w:eastAsiaTheme="minorHAnsi" w:hAnsiTheme="minorHAnsi" w:cstheme="minorHAnsi"/>
                <w:sz w:val="20"/>
                <w:szCs w:val="20"/>
                <w:lang w:val="en-US" w:eastAsia="en-US"/>
              </w:rPr>
            </w:pPr>
            <w:r w:rsidRPr="00EF36C5">
              <w:rPr>
                <w:rFonts w:asciiTheme="minorHAnsi" w:hAnsiTheme="minorHAnsi" w:cstheme="minorHAnsi"/>
                <w:sz w:val="20"/>
                <w:szCs w:val="20"/>
                <w:lang w:val="en-US" w:eastAsia="en-US"/>
              </w:rPr>
              <w:t>Annual cap on inpatient care, primary care and pharmaceuticals.</w:t>
            </w:r>
          </w:p>
        </w:tc>
      </w:tr>
      <w:tr w:rsidR="00213D76" w:rsidRPr="00EF36C5" w14:paraId="1D4CD478" w14:textId="77777777" w:rsidTr="00EF36C5">
        <w:tc>
          <w:tcPr>
            <w:tcW w:w="921" w:type="pct"/>
            <w:shd w:val="clear" w:color="auto" w:fill="FFFFFF" w:themeFill="background1"/>
            <w:hideMark/>
          </w:tcPr>
          <w:p w14:paraId="2DD8DE9E" w14:textId="77777777" w:rsidR="002314B8" w:rsidRPr="00EF36C5" w:rsidRDefault="002314B8" w:rsidP="00363D34">
            <w:pPr>
              <w:pStyle w:val="RowsHeading"/>
              <w:keepNext/>
              <w:jc w:val="both"/>
              <w:rPr>
                <w:rFonts w:asciiTheme="minorHAnsi" w:eastAsiaTheme="minorHAnsi" w:hAnsiTheme="minorHAnsi" w:cstheme="minorHAnsi"/>
                <w:sz w:val="20"/>
                <w:szCs w:val="20"/>
                <w:lang w:val="en-US" w:eastAsia="en-US"/>
              </w:rPr>
            </w:pPr>
            <w:r w:rsidRPr="00EF36C5">
              <w:rPr>
                <w:rFonts w:asciiTheme="minorHAnsi" w:hAnsiTheme="minorHAnsi" w:cstheme="minorHAnsi"/>
                <w:sz w:val="20"/>
                <w:szCs w:val="20"/>
                <w:lang w:val="en-US" w:eastAsia="en-US"/>
              </w:rPr>
              <w:t>Israel</w:t>
            </w:r>
          </w:p>
        </w:tc>
        <w:tc>
          <w:tcPr>
            <w:tcW w:w="4079" w:type="pct"/>
            <w:shd w:val="clear" w:color="auto" w:fill="FFFFFF" w:themeFill="background1"/>
            <w:hideMark/>
          </w:tcPr>
          <w:p w14:paraId="73E1176E" w14:textId="77777777" w:rsidR="002314B8" w:rsidRPr="00EF36C5" w:rsidRDefault="002314B8" w:rsidP="00363D34">
            <w:pPr>
              <w:pStyle w:val="RowsHeading"/>
              <w:keepNext/>
              <w:jc w:val="both"/>
              <w:rPr>
                <w:rFonts w:asciiTheme="minorHAnsi" w:eastAsiaTheme="minorHAnsi" w:hAnsiTheme="minorHAnsi" w:cstheme="minorHAnsi"/>
                <w:sz w:val="20"/>
                <w:szCs w:val="20"/>
                <w:lang w:val="en-US" w:eastAsia="en-US"/>
              </w:rPr>
            </w:pPr>
            <w:r w:rsidRPr="00EF36C5">
              <w:rPr>
                <w:rFonts w:asciiTheme="minorHAnsi" w:hAnsiTheme="minorHAnsi" w:cstheme="minorHAnsi"/>
                <w:sz w:val="20"/>
                <w:szCs w:val="20"/>
                <w:lang w:val="en-US" w:eastAsia="en-US"/>
              </w:rPr>
              <w:t xml:space="preserve">Annual cap on inpatient and outpatient primary care. </w:t>
            </w:r>
          </w:p>
        </w:tc>
      </w:tr>
      <w:tr w:rsidR="00213D76" w:rsidRPr="00EF36C5" w14:paraId="37EF6203" w14:textId="77777777" w:rsidTr="00EF36C5">
        <w:tc>
          <w:tcPr>
            <w:tcW w:w="921" w:type="pct"/>
            <w:shd w:val="clear" w:color="auto" w:fill="FFFFFF" w:themeFill="background1"/>
          </w:tcPr>
          <w:p w14:paraId="277FBCAA" w14:textId="77777777" w:rsidR="002314B8" w:rsidRPr="00EF36C5" w:rsidRDefault="002314B8" w:rsidP="00363D34">
            <w:pPr>
              <w:pStyle w:val="RowsHeading"/>
              <w:keepNext/>
              <w:jc w:val="both"/>
              <w:rPr>
                <w:rFonts w:asciiTheme="minorHAnsi" w:hAnsiTheme="minorHAnsi" w:cstheme="minorHAnsi"/>
                <w:sz w:val="20"/>
                <w:szCs w:val="20"/>
                <w:lang w:val="en-US" w:eastAsia="en-US"/>
              </w:rPr>
            </w:pPr>
            <w:r w:rsidRPr="00EF36C5">
              <w:rPr>
                <w:rFonts w:asciiTheme="minorHAnsi" w:hAnsiTheme="minorHAnsi" w:cstheme="minorHAnsi"/>
                <w:sz w:val="20"/>
                <w:szCs w:val="20"/>
                <w:lang w:val="en-US" w:eastAsia="en-US"/>
              </w:rPr>
              <w:t>Japan</w:t>
            </w:r>
          </w:p>
        </w:tc>
        <w:tc>
          <w:tcPr>
            <w:tcW w:w="4079" w:type="pct"/>
            <w:shd w:val="clear" w:color="auto" w:fill="FFFFFF" w:themeFill="background1"/>
          </w:tcPr>
          <w:p w14:paraId="6A757AA8" w14:textId="77777777" w:rsidR="002314B8" w:rsidRPr="00EF36C5" w:rsidRDefault="002314B8" w:rsidP="00363D34">
            <w:pPr>
              <w:pStyle w:val="RowsHeading"/>
              <w:keepNext/>
              <w:jc w:val="both"/>
              <w:rPr>
                <w:rFonts w:asciiTheme="minorHAnsi" w:hAnsiTheme="minorHAnsi" w:cstheme="minorHAnsi"/>
                <w:sz w:val="20"/>
                <w:szCs w:val="20"/>
                <w:lang w:val="en-US" w:eastAsia="en-US"/>
              </w:rPr>
            </w:pPr>
            <w:r w:rsidRPr="00EF36C5">
              <w:rPr>
                <w:rFonts w:asciiTheme="minorHAnsi" w:hAnsiTheme="minorHAnsi" w:cstheme="minorHAnsi"/>
                <w:sz w:val="20"/>
                <w:szCs w:val="20"/>
                <w:lang w:val="en-US" w:eastAsia="en-US"/>
              </w:rPr>
              <w:t xml:space="preserve">Monthly co-payment cap depending on age and income. </w:t>
            </w:r>
          </w:p>
        </w:tc>
      </w:tr>
      <w:tr w:rsidR="00213D76" w:rsidRPr="00EF36C5" w14:paraId="317368C5" w14:textId="77777777" w:rsidTr="00EF36C5">
        <w:tc>
          <w:tcPr>
            <w:tcW w:w="921" w:type="pct"/>
            <w:shd w:val="clear" w:color="auto" w:fill="FFFFFF" w:themeFill="background1"/>
          </w:tcPr>
          <w:p w14:paraId="758FE4E7" w14:textId="77777777" w:rsidR="002314B8" w:rsidRPr="00EF36C5" w:rsidRDefault="002314B8" w:rsidP="00363D34">
            <w:pPr>
              <w:pStyle w:val="RowsHeading"/>
              <w:keepNext/>
              <w:jc w:val="both"/>
              <w:rPr>
                <w:rFonts w:asciiTheme="minorHAnsi" w:hAnsiTheme="minorHAnsi" w:cstheme="minorHAnsi"/>
                <w:sz w:val="20"/>
                <w:szCs w:val="20"/>
                <w:lang w:val="en-US" w:eastAsia="en-US"/>
              </w:rPr>
            </w:pPr>
            <w:r w:rsidRPr="00EF36C5">
              <w:rPr>
                <w:rFonts w:asciiTheme="minorHAnsi" w:hAnsiTheme="minorHAnsi" w:cstheme="minorHAnsi"/>
                <w:sz w:val="20"/>
                <w:szCs w:val="20"/>
                <w:lang w:val="en-US" w:eastAsia="en-US"/>
              </w:rPr>
              <w:t>Korea</w:t>
            </w:r>
          </w:p>
        </w:tc>
        <w:tc>
          <w:tcPr>
            <w:tcW w:w="4079" w:type="pct"/>
            <w:shd w:val="clear" w:color="auto" w:fill="FFFFFF" w:themeFill="background1"/>
          </w:tcPr>
          <w:p w14:paraId="2C4D6DA0" w14:textId="77777777" w:rsidR="002314B8" w:rsidRPr="00EF36C5" w:rsidRDefault="002314B8" w:rsidP="00363D34">
            <w:pPr>
              <w:pStyle w:val="RowsHeading"/>
              <w:keepNext/>
              <w:jc w:val="both"/>
              <w:rPr>
                <w:rFonts w:asciiTheme="minorHAnsi" w:hAnsiTheme="minorHAnsi" w:cstheme="minorHAnsi"/>
                <w:sz w:val="20"/>
                <w:szCs w:val="20"/>
                <w:lang w:val="en-US" w:eastAsia="en-US"/>
              </w:rPr>
            </w:pPr>
            <w:r w:rsidRPr="00EF36C5">
              <w:rPr>
                <w:rFonts w:asciiTheme="minorHAnsi" w:hAnsiTheme="minorHAnsi" w:cstheme="minorHAnsi"/>
                <w:sz w:val="20"/>
                <w:szCs w:val="20"/>
                <w:lang w:val="en-US" w:eastAsia="en-US"/>
              </w:rPr>
              <w:t>Expense limit for all cost-sharing is based on the average health insurance fee per year.</w:t>
            </w:r>
          </w:p>
        </w:tc>
      </w:tr>
      <w:tr w:rsidR="00213D76" w:rsidRPr="00EF36C5" w14:paraId="2572C912" w14:textId="77777777" w:rsidTr="00EF36C5">
        <w:tc>
          <w:tcPr>
            <w:tcW w:w="921" w:type="pct"/>
            <w:shd w:val="clear" w:color="auto" w:fill="FFFFFF" w:themeFill="background1"/>
          </w:tcPr>
          <w:p w14:paraId="338718A5" w14:textId="77777777" w:rsidR="002314B8" w:rsidRPr="00EF36C5" w:rsidRDefault="002314B8" w:rsidP="00363D34">
            <w:pPr>
              <w:pStyle w:val="RowsHeading"/>
              <w:keepNext/>
              <w:jc w:val="both"/>
              <w:rPr>
                <w:rFonts w:asciiTheme="minorHAnsi" w:hAnsiTheme="minorHAnsi" w:cstheme="minorHAnsi"/>
                <w:sz w:val="20"/>
                <w:szCs w:val="20"/>
                <w:lang w:val="en-US" w:eastAsia="en-US"/>
              </w:rPr>
            </w:pPr>
            <w:r w:rsidRPr="00EF36C5">
              <w:rPr>
                <w:rFonts w:asciiTheme="minorHAnsi" w:hAnsiTheme="minorHAnsi" w:cstheme="minorHAnsi"/>
                <w:sz w:val="20"/>
                <w:szCs w:val="20"/>
                <w:lang w:val="en-US" w:eastAsia="en-US"/>
              </w:rPr>
              <w:t>Luxembourg</w:t>
            </w:r>
          </w:p>
        </w:tc>
        <w:tc>
          <w:tcPr>
            <w:tcW w:w="4079" w:type="pct"/>
            <w:shd w:val="clear" w:color="auto" w:fill="FFFFFF" w:themeFill="background1"/>
          </w:tcPr>
          <w:p w14:paraId="60C94BEE" w14:textId="77777777" w:rsidR="002314B8" w:rsidRPr="00EF36C5" w:rsidRDefault="002314B8" w:rsidP="00363D34">
            <w:pPr>
              <w:pStyle w:val="RowsHeading"/>
              <w:keepNext/>
              <w:jc w:val="both"/>
              <w:rPr>
                <w:rFonts w:asciiTheme="minorHAnsi" w:hAnsiTheme="minorHAnsi" w:cstheme="minorHAnsi"/>
                <w:sz w:val="20"/>
                <w:szCs w:val="20"/>
                <w:lang w:val="en-US" w:eastAsia="en-US"/>
              </w:rPr>
            </w:pPr>
            <w:r w:rsidRPr="00EF36C5">
              <w:rPr>
                <w:rFonts w:asciiTheme="minorHAnsi" w:hAnsiTheme="minorHAnsi" w:cstheme="minorHAnsi"/>
                <w:sz w:val="20"/>
                <w:szCs w:val="20"/>
                <w:lang w:val="en-US" w:eastAsia="en-US"/>
              </w:rPr>
              <w:t>Annual cap on all cost-sharing is based on the average health insurance fee per year.</w:t>
            </w:r>
          </w:p>
        </w:tc>
      </w:tr>
      <w:tr w:rsidR="00213D76" w:rsidRPr="00EF36C5" w14:paraId="4C6A53B7" w14:textId="77777777" w:rsidTr="00EF36C5">
        <w:tc>
          <w:tcPr>
            <w:tcW w:w="921" w:type="pct"/>
            <w:shd w:val="clear" w:color="auto" w:fill="FFFFFF" w:themeFill="background1"/>
          </w:tcPr>
          <w:p w14:paraId="3F9888B0" w14:textId="77777777" w:rsidR="002314B8" w:rsidRPr="00EF36C5" w:rsidRDefault="002314B8" w:rsidP="00363D34">
            <w:pPr>
              <w:pStyle w:val="RowsHeading"/>
              <w:keepNext/>
              <w:jc w:val="both"/>
              <w:rPr>
                <w:rFonts w:asciiTheme="minorHAnsi" w:hAnsiTheme="minorHAnsi" w:cstheme="minorHAnsi"/>
                <w:sz w:val="20"/>
                <w:szCs w:val="20"/>
                <w:lang w:val="en-US" w:eastAsia="en-US"/>
              </w:rPr>
            </w:pPr>
            <w:r w:rsidRPr="00EF36C5">
              <w:rPr>
                <w:rFonts w:asciiTheme="minorHAnsi" w:hAnsiTheme="minorHAnsi" w:cstheme="minorHAnsi"/>
                <w:sz w:val="20"/>
                <w:szCs w:val="20"/>
                <w:lang w:val="en-US" w:eastAsia="en-US"/>
              </w:rPr>
              <w:t>New Zealand</w:t>
            </w:r>
          </w:p>
        </w:tc>
        <w:tc>
          <w:tcPr>
            <w:tcW w:w="4079" w:type="pct"/>
            <w:shd w:val="clear" w:color="auto" w:fill="FFFFFF" w:themeFill="background1"/>
          </w:tcPr>
          <w:p w14:paraId="59C096E9" w14:textId="77777777" w:rsidR="002314B8" w:rsidRPr="00EF36C5" w:rsidRDefault="002314B8" w:rsidP="00363D34">
            <w:pPr>
              <w:pStyle w:val="RowsHeading"/>
              <w:keepNext/>
              <w:jc w:val="both"/>
              <w:rPr>
                <w:rFonts w:asciiTheme="minorHAnsi" w:hAnsiTheme="minorHAnsi" w:cstheme="minorHAnsi"/>
                <w:sz w:val="20"/>
                <w:szCs w:val="20"/>
                <w:lang w:val="en-US" w:eastAsia="en-US"/>
              </w:rPr>
            </w:pPr>
            <w:r w:rsidRPr="00EF36C5">
              <w:rPr>
                <w:rFonts w:asciiTheme="minorHAnsi" w:hAnsiTheme="minorHAnsi" w:cstheme="minorHAnsi"/>
                <w:sz w:val="20"/>
                <w:szCs w:val="20"/>
                <w:lang w:val="en-US" w:eastAsia="en-US"/>
              </w:rPr>
              <w:t>Annual cap for pharmaceuticals; after a family has paid for 20 items, all medicines are free of charge for patients. In addition, co-payments are paid by patients enrolled at GP practice offering the VLCA scheme are capped (to NZD 17(USD 11.49) for an adult).</w:t>
            </w:r>
          </w:p>
        </w:tc>
      </w:tr>
      <w:tr w:rsidR="00213D76" w:rsidRPr="00EF36C5" w14:paraId="6AF576A8" w14:textId="77777777" w:rsidTr="00EF36C5">
        <w:tc>
          <w:tcPr>
            <w:tcW w:w="921" w:type="pct"/>
            <w:shd w:val="clear" w:color="auto" w:fill="FFFFFF" w:themeFill="background1"/>
            <w:hideMark/>
          </w:tcPr>
          <w:p w14:paraId="261A82FA" w14:textId="77777777" w:rsidR="002314B8" w:rsidRPr="00EF36C5" w:rsidRDefault="002314B8" w:rsidP="00363D34">
            <w:pPr>
              <w:pStyle w:val="RowsHeading"/>
              <w:keepNext/>
              <w:jc w:val="both"/>
              <w:rPr>
                <w:rFonts w:asciiTheme="minorHAnsi" w:eastAsiaTheme="minorHAnsi" w:hAnsiTheme="minorHAnsi" w:cstheme="minorHAnsi"/>
                <w:sz w:val="20"/>
                <w:szCs w:val="20"/>
                <w:lang w:val="en-US" w:eastAsia="en-US"/>
              </w:rPr>
            </w:pPr>
            <w:r w:rsidRPr="00EF36C5">
              <w:rPr>
                <w:rFonts w:asciiTheme="minorHAnsi" w:hAnsiTheme="minorHAnsi" w:cstheme="minorHAnsi"/>
                <w:sz w:val="20"/>
                <w:szCs w:val="20"/>
                <w:lang w:val="en-US" w:eastAsia="en-US"/>
              </w:rPr>
              <w:t>Norway</w:t>
            </w:r>
          </w:p>
        </w:tc>
        <w:tc>
          <w:tcPr>
            <w:tcW w:w="4079" w:type="pct"/>
            <w:shd w:val="clear" w:color="auto" w:fill="FFFFFF" w:themeFill="background1"/>
            <w:hideMark/>
          </w:tcPr>
          <w:p w14:paraId="621F6F15" w14:textId="77777777" w:rsidR="002314B8" w:rsidRPr="00EF36C5" w:rsidRDefault="002314B8" w:rsidP="00363D34">
            <w:pPr>
              <w:pStyle w:val="RowsHeading"/>
              <w:keepNext/>
              <w:jc w:val="both"/>
              <w:rPr>
                <w:rFonts w:asciiTheme="minorHAnsi" w:eastAsiaTheme="minorHAnsi" w:hAnsiTheme="minorHAnsi" w:cstheme="minorHAnsi"/>
                <w:sz w:val="20"/>
                <w:szCs w:val="20"/>
                <w:lang w:val="en-US" w:eastAsia="en-US"/>
              </w:rPr>
            </w:pPr>
            <w:r w:rsidRPr="00EF36C5">
              <w:rPr>
                <w:rFonts w:asciiTheme="minorHAnsi" w:hAnsiTheme="minorHAnsi" w:cstheme="minorHAnsi"/>
                <w:sz w:val="20"/>
                <w:szCs w:val="20"/>
                <w:lang w:val="en-US" w:eastAsia="en-US"/>
              </w:rPr>
              <w:t>Annual cap for the combination of expenses on pharmaceuticals, consultations with physician in the primary health care sector, psychologists and psychiatrists, outpatient services in hospitals, laboratory tests, x-rays set at NOK 2040 ($344) in 2013.</w:t>
            </w:r>
          </w:p>
        </w:tc>
      </w:tr>
      <w:tr w:rsidR="00213D76" w:rsidRPr="00EF36C5" w14:paraId="674BC9C0" w14:textId="77777777" w:rsidTr="00EF36C5">
        <w:tc>
          <w:tcPr>
            <w:tcW w:w="921" w:type="pct"/>
            <w:shd w:val="clear" w:color="auto" w:fill="FFFFFF" w:themeFill="background1"/>
            <w:hideMark/>
          </w:tcPr>
          <w:p w14:paraId="65D5F8CD" w14:textId="77777777" w:rsidR="002314B8" w:rsidRPr="00EF36C5" w:rsidRDefault="002314B8" w:rsidP="00363D34">
            <w:pPr>
              <w:pStyle w:val="RowsHeading"/>
              <w:keepNext/>
              <w:jc w:val="both"/>
              <w:rPr>
                <w:rFonts w:asciiTheme="minorHAnsi" w:eastAsiaTheme="minorHAnsi" w:hAnsiTheme="minorHAnsi" w:cstheme="minorHAnsi"/>
                <w:sz w:val="20"/>
                <w:szCs w:val="20"/>
                <w:lang w:val="en-US" w:eastAsia="en-US"/>
              </w:rPr>
            </w:pPr>
            <w:r w:rsidRPr="00EF36C5">
              <w:rPr>
                <w:rFonts w:asciiTheme="minorHAnsi" w:hAnsiTheme="minorHAnsi" w:cstheme="minorHAnsi"/>
                <w:sz w:val="20"/>
                <w:szCs w:val="20"/>
                <w:lang w:val="en-US" w:eastAsia="en-US"/>
              </w:rPr>
              <w:t>Portugal</w:t>
            </w:r>
          </w:p>
        </w:tc>
        <w:tc>
          <w:tcPr>
            <w:tcW w:w="4079" w:type="pct"/>
            <w:shd w:val="clear" w:color="auto" w:fill="FFFFFF" w:themeFill="background1"/>
            <w:hideMark/>
          </w:tcPr>
          <w:p w14:paraId="5CB6AE5B" w14:textId="77777777" w:rsidR="002314B8" w:rsidRPr="00EF36C5" w:rsidRDefault="002314B8" w:rsidP="00363D34">
            <w:pPr>
              <w:pStyle w:val="RowsHeading"/>
              <w:keepNext/>
              <w:jc w:val="both"/>
              <w:rPr>
                <w:rFonts w:asciiTheme="minorHAnsi" w:eastAsiaTheme="minorHAnsi" w:hAnsiTheme="minorHAnsi" w:cstheme="minorHAnsi"/>
                <w:sz w:val="20"/>
                <w:szCs w:val="20"/>
                <w:lang w:val="en-US" w:eastAsia="en-US"/>
              </w:rPr>
            </w:pPr>
            <w:r w:rsidRPr="00EF36C5">
              <w:rPr>
                <w:rFonts w:asciiTheme="minorHAnsi" w:hAnsiTheme="minorHAnsi" w:cstheme="minorHAnsi"/>
                <w:sz w:val="20"/>
                <w:szCs w:val="20"/>
                <w:lang w:val="en-US" w:eastAsia="en-US"/>
              </w:rPr>
              <w:t xml:space="preserve"> Annual cap on copayments for low-income elderly people for dental prosthesis and eyeglasses. </w:t>
            </w:r>
          </w:p>
        </w:tc>
      </w:tr>
      <w:tr w:rsidR="00213D76" w:rsidRPr="00EF36C5" w14:paraId="27E8F7F0" w14:textId="77777777" w:rsidTr="00EF36C5">
        <w:tc>
          <w:tcPr>
            <w:tcW w:w="921" w:type="pct"/>
            <w:shd w:val="clear" w:color="auto" w:fill="FFFFFF" w:themeFill="background1"/>
            <w:hideMark/>
          </w:tcPr>
          <w:p w14:paraId="6187ABC8" w14:textId="77777777" w:rsidR="002314B8" w:rsidRPr="00EF36C5" w:rsidRDefault="002314B8" w:rsidP="00363D34">
            <w:pPr>
              <w:pStyle w:val="RowsHeading"/>
              <w:keepNext/>
              <w:rPr>
                <w:rFonts w:asciiTheme="minorHAnsi" w:eastAsiaTheme="minorHAnsi" w:hAnsiTheme="minorHAnsi" w:cstheme="minorHAnsi"/>
                <w:sz w:val="20"/>
                <w:szCs w:val="20"/>
                <w:lang w:val="en-US" w:eastAsia="en-US"/>
              </w:rPr>
            </w:pPr>
            <w:r w:rsidRPr="00EF36C5">
              <w:rPr>
                <w:rFonts w:asciiTheme="minorHAnsi" w:hAnsiTheme="minorHAnsi" w:cstheme="minorHAnsi"/>
                <w:sz w:val="20"/>
                <w:szCs w:val="20"/>
                <w:lang w:val="en-US" w:eastAsia="en-US"/>
              </w:rPr>
              <w:t>Sweden</w:t>
            </w:r>
          </w:p>
        </w:tc>
        <w:tc>
          <w:tcPr>
            <w:tcW w:w="4079" w:type="pct"/>
            <w:shd w:val="clear" w:color="auto" w:fill="FFFFFF" w:themeFill="background1"/>
            <w:hideMark/>
          </w:tcPr>
          <w:p w14:paraId="2CD5FA1D" w14:textId="77777777" w:rsidR="002314B8" w:rsidRPr="00EF36C5" w:rsidRDefault="002314B8" w:rsidP="00363D34">
            <w:pPr>
              <w:pStyle w:val="RowsHeading"/>
              <w:keepNext/>
              <w:rPr>
                <w:rFonts w:asciiTheme="minorHAnsi" w:eastAsiaTheme="minorHAnsi" w:hAnsiTheme="minorHAnsi" w:cstheme="minorHAnsi"/>
                <w:sz w:val="20"/>
                <w:szCs w:val="20"/>
                <w:lang w:val="en-US" w:eastAsia="en-US"/>
              </w:rPr>
            </w:pPr>
            <w:r w:rsidRPr="00EF36C5">
              <w:rPr>
                <w:rFonts w:asciiTheme="minorHAnsi" w:hAnsiTheme="minorHAnsi" w:cstheme="minorHAnsi"/>
                <w:sz w:val="20"/>
                <w:szCs w:val="20"/>
                <w:lang w:val="en-US" w:eastAsia="en-US"/>
              </w:rPr>
              <w:t>Annual cap for all cost-sharing requirements.</w:t>
            </w:r>
            <w:r w:rsidRPr="00EF36C5">
              <w:rPr>
                <w:rFonts w:asciiTheme="minorHAnsi" w:hAnsiTheme="minorHAnsi" w:cstheme="minorHAnsi"/>
                <w:sz w:val="20"/>
                <w:szCs w:val="20"/>
                <w:lang w:val="en-US" w:eastAsia="en-US"/>
              </w:rPr>
              <w:br/>
              <w:t>Annual cap on copayments for pharmaceuticals, set at SEK 1,800 (USD 203).</w:t>
            </w:r>
          </w:p>
        </w:tc>
      </w:tr>
    </w:tbl>
    <w:p w14:paraId="2F7C7E04" w14:textId="77777777" w:rsidR="002314B8" w:rsidRPr="00EF36C5" w:rsidRDefault="002314B8" w:rsidP="00EF36C5">
      <w:pPr>
        <w:pStyle w:val="ListParagraph"/>
        <w:autoSpaceDE w:val="0"/>
        <w:autoSpaceDN w:val="0"/>
        <w:adjustRightInd w:val="0"/>
        <w:spacing w:after="0" w:line="240" w:lineRule="auto"/>
        <w:ind w:left="0"/>
        <w:jc w:val="both"/>
        <w:rPr>
          <w:rFonts w:cstheme="minorHAnsi"/>
          <w:color w:val="000000"/>
          <w:sz w:val="20"/>
          <w:szCs w:val="20"/>
        </w:rPr>
      </w:pPr>
      <w:r w:rsidRPr="00EF36C5">
        <w:rPr>
          <w:rFonts w:cstheme="minorHAnsi"/>
          <w:color w:val="000000"/>
          <w:sz w:val="20"/>
          <w:szCs w:val="20"/>
        </w:rPr>
        <w:t xml:space="preserve">Source: OECD Health system characteristics Survey 2012 and Secretariat’s estimates; </w:t>
      </w:r>
      <w:proofErr w:type="spellStart"/>
      <w:r w:rsidRPr="00EF36C5">
        <w:rPr>
          <w:rFonts w:cstheme="minorHAnsi"/>
          <w:color w:val="000000"/>
          <w:sz w:val="20"/>
          <w:szCs w:val="20"/>
        </w:rPr>
        <w:t>Baji</w:t>
      </w:r>
      <w:proofErr w:type="spellEnd"/>
      <w:r w:rsidRPr="00EF36C5">
        <w:rPr>
          <w:rFonts w:cstheme="minorHAnsi"/>
          <w:color w:val="000000"/>
          <w:sz w:val="20"/>
          <w:szCs w:val="20"/>
        </w:rPr>
        <w:t xml:space="preserve"> et al. 2011 (reproduced from Paris 2016)</w:t>
      </w:r>
    </w:p>
    <w:p w14:paraId="45D13530" w14:textId="4E31ADC4" w:rsidR="002D2D8B" w:rsidRPr="00EF36C5" w:rsidRDefault="002D2D8B" w:rsidP="00EF36C5">
      <w:pPr>
        <w:spacing w:line="240" w:lineRule="auto"/>
        <w:jc w:val="both"/>
        <w:rPr>
          <w:rFonts w:cstheme="minorHAnsi"/>
          <w:color w:val="000000"/>
          <w:sz w:val="20"/>
          <w:szCs w:val="20"/>
        </w:rPr>
      </w:pPr>
    </w:p>
    <w:sectPr w:rsidR="002D2D8B" w:rsidRPr="00EF36C5" w:rsidSect="00631B02">
      <w:footerReference w:type="default" r:id="rId23"/>
      <w:pgSz w:w="12240" w:h="15840" w:code="1"/>
      <w:pgMar w:top="1417" w:right="1417" w:bottom="1417" w:left="141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9BDC2" w14:textId="77777777" w:rsidR="00F74056" w:rsidRDefault="00F74056" w:rsidP="00FA276C">
      <w:pPr>
        <w:spacing w:after="0" w:line="240" w:lineRule="auto"/>
      </w:pPr>
      <w:r>
        <w:separator/>
      </w:r>
    </w:p>
  </w:endnote>
  <w:endnote w:type="continuationSeparator" w:id="0">
    <w:p w14:paraId="6E21C31A" w14:textId="77777777" w:rsidR="00F74056" w:rsidRDefault="00F74056" w:rsidP="00FA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JTVYX+ZapfDingbatsITC">
    <w:altName w:val="Yu Gothic"/>
    <w:panose1 w:val="00000000000000000000"/>
    <w:charset w:val="80"/>
    <w:family w:val="auto"/>
    <w:notTrueType/>
    <w:pitch w:val="default"/>
    <w:sig w:usb0="00000001" w:usb1="08070000" w:usb2="00000010" w:usb3="00000000" w:csb0="00020000" w:csb1="00000000"/>
  </w:font>
  <w:font w:name="Arno Pro">
    <w:altName w:val="Cambria"/>
    <w:panose1 w:val="00000000000000000000"/>
    <w:charset w:val="00"/>
    <w:family w:val="roman"/>
    <w:notTrueType/>
    <w:pitch w:val="default"/>
    <w:sig w:usb0="00000003" w:usb1="00000000" w:usb2="00000000" w:usb3="00000000" w:csb0="00000001" w:csb1="00000000"/>
  </w:font>
  <w:font w:name="Arno Pro Smbd SmText">
    <w:altName w:val="Cambria"/>
    <w:panose1 w:val="00000000000000000000"/>
    <w:charset w:val="00"/>
    <w:family w:val="roman"/>
    <w:notTrueType/>
    <w:pitch w:val="default"/>
    <w:sig w:usb0="00000003" w:usb1="00000000" w:usb2="00000000" w:usb3="00000000" w:csb0="00000001" w:csb1="00000000"/>
  </w:font>
  <w:font w:name="Arno Pro Smbd Display">
    <w:altName w:val="Cambria"/>
    <w:panose1 w:val="00000000000000000000"/>
    <w:charset w:val="00"/>
    <w:family w:val="roman"/>
    <w:notTrueType/>
    <w:pitch w:val="default"/>
    <w:sig w:usb0="00000003" w:usb1="00000000" w:usb2="00000000" w:usb3="00000000" w:csb0="00000001" w:csb1="00000000"/>
  </w:font>
  <w:font w:name="Avenir Next Demi Bold">
    <w:altName w:val="Avenir Next Demi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38DE0" w14:textId="07CDA40B" w:rsidR="006E2D13" w:rsidRDefault="006E2D13">
    <w:pPr>
      <w:pStyle w:val="Footer"/>
      <w:pBdr>
        <w:top w:val="single" w:sz="4" w:space="1" w:color="D9D9D9" w:themeColor="background1" w:themeShade="D9"/>
      </w:pBdr>
      <w:jc w:val="right"/>
    </w:pPr>
  </w:p>
  <w:p w14:paraId="0B5A9CF1" w14:textId="1626AF25" w:rsidR="006E2D13" w:rsidRPr="00AD1FCA" w:rsidRDefault="006E2D13" w:rsidP="00AD1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473073"/>
      <w:docPartObj>
        <w:docPartGallery w:val="Page Numbers (Bottom of Page)"/>
        <w:docPartUnique/>
      </w:docPartObj>
    </w:sdtPr>
    <w:sdtEndPr>
      <w:rPr>
        <w:noProof/>
      </w:rPr>
    </w:sdtEndPr>
    <w:sdtContent>
      <w:p w14:paraId="40B957DC" w14:textId="59FC6AD6" w:rsidR="006E2D13" w:rsidRDefault="006E2D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32EA80" w14:textId="77777777" w:rsidR="006E2D13" w:rsidRPr="00AD1FCA" w:rsidRDefault="006E2D13" w:rsidP="00AD1F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23178922"/>
      <w:docPartObj>
        <w:docPartGallery w:val="Page Numbers (Bottom of Page)"/>
        <w:docPartUnique/>
      </w:docPartObj>
    </w:sdtPr>
    <w:sdtEndPr>
      <w:rPr>
        <w:noProof/>
        <w:szCs w:val="20"/>
      </w:rPr>
    </w:sdtEndPr>
    <w:sdtContent>
      <w:p w14:paraId="5E75DA43" w14:textId="2A1E5B3D" w:rsidR="006E2D13" w:rsidRPr="00301778" w:rsidRDefault="006E2D13">
        <w:pPr>
          <w:pStyle w:val="Footer"/>
          <w:jc w:val="center"/>
          <w:rPr>
            <w:sz w:val="20"/>
            <w:szCs w:val="20"/>
          </w:rPr>
        </w:pPr>
        <w:r w:rsidRPr="00301778">
          <w:rPr>
            <w:sz w:val="20"/>
            <w:szCs w:val="20"/>
          </w:rPr>
          <w:fldChar w:fldCharType="begin"/>
        </w:r>
        <w:r w:rsidRPr="00301778">
          <w:rPr>
            <w:sz w:val="20"/>
            <w:szCs w:val="20"/>
          </w:rPr>
          <w:instrText xml:space="preserve"> PAGE   \* MERGEFORMAT </w:instrText>
        </w:r>
        <w:r w:rsidRPr="00301778">
          <w:rPr>
            <w:sz w:val="20"/>
            <w:szCs w:val="20"/>
          </w:rPr>
          <w:fldChar w:fldCharType="separate"/>
        </w:r>
        <w:r w:rsidRPr="00301778">
          <w:rPr>
            <w:noProof/>
            <w:sz w:val="20"/>
            <w:szCs w:val="20"/>
          </w:rPr>
          <w:t>2</w:t>
        </w:r>
        <w:r w:rsidRPr="00301778">
          <w:rPr>
            <w:noProof/>
            <w:sz w:val="20"/>
            <w:szCs w:val="20"/>
          </w:rPr>
          <w:fldChar w:fldCharType="end"/>
        </w:r>
      </w:p>
    </w:sdtContent>
  </w:sdt>
  <w:p w14:paraId="2A0E3EE8" w14:textId="77777777" w:rsidR="006E2D13" w:rsidRPr="00AD1FCA" w:rsidRDefault="006E2D13" w:rsidP="00AD1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76F34" w14:textId="77777777" w:rsidR="00F74056" w:rsidRDefault="00F74056" w:rsidP="00FA276C">
      <w:pPr>
        <w:spacing w:after="0" w:line="240" w:lineRule="auto"/>
      </w:pPr>
      <w:r>
        <w:separator/>
      </w:r>
    </w:p>
  </w:footnote>
  <w:footnote w:type="continuationSeparator" w:id="0">
    <w:p w14:paraId="69D3B1C1" w14:textId="77777777" w:rsidR="00F74056" w:rsidRDefault="00F74056" w:rsidP="00FA276C">
      <w:pPr>
        <w:spacing w:after="0" w:line="240" w:lineRule="auto"/>
      </w:pPr>
      <w:r>
        <w:continuationSeparator/>
      </w:r>
    </w:p>
  </w:footnote>
  <w:footnote w:id="1">
    <w:p w14:paraId="68D445DB" w14:textId="4B2975F8" w:rsidR="00025254" w:rsidRPr="00FD56CE" w:rsidRDefault="00025254" w:rsidP="00FD56CE">
      <w:pPr>
        <w:pStyle w:val="FootnoteText"/>
        <w:jc w:val="both"/>
        <w:rPr>
          <w:rFonts w:cstheme="minorHAnsi"/>
          <w:sz w:val="20"/>
          <w:szCs w:val="20"/>
        </w:rPr>
      </w:pPr>
      <w:r w:rsidRPr="00FD56CE">
        <w:rPr>
          <w:rStyle w:val="FootnoteReference"/>
          <w:rFonts w:cstheme="minorHAnsi"/>
          <w:sz w:val="20"/>
          <w:szCs w:val="20"/>
        </w:rPr>
        <w:footnoteRef/>
      </w:r>
      <w:r w:rsidRPr="00FD56CE">
        <w:rPr>
          <w:rFonts w:cstheme="minorHAnsi"/>
          <w:sz w:val="20"/>
          <w:szCs w:val="20"/>
        </w:rPr>
        <w:t xml:space="preserve"> </w:t>
      </w:r>
      <w:r w:rsidRPr="00FD56CE">
        <w:rPr>
          <w:rFonts w:cstheme="minorHAnsi"/>
          <w:color w:val="222222"/>
          <w:sz w:val="20"/>
          <w:szCs w:val="20"/>
          <w:shd w:val="clear" w:color="auto" w:fill="FFFFFF"/>
        </w:rPr>
        <w:t>A </w:t>
      </w:r>
      <w:r w:rsidRPr="00FD56CE">
        <w:rPr>
          <w:rFonts w:cstheme="minorHAnsi"/>
          <w:bCs/>
          <w:color w:val="222222"/>
          <w:sz w:val="20"/>
          <w:szCs w:val="20"/>
          <w:shd w:val="clear" w:color="auto" w:fill="FFFFFF"/>
        </w:rPr>
        <w:t>stop</w:t>
      </w:r>
      <w:r w:rsidRPr="00FD56CE">
        <w:rPr>
          <w:rFonts w:cstheme="minorHAnsi"/>
          <w:color w:val="222222"/>
          <w:sz w:val="20"/>
          <w:szCs w:val="20"/>
          <w:shd w:val="clear" w:color="auto" w:fill="FFFFFF"/>
        </w:rPr>
        <w:t>-</w:t>
      </w:r>
      <w:r w:rsidRPr="00FD56CE">
        <w:rPr>
          <w:rFonts w:cstheme="minorHAnsi"/>
          <w:bCs/>
          <w:color w:val="222222"/>
          <w:sz w:val="20"/>
          <w:szCs w:val="20"/>
          <w:shd w:val="clear" w:color="auto" w:fill="FFFFFF"/>
        </w:rPr>
        <w:t>loss provision</w:t>
      </w:r>
      <w:r w:rsidRPr="00FD56CE">
        <w:rPr>
          <w:rFonts w:cstheme="minorHAnsi"/>
          <w:color w:val="222222"/>
          <w:sz w:val="20"/>
          <w:szCs w:val="20"/>
          <w:shd w:val="clear" w:color="auto" w:fill="FFFFFF"/>
        </w:rPr>
        <w:t> is a specific clause in a health insurance policy with a deductible and co-insurance arrangement that states that the insured need no longer pay any percentage of the medical expenses once their out-of-pocket expenses have reached the specific amount or limit indicated in the policy</w:t>
      </w:r>
      <w:r w:rsidR="00F6121D">
        <w:rPr>
          <w:rFonts w:cstheme="minorHAnsi"/>
          <w:color w:val="222222"/>
          <w:sz w:val="20"/>
          <w:szCs w:val="20"/>
          <w:shd w:val="clear" w:color="auto" w:fill="FFFFFF"/>
        </w:rPr>
        <w:t xml:space="preserve"> (</w:t>
      </w:r>
      <w:hyperlink r:id="rId1" w:history="1">
        <w:r w:rsidR="00F6121D" w:rsidRPr="00AF3B6D">
          <w:rPr>
            <w:rStyle w:val="Hyperlink"/>
            <w:sz w:val="22"/>
          </w:rPr>
          <w:t>https://www.insuranceopedia.com/definition/4373/stop-loss-provision</w:t>
        </w:r>
      </w:hyperlink>
      <w:r w:rsidR="00F6121D">
        <w:rPr>
          <w:sz w:val="22"/>
        </w:rPr>
        <w:t>)</w:t>
      </w:r>
    </w:p>
  </w:footnote>
  <w:footnote w:id="2">
    <w:p w14:paraId="63C2AC2B" w14:textId="69F8B3CA" w:rsidR="006E2D13" w:rsidRPr="0092313A" w:rsidRDefault="006E2D13" w:rsidP="003A754B">
      <w:pPr>
        <w:pStyle w:val="FootnoteText"/>
        <w:ind w:firstLine="0"/>
        <w:rPr>
          <w:sz w:val="18"/>
          <w:szCs w:val="18"/>
        </w:rPr>
      </w:pPr>
      <w:r w:rsidRPr="0092313A">
        <w:rPr>
          <w:rStyle w:val="FootnoteReference"/>
          <w:sz w:val="18"/>
          <w:szCs w:val="18"/>
        </w:rPr>
        <w:footnoteRef/>
      </w:r>
      <w:r w:rsidRPr="0092313A">
        <w:rPr>
          <w:sz w:val="18"/>
          <w:szCs w:val="18"/>
        </w:rPr>
        <w:t xml:space="preserve"> </w:t>
      </w:r>
      <w:r>
        <w:rPr>
          <w:sz w:val="18"/>
          <w:szCs w:val="18"/>
        </w:rPr>
        <w:t xml:space="preserve">The estimation was based on </w:t>
      </w:r>
      <w:r w:rsidRPr="0092313A">
        <w:rPr>
          <w:rFonts w:eastAsia="Times New Roman" w:cstheme="minorHAnsi"/>
          <w:sz w:val="18"/>
          <w:szCs w:val="18"/>
        </w:rPr>
        <w:t xml:space="preserve">WHO GLOBOCAN, </w:t>
      </w:r>
      <w:r>
        <w:rPr>
          <w:rFonts w:eastAsia="Times New Roman" w:cstheme="minorHAnsi"/>
          <w:sz w:val="18"/>
          <w:szCs w:val="18"/>
        </w:rPr>
        <w:t xml:space="preserve">which stated that </w:t>
      </w:r>
      <w:r w:rsidRPr="0092313A">
        <w:rPr>
          <w:rFonts w:eastAsia="Times New Roman" w:cstheme="minorHAnsi"/>
          <w:sz w:val="18"/>
          <w:szCs w:val="18"/>
        </w:rPr>
        <w:t>the overall age standardized cancer incidence rate is 205 in men and 165 in women per 100,000.</w:t>
      </w:r>
    </w:p>
  </w:footnote>
  <w:footnote w:id="3">
    <w:p w14:paraId="6B9A00BD" w14:textId="56103463" w:rsidR="006E2D13" w:rsidRDefault="006E2D13" w:rsidP="00673C29">
      <w:pPr>
        <w:pStyle w:val="FootnoteText"/>
        <w:ind w:firstLine="0"/>
        <w:jc w:val="both"/>
        <w:rPr>
          <w:sz w:val="18"/>
          <w:szCs w:val="18"/>
        </w:rPr>
      </w:pPr>
      <w:r>
        <w:rPr>
          <w:rStyle w:val="FootnoteReference"/>
        </w:rPr>
        <w:footnoteRef/>
      </w:r>
      <w:r>
        <w:rPr>
          <w:sz w:val="18"/>
          <w:szCs w:val="18"/>
        </w:rPr>
        <w:t xml:space="preserve"> </w:t>
      </w:r>
      <w:r w:rsidRPr="0031477F">
        <w:rPr>
          <w:sz w:val="18"/>
          <w:szCs w:val="18"/>
        </w:rPr>
        <w:t xml:space="preserve">Clinical </w:t>
      </w:r>
      <w:r>
        <w:rPr>
          <w:sz w:val="18"/>
          <w:szCs w:val="18"/>
        </w:rPr>
        <w:t>g</w:t>
      </w:r>
      <w:r w:rsidRPr="0031477F">
        <w:rPr>
          <w:sz w:val="18"/>
          <w:szCs w:val="18"/>
        </w:rPr>
        <w:t>ui</w:t>
      </w:r>
      <w:r>
        <w:rPr>
          <w:sz w:val="18"/>
          <w:szCs w:val="18"/>
        </w:rPr>
        <w:t>delines: d</w:t>
      </w:r>
      <w:r w:rsidRPr="0031477F">
        <w:rPr>
          <w:sz w:val="18"/>
          <w:szCs w:val="18"/>
        </w:rPr>
        <w:t>ocumentation that advises on the clinical management (including screening, preventative, diagnosis, treatment, prevention, rehabilitation and palliation) of individuals in a particular setting for a particular disease area/condition</w:t>
      </w:r>
      <w:r>
        <w:rPr>
          <w:sz w:val="18"/>
          <w:szCs w:val="18"/>
        </w:rPr>
        <w:t>;</w:t>
      </w:r>
    </w:p>
    <w:p w14:paraId="0E1B3C16" w14:textId="65B5B2FB" w:rsidR="006E2D13" w:rsidRDefault="006E2D13" w:rsidP="00673C29">
      <w:pPr>
        <w:pStyle w:val="FootnoteText"/>
        <w:ind w:firstLine="0"/>
        <w:jc w:val="both"/>
        <w:rPr>
          <w:sz w:val="18"/>
          <w:szCs w:val="18"/>
        </w:rPr>
      </w:pPr>
      <w:r>
        <w:rPr>
          <w:sz w:val="18"/>
          <w:szCs w:val="18"/>
        </w:rPr>
        <w:t>Care</w:t>
      </w:r>
      <w:r w:rsidRPr="00987801">
        <w:rPr>
          <w:sz w:val="18"/>
          <w:szCs w:val="18"/>
        </w:rPr>
        <w:t xml:space="preserve"> pathway</w:t>
      </w:r>
      <w:r>
        <w:rPr>
          <w:sz w:val="18"/>
          <w:szCs w:val="18"/>
        </w:rPr>
        <w:t>:</w:t>
      </w:r>
      <w:r w:rsidRPr="00987801">
        <w:rPr>
          <w:sz w:val="18"/>
          <w:szCs w:val="18"/>
        </w:rPr>
        <w:t xml:space="preserve"> multidisciplinary management tool based on evidence-based practice for a specific group of patients with a predictable clinical course, in which the different tasks (interventions) by the professionals involved in the patient care are defined, optimized and sequenced either by hour, day (acute care) or visit (homecare).</w:t>
      </w:r>
    </w:p>
    <w:p w14:paraId="0F5F175F" w14:textId="616A4578" w:rsidR="006E2D13" w:rsidRDefault="006E2D13">
      <w:pPr>
        <w:pStyle w:val="FootnoteText"/>
      </w:pPr>
    </w:p>
  </w:footnote>
  <w:footnote w:id="4">
    <w:p w14:paraId="1A125AEC" w14:textId="77777777" w:rsidR="006E2D13" w:rsidRPr="00616A4E" w:rsidRDefault="006E2D13" w:rsidP="002D2D8B">
      <w:pPr>
        <w:pStyle w:val="FootnoteText"/>
        <w:ind w:firstLine="0"/>
        <w:jc w:val="both"/>
        <w:rPr>
          <w:sz w:val="20"/>
          <w:szCs w:val="20"/>
          <w:lang w:val="hr-HR"/>
        </w:rPr>
      </w:pPr>
      <w:r w:rsidRPr="00616A4E">
        <w:rPr>
          <w:rStyle w:val="FootnoteReference"/>
          <w:sz w:val="20"/>
          <w:szCs w:val="20"/>
        </w:rPr>
        <w:footnoteRef/>
      </w:r>
      <w:r w:rsidRPr="00616A4E">
        <w:rPr>
          <w:sz w:val="20"/>
          <w:szCs w:val="20"/>
        </w:rPr>
        <w:t xml:space="preserve"> Health technology assessment (HTA) refers to the systematic evaluation of properties, effects, and/or impacts of health technology. It is a multidisciplinary process to evaluate the social, economic, organizational and ethical issues of a health intervention or health technology. The main purpose of conducting an assessment is to inform a policy decision making.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648"/>
    <w:multiLevelType w:val="hybridMultilevel"/>
    <w:tmpl w:val="D242D91C"/>
    <w:lvl w:ilvl="0" w:tplc="D59C6AA0">
      <w:start w:val="1"/>
      <w:numFmt w:val="bullet"/>
      <w:lvlText w:val="•"/>
      <w:lvlJc w:val="left"/>
      <w:pPr>
        <w:tabs>
          <w:tab w:val="num" w:pos="360"/>
        </w:tabs>
        <w:ind w:left="360" w:hanging="360"/>
      </w:pPr>
      <w:rPr>
        <w:rFonts w:ascii="Arial" w:hAnsi="Arial" w:hint="default"/>
      </w:rPr>
    </w:lvl>
    <w:lvl w:ilvl="1" w:tplc="E948FCEC" w:tentative="1">
      <w:start w:val="1"/>
      <w:numFmt w:val="bullet"/>
      <w:lvlText w:val="•"/>
      <w:lvlJc w:val="left"/>
      <w:pPr>
        <w:tabs>
          <w:tab w:val="num" w:pos="1080"/>
        </w:tabs>
        <w:ind w:left="1080" w:hanging="360"/>
      </w:pPr>
      <w:rPr>
        <w:rFonts w:ascii="Arial" w:hAnsi="Arial" w:hint="default"/>
      </w:rPr>
    </w:lvl>
    <w:lvl w:ilvl="2" w:tplc="7086236E" w:tentative="1">
      <w:start w:val="1"/>
      <w:numFmt w:val="bullet"/>
      <w:lvlText w:val="•"/>
      <w:lvlJc w:val="left"/>
      <w:pPr>
        <w:tabs>
          <w:tab w:val="num" w:pos="1800"/>
        </w:tabs>
        <w:ind w:left="1800" w:hanging="360"/>
      </w:pPr>
      <w:rPr>
        <w:rFonts w:ascii="Arial" w:hAnsi="Arial" w:hint="default"/>
      </w:rPr>
    </w:lvl>
    <w:lvl w:ilvl="3" w:tplc="988EEAAE" w:tentative="1">
      <w:start w:val="1"/>
      <w:numFmt w:val="bullet"/>
      <w:lvlText w:val="•"/>
      <w:lvlJc w:val="left"/>
      <w:pPr>
        <w:tabs>
          <w:tab w:val="num" w:pos="2520"/>
        </w:tabs>
        <w:ind w:left="2520" w:hanging="360"/>
      </w:pPr>
      <w:rPr>
        <w:rFonts w:ascii="Arial" w:hAnsi="Arial" w:hint="default"/>
      </w:rPr>
    </w:lvl>
    <w:lvl w:ilvl="4" w:tplc="A8EAB536" w:tentative="1">
      <w:start w:val="1"/>
      <w:numFmt w:val="bullet"/>
      <w:lvlText w:val="•"/>
      <w:lvlJc w:val="left"/>
      <w:pPr>
        <w:tabs>
          <w:tab w:val="num" w:pos="3240"/>
        </w:tabs>
        <w:ind w:left="3240" w:hanging="360"/>
      </w:pPr>
      <w:rPr>
        <w:rFonts w:ascii="Arial" w:hAnsi="Arial" w:hint="default"/>
      </w:rPr>
    </w:lvl>
    <w:lvl w:ilvl="5" w:tplc="5E9612B0" w:tentative="1">
      <w:start w:val="1"/>
      <w:numFmt w:val="bullet"/>
      <w:lvlText w:val="•"/>
      <w:lvlJc w:val="left"/>
      <w:pPr>
        <w:tabs>
          <w:tab w:val="num" w:pos="3960"/>
        </w:tabs>
        <w:ind w:left="3960" w:hanging="360"/>
      </w:pPr>
      <w:rPr>
        <w:rFonts w:ascii="Arial" w:hAnsi="Arial" w:hint="default"/>
      </w:rPr>
    </w:lvl>
    <w:lvl w:ilvl="6" w:tplc="6F801524" w:tentative="1">
      <w:start w:val="1"/>
      <w:numFmt w:val="bullet"/>
      <w:lvlText w:val="•"/>
      <w:lvlJc w:val="left"/>
      <w:pPr>
        <w:tabs>
          <w:tab w:val="num" w:pos="4680"/>
        </w:tabs>
        <w:ind w:left="4680" w:hanging="360"/>
      </w:pPr>
      <w:rPr>
        <w:rFonts w:ascii="Arial" w:hAnsi="Arial" w:hint="default"/>
      </w:rPr>
    </w:lvl>
    <w:lvl w:ilvl="7" w:tplc="786A1D3A" w:tentative="1">
      <w:start w:val="1"/>
      <w:numFmt w:val="bullet"/>
      <w:lvlText w:val="•"/>
      <w:lvlJc w:val="left"/>
      <w:pPr>
        <w:tabs>
          <w:tab w:val="num" w:pos="5400"/>
        </w:tabs>
        <w:ind w:left="5400" w:hanging="360"/>
      </w:pPr>
      <w:rPr>
        <w:rFonts w:ascii="Arial" w:hAnsi="Arial" w:hint="default"/>
      </w:rPr>
    </w:lvl>
    <w:lvl w:ilvl="8" w:tplc="B2F4B1C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1F36DE5"/>
    <w:multiLevelType w:val="hybridMultilevel"/>
    <w:tmpl w:val="8ADEC724"/>
    <w:lvl w:ilvl="0" w:tplc="04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AB210F"/>
    <w:multiLevelType w:val="hybridMultilevel"/>
    <w:tmpl w:val="E0C4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2604D"/>
    <w:multiLevelType w:val="hybridMultilevel"/>
    <w:tmpl w:val="5DB08D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A0C25"/>
    <w:multiLevelType w:val="hybridMultilevel"/>
    <w:tmpl w:val="4B1253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E6CFC"/>
    <w:multiLevelType w:val="hybridMultilevel"/>
    <w:tmpl w:val="83FA8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D089E"/>
    <w:multiLevelType w:val="hybridMultilevel"/>
    <w:tmpl w:val="8C38ECAA"/>
    <w:lvl w:ilvl="0" w:tplc="D8526432">
      <w:start w:val="1"/>
      <w:numFmt w:val="decimal"/>
      <w:pStyle w:val="Subheading1"/>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064D66"/>
    <w:multiLevelType w:val="hybridMultilevel"/>
    <w:tmpl w:val="2C58990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7676F2"/>
    <w:multiLevelType w:val="hybridMultilevel"/>
    <w:tmpl w:val="DE9A6206"/>
    <w:lvl w:ilvl="0" w:tplc="EFAC57DC">
      <w:start w:val="1"/>
      <w:numFmt w:val="bullet"/>
      <w:lvlText w:val=""/>
      <w:lvlJc w:val="left"/>
      <w:pPr>
        <w:tabs>
          <w:tab w:val="num" w:pos="720"/>
        </w:tabs>
        <w:ind w:left="720" w:hanging="360"/>
      </w:pPr>
      <w:rPr>
        <w:rFonts w:ascii="Wingdings" w:hAnsi="Wingdings" w:hint="default"/>
      </w:rPr>
    </w:lvl>
    <w:lvl w:ilvl="1" w:tplc="0CF8EFDE" w:tentative="1">
      <w:start w:val="1"/>
      <w:numFmt w:val="bullet"/>
      <w:lvlText w:val=""/>
      <w:lvlJc w:val="left"/>
      <w:pPr>
        <w:tabs>
          <w:tab w:val="num" w:pos="1440"/>
        </w:tabs>
        <w:ind w:left="1440" w:hanging="360"/>
      </w:pPr>
      <w:rPr>
        <w:rFonts w:ascii="Wingdings" w:hAnsi="Wingdings" w:hint="default"/>
      </w:rPr>
    </w:lvl>
    <w:lvl w:ilvl="2" w:tplc="BE74E89C" w:tentative="1">
      <w:start w:val="1"/>
      <w:numFmt w:val="bullet"/>
      <w:lvlText w:val=""/>
      <w:lvlJc w:val="left"/>
      <w:pPr>
        <w:tabs>
          <w:tab w:val="num" w:pos="2160"/>
        </w:tabs>
        <w:ind w:left="2160" w:hanging="360"/>
      </w:pPr>
      <w:rPr>
        <w:rFonts w:ascii="Wingdings" w:hAnsi="Wingdings" w:hint="default"/>
      </w:rPr>
    </w:lvl>
    <w:lvl w:ilvl="3" w:tplc="50728630" w:tentative="1">
      <w:start w:val="1"/>
      <w:numFmt w:val="bullet"/>
      <w:lvlText w:val=""/>
      <w:lvlJc w:val="left"/>
      <w:pPr>
        <w:tabs>
          <w:tab w:val="num" w:pos="2880"/>
        </w:tabs>
        <w:ind w:left="2880" w:hanging="360"/>
      </w:pPr>
      <w:rPr>
        <w:rFonts w:ascii="Wingdings" w:hAnsi="Wingdings" w:hint="default"/>
      </w:rPr>
    </w:lvl>
    <w:lvl w:ilvl="4" w:tplc="78F6F766" w:tentative="1">
      <w:start w:val="1"/>
      <w:numFmt w:val="bullet"/>
      <w:lvlText w:val=""/>
      <w:lvlJc w:val="left"/>
      <w:pPr>
        <w:tabs>
          <w:tab w:val="num" w:pos="3600"/>
        </w:tabs>
        <w:ind w:left="3600" w:hanging="360"/>
      </w:pPr>
      <w:rPr>
        <w:rFonts w:ascii="Wingdings" w:hAnsi="Wingdings" w:hint="default"/>
      </w:rPr>
    </w:lvl>
    <w:lvl w:ilvl="5" w:tplc="AE4040F0" w:tentative="1">
      <w:start w:val="1"/>
      <w:numFmt w:val="bullet"/>
      <w:lvlText w:val=""/>
      <w:lvlJc w:val="left"/>
      <w:pPr>
        <w:tabs>
          <w:tab w:val="num" w:pos="4320"/>
        </w:tabs>
        <w:ind w:left="4320" w:hanging="360"/>
      </w:pPr>
      <w:rPr>
        <w:rFonts w:ascii="Wingdings" w:hAnsi="Wingdings" w:hint="default"/>
      </w:rPr>
    </w:lvl>
    <w:lvl w:ilvl="6" w:tplc="853A629C" w:tentative="1">
      <w:start w:val="1"/>
      <w:numFmt w:val="bullet"/>
      <w:lvlText w:val=""/>
      <w:lvlJc w:val="left"/>
      <w:pPr>
        <w:tabs>
          <w:tab w:val="num" w:pos="5040"/>
        </w:tabs>
        <w:ind w:left="5040" w:hanging="360"/>
      </w:pPr>
      <w:rPr>
        <w:rFonts w:ascii="Wingdings" w:hAnsi="Wingdings" w:hint="default"/>
      </w:rPr>
    </w:lvl>
    <w:lvl w:ilvl="7" w:tplc="97120CE8" w:tentative="1">
      <w:start w:val="1"/>
      <w:numFmt w:val="bullet"/>
      <w:lvlText w:val=""/>
      <w:lvlJc w:val="left"/>
      <w:pPr>
        <w:tabs>
          <w:tab w:val="num" w:pos="5760"/>
        </w:tabs>
        <w:ind w:left="5760" w:hanging="360"/>
      </w:pPr>
      <w:rPr>
        <w:rFonts w:ascii="Wingdings" w:hAnsi="Wingdings" w:hint="default"/>
      </w:rPr>
    </w:lvl>
    <w:lvl w:ilvl="8" w:tplc="88C8EAC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407EFC"/>
    <w:multiLevelType w:val="hybridMultilevel"/>
    <w:tmpl w:val="91F27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C5F95"/>
    <w:multiLevelType w:val="hybridMultilevel"/>
    <w:tmpl w:val="9BFE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412D7"/>
    <w:multiLevelType w:val="hybridMultilevel"/>
    <w:tmpl w:val="D87A4C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64225"/>
    <w:multiLevelType w:val="hybridMultilevel"/>
    <w:tmpl w:val="72D25CF2"/>
    <w:lvl w:ilvl="0" w:tplc="04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A1D596B"/>
    <w:multiLevelType w:val="hybridMultilevel"/>
    <w:tmpl w:val="5CF451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C779C"/>
    <w:multiLevelType w:val="hybridMultilevel"/>
    <w:tmpl w:val="D0E213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22F1E"/>
    <w:multiLevelType w:val="hybridMultilevel"/>
    <w:tmpl w:val="8AC64F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95149"/>
    <w:multiLevelType w:val="hybridMultilevel"/>
    <w:tmpl w:val="2E4EF450"/>
    <w:lvl w:ilvl="0" w:tplc="B204EE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F5DAE"/>
    <w:multiLevelType w:val="multilevel"/>
    <w:tmpl w:val="4112CE9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91A6993"/>
    <w:multiLevelType w:val="hybridMultilevel"/>
    <w:tmpl w:val="D57A306A"/>
    <w:lvl w:ilvl="0" w:tplc="C0CCE902">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330832"/>
    <w:multiLevelType w:val="hybridMultilevel"/>
    <w:tmpl w:val="C806344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C4279E3"/>
    <w:multiLevelType w:val="hybridMultilevel"/>
    <w:tmpl w:val="4BBA7676"/>
    <w:lvl w:ilvl="0" w:tplc="41F6DD5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B23F30"/>
    <w:multiLevelType w:val="hybridMultilevel"/>
    <w:tmpl w:val="57B0531E"/>
    <w:lvl w:ilvl="0" w:tplc="D96C839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CF12556"/>
    <w:multiLevelType w:val="multilevel"/>
    <w:tmpl w:val="2DB044C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D4D6736"/>
    <w:multiLevelType w:val="hybridMultilevel"/>
    <w:tmpl w:val="290AEC56"/>
    <w:lvl w:ilvl="0" w:tplc="41F6DD5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F6365C"/>
    <w:multiLevelType w:val="hybridMultilevel"/>
    <w:tmpl w:val="69E60D66"/>
    <w:lvl w:ilvl="0" w:tplc="04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EFD0C4D"/>
    <w:multiLevelType w:val="hybridMultilevel"/>
    <w:tmpl w:val="16D656CE"/>
    <w:lvl w:ilvl="0" w:tplc="41F6DD5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93737C"/>
    <w:multiLevelType w:val="hybridMultilevel"/>
    <w:tmpl w:val="CFA0AEAA"/>
    <w:lvl w:ilvl="0" w:tplc="04090005">
      <w:start w:val="1"/>
      <w:numFmt w:val="bullet"/>
      <w:lvlText w:val=""/>
      <w:lvlJc w:val="left"/>
      <w:pPr>
        <w:ind w:left="360" w:hanging="360"/>
      </w:pPr>
      <w:rPr>
        <w:rFonts w:ascii="Wingdings" w:hAnsi="Wingdings" w:hint="default"/>
      </w:rPr>
    </w:lvl>
    <w:lvl w:ilvl="1" w:tplc="517C66A2">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200CC9"/>
    <w:multiLevelType w:val="hybridMultilevel"/>
    <w:tmpl w:val="05E8CDF4"/>
    <w:lvl w:ilvl="0" w:tplc="B204EE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5735F8"/>
    <w:multiLevelType w:val="hybridMultilevel"/>
    <w:tmpl w:val="5FD261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B0303"/>
    <w:multiLevelType w:val="multilevel"/>
    <w:tmpl w:val="6FE412E0"/>
    <w:lvl w:ilvl="0">
      <w:start w:val="1"/>
      <w:numFmt w:val="decimal"/>
      <w:pStyle w:val="Heading1"/>
      <w:lvlText w:val="%1."/>
      <w:lvlJc w:val="left"/>
      <w:pPr>
        <w:tabs>
          <w:tab w:val="num" w:pos="747"/>
        </w:tabs>
        <w:ind w:left="747" w:hanging="567"/>
      </w:pPr>
      <w:rPr>
        <w:rFonts w:ascii="Times New Roman" w:hAnsi="Times New Roman" w:cs="Times New Roman" w:hint="default"/>
        <w:b/>
        <w:i w:val="0"/>
        <w:sz w:val="24"/>
        <w:szCs w:val="24"/>
      </w:rPr>
    </w:lvl>
    <w:lvl w:ilvl="1">
      <w:start w:val="1"/>
      <w:numFmt w:val="decimal"/>
      <w:pStyle w:val="Heading2"/>
      <w:lvlText w:val="%1.%2."/>
      <w:lvlJc w:val="left"/>
      <w:pPr>
        <w:tabs>
          <w:tab w:val="num" w:pos="4541"/>
        </w:tabs>
        <w:ind w:left="4541" w:hanging="851"/>
      </w:pPr>
      <w:rPr>
        <w:b/>
        <w:i w:val="0"/>
        <w:sz w:val="24"/>
      </w:rPr>
    </w:lvl>
    <w:lvl w:ilvl="2">
      <w:start w:val="1"/>
      <w:numFmt w:val="decimal"/>
      <w:pStyle w:val="Heading3"/>
      <w:lvlText w:val="%1.%2.%3."/>
      <w:lvlJc w:val="left"/>
      <w:pPr>
        <w:tabs>
          <w:tab w:val="num" w:pos="2934"/>
        </w:tabs>
        <w:ind w:left="2934" w:hanging="1134"/>
      </w:pPr>
      <w:rPr>
        <w:b/>
        <w:i w:val="0"/>
        <w:sz w:val="22"/>
      </w:rPr>
    </w:lvl>
    <w:lvl w:ilvl="3">
      <w:start w:val="1"/>
      <w:numFmt w:val="decimal"/>
      <w:pStyle w:val="Heading4"/>
      <w:lvlText w:val="%1.%2.%3.%4."/>
      <w:lvlJc w:val="left"/>
      <w:pPr>
        <w:tabs>
          <w:tab w:val="num" w:pos="3218"/>
        </w:tabs>
        <w:ind w:left="3218" w:hanging="1418"/>
      </w:pPr>
      <w:rPr>
        <w:b/>
        <w:i w:val="0"/>
        <w:spacing w:val="4"/>
        <w:position w:val="0"/>
        <w:sz w:val="20"/>
        <w:szCs w:val="20"/>
      </w:rPr>
    </w:lvl>
    <w:lvl w:ilvl="4">
      <w:start w:val="1"/>
      <w:numFmt w:val="decimal"/>
      <w:pStyle w:val="Heading5"/>
      <w:lvlText w:val="%1.%2.%3.%4.%5."/>
      <w:lvlJc w:val="left"/>
      <w:pPr>
        <w:tabs>
          <w:tab w:val="num" w:pos="3501"/>
        </w:tabs>
        <w:ind w:left="3501" w:hanging="1701"/>
      </w:pPr>
      <w:rPr>
        <w:b w:val="0"/>
        <w:i w:val="0"/>
        <w:sz w:val="20"/>
      </w:rPr>
    </w:lvl>
    <w:lvl w:ilvl="5">
      <w:start w:val="1"/>
      <w:numFmt w:val="decimal"/>
      <w:pStyle w:val="Heading6"/>
      <w:lvlText w:val="%6."/>
      <w:lvlJc w:val="left"/>
      <w:pPr>
        <w:tabs>
          <w:tab w:val="num" w:pos="2367"/>
        </w:tabs>
        <w:ind w:left="2367" w:hanging="567"/>
      </w:pPr>
      <w:rPr>
        <w:b w:val="0"/>
        <w:i w:val="0"/>
        <w:sz w:val="18"/>
      </w:rPr>
    </w:lvl>
    <w:lvl w:ilvl="6">
      <w:start w:val="1"/>
      <w:numFmt w:val="upperRoman"/>
      <w:pStyle w:val="Heading7"/>
      <w:lvlText w:val="%7."/>
      <w:lvlJc w:val="left"/>
      <w:pPr>
        <w:tabs>
          <w:tab w:val="num" w:pos="2367"/>
        </w:tabs>
        <w:ind w:left="2367" w:hanging="567"/>
      </w:pPr>
      <w:rPr>
        <w:rFonts w:ascii="Verdana" w:hAnsi="Verdana" w:hint="default"/>
        <w:b/>
        <w:i w:val="0"/>
        <w:sz w:val="20"/>
        <w:szCs w:val="20"/>
      </w:rPr>
    </w:lvl>
    <w:lvl w:ilvl="7">
      <w:start w:val="1"/>
      <w:numFmt w:val="upperLetter"/>
      <w:pStyle w:val="Heading8"/>
      <w:lvlText w:val="%8."/>
      <w:lvlJc w:val="left"/>
      <w:pPr>
        <w:tabs>
          <w:tab w:val="num" w:pos="2367"/>
        </w:tabs>
        <w:ind w:left="2367" w:hanging="567"/>
      </w:pPr>
    </w:lvl>
    <w:lvl w:ilvl="8">
      <w:start w:val="1"/>
      <w:numFmt w:val="decimal"/>
      <w:pStyle w:val="Heading9"/>
      <w:lvlText w:val="%9."/>
      <w:lvlJc w:val="left"/>
      <w:pPr>
        <w:tabs>
          <w:tab w:val="num" w:pos="2934"/>
        </w:tabs>
        <w:ind w:left="2934" w:hanging="567"/>
      </w:pPr>
    </w:lvl>
  </w:abstractNum>
  <w:abstractNum w:abstractNumId="30" w15:restartNumberingAfterBreak="0">
    <w:nsid w:val="5AAF31F6"/>
    <w:multiLevelType w:val="hybridMultilevel"/>
    <w:tmpl w:val="BE26454C"/>
    <w:lvl w:ilvl="0" w:tplc="D59C6AA0">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D80620"/>
    <w:multiLevelType w:val="hybridMultilevel"/>
    <w:tmpl w:val="639024CA"/>
    <w:lvl w:ilvl="0" w:tplc="04090005">
      <w:start w:val="1"/>
      <w:numFmt w:val="bullet"/>
      <w:lvlText w:val=""/>
      <w:lvlJc w:val="left"/>
      <w:pPr>
        <w:ind w:left="720" w:hanging="360"/>
      </w:pPr>
      <w:rPr>
        <w:rFonts w:ascii="Wingdings" w:hAnsi="Wingding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E61052B"/>
    <w:multiLevelType w:val="hybridMultilevel"/>
    <w:tmpl w:val="DFA8F57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24D6DA6"/>
    <w:multiLevelType w:val="multilevel"/>
    <w:tmpl w:val="77BAA574"/>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CC10863"/>
    <w:multiLevelType w:val="hybridMultilevel"/>
    <w:tmpl w:val="D6EA7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36A4B"/>
    <w:multiLevelType w:val="hybridMultilevel"/>
    <w:tmpl w:val="20026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C0283A"/>
    <w:multiLevelType w:val="hybridMultilevel"/>
    <w:tmpl w:val="0CB6FF3E"/>
    <w:lvl w:ilvl="0" w:tplc="91B8E276">
      <w:start w:val="1"/>
      <w:numFmt w:val="bullet"/>
      <w:lvlText w:val=""/>
      <w:lvlJc w:val="left"/>
      <w:pPr>
        <w:tabs>
          <w:tab w:val="num" w:pos="720"/>
        </w:tabs>
        <w:ind w:left="720" w:hanging="360"/>
      </w:pPr>
      <w:rPr>
        <w:rFonts w:ascii="Wingdings" w:hAnsi="Wingdings" w:hint="default"/>
      </w:rPr>
    </w:lvl>
    <w:lvl w:ilvl="1" w:tplc="5AB8B27A" w:tentative="1">
      <w:start w:val="1"/>
      <w:numFmt w:val="bullet"/>
      <w:lvlText w:val=""/>
      <w:lvlJc w:val="left"/>
      <w:pPr>
        <w:tabs>
          <w:tab w:val="num" w:pos="1440"/>
        </w:tabs>
        <w:ind w:left="1440" w:hanging="360"/>
      </w:pPr>
      <w:rPr>
        <w:rFonts w:ascii="Wingdings" w:hAnsi="Wingdings" w:hint="default"/>
      </w:rPr>
    </w:lvl>
    <w:lvl w:ilvl="2" w:tplc="809C76FE" w:tentative="1">
      <w:start w:val="1"/>
      <w:numFmt w:val="bullet"/>
      <w:lvlText w:val=""/>
      <w:lvlJc w:val="left"/>
      <w:pPr>
        <w:tabs>
          <w:tab w:val="num" w:pos="2160"/>
        </w:tabs>
        <w:ind w:left="2160" w:hanging="360"/>
      </w:pPr>
      <w:rPr>
        <w:rFonts w:ascii="Wingdings" w:hAnsi="Wingdings" w:hint="default"/>
      </w:rPr>
    </w:lvl>
    <w:lvl w:ilvl="3" w:tplc="7404509A" w:tentative="1">
      <w:start w:val="1"/>
      <w:numFmt w:val="bullet"/>
      <w:lvlText w:val=""/>
      <w:lvlJc w:val="left"/>
      <w:pPr>
        <w:tabs>
          <w:tab w:val="num" w:pos="2880"/>
        </w:tabs>
        <w:ind w:left="2880" w:hanging="360"/>
      </w:pPr>
      <w:rPr>
        <w:rFonts w:ascii="Wingdings" w:hAnsi="Wingdings" w:hint="default"/>
      </w:rPr>
    </w:lvl>
    <w:lvl w:ilvl="4" w:tplc="AE4E9830" w:tentative="1">
      <w:start w:val="1"/>
      <w:numFmt w:val="bullet"/>
      <w:lvlText w:val=""/>
      <w:lvlJc w:val="left"/>
      <w:pPr>
        <w:tabs>
          <w:tab w:val="num" w:pos="3600"/>
        </w:tabs>
        <w:ind w:left="3600" w:hanging="360"/>
      </w:pPr>
      <w:rPr>
        <w:rFonts w:ascii="Wingdings" w:hAnsi="Wingdings" w:hint="default"/>
      </w:rPr>
    </w:lvl>
    <w:lvl w:ilvl="5" w:tplc="F380084C" w:tentative="1">
      <w:start w:val="1"/>
      <w:numFmt w:val="bullet"/>
      <w:lvlText w:val=""/>
      <w:lvlJc w:val="left"/>
      <w:pPr>
        <w:tabs>
          <w:tab w:val="num" w:pos="4320"/>
        </w:tabs>
        <w:ind w:left="4320" w:hanging="360"/>
      </w:pPr>
      <w:rPr>
        <w:rFonts w:ascii="Wingdings" w:hAnsi="Wingdings" w:hint="default"/>
      </w:rPr>
    </w:lvl>
    <w:lvl w:ilvl="6" w:tplc="8BC0EA4C" w:tentative="1">
      <w:start w:val="1"/>
      <w:numFmt w:val="bullet"/>
      <w:lvlText w:val=""/>
      <w:lvlJc w:val="left"/>
      <w:pPr>
        <w:tabs>
          <w:tab w:val="num" w:pos="5040"/>
        </w:tabs>
        <w:ind w:left="5040" w:hanging="360"/>
      </w:pPr>
      <w:rPr>
        <w:rFonts w:ascii="Wingdings" w:hAnsi="Wingdings" w:hint="default"/>
      </w:rPr>
    </w:lvl>
    <w:lvl w:ilvl="7" w:tplc="1E447174" w:tentative="1">
      <w:start w:val="1"/>
      <w:numFmt w:val="bullet"/>
      <w:lvlText w:val=""/>
      <w:lvlJc w:val="left"/>
      <w:pPr>
        <w:tabs>
          <w:tab w:val="num" w:pos="5760"/>
        </w:tabs>
        <w:ind w:left="5760" w:hanging="360"/>
      </w:pPr>
      <w:rPr>
        <w:rFonts w:ascii="Wingdings" w:hAnsi="Wingdings" w:hint="default"/>
      </w:rPr>
    </w:lvl>
    <w:lvl w:ilvl="8" w:tplc="ECA8747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1E3EC9"/>
    <w:multiLevelType w:val="multilevel"/>
    <w:tmpl w:val="4112CE9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97D040B"/>
    <w:multiLevelType w:val="hybridMultilevel"/>
    <w:tmpl w:val="19B69AD6"/>
    <w:lvl w:ilvl="0" w:tplc="41F6DD5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D449AC"/>
    <w:multiLevelType w:val="hybridMultilevel"/>
    <w:tmpl w:val="037E6ACC"/>
    <w:lvl w:ilvl="0" w:tplc="B204EE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17"/>
  </w:num>
  <w:num w:numId="4">
    <w:abstractNumId w:val="34"/>
  </w:num>
  <w:num w:numId="5">
    <w:abstractNumId w:val="35"/>
  </w:num>
  <w:num w:numId="6">
    <w:abstractNumId w:val="9"/>
  </w:num>
  <w:num w:numId="7">
    <w:abstractNumId w:val="2"/>
  </w:num>
  <w:num w:numId="8">
    <w:abstractNumId w:val="5"/>
  </w:num>
  <w:num w:numId="9">
    <w:abstractNumId w:val="16"/>
  </w:num>
  <w:num w:numId="10">
    <w:abstractNumId w:val="19"/>
  </w:num>
  <w:num w:numId="11">
    <w:abstractNumId w:val="30"/>
  </w:num>
  <w:num w:numId="12">
    <w:abstractNumId w:val="0"/>
  </w:num>
  <w:num w:numId="13">
    <w:abstractNumId w:val="25"/>
  </w:num>
  <w:num w:numId="14">
    <w:abstractNumId w:val="11"/>
  </w:num>
  <w:num w:numId="15">
    <w:abstractNumId w:val="3"/>
  </w:num>
  <w:num w:numId="16">
    <w:abstractNumId w:val="26"/>
  </w:num>
  <w:num w:numId="17">
    <w:abstractNumId w:val="7"/>
  </w:num>
  <w:num w:numId="18">
    <w:abstractNumId w:val="12"/>
  </w:num>
  <w:num w:numId="19">
    <w:abstractNumId w:val="24"/>
  </w:num>
  <w:num w:numId="20">
    <w:abstractNumId w:val="15"/>
  </w:num>
  <w:num w:numId="21">
    <w:abstractNumId w:val="14"/>
  </w:num>
  <w:num w:numId="22">
    <w:abstractNumId w:val="23"/>
  </w:num>
  <w:num w:numId="23">
    <w:abstractNumId w:val="13"/>
  </w:num>
  <w:num w:numId="24">
    <w:abstractNumId w:val="1"/>
  </w:num>
  <w:num w:numId="25">
    <w:abstractNumId w:val="38"/>
  </w:num>
  <w:num w:numId="26">
    <w:abstractNumId w:val="28"/>
  </w:num>
  <w:num w:numId="27">
    <w:abstractNumId w:val="32"/>
  </w:num>
  <w:num w:numId="28">
    <w:abstractNumId w:val="10"/>
  </w:num>
  <w:num w:numId="29">
    <w:abstractNumId w:val="4"/>
  </w:num>
  <w:num w:numId="30">
    <w:abstractNumId w:val="6"/>
  </w:num>
  <w:num w:numId="31">
    <w:abstractNumId w:val="18"/>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27"/>
  </w:num>
  <w:num w:numId="36">
    <w:abstractNumId w:val="20"/>
  </w:num>
  <w:num w:numId="37">
    <w:abstractNumId w:val="8"/>
  </w:num>
  <w:num w:numId="38">
    <w:abstractNumId w:val="36"/>
  </w:num>
  <w:num w:numId="39">
    <w:abstractNumId w:val="22"/>
  </w:num>
  <w:num w:numId="40">
    <w:abstractNumId w:val="33"/>
  </w:num>
  <w:num w:numId="41">
    <w:abstractNumId w:val="31"/>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num>
  <w:num w:numId="45">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C71"/>
    <w:rsid w:val="00000ACE"/>
    <w:rsid w:val="00000C82"/>
    <w:rsid w:val="0000116C"/>
    <w:rsid w:val="0000133B"/>
    <w:rsid w:val="00002FEA"/>
    <w:rsid w:val="00003357"/>
    <w:rsid w:val="000035F8"/>
    <w:rsid w:val="00005140"/>
    <w:rsid w:val="00005E05"/>
    <w:rsid w:val="00006735"/>
    <w:rsid w:val="00006863"/>
    <w:rsid w:val="00006E19"/>
    <w:rsid w:val="00010301"/>
    <w:rsid w:val="00010AD4"/>
    <w:rsid w:val="00010EE3"/>
    <w:rsid w:val="00012B63"/>
    <w:rsid w:val="00013240"/>
    <w:rsid w:val="00013372"/>
    <w:rsid w:val="00013CA5"/>
    <w:rsid w:val="00013E98"/>
    <w:rsid w:val="000141C7"/>
    <w:rsid w:val="000147F2"/>
    <w:rsid w:val="00014B87"/>
    <w:rsid w:val="0001509B"/>
    <w:rsid w:val="0001514E"/>
    <w:rsid w:val="000152B2"/>
    <w:rsid w:val="00016548"/>
    <w:rsid w:val="00016BA5"/>
    <w:rsid w:val="00021A0B"/>
    <w:rsid w:val="00022326"/>
    <w:rsid w:val="00022328"/>
    <w:rsid w:val="00022DF4"/>
    <w:rsid w:val="00023A9B"/>
    <w:rsid w:val="00025254"/>
    <w:rsid w:val="0002564B"/>
    <w:rsid w:val="00025BB7"/>
    <w:rsid w:val="00025F28"/>
    <w:rsid w:val="00030148"/>
    <w:rsid w:val="0003042E"/>
    <w:rsid w:val="000307F4"/>
    <w:rsid w:val="0003171E"/>
    <w:rsid w:val="00031FB3"/>
    <w:rsid w:val="000329F6"/>
    <w:rsid w:val="00032AF4"/>
    <w:rsid w:val="000337C2"/>
    <w:rsid w:val="000355D3"/>
    <w:rsid w:val="00036EB7"/>
    <w:rsid w:val="00037236"/>
    <w:rsid w:val="0003754A"/>
    <w:rsid w:val="000375FC"/>
    <w:rsid w:val="00037A7A"/>
    <w:rsid w:val="00037B18"/>
    <w:rsid w:val="0004120E"/>
    <w:rsid w:val="00041481"/>
    <w:rsid w:val="00041AC3"/>
    <w:rsid w:val="00041B56"/>
    <w:rsid w:val="00041FDD"/>
    <w:rsid w:val="000422BD"/>
    <w:rsid w:val="00042A50"/>
    <w:rsid w:val="00042B56"/>
    <w:rsid w:val="00042F13"/>
    <w:rsid w:val="00043070"/>
    <w:rsid w:val="00044463"/>
    <w:rsid w:val="00044D11"/>
    <w:rsid w:val="0004553A"/>
    <w:rsid w:val="00045646"/>
    <w:rsid w:val="00047FEA"/>
    <w:rsid w:val="00050847"/>
    <w:rsid w:val="00050B45"/>
    <w:rsid w:val="00050FA1"/>
    <w:rsid w:val="000513A9"/>
    <w:rsid w:val="0005203A"/>
    <w:rsid w:val="00053089"/>
    <w:rsid w:val="000530A0"/>
    <w:rsid w:val="000545D0"/>
    <w:rsid w:val="00055360"/>
    <w:rsid w:val="000555E4"/>
    <w:rsid w:val="00055E1B"/>
    <w:rsid w:val="000562A1"/>
    <w:rsid w:val="0005652E"/>
    <w:rsid w:val="00056AB1"/>
    <w:rsid w:val="00056C63"/>
    <w:rsid w:val="00057256"/>
    <w:rsid w:val="0005731C"/>
    <w:rsid w:val="000611AC"/>
    <w:rsid w:val="0006120F"/>
    <w:rsid w:val="00061E0A"/>
    <w:rsid w:val="00062150"/>
    <w:rsid w:val="00062230"/>
    <w:rsid w:val="00064601"/>
    <w:rsid w:val="00065CA4"/>
    <w:rsid w:val="00065CAB"/>
    <w:rsid w:val="00065EAC"/>
    <w:rsid w:val="0006651B"/>
    <w:rsid w:val="00066810"/>
    <w:rsid w:val="00066F62"/>
    <w:rsid w:val="0006756A"/>
    <w:rsid w:val="000717C7"/>
    <w:rsid w:val="000729D1"/>
    <w:rsid w:val="00072A13"/>
    <w:rsid w:val="000733D7"/>
    <w:rsid w:val="00073677"/>
    <w:rsid w:val="00073E40"/>
    <w:rsid w:val="0007417B"/>
    <w:rsid w:val="000747A0"/>
    <w:rsid w:val="00074FC8"/>
    <w:rsid w:val="000750F3"/>
    <w:rsid w:val="00075624"/>
    <w:rsid w:val="0007585E"/>
    <w:rsid w:val="00076C47"/>
    <w:rsid w:val="0008085B"/>
    <w:rsid w:val="00080DCD"/>
    <w:rsid w:val="000821B9"/>
    <w:rsid w:val="000822D0"/>
    <w:rsid w:val="0008335D"/>
    <w:rsid w:val="0008462C"/>
    <w:rsid w:val="00084B81"/>
    <w:rsid w:val="00085366"/>
    <w:rsid w:val="00085D2D"/>
    <w:rsid w:val="000865E7"/>
    <w:rsid w:val="000865F7"/>
    <w:rsid w:val="00087892"/>
    <w:rsid w:val="000903CE"/>
    <w:rsid w:val="00090D14"/>
    <w:rsid w:val="00092088"/>
    <w:rsid w:val="00092B31"/>
    <w:rsid w:val="00092E06"/>
    <w:rsid w:val="000930CE"/>
    <w:rsid w:val="00093CAB"/>
    <w:rsid w:val="0009491D"/>
    <w:rsid w:val="00094FC9"/>
    <w:rsid w:val="00095C58"/>
    <w:rsid w:val="00096655"/>
    <w:rsid w:val="00097746"/>
    <w:rsid w:val="000977BE"/>
    <w:rsid w:val="00097F13"/>
    <w:rsid w:val="000A00A3"/>
    <w:rsid w:val="000A06EE"/>
    <w:rsid w:val="000A0A6E"/>
    <w:rsid w:val="000A3B6E"/>
    <w:rsid w:val="000A4588"/>
    <w:rsid w:val="000A4FB0"/>
    <w:rsid w:val="000A51A0"/>
    <w:rsid w:val="000A584D"/>
    <w:rsid w:val="000A6177"/>
    <w:rsid w:val="000B0D14"/>
    <w:rsid w:val="000B237A"/>
    <w:rsid w:val="000B3610"/>
    <w:rsid w:val="000B36C3"/>
    <w:rsid w:val="000B3D2A"/>
    <w:rsid w:val="000B517E"/>
    <w:rsid w:val="000B53E4"/>
    <w:rsid w:val="000B5432"/>
    <w:rsid w:val="000B5D98"/>
    <w:rsid w:val="000B624C"/>
    <w:rsid w:val="000B6378"/>
    <w:rsid w:val="000B69AB"/>
    <w:rsid w:val="000B76E8"/>
    <w:rsid w:val="000C0173"/>
    <w:rsid w:val="000C0345"/>
    <w:rsid w:val="000C0D2C"/>
    <w:rsid w:val="000C1209"/>
    <w:rsid w:val="000C2184"/>
    <w:rsid w:val="000C2918"/>
    <w:rsid w:val="000C291B"/>
    <w:rsid w:val="000C31CB"/>
    <w:rsid w:val="000C3C57"/>
    <w:rsid w:val="000C3D00"/>
    <w:rsid w:val="000C3ED7"/>
    <w:rsid w:val="000C4336"/>
    <w:rsid w:val="000C48BE"/>
    <w:rsid w:val="000C4C2B"/>
    <w:rsid w:val="000C5B44"/>
    <w:rsid w:val="000C5C82"/>
    <w:rsid w:val="000C5E71"/>
    <w:rsid w:val="000C677E"/>
    <w:rsid w:val="000C6B6D"/>
    <w:rsid w:val="000D1761"/>
    <w:rsid w:val="000D1AAE"/>
    <w:rsid w:val="000D1CE9"/>
    <w:rsid w:val="000D1FA6"/>
    <w:rsid w:val="000D238A"/>
    <w:rsid w:val="000D3168"/>
    <w:rsid w:val="000D3272"/>
    <w:rsid w:val="000D3413"/>
    <w:rsid w:val="000D38CB"/>
    <w:rsid w:val="000D3EF0"/>
    <w:rsid w:val="000D3FF0"/>
    <w:rsid w:val="000D5C22"/>
    <w:rsid w:val="000D616D"/>
    <w:rsid w:val="000D62BC"/>
    <w:rsid w:val="000D71F7"/>
    <w:rsid w:val="000D7A7A"/>
    <w:rsid w:val="000D7D9E"/>
    <w:rsid w:val="000D7FB4"/>
    <w:rsid w:val="000D7FC2"/>
    <w:rsid w:val="000E07BE"/>
    <w:rsid w:val="000E0A97"/>
    <w:rsid w:val="000E1A13"/>
    <w:rsid w:val="000E3B6B"/>
    <w:rsid w:val="000E3F7A"/>
    <w:rsid w:val="000E4405"/>
    <w:rsid w:val="000E55C5"/>
    <w:rsid w:val="000E5C0E"/>
    <w:rsid w:val="000E694B"/>
    <w:rsid w:val="000E69B4"/>
    <w:rsid w:val="000E6E94"/>
    <w:rsid w:val="000E6F4C"/>
    <w:rsid w:val="000F1DA1"/>
    <w:rsid w:val="000F3783"/>
    <w:rsid w:val="000F3BC5"/>
    <w:rsid w:val="000F3F46"/>
    <w:rsid w:val="000F46FC"/>
    <w:rsid w:val="000F4AC6"/>
    <w:rsid w:val="000F6EA1"/>
    <w:rsid w:val="000F73D1"/>
    <w:rsid w:val="000F7564"/>
    <w:rsid w:val="000F7ECD"/>
    <w:rsid w:val="0010003D"/>
    <w:rsid w:val="00100CF7"/>
    <w:rsid w:val="00103430"/>
    <w:rsid w:val="00103EDB"/>
    <w:rsid w:val="0010494E"/>
    <w:rsid w:val="00105251"/>
    <w:rsid w:val="00105D66"/>
    <w:rsid w:val="0010751B"/>
    <w:rsid w:val="001106AE"/>
    <w:rsid w:val="00110FBB"/>
    <w:rsid w:val="0011140A"/>
    <w:rsid w:val="00111638"/>
    <w:rsid w:val="00111F93"/>
    <w:rsid w:val="00112924"/>
    <w:rsid w:val="00112EB4"/>
    <w:rsid w:val="00113F93"/>
    <w:rsid w:val="0011409B"/>
    <w:rsid w:val="00114111"/>
    <w:rsid w:val="00116130"/>
    <w:rsid w:val="00116150"/>
    <w:rsid w:val="001170D1"/>
    <w:rsid w:val="00117AA2"/>
    <w:rsid w:val="00121F9A"/>
    <w:rsid w:val="00122A52"/>
    <w:rsid w:val="00124234"/>
    <w:rsid w:val="001244C0"/>
    <w:rsid w:val="00124574"/>
    <w:rsid w:val="001249FB"/>
    <w:rsid w:val="00125262"/>
    <w:rsid w:val="00125983"/>
    <w:rsid w:val="00126B30"/>
    <w:rsid w:val="00127442"/>
    <w:rsid w:val="00130151"/>
    <w:rsid w:val="001303AB"/>
    <w:rsid w:val="00130FAD"/>
    <w:rsid w:val="0013116F"/>
    <w:rsid w:val="00132B20"/>
    <w:rsid w:val="00132D43"/>
    <w:rsid w:val="00133A63"/>
    <w:rsid w:val="001345A3"/>
    <w:rsid w:val="00134A80"/>
    <w:rsid w:val="00135359"/>
    <w:rsid w:val="0013684A"/>
    <w:rsid w:val="00136E30"/>
    <w:rsid w:val="00136E32"/>
    <w:rsid w:val="001379E0"/>
    <w:rsid w:val="00141CCF"/>
    <w:rsid w:val="00141F21"/>
    <w:rsid w:val="001422B6"/>
    <w:rsid w:val="00142FAD"/>
    <w:rsid w:val="00143851"/>
    <w:rsid w:val="00144366"/>
    <w:rsid w:val="00144BAE"/>
    <w:rsid w:val="00144E0D"/>
    <w:rsid w:val="00145C51"/>
    <w:rsid w:val="00146180"/>
    <w:rsid w:val="00146A95"/>
    <w:rsid w:val="00146B02"/>
    <w:rsid w:val="00146CA0"/>
    <w:rsid w:val="001502D3"/>
    <w:rsid w:val="00150C37"/>
    <w:rsid w:val="00151B2E"/>
    <w:rsid w:val="00151DF6"/>
    <w:rsid w:val="0015238C"/>
    <w:rsid w:val="00153339"/>
    <w:rsid w:val="001546C7"/>
    <w:rsid w:val="00154918"/>
    <w:rsid w:val="00154A10"/>
    <w:rsid w:val="00155238"/>
    <w:rsid w:val="001554B8"/>
    <w:rsid w:val="00155E68"/>
    <w:rsid w:val="00156F9C"/>
    <w:rsid w:val="00157435"/>
    <w:rsid w:val="00160077"/>
    <w:rsid w:val="0016061E"/>
    <w:rsid w:val="001607BF"/>
    <w:rsid w:val="00160CAB"/>
    <w:rsid w:val="00161E25"/>
    <w:rsid w:val="001637EC"/>
    <w:rsid w:val="00164D27"/>
    <w:rsid w:val="00165CA8"/>
    <w:rsid w:val="00166D26"/>
    <w:rsid w:val="0016724A"/>
    <w:rsid w:val="00167539"/>
    <w:rsid w:val="00170055"/>
    <w:rsid w:val="0017106C"/>
    <w:rsid w:val="001712FB"/>
    <w:rsid w:val="001714AF"/>
    <w:rsid w:val="00171528"/>
    <w:rsid w:val="00171766"/>
    <w:rsid w:val="00171F82"/>
    <w:rsid w:val="0017228B"/>
    <w:rsid w:val="00172DA3"/>
    <w:rsid w:val="00174F4C"/>
    <w:rsid w:val="001752FB"/>
    <w:rsid w:val="00175588"/>
    <w:rsid w:val="001756D0"/>
    <w:rsid w:val="00176195"/>
    <w:rsid w:val="00176B0B"/>
    <w:rsid w:val="001801D2"/>
    <w:rsid w:val="00180A0E"/>
    <w:rsid w:val="00181075"/>
    <w:rsid w:val="0018154E"/>
    <w:rsid w:val="0018173D"/>
    <w:rsid w:val="00182DB9"/>
    <w:rsid w:val="001835CF"/>
    <w:rsid w:val="00183785"/>
    <w:rsid w:val="00183B4A"/>
    <w:rsid w:val="00183B66"/>
    <w:rsid w:val="00184624"/>
    <w:rsid w:val="00186692"/>
    <w:rsid w:val="001873DF"/>
    <w:rsid w:val="00187AA9"/>
    <w:rsid w:val="00187AC2"/>
    <w:rsid w:val="00190473"/>
    <w:rsid w:val="0019126E"/>
    <w:rsid w:val="00191D55"/>
    <w:rsid w:val="00191EE2"/>
    <w:rsid w:val="00192CD5"/>
    <w:rsid w:val="001941C1"/>
    <w:rsid w:val="00194402"/>
    <w:rsid w:val="0019453D"/>
    <w:rsid w:val="0019461B"/>
    <w:rsid w:val="00194D73"/>
    <w:rsid w:val="001953AE"/>
    <w:rsid w:val="00195F02"/>
    <w:rsid w:val="0019634D"/>
    <w:rsid w:val="001972EC"/>
    <w:rsid w:val="0019742A"/>
    <w:rsid w:val="001A0592"/>
    <w:rsid w:val="001A0F36"/>
    <w:rsid w:val="001A2259"/>
    <w:rsid w:val="001A2344"/>
    <w:rsid w:val="001A36A8"/>
    <w:rsid w:val="001A389A"/>
    <w:rsid w:val="001A3EFF"/>
    <w:rsid w:val="001A42A7"/>
    <w:rsid w:val="001A4FC0"/>
    <w:rsid w:val="001A560E"/>
    <w:rsid w:val="001A5840"/>
    <w:rsid w:val="001A6104"/>
    <w:rsid w:val="001A63E1"/>
    <w:rsid w:val="001A69D8"/>
    <w:rsid w:val="001A7737"/>
    <w:rsid w:val="001A77BA"/>
    <w:rsid w:val="001A7A67"/>
    <w:rsid w:val="001B0064"/>
    <w:rsid w:val="001B0805"/>
    <w:rsid w:val="001B0C50"/>
    <w:rsid w:val="001B1DED"/>
    <w:rsid w:val="001B2EAC"/>
    <w:rsid w:val="001B3095"/>
    <w:rsid w:val="001B30E1"/>
    <w:rsid w:val="001B3316"/>
    <w:rsid w:val="001B4EBF"/>
    <w:rsid w:val="001B5228"/>
    <w:rsid w:val="001B5B40"/>
    <w:rsid w:val="001B6EAA"/>
    <w:rsid w:val="001B759F"/>
    <w:rsid w:val="001B7C12"/>
    <w:rsid w:val="001B7C72"/>
    <w:rsid w:val="001C0680"/>
    <w:rsid w:val="001C0A31"/>
    <w:rsid w:val="001C0A6A"/>
    <w:rsid w:val="001C0EDE"/>
    <w:rsid w:val="001C13AE"/>
    <w:rsid w:val="001C1C31"/>
    <w:rsid w:val="001C2940"/>
    <w:rsid w:val="001C39CA"/>
    <w:rsid w:val="001C480F"/>
    <w:rsid w:val="001C518D"/>
    <w:rsid w:val="001C5570"/>
    <w:rsid w:val="001C568D"/>
    <w:rsid w:val="001C5E75"/>
    <w:rsid w:val="001C5F83"/>
    <w:rsid w:val="001C62C9"/>
    <w:rsid w:val="001C6CD6"/>
    <w:rsid w:val="001C716D"/>
    <w:rsid w:val="001D1F37"/>
    <w:rsid w:val="001D2133"/>
    <w:rsid w:val="001D3716"/>
    <w:rsid w:val="001D39B1"/>
    <w:rsid w:val="001D402B"/>
    <w:rsid w:val="001D4217"/>
    <w:rsid w:val="001D58F1"/>
    <w:rsid w:val="001D5DD4"/>
    <w:rsid w:val="001D6CB8"/>
    <w:rsid w:val="001D76FA"/>
    <w:rsid w:val="001D7B48"/>
    <w:rsid w:val="001D7B74"/>
    <w:rsid w:val="001E05E7"/>
    <w:rsid w:val="001E18A1"/>
    <w:rsid w:val="001E2C03"/>
    <w:rsid w:val="001E38B9"/>
    <w:rsid w:val="001E3B69"/>
    <w:rsid w:val="001E4268"/>
    <w:rsid w:val="001E44B1"/>
    <w:rsid w:val="001E49AB"/>
    <w:rsid w:val="001E50E4"/>
    <w:rsid w:val="001E5415"/>
    <w:rsid w:val="001E5718"/>
    <w:rsid w:val="001E5C20"/>
    <w:rsid w:val="001E5C3D"/>
    <w:rsid w:val="001E5E90"/>
    <w:rsid w:val="001E6836"/>
    <w:rsid w:val="001E7072"/>
    <w:rsid w:val="001E7408"/>
    <w:rsid w:val="001E7443"/>
    <w:rsid w:val="001E7AB9"/>
    <w:rsid w:val="001E7AED"/>
    <w:rsid w:val="001E7BD6"/>
    <w:rsid w:val="001F0DE6"/>
    <w:rsid w:val="001F2038"/>
    <w:rsid w:val="001F26E4"/>
    <w:rsid w:val="001F2878"/>
    <w:rsid w:val="001F2DF8"/>
    <w:rsid w:val="001F4823"/>
    <w:rsid w:val="001F5B2A"/>
    <w:rsid w:val="001F7ACE"/>
    <w:rsid w:val="00200164"/>
    <w:rsid w:val="00201385"/>
    <w:rsid w:val="00201500"/>
    <w:rsid w:val="00201CB9"/>
    <w:rsid w:val="00202F00"/>
    <w:rsid w:val="00203BD3"/>
    <w:rsid w:val="00204030"/>
    <w:rsid w:val="00204360"/>
    <w:rsid w:val="00205340"/>
    <w:rsid w:val="00205851"/>
    <w:rsid w:val="00205F47"/>
    <w:rsid w:val="00206BE5"/>
    <w:rsid w:val="00206BF9"/>
    <w:rsid w:val="0020712E"/>
    <w:rsid w:val="002100B0"/>
    <w:rsid w:val="00210E2F"/>
    <w:rsid w:val="00211134"/>
    <w:rsid w:val="002113F2"/>
    <w:rsid w:val="00212099"/>
    <w:rsid w:val="002133E1"/>
    <w:rsid w:val="00213A18"/>
    <w:rsid w:val="00213BCA"/>
    <w:rsid w:val="00213D76"/>
    <w:rsid w:val="00214834"/>
    <w:rsid w:val="00216382"/>
    <w:rsid w:val="002170D8"/>
    <w:rsid w:val="00217B16"/>
    <w:rsid w:val="00217C2E"/>
    <w:rsid w:val="00217DD9"/>
    <w:rsid w:val="00217FF9"/>
    <w:rsid w:val="00221157"/>
    <w:rsid w:val="00221279"/>
    <w:rsid w:val="00221DF0"/>
    <w:rsid w:val="002236C7"/>
    <w:rsid w:val="002237D7"/>
    <w:rsid w:val="002248E7"/>
    <w:rsid w:val="00225EBF"/>
    <w:rsid w:val="002263AC"/>
    <w:rsid w:val="00226C15"/>
    <w:rsid w:val="0022767A"/>
    <w:rsid w:val="00227C03"/>
    <w:rsid w:val="00227D17"/>
    <w:rsid w:val="0023041D"/>
    <w:rsid w:val="00230587"/>
    <w:rsid w:val="0023109D"/>
    <w:rsid w:val="002314B8"/>
    <w:rsid w:val="00231735"/>
    <w:rsid w:val="0023184C"/>
    <w:rsid w:val="00231BD4"/>
    <w:rsid w:val="002321CE"/>
    <w:rsid w:val="00232464"/>
    <w:rsid w:val="00232885"/>
    <w:rsid w:val="00232FB5"/>
    <w:rsid w:val="00234247"/>
    <w:rsid w:val="002342F7"/>
    <w:rsid w:val="002352C5"/>
    <w:rsid w:val="00235655"/>
    <w:rsid w:val="00235EB7"/>
    <w:rsid w:val="00235ED1"/>
    <w:rsid w:val="00240BE6"/>
    <w:rsid w:val="00241626"/>
    <w:rsid w:val="00241654"/>
    <w:rsid w:val="00241B14"/>
    <w:rsid w:val="002424A7"/>
    <w:rsid w:val="002424C9"/>
    <w:rsid w:val="00242D87"/>
    <w:rsid w:val="00243C3C"/>
    <w:rsid w:val="00243E61"/>
    <w:rsid w:val="0024460C"/>
    <w:rsid w:val="0024489C"/>
    <w:rsid w:val="0024499C"/>
    <w:rsid w:val="0024518D"/>
    <w:rsid w:val="0024727F"/>
    <w:rsid w:val="00247669"/>
    <w:rsid w:val="00247D9C"/>
    <w:rsid w:val="00250746"/>
    <w:rsid w:val="00250FC4"/>
    <w:rsid w:val="002516A6"/>
    <w:rsid w:val="00251DEC"/>
    <w:rsid w:val="002537B7"/>
    <w:rsid w:val="00253BE2"/>
    <w:rsid w:val="00254441"/>
    <w:rsid w:val="00255818"/>
    <w:rsid w:val="00255870"/>
    <w:rsid w:val="00255BD9"/>
    <w:rsid w:val="00255F3A"/>
    <w:rsid w:val="00256F21"/>
    <w:rsid w:val="002577C3"/>
    <w:rsid w:val="00257D1F"/>
    <w:rsid w:val="00261889"/>
    <w:rsid w:val="00263290"/>
    <w:rsid w:val="002645DC"/>
    <w:rsid w:val="00264A70"/>
    <w:rsid w:val="00266D8D"/>
    <w:rsid w:val="00267408"/>
    <w:rsid w:val="00267FFD"/>
    <w:rsid w:val="00270012"/>
    <w:rsid w:val="002703BE"/>
    <w:rsid w:val="00270560"/>
    <w:rsid w:val="00270967"/>
    <w:rsid w:val="00270CE6"/>
    <w:rsid w:val="002713EC"/>
    <w:rsid w:val="00271AC1"/>
    <w:rsid w:val="00271EA0"/>
    <w:rsid w:val="00272545"/>
    <w:rsid w:val="00274254"/>
    <w:rsid w:val="00274344"/>
    <w:rsid w:val="0027475E"/>
    <w:rsid w:val="00275E7A"/>
    <w:rsid w:val="002764C4"/>
    <w:rsid w:val="00277A2C"/>
    <w:rsid w:val="00280197"/>
    <w:rsid w:val="00280807"/>
    <w:rsid w:val="0028176A"/>
    <w:rsid w:val="00281EF6"/>
    <w:rsid w:val="0028201F"/>
    <w:rsid w:val="00283231"/>
    <w:rsid w:val="002843A2"/>
    <w:rsid w:val="002844B9"/>
    <w:rsid w:val="002844CB"/>
    <w:rsid w:val="00285765"/>
    <w:rsid w:val="00285E0C"/>
    <w:rsid w:val="0028689A"/>
    <w:rsid w:val="00286F79"/>
    <w:rsid w:val="002909B2"/>
    <w:rsid w:val="00291B69"/>
    <w:rsid w:val="00291C6F"/>
    <w:rsid w:val="00292316"/>
    <w:rsid w:val="00293609"/>
    <w:rsid w:val="00293A4D"/>
    <w:rsid w:val="00294199"/>
    <w:rsid w:val="0029439A"/>
    <w:rsid w:val="0029465C"/>
    <w:rsid w:val="00295BBF"/>
    <w:rsid w:val="00295FC5"/>
    <w:rsid w:val="00296BBB"/>
    <w:rsid w:val="002975A9"/>
    <w:rsid w:val="00297670"/>
    <w:rsid w:val="002A05FA"/>
    <w:rsid w:val="002A0874"/>
    <w:rsid w:val="002A1723"/>
    <w:rsid w:val="002A1F9E"/>
    <w:rsid w:val="002A2479"/>
    <w:rsid w:val="002A2590"/>
    <w:rsid w:val="002A3247"/>
    <w:rsid w:val="002A3450"/>
    <w:rsid w:val="002A3790"/>
    <w:rsid w:val="002A381C"/>
    <w:rsid w:val="002A5E6F"/>
    <w:rsid w:val="002A5F7D"/>
    <w:rsid w:val="002A65C4"/>
    <w:rsid w:val="002A6CFA"/>
    <w:rsid w:val="002A71F4"/>
    <w:rsid w:val="002A7E65"/>
    <w:rsid w:val="002A7F36"/>
    <w:rsid w:val="002B1FE5"/>
    <w:rsid w:val="002B2033"/>
    <w:rsid w:val="002B2077"/>
    <w:rsid w:val="002B234B"/>
    <w:rsid w:val="002B29C3"/>
    <w:rsid w:val="002B2DA0"/>
    <w:rsid w:val="002B35B2"/>
    <w:rsid w:val="002B35CC"/>
    <w:rsid w:val="002B3794"/>
    <w:rsid w:val="002B394E"/>
    <w:rsid w:val="002B52F7"/>
    <w:rsid w:val="002B624E"/>
    <w:rsid w:val="002B65EB"/>
    <w:rsid w:val="002B7859"/>
    <w:rsid w:val="002B7BEA"/>
    <w:rsid w:val="002B7F04"/>
    <w:rsid w:val="002C00F5"/>
    <w:rsid w:val="002C0451"/>
    <w:rsid w:val="002C1275"/>
    <w:rsid w:val="002C1459"/>
    <w:rsid w:val="002C1AD1"/>
    <w:rsid w:val="002C31B0"/>
    <w:rsid w:val="002C3762"/>
    <w:rsid w:val="002C422B"/>
    <w:rsid w:val="002C4D4E"/>
    <w:rsid w:val="002C576C"/>
    <w:rsid w:val="002C5E88"/>
    <w:rsid w:val="002C66B5"/>
    <w:rsid w:val="002C6E2B"/>
    <w:rsid w:val="002D0F1C"/>
    <w:rsid w:val="002D2856"/>
    <w:rsid w:val="002D28D2"/>
    <w:rsid w:val="002D2D8B"/>
    <w:rsid w:val="002D2E35"/>
    <w:rsid w:val="002D30DD"/>
    <w:rsid w:val="002D39A3"/>
    <w:rsid w:val="002D426B"/>
    <w:rsid w:val="002D4386"/>
    <w:rsid w:val="002D71D5"/>
    <w:rsid w:val="002D755E"/>
    <w:rsid w:val="002D7565"/>
    <w:rsid w:val="002E0405"/>
    <w:rsid w:val="002E0482"/>
    <w:rsid w:val="002E0C16"/>
    <w:rsid w:val="002E1A03"/>
    <w:rsid w:val="002E23F8"/>
    <w:rsid w:val="002E3CE4"/>
    <w:rsid w:val="002E436E"/>
    <w:rsid w:val="002E4A5F"/>
    <w:rsid w:val="002E4F47"/>
    <w:rsid w:val="002E5B9E"/>
    <w:rsid w:val="002E68FA"/>
    <w:rsid w:val="002F0EA3"/>
    <w:rsid w:val="002F288F"/>
    <w:rsid w:val="002F2D8E"/>
    <w:rsid w:val="002F4277"/>
    <w:rsid w:val="002F4380"/>
    <w:rsid w:val="002F4CB1"/>
    <w:rsid w:val="002F51EA"/>
    <w:rsid w:val="002F5749"/>
    <w:rsid w:val="002F580D"/>
    <w:rsid w:val="002F6820"/>
    <w:rsid w:val="002F72EB"/>
    <w:rsid w:val="002F76C7"/>
    <w:rsid w:val="002F7BB0"/>
    <w:rsid w:val="003009A2"/>
    <w:rsid w:val="00301682"/>
    <w:rsid w:val="003016D2"/>
    <w:rsid w:val="00301778"/>
    <w:rsid w:val="003023AE"/>
    <w:rsid w:val="0030242B"/>
    <w:rsid w:val="00302AD7"/>
    <w:rsid w:val="00302C51"/>
    <w:rsid w:val="00302EFD"/>
    <w:rsid w:val="00303042"/>
    <w:rsid w:val="003031B1"/>
    <w:rsid w:val="00304668"/>
    <w:rsid w:val="00304C1C"/>
    <w:rsid w:val="00304C29"/>
    <w:rsid w:val="00304CEC"/>
    <w:rsid w:val="00305046"/>
    <w:rsid w:val="00305351"/>
    <w:rsid w:val="0030545D"/>
    <w:rsid w:val="00305D55"/>
    <w:rsid w:val="00306F45"/>
    <w:rsid w:val="0030752E"/>
    <w:rsid w:val="003116CB"/>
    <w:rsid w:val="00311968"/>
    <w:rsid w:val="00311BC8"/>
    <w:rsid w:val="00311E57"/>
    <w:rsid w:val="0031243D"/>
    <w:rsid w:val="003131BB"/>
    <w:rsid w:val="00315154"/>
    <w:rsid w:val="0031571A"/>
    <w:rsid w:val="0031584B"/>
    <w:rsid w:val="00315BED"/>
    <w:rsid w:val="00316706"/>
    <w:rsid w:val="003169A3"/>
    <w:rsid w:val="0031789E"/>
    <w:rsid w:val="00317BC5"/>
    <w:rsid w:val="0032069A"/>
    <w:rsid w:val="00320E43"/>
    <w:rsid w:val="00320F23"/>
    <w:rsid w:val="003211F4"/>
    <w:rsid w:val="0032120C"/>
    <w:rsid w:val="003220AA"/>
    <w:rsid w:val="003235D5"/>
    <w:rsid w:val="0032427B"/>
    <w:rsid w:val="00324495"/>
    <w:rsid w:val="0032524C"/>
    <w:rsid w:val="00325625"/>
    <w:rsid w:val="00325DA6"/>
    <w:rsid w:val="003260EB"/>
    <w:rsid w:val="003264F4"/>
    <w:rsid w:val="003269E1"/>
    <w:rsid w:val="00327365"/>
    <w:rsid w:val="0032778E"/>
    <w:rsid w:val="00327A61"/>
    <w:rsid w:val="00327ACB"/>
    <w:rsid w:val="0033010E"/>
    <w:rsid w:val="00330991"/>
    <w:rsid w:val="00331883"/>
    <w:rsid w:val="0033210B"/>
    <w:rsid w:val="00333734"/>
    <w:rsid w:val="00333C95"/>
    <w:rsid w:val="003344C7"/>
    <w:rsid w:val="003344D3"/>
    <w:rsid w:val="00335E58"/>
    <w:rsid w:val="0033631C"/>
    <w:rsid w:val="003375A8"/>
    <w:rsid w:val="003376C1"/>
    <w:rsid w:val="00340ABA"/>
    <w:rsid w:val="00341DFC"/>
    <w:rsid w:val="00343B3F"/>
    <w:rsid w:val="00343C4F"/>
    <w:rsid w:val="003440D8"/>
    <w:rsid w:val="003445EC"/>
    <w:rsid w:val="00344E0B"/>
    <w:rsid w:val="00344FCE"/>
    <w:rsid w:val="00345645"/>
    <w:rsid w:val="003458AF"/>
    <w:rsid w:val="00346483"/>
    <w:rsid w:val="00346AE6"/>
    <w:rsid w:val="00347872"/>
    <w:rsid w:val="00347CF7"/>
    <w:rsid w:val="0035090C"/>
    <w:rsid w:val="003510CB"/>
    <w:rsid w:val="00351D47"/>
    <w:rsid w:val="003527C2"/>
    <w:rsid w:val="003529F7"/>
    <w:rsid w:val="0035356F"/>
    <w:rsid w:val="0035492B"/>
    <w:rsid w:val="003554C4"/>
    <w:rsid w:val="003578AE"/>
    <w:rsid w:val="00357D29"/>
    <w:rsid w:val="00360E65"/>
    <w:rsid w:val="0036114D"/>
    <w:rsid w:val="0036174D"/>
    <w:rsid w:val="00361A5E"/>
    <w:rsid w:val="003637CB"/>
    <w:rsid w:val="00363A4B"/>
    <w:rsid w:val="00363D34"/>
    <w:rsid w:val="003644B8"/>
    <w:rsid w:val="00364B4D"/>
    <w:rsid w:val="00364D8D"/>
    <w:rsid w:val="00365868"/>
    <w:rsid w:val="0036642A"/>
    <w:rsid w:val="00366D80"/>
    <w:rsid w:val="00367B0C"/>
    <w:rsid w:val="00370B89"/>
    <w:rsid w:val="00371142"/>
    <w:rsid w:val="003715BA"/>
    <w:rsid w:val="00372278"/>
    <w:rsid w:val="003725AA"/>
    <w:rsid w:val="0037422A"/>
    <w:rsid w:val="00375008"/>
    <w:rsid w:val="00375550"/>
    <w:rsid w:val="00375687"/>
    <w:rsid w:val="00376082"/>
    <w:rsid w:val="003762C6"/>
    <w:rsid w:val="00376898"/>
    <w:rsid w:val="003768EB"/>
    <w:rsid w:val="00376FED"/>
    <w:rsid w:val="0037732C"/>
    <w:rsid w:val="00377DB4"/>
    <w:rsid w:val="00377EB8"/>
    <w:rsid w:val="0038118C"/>
    <w:rsid w:val="00381B77"/>
    <w:rsid w:val="0038263A"/>
    <w:rsid w:val="00382A1A"/>
    <w:rsid w:val="00383C87"/>
    <w:rsid w:val="003842B1"/>
    <w:rsid w:val="003849E4"/>
    <w:rsid w:val="00384C49"/>
    <w:rsid w:val="00384EB1"/>
    <w:rsid w:val="00385C4A"/>
    <w:rsid w:val="00386C98"/>
    <w:rsid w:val="00386D57"/>
    <w:rsid w:val="003877C9"/>
    <w:rsid w:val="00391570"/>
    <w:rsid w:val="0039202C"/>
    <w:rsid w:val="003922F2"/>
    <w:rsid w:val="00392741"/>
    <w:rsid w:val="00393844"/>
    <w:rsid w:val="00393A6B"/>
    <w:rsid w:val="00393E32"/>
    <w:rsid w:val="00394141"/>
    <w:rsid w:val="00395257"/>
    <w:rsid w:val="00395A85"/>
    <w:rsid w:val="00397DE9"/>
    <w:rsid w:val="003A0977"/>
    <w:rsid w:val="003A204E"/>
    <w:rsid w:val="003A316A"/>
    <w:rsid w:val="003A33B5"/>
    <w:rsid w:val="003A3D63"/>
    <w:rsid w:val="003A50C6"/>
    <w:rsid w:val="003A5469"/>
    <w:rsid w:val="003A5DE6"/>
    <w:rsid w:val="003A6A05"/>
    <w:rsid w:val="003A754B"/>
    <w:rsid w:val="003B05D5"/>
    <w:rsid w:val="003B09E5"/>
    <w:rsid w:val="003B0B1C"/>
    <w:rsid w:val="003B0D40"/>
    <w:rsid w:val="003B0E30"/>
    <w:rsid w:val="003B1A7D"/>
    <w:rsid w:val="003B3175"/>
    <w:rsid w:val="003B371E"/>
    <w:rsid w:val="003B5D1D"/>
    <w:rsid w:val="003B7B9A"/>
    <w:rsid w:val="003C06F7"/>
    <w:rsid w:val="003C077D"/>
    <w:rsid w:val="003C079D"/>
    <w:rsid w:val="003C0A7C"/>
    <w:rsid w:val="003C0EB6"/>
    <w:rsid w:val="003C11B8"/>
    <w:rsid w:val="003C1C64"/>
    <w:rsid w:val="003C1DE9"/>
    <w:rsid w:val="003C389B"/>
    <w:rsid w:val="003C3FFB"/>
    <w:rsid w:val="003C612F"/>
    <w:rsid w:val="003C6A4A"/>
    <w:rsid w:val="003C704D"/>
    <w:rsid w:val="003C7A40"/>
    <w:rsid w:val="003C7E5C"/>
    <w:rsid w:val="003D0804"/>
    <w:rsid w:val="003D089A"/>
    <w:rsid w:val="003D1946"/>
    <w:rsid w:val="003D21C4"/>
    <w:rsid w:val="003D235C"/>
    <w:rsid w:val="003D2C88"/>
    <w:rsid w:val="003D3F4C"/>
    <w:rsid w:val="003D4540"/>
    <w:rsid w:val="003D4F72"/>
    <w:rsid w:val="003D5F66"/>
    <w:rsid w:val="003D65D7"/>
    <w:rsid w:val="003D79DE"/>
    <w:rsid w:val="003D7BE1"/>
    <w:rsid w:val="003E0CA3"/>
    <w:rsid w:val="003E27C1"/>
    <w:rsid w:val="003E2D40"/>
    <w:rsid w:val="003E3C90"/>
    <w:rsid w:val="003E419D"/>
    <w:rsid w:val="003E42F7"/>
    <w:rsid w:val="003E6230"/>
    <w:rsid w:val="003E68AD"/>
    <w:rsid w:val="003E7E08"/>
    <w:rsid w:val="003F0465"/>
    <w:rsid w:val="003F0A78"/>
    <w:rsid w:val="003F1C9A"/>
    <w:rsid w:val="003F24FD"/>
    <w:rsid w:val="003F3598"/>
    <w:rsid w:val="003F3843"/>
    <w:rsid w:val="003F4115"/>
    <w:rsid w:val="003F47B4"/>
    <w:rsid w:val="003F4EEB"/>
    <w:rsid w:val="003F633E"/>
    <w:rsid w:val="003F67C0"/>
    <w:rsid w:val="003F6F1B"/>
    <w:rsid w:val="003F6FC1"/>
    <w:rsid w:val="003F7015"/>
    <w:rsid w:val="003F74BA"/>
    <w:rsid w:val="0040072E"/>
    <w:rsid w:val="00400C0D"/>
    <w:rsid w:val="004013E0"/>
    <w:rsid w:val="004029D5"/>
    <w:rsid w:val="00402BB8"/>
    <w:rsid w:val="00402DAE"/>
    <w:rsid w:val="00402FB2"/>
    <w:rsid w:val="004032BD"/>
    <w:rsid w:val="004032C0"/>
    <w:rsid w:val="00403C7F"/>
    <w:rsid w:val="004051F2"/>
    <w:rsid w:val="00405C1C"/>
    <w:rsid w:val="004066D4"/>
    <w:rsid w:val="00406E6A"/>
    <w:rsid w:val="00406F2F"/>
    <w:rsid w:val="00407017"/>
    <w:rsid w:val="00407A8A"/>
    <w:rsid w:val="00407C92"/>
    <w:rsid w:val="00410266"/>
    <w:rsid w:val="0041159A"/>
    <w:rsid w:val="00412D45"/>
    <w:rsid w:val="00414BDF"/>
    <w:rsid w:val="00414FB1"/>
    <w:rsid w:val="00415BCA"/>
    <w:rsid w:val="004169D7"/>
    <w:rsid w:val="00417068"/>
    <w:rsid w:val="004171A4"/>
    <w:rsid w:val="004200BD"/>
    <w:rsid w:val="004206D2"/>
    <w:rsid w:val="004207F5"/>
    <w:rsid w:val="004214C1"/>
    <w:rsid w:val="0042192D"/>
    <w:rsid w:val="00422DB8"/>
    <w:rsid w:val="004242F4"/>
    <w:rsid w:val="00424CA7"/>
    <w:rsid w:val="004262A3"/>
    <w:rsid w:val="0042683F"/>
    <w:rsid w:val="00427D71"/>
    <w:rsid w:val="00430056"/>
    <w:rsid w:val="0043018C"/>
    <w:rsid w:val="00430528"/>
    <w:rsid w:val="00430B93"/>
    <w:rsid w:val="00431369"/>
    <w:rsid w:val="0043176B"/>
    <w:rsid w:val="004318A3"/>
    <w:rsid w:val="00432577"/>
    <w:rsid w:val="00433709"/>
    <w:rsid w:val="00433C8D"/>
    <w:rsid w:val="00433D80"/>
    <w:rsid w:val="0043472B"/>
    <w:rsid w:val="00434A1B"/>
    <w:rsid w:val="00434B42"/>
    <w:rsid w:val="0043637F"/>
    <w:rsid w:val="004365CD"/>
    <w:rsid w:val="00437112"/>
    <w:rsid w:val="0043747A"/>
    <w:rsid w:val="00437F0A"/>
    <w:rsid w:val="00440016"/>
    <w:rsid w:val="00440316"/>
    <w:rsid w:val="00440319"/>
    <w:rsid w:val="00440374"/>
    <w:rsid w:val="004404E1"/>
    <w:rsid w:val="0044065E"/>
    <w:rsid w:val="00442EB5"/>
    <w:rsid w:val="00442EBF"/>
    <w:rsid w:val="00443E6B"/>
    <w:rsid w:val="004442B5"/>
    <w:rsid w:val="004442D5"/>
    <w:rsid w:val="00444997"/>
    <w:rsid w:val="004452A3"/>
    <w:rsid w:val="00445C1A"/>
    <w:rsid w:val="00446A46"/>
    <w:rsid w:val="0044778C"/>
    <w:rsid w:val="004478DC"/>
    <w:rsid w:val="00451D07"/>
    <w:rsid w:val="00451F40"/>
    <w:rsid w:val="004538CA"/>
    <w:rsid w:val="004539B6"/>
    <w:rsid w:val="0045439D"/>
    <w:rsid w:val="00454F6C"/>
    <w:rsid w:val="0045692E"/>
    <w:rsid w:val="00456AA6"/>
    <w:rsid w:val="00456B7D"/>
    <w:rsid w:val="004572B4"/>
    <w:rsid w:val="0045746A"/>
    <w:rsid w:val="00457918"/>
    <w:rsid w:val="00461555"/>
    <w:rsid w:val="00461D01"/>
    <w:rsid w:val="00463361"/>
    <w:rsid w:val="004633BD"/>
    <w:rsid w:val="0046399D"/>
    <w:rsid w:val="00464E70"/>
    <w:rsid w:val="00465550"/>
    <w:rsid w:val="00465614"/>
    <w:rsid w:val="004667EB"/>
    <w:rsid w:val="00466942"/>
    <w:rsid w:val="00466984"/>
    <w:rsid w:val="0046743B"/>
    <w:rsid w:val="004703BE"/>
    <w:rsid w:val="0047065E"/>
    <w:rsid w:val="00470682"/>
    <w:rsid w:val="0047075B"/>
    <w:rsid w:val="004709BE"/>
    <w:rsid w:val="004721C2"/>
    <w:rsid w:val="004724E0"/>
    <w:rsid w:val="00473393"/>
    <w:rsid w:val="00473BDA"/>
    <w:rsid w:val="00473D45"/>
    <w:rsid w:val="004753D3"/>
    <w:rsid w:val="0047583A"/>
    <w:rsid w:val="00475D26"/>
    <w:rsid w:val="004762B4"/>
    <w:rsid w:val="004762DF"/>
    <w:rsid w:val="00480970"/>
    <w:rsid w:val="00480A08"/>
    <w:rsid w:val="004817EA"/>
    <w:rsid w:val="004825D9"/>
    <w:rsid w:val="00482E46"/>
    <w:rsid w:val="00483227"/>
    <w:rsid w:val="00483687"/>
    <w:rsid w:val="0048440B"/>
    <w:rsid w:val="00485CE4"/>
    <w:rsid w:val="004865D6"/>
    <w:rsid w:val="00486DA6"/>
    <w:rsid w:val="00487814"/>
    <w:rsid w:val="0049037B"/>
    <w:rsid w:val="0049173A"/>
    <w:rsid w:val="00493B6D"/>
    <w:rsid w:val="00494156"/>
    <w:rsid w:val="004961E2"/>
    <w:rsid w:val="00496B26"/>
    <w:rsid w:val="004979A8"/>
    <w:rsid w:val="004979CC"/>
    <w:rsid w:val="00497DE8"/>
    <w:rsid w:val="00497F07"/>
    <w:rsid w:val="004A0AB7"/>
    <w:rsid w:val="004A1579"/>
    <w:rsid w:val="004A189C"/>
    <w:rsid w:val="004A1CFD"/>
    <w:rsid w:val="004A26B9"/>
    <w:rsid w:val="004A3A03"/>
    <w:rsid w:val="004A3BEB"/>
    <w:rsid w:val="004A41B1"/>
    <w:rsid w:val="004A4317"/>
    <w:rsid w:val="004A4B15"/>
    <w:rsid w:val="004A4E9F"/>
    <w:rsid w:val="004A5F0E"/>
    <w:rsid w:val="004A60FE"/>
    <w:rsid w:val="004A6A0D"/>
    <w:rsid w:val="004A7ACF"/>
    <w:rsid w:val="004B081D"/>
    <w:rsid w:val="004B1BD7"/>
    <w:rsid w:val="004B2359"/>
    <w:rsid w:val="004B3E7C"/>
    <w:rsid w:val="004B442F"/>
    <w:rsid w:val="004B5CFA"/>
    <w:rsid w:val="004B609F"/>
    <w:rsid w:val="004B6375"/>
    <w:rsid w:val="004B6B5A"/>
    <w:rsid w:val="004B7FBE"/>
    <w:rsid w:val="004C0A93"/>
    <w:rsid w:val="004C1090"/>
    <w:rsid w:val="004C1D1D"/>
    <w:rsid w:val="004C27BC"/>
    <w:rsid w:val="004C32C8"/>
    <w:rsid w:val="004C3B35"/>
    <w:rsid w:val="004C3C78"/>
    <w:rsid w:val="004C4308"/>
    <w:rsid w:val="004C43D9"/>
    <w:rsid w:val="004C45CE"/>
    <w:rsid w:val="004C4749"/>
    <w:rsid w:val="004C58E1"/>
    <w:rsid w:val="004C5A4C"/>
    <w:rsid w:val="004C61E9"/>
    <w:rsid w:val="004C6B7F"/>
    <w:rsid w:val="004C6CFE"/>
    <w:rsid w:val="004C6F17"/>
    <w:rsid w:val="004D0A88"/>
    <w:rsid w:val="004D11E1"/>
    <w:rsid w:val="004D1232"/>
    <w:rsid w:val="004D12BE"/>
    <w:rsid w:val="004D1D8E"/>
    <w:rsid w:val="004D2E20"/>
    <w:rsid w:val="004D3322"/>
    <w:rsid w:val="004D34C2"/>
    <w:rsid w:val="004D5271"/>
    <w:rsid w:val="004D5E31"/>
    <w:rsid w:val="004D627B"/>
    <w:rsid w:val="004D6ADE"/>
    <w:rsid w:val="004D6D78"/>
    <w:rsid w:val="004D7241"/>
    <w:rsid w:val="004D7514"/>
    <w:rsid w:val="004E07FF"/>
    <w:rsid w:val="004E12CB"/>
    <w:rsid w:val="004E19A4"/>
    <w:rsid w:val="004E3178"/>
    <w:rsid w:val="004E37E3"/>
    <w:rsid w:val="004E4488"/>
    <w:rsid w:val="004E516B"/>
    <w:rsid w:val="004E52DD"/>
    <w:rsid w:val="004E5478"/>
    <w:rsid w:val="004E5F8E"/>
    <w:rsid w:val="004E7069"/>
    <w:rsid w:val="004E7F01"/>
    <w:rsid w:val="004F054D"/>
    <w:rsid w:val="004F1146"/>
    <w:rsid w:val="004F1345"/>
    <w:rsid w:val="004F13F5"/>
    <w:rsid w:val="004F2577"/>
    <w:rsid w:val="004F51AC"/>
    <w:rsid w:val="004F524E"/>
    <w:rsid w:val="004F57CE"/>
    <w:rsid w:val="004F5DC7"/>
    <w:rsid w:val="004F61DB"/>
    <w:rsid w:val="004F673C"/>
    <w:rsid w:val="004F7137"/>
    <w:rsid w:val="004F7DE3"/>
    <w:rsid w:val="005004F8"/>
    <w:rsid w:val="0050158A"/>
    <w:rsid w:val="00501FCA"/>
    <w:rsid w:val="00502146"/>
    <w:rsid w:val="00502351"/>
    <w:rsid w:val="0050323E"/>
    <w:rsid w:val="00503968"/>
    <w:rsid w:val="005045B5"/>
    <w:rsid w:val="00504DC4"/>
    <w:rsid w:val="00504EA5"/>
    <w:rsid w:val="00505F95"/>
    <w:rsid w:val="00506485"/>
    <w:rsid w:val="005072B4"/>
    <w:rsid w:val="00507431"/>
    <w:rsid w:val="005077CF"/>
    <w:rsid w:val="005143A8"/>
    <w:rsid w:val="0051500C"/>
    <w:rsid w:val="00515FA7"/>
    <w:rsid w:val="00520FB7"/>
    <w:rsid w:val="0052122D"/>
    <w:rsid w:val="00521E62"/>
    <w:rsid w:val="00523732"/>
    <w:rsid w:val="00523924"/>
    <w:rsid w:val="00525E8C"/>
    <w:rsid w:val="0052622A"/>
    <w:rsid w:val="00526EDA"/>
    <w:rsid w:val="005273F4"/>
    <w:rsid w:val="005275EF"/>
    <w:rsid w:val="00527C56"/>
    <w:rsid w:val="00531310"/>
    <w:rsid w:val="00531A2A"/>
    <w:rsid w:val="00532B33"/>
    <w:rsid w:val="0053375E"/>
    <w:rsid w:val="00533FF2"/>
    <w:rsid w:val="00535395"/>
    <w:rsid w:val="00536117"/>
    <w:rsid w:val="005362C2"/>
    <w:rsid w:val="00536826"/>
    <w:rsid w:val="0053747D"/>
    <w:rsid w:val="005376A9"/>
    <w:rsid w:val="005378D9"/>
    <w:rsid w:val="00537A40"/>
    <w:rsid w:val="00537C45"/>
    <w:rsid w:val="00540B06"/>
    <w:rsid w:val="005419DA"/>
    <w:rsid w:val="00542803"/>
    <w:rsid w:val="00542AE9"/>
    <w:rsid w:val="00543ABA"/>
    <w:rsid w:val="00544032"/>
    <w:rsid w:val="00546950"/>
    <w:rsid w:val="00546D73"/>
    <w:rsid w:val="00547695"/>
    <w:rsid w:val="00547708"/>
    <w:rsid w:val="00547EC7"/>
    <w:rsid w:val="005500E6"/>
    <w:rsid w:val="00550B64"/>
    <w:rsid w:val="00550D1D"/>
    <w:rsid w:val="00551FB0"/>
    <w:rsid w:val="00552154"/>
    <w:rsid w:val="0055230E"/>
    <w:rsid w:val="00553E0B"/>
    <w:rsid w:val="005542CB"/>
    <w:rsid w:val="00554798"/>
    <w:rsid w:val="00554D0B"/>
    <w:rsid w:val="00555347"/>
    <w:rsid w:val="005553C5"/>
    <w:rsid w:val="0055655A"/>
    <w:rsid w:val="00556635"/>
    <w:rsid w:val="00556E6D"/>
    <w:rsid w:val="00557C1D"/>
    <w:rsid w:val="0056025E"/>
    <w:rsid w:val="005604EA"/>
    <w:rsid w:val="005618FF"/>
    <w:rsid w:val="00561A02"/>
    <w:rsid w:val="00562430"/>
    <w:rsid w:val="00562C4F"/>
    <w:rsid w:val="00562CFA"/>
    <w:rsid w:val="00563A2C"/>
    <w:rsid w:val="00563CE1"/>
    <w:rsid w:val="00564E03"/>
    <w:rsid w:val="00565518"/>
    <w:rsid w:val="00565A85"/>
    <w:rsid w:val="00565E44"/>
    <w:rsid w:val="005661FF"/>
    <w:rsid w:val="00566979"/>
    <w:rsid w:val="0056718A"/>
    <w:rsid w:val="00570114"/>
    <w:rsid w:val="0057071D"/>
    <w:rsid w:val="005719F6"/>
    <w:rsid w:val="00571DDE"/>
    <w:rsid w:val="005728EB"/>
    <w:rsid w:val="00572AAD"/>
    <w:rsid w:val="00572F21"/>
    <w:rsid w:val="00574E70"/>
    <w:rsid w:val="005753D1"/>
    <w:rsid w:val="00575452"/>
    <w:rsid w:val="00575DE8"/>
    <w:rsid w:val="0057747A"/>
    <w:rsid w:val="0057761E"/>
    <w:rsid w:val="00577C2B"/>
    <w:rsid w:val="00577DF6"/>
    <w:rsid w:val="005806E5"/>
    <w:rsid w:val="00580ED6"/>
    <w:rsid w:val="00580F72"/>
    <w:rsid w:val="005812EC"/>
    <w:rsid w:val="00581FEE"/>
    <w:rsid w:val="005826BE"/>
    <w:rsid w:val="0058292A"/>
    <w:rsid w:val="00582AF6"/>
    <w:rsid w:val="00582CBA"/>
    <w:rsid w:val="005833FD"/>
    <w:rsid w:val="005835E4"/>
    <w:rsid w:val="00583B93"/>
    <w:rsid w:val="00583EB2"/>
    <w:rsid w:val="00583F7A"/>
    <w:rsid w:val="005841B9"/>
    <w:rsid w:val="00584D1B"/>
    <w:rsid w:val="00585259"/>
    <w:rsid w:val="00585C62"/>
    <w:rsid w:val="0058612F"/>
    <w:rsid w:val="005876E2"/>
    <w:rsid w:val="00587AB9"/>
    <w:rsid w:val="00587E1E"/>
    <w:rsid w:val="005909FF"/>
    <w:rsid w:val="00591AA8"/>
    <w:rsid w:val="00591CDD"/>
    <w:rsid w:val="00592666"/>
    <w:rsid w:val="00592699"/>
    <w:rsid w:val="005932DB"/>
    <w:rsid w:val="00593814"/>
    <w:rsid w:val="00595202"/>
    <w:rsid w:val="00595CF2"/>
    <w:rsid w:val="00595D1A"/>
    <w:rsid w:val="00597F0D"/>
    <w:rsid w:val="00597F17"/>
    <w:rsid w:val="005A02B4"/>
    <w:rsid w:val="005A0CED"/>
    <w:rsid w:val="005A0E99"/>
    <w:rsid w:val="005A0F56"/>
    <w:rsid w:val="005A1A00"/>
    <w:rsid w:val="005A1C95"/>
    <w:rsid w:val="005A2966"/>
    <w:rsid w:val="005A2A1A"/>
    <w:rsid w:val="005A3412"/>
    <w:rsid w:val="005A3972"/>
    <w:rsid w:val="005A39FF"/>
    <w:rsid w:val="005A3DFE"/>
    <w:rsid w:val="005A432F"/>
    <w:rsid w:val="005A69A7"/>
    <w:rsid w:val="005A6AAA"/>
    <w:rsid w:val="005B1B80"/>
    <w:rsid w:val="005B1BBB"/>
    <w:rsid w:val="005B23F5"/>
    <w:rsid w:val="005B26B9"/>
    <w:rsid w:val="005B2B1A"/>
    <w:rsid w:val="005B3AE4"/>
    <w:rsid w:val="005B5EAB"/>
    <w:rsid w:val="005B5EB6"/>
    <w:rsid w:val="005B75FB"/>
    <w:rsid w:val="005B795D"/>
    <w:rsid w:val="005B7968"/>
    <w:rsid w:val="005B7F7C"/>
    <w:rsid w:val="005C01C6"/>
    <w:rsid w:val="005C032E"/>
    <w:rsid w:val="005C1266"/>
    <w:rsid w:val="005C15DD"/>
    <w:rsid w:val="005C1FDA"/>
    <w:rsid w:val="005C29B3"/>
    <w:rsid w:val="005C3A6A"/>
    <w:rsid w:val="005C4486"/>
    <w:rsid w:val="005C50DB"/>
    <w:rsid w:val="005C6320"/>
    <w:rsid w:val="005C6408"/>
    <w:rsid w:val="005C680D"/>
    <w:rsid w:val="005C7774"/>
    <w:rsid w:val="005D1E7D"/>
    <w:rsid w:val="005D2720"/>
    <w:rsid w:val="005D2A28"/>
    <w:rsid w:val="005D35A0"/>
    <w:rsid w:val="005D40F0"/>
    <w:rsid w:val="005D42A6"/>
    <w:rsid w:val="005D4623"/>
    <w:rsid w:val="005D4A61"/>
    <w:rsid w:val="005D4B5B"/>
    <w:rsid w:val="005D5151"/>
    <w:rsid w:val="005D5C5C"/>
    <w:rsid w:val="005D5F16"/>
    <w:rsid w:val="005D5F89"/>
    <w:rsid w:val="005D619E"/>
    <w:rsid w:val="005D6926"/>
    <w:rsid w:val="005D6B21"/>
    <w:rsid w:val="005D6BDD"/>
    <w:rsid w:val="005E00D4"/>
    <w:rsid w:val="005E0D79"/>
    <w:rsid w:val="005E1058"/>
    <w:rsid w:val="005E126F"/>
    <w:rsid w:val="005E14CC"/>
    <w:rsid w:val="005E35ED"/>
    <w:rsid w:val="005E56ED"/>
    <w:rsid w:val="005E6094"/>
    <w:rsid w:val="005E6250"/>
    <w:rsid w:val="005E648A"/>
    <w:rsid w:val="005F0BEE"/>
    <w:rsid w:val="005F0E5E"/>
    <w:rsid w:val="005F0F96"/>
    <w:rsid w:val="005F11AA"/>
    <w:rsid w:val="005F24E9"/>
    <w:rsid w:val="005F2E3C"/>
    <w:rsid w:val="005F3153"/>
    <w:rsid w:val="005F31B6"/>
    <w:rsid w:val="005F347B"/>
    <w:rsid w:val="005F3707"/>
    <w:rsid w:val="005F389B"/>
    <w:rsid w:val="005F3C8F"/>
    <w:rsid w:val="005F3E72"/>
    <w:rsid w:val="005F73A3"/>
    <w:rsid w:val="005F7768"/>
    <w:rsid w:val="005F7F6A"/>
    <w:rsid w:val="0060001C"/>
    <w:rsid w:val="006000F0"/>
    <w:rsid w:val="00601042"/>
    <w:rsid w:val="0060382E"/>
    <w:rsid w:val="00603C39"/>
    <w:rsid w:val="0060507E"/>
    <w:rsid w:val="00605383"/>
    <w:rsid w:val="00605829"/>
    <w:rsid w:val="00605B65"/>
    <w:rsid w:val="00606D33"/>
    <w:rsid w:val="006070CA"/>
    <w:rsid w:val="00607D39"/>
    <w:rsid w:val="0061066E"/>
    <w:rsid w:val="00610BB3"/>
    <w:rsid w:val="00611213"/>
    <w:rsid w:val="00611AF6"/>
    <w:rsid w:val="00611B95"/>
    <w:rsid w:val="006124EB"/>
    <w:rsid w:val="00612DA2"/>
    <w:rsid w:val="00614F3E"/>
    <w:rsid w:val="006153DC"/>
    <w:rsid w:val="006176C5"/>
    <w:rsid w:val="00620351"/>
    <w:rsid w:val="006206C3"/>
    <w:rsid w:val="00621697"/>
    <w:rsid w:val="006219D4"/>
    <w:rsid w:val="00621C96"/>
    <w:rsid w:val="00622312"/>
    <w:rsid w:val="00622731"/>
    <w:rsid w:val="006237A2"/>
    <w:rsid w:val="006238D9"/>
    <w:rsid w:val="00625683"/>
    <w:rsid w:val="00626704"/>
    <w:rsid w:val="00626AB7"/>
    <w:rsid w:val="006270F9"/>
    <w:rsid w:val="006277EF"/>
    <w:rsid w:val="00631B02"/>
    <w:rsid w:val="00632A66"/>
    <w:rsid w:val="006343D1"/>
    <w:rsid w:val="00635A9B"/>
    <w:rsid w:val="006372EC"/>
    <w:rsid w:val="00637485"/>
    <w:rsid w:val="00637BE5"/>
    <w:rsid w:val="00637EDF"/>
    <w:rsid w:val="00640210"/>
    <w:rsid w:val="006406B1"/>
    <w:rsid w:val="006414EC"/>
    <w:rsid w:val="0064303F"/>
    <w:rsid w:val="006434AD"/>
    <w:rsid w:val="006435EE"/>
    <w:rsid w:val="00643C72"/>
    <w:rsid w:val="00643C73"/>
    <w:rsid w:val="0064427A"/>
    <w:rsid w:val="00644897"/>
    <w:rsid w:val="00644D9E"/>
    <w:rsid w:val="0064630C"/>
    <w:rsid w:val="0064661D"/>
    <w:rsid w:val="00646B64"/>
    <w:rsid w:val="00647662"/>
    <w:rsid w:val="0065014B"/>
    <w:rsid w:val="0065054F"/>
    <w:rsid w:val="00650FCC"/>
    <w:rsid w:val="00651D6F"/>
    <w:rsid w:val="00652418"/>
    <w:rsid w:val="006529AA"/>
    <w:rsid w:val="00652AFD"/>
    <w:rsid w:val="00653B43"/>
    <w:rsid w:val="0065494E"/>
    <w:rsid w:val="00654EA0"/>
    <w:rsid w:val="00660439"/>
    <w:rsid w:val="00660719"/>
    <w:rsid w:val="0066072E"/>
    <w:rsid w:val="00660E45"/>
    <w:rsid w:val="006614E2"/>
    <w:rsid w:val="006619F2"/>
    <w:rsid w:val="0066277E"/>
    <w:rsid w:val="00662949"/>
    <w:rsid w:val="006647C9"/>
    <w:rsid w:val="00664B4C"/>
    <w:rsid w:val="00665D6F"/>
    <w:rsid w:val="00665E88"/>
    <w:rsid w:val="006666AF"/>
    <w:rsid w:val="00666B73"/>
    <w:rsid w:val="00667615"/>
    <w:rsid w:val="00667EDC"/>
    <w:rsid w:val="00670210"/>
    <w:rsid w:val="006705BB"/>
    <w:rsid w:val="006720D4"/>
    <w:rsid w:val="0067258E"/>
    <w:rsid w:val="006726B4"/>
    <w:rsid w:val="0067312D"/>
    <w:rsid w:val="00673206"/>
    <w:rsid w:val="00673624"/>
    <w:rsid w:val="00673C29"/>
    <w:rsid w:val="00675422"/>
    <w:rsid w:val="00675EA7"/>
    <w:rsid w:val="0067732B"/>
    <w:rsid w:val="00677B60"/>
    <w:rsid w:val="006807FF"/>
    <w:rsid w:val="00680CEC"/>
    <w:rsid w:val="00682916"/>
    <w:rsid w:val="00684F0C"/>
    <w:rsid w:val="00685037"/>
    <w:rsid w:val="00685255"/>
    <w:rsid w:val="006853C6"/>
    <w:rsid w:val="00686944"/>
    <w:rsid w:val="00686AC0"/>
    <w:rsid w:val="00686CCC"/>
    <w:rsid w:val="00687067"/>
    <w:rsid w:val="006871D4"/>
    <w:rsid w:val="00687318"/>
    <w:rsid w:val="00687D93"/>
    <w:rsid w:val="006906CC"/>
    <w:rsid w:val="00690999"/>
    <w:rsid w:val="006912E2"/>
    <w:rsid w:val="006928EE"/>
    <w:rsid w:val="00693AF2"/>
    <w:rsid w:val="00693BE0"/>
    <w:rsid w:val="006943B1"/>
    <w:rsid w:val="00694D48"/>
    <w:rsid w:val="00695342"/>
    <w:rsid w:val="00695A74"/>
    <w:rsid w:val="00696171"/>
    <w:rsid w:val="00697458"/>
    <w:rsid w:val="00697E3A"/>
    <w:rsid w:val="00697E3B"/>
    <w:rsid w:val="006A03D4"/>
    <w:rsid w:val="006A0C43"/>
    <w:rsid w:val="006A0DF2"/>
    <w:rsid w:val="006A163F"/>
    <w:rsid w:val="006A20C0"/>
    <w:rsid w:val="006A2226"/>
    <w:rsid w:val="006A231D"/>
    <w:rsid w:val="006A2683"/>
    <w:rsid w:val="006A3BB1"/>
    <w:rsid w:val="006A64F0"/>
    <w:rsid w:val="006A6B9D"/>
    <w:rsid w:val="006A7184"/>
    <w:rsid w:val="006A7392"/>
    <w:rsid w:val="006A7A38"/>
    <w:rsid w:val="006B067D"/>
    <w:rsid w:val="006B3372"/>
    <w:rsid w:val="006B34F5"/>
    <w:rsid w:val="006B3568"/>
    <w:rsid w:val="006B378E"/>
    <w:rsid w:val="006B3970"/>
    <w:rsid w:val="006B3BC5"/>
    <w:rsid w:val="006B4515"/>
    <w:rsid w:val="006B4EFA"/>
    <w:rsid w:val="006B5C70"/>
    <w:rsid w:val="006B65B3"/>
    <w:rsid w:val="006B7090"/>
    <w:rsid w:val="006B712D"/>
    <w:rsid w:val="006B717C"/>
    <w:rsid w:val="006B7C2A"/>
    <w:rsid w:val="006C139B"/>
    <w:rsid w:val="006C1589"/>
    <w:rsid w:val="006C1C3A"/>
    <w:rsid w:val="006C1DC5"/>
    <w:rsid w:val="006C1FD9"/>
    <w:rsid w:val="006C2129"/>
    <w:rsid w:val="006C3523"/>
    <w:rsid w:val="006C369C"/>
    <w:rsid w:val="006C3770"/>
    <w:rsid w:val="006C42F4"/>
    <w:rsid w:val="006C5087"/>
    <w:rsid w:val="006C64E7"/>
    <w:rsid w:val="006C65BE"/>
    <w:rsid w:val="006D0E92"/>
    <w:rsid w:val="006D10F7"/>
    <w:rsid w:val="006D1487"/>
    <w:rsid w:val="006D1576"/>
    <w:rsid w:val="006D29CF"/>
    <w:rsid w:val="006D37C5"/>
    <w:rsid w:val="006D489E"/>
    <w:rsid w:val="006D4A30"/>
    <w:rsid w:val="006D4A7F"/>
    <w:rsid w:val="006D4C4C"/>
    <w:rsid w:val="006D4DB8"/>
    <w:rsid w:val="006D528B"/>
    <w:rsid w:val="006D54B8"/>
    <w:rsid w:val="006D619F"/>
    <w:rsid w:val="006D63A9"/>
    <w:rsid w:val="006D6471"/>
    <w:rsid w:val="006D64EB"/>
    <w:rsid w:val="006D6559"/>
    <w:rsid w:val="006D6BC4"/>
    <w:rsid w:val="006D6BE2"/>
    <w:rsid w:val="006D7FA8"/>
    <w:rsid w:val="006E06A8"/>
    <w:rsid w:val="006E07B0"/>
    <w:rsid w:val="006E115B"/>
    <w:rsid w:val="006E2D13"/>
    <w:rsid w:val="006E2E6B"/>
    <w:rsid w:val="006E3A48"/>
    <w:rsid w:val="006E3C8C"/>
    <w:rsid w:val="006E4906"/>
    <w:rsid w:val="006E5788"/>
    <w:rsid w:val="006E59A7"/>
    <w:rsid w:val="006E5F12"/>
    <w:rsid w:val="006E6312"/>
    <w:rsid w:val="006E694B"/>
    <w:rsid w:val="006E73B5"/>
    <w:rsid w:val="006E75BC"/>
    <w:rsid w:val="006F0944"/>
    <w:rsid w:val="006F1005"/>
    <w:rsid w:val="006F148E"/>
    <w:rsid w:val="006F4036"/>
    <w:rsid w:val="006F6FD8"/>
    <w:rsid w:val="00700C31"/>
    <w:rsid w:val="00700ED4"/>
    <w:rsid w:val="007011B6"/>
    <w:rsid w:val="00701298"/>
    <w:rsid w:val="00701595"/>
    <w:rsid w:val="00702969"/>
    <w:rsid w:val="00702E45"/>
    <w:rsid w:val="00704164"/>
    <w:rsid w:val="00705DCB"/>
    <w:rsid w:val="007064EA"/>
    <w:rsid w:val="007067D1"/>
    <w:rsid w:val="00706A98"/>
    <w:rsid w:val="00706BBE"/>
    <w:rsid w:val="007077F8"/>
    <w:rsid w:val="00707E40"/>
    <w:rsid w:val="0071029B"/>
    <w:rsid w:val="00710F7F"/>
    <w:rsid w:val="00711681"/>
    <w:rsid w:val="00711D9F"/>
    <w:rsid w:val="007122A6"/>
    <w:rsid w:val="00712F9F"/>
    <w:rsid w:val="00714026"/>
    <w:rsid w:val="00714F59"/>
    <w:rsid w:val="0071549B"/>
    <w:rsid w:val="0071632A"/>
    <w:rsid w:val="00716A9C"/>
    <w:rsid w:val="007200D5"/>
    <w:rsid w:val="00720112"/>
    <w:rsid w:val="00720B0F"/>
    <w:rsid w:val="00720FDA"/>
    <w:rsid w:val="007240CE"/>
    <w:rsid w:val="007241FB"/>
    <w:rsid w:val="00724231"/>
    <w:rsid w:val="007252FD"/>
    <w:rsid w:val="007263A4"/>
    <w:rsid w:val="007277E2"/>
    <w:rsid w:val="007278C4"/>
    <w:rsid w:val="00727920"/>
    <w:rsid w:val="007307DE"/>
    <w:rsid w:val="00730CD2"/>
    <w:rsid w:val="00731BD9"/>
    <w:rsid w:val="0073219F"/>
    <w:rsid w:val="00732775"/>
    <w:rsid w:val="00732EBE"/>
    <w:rsid w:val="007337EF"/>
    <w:rsid w:val="0073512B"/>
    <w:rsid w:val="00735311"/>
    <w:rsid w:val="00735506"/>
    <w:rsid w:val="007360BF"/>
    <w:rsid w:val="00736217"/>
    <w:rsid w:val="007368E6"/>
    <w:rsid w:val="00736BD6"/>
    <w:rsid w:val="007371D9"/>
    <w:rsid w:val="00737D41"/>
    <w:rsid w:val="007405E6"/>
    <w:rsid w:val="007409EE"/>
    <w:rsid w:val="007413BF"/>
    <w:rsid w:val="00741498"/>
    <w:rsid w:val="00741677"/>
    <w:rsid w:val="007417F2"/>
    <w:rsid w:val="007423A5"/>
    <w:rsid w:val="00742FA1"/>
    <w:rsid w:val="00744E69"/>
    <w:rsid w:val="0074598B"/>
    <w:rsid w:val="00745C06"/>
    <w:rsid w:val="00746F4C"/>
    <w:rsid w:val="00750662"/>
    <w:rsid w:val="00751517"/>
    <w:rsid w:val="0075191C"/>
    <w:rsid w:val="00751E05"/>
    <w:rsid w:val="0075266A"/>
    <w:rsid w:val="007530FE"/>
    <w:rsid w:val="00754695"/>
    <w:rsid w:val="0075486F"/>
    <w:rsid w:val="00754896"/>
    <w:rsid w:val="007556F5"/>
    <w:rsid w:val="007557FB"/>
    <w:rsid w:val="007560CC"/>
    <w:rsid w:val="007565BB"/>
    <w:rsid w:val="007568D7"/>
    <w:rsid w:val="007578FC"/>
    <w:rsid w:val="0076049B"/>
    <w:rsid w:val="007607A9"/>
    <w:rsid w:val="007610BE"/>
    <w:rsid w:val="0076169C"/>
    <w:rsid w:val="00761768"/>
    <w:rsid w:val="00761E9D"/>
    <w:rsid w:val="0076265E"/>
    <w:rsid w:val="00763673"/>
    <w:rsid w:val="00764147"/>
    <w:rsid w:val="00764889"/>
    <w:rsid w:val="00766A9E"/>
    <w:rsid w:val="00766CD3"/>
    <w:rsid w:val="00766E42"/>
    <w:rsid w:val="00766F3D"/>
    <w:rsid w:val="0077067A"/>
    <w:rsid w:val="00771702"/>
    <w:rsid w:val="0077197D"/>
    <w:rsid w:val="00771BF5"/>
    <w:rsid w:val="00771C32"/>
    <w:rsid w:val="00771D2B"/>
    <w:rsid w:val="007738CD"/>
    <w:rsid w:val="007751CD"/>
    <w:rsid w:val="0077528A"/>
    <w:rsid w:val="00775BFE"/>
    <w:rsid w:val="00775E2E"/>
    <w:rsid w:val="00776877"/>
    <w:rsid w:val="007777B9"/>
    <w:rsid w:val="007777F0"/>
    <w:rsid w:val="007778AA"/>
    <w:rsid w:val="00777EAC"/>
    <w:rsid w:val="0078022E"/>
    <w:rsid w:val="00780A4D"/>
    <w:rsid w:val="00781623"/>
    <w:rsid w:val="007824D9"/>
    <w:rsid w:val="007828CC"/>
    <w:rsid w:val="00782AB3"/>
    <w:rsid w:val="00783257"/>
    <w:rsid w:val="00783392"/>
    <w:rsid w:val="00784137"/>
    <w:rsid w:val="007846B3"/>
    <w:rsid w:val="00786B2E"/>
    <w:rsid w:val="00787353"/>
    <w:rsid w:val="00787CCA"/>
    <w:rsid w:val="007919FA"/>
    <w:rsid w:val="00791D7C"/>
    <w:rsid w:val="00792BA2"/>
    <w:rsid w:val="00792BEF"/>
    <w:rsid w:val="007930BC"/>
    <w:rsid w:val="00793199"/>
    <w:rsid w:val="00793654"/>
    <w:rsid w:val="00793B53"/>
    <w:rsid w:val="00794643"/>
    <w:rsid w:val="007947ED"/>
    <w:rsid w:val="00795EED"/>
    <w:rsid w:val="0079763F"/>
    <w:rsid w:val="00797B19"/>
    <w:rsid w:val="007A13AB"/>
    <w:rsid w:val="007A1B85"/>
    <w:rsid w:val="007A1E98"/>
    <w:rsid w:val="007A1F48"/>
    <w:rsid w:val="007A1F85"/>
    <w:rsid w:val="007A223B"/>
    <w:rsid w:val="007A47BC"/>
    <w:rsid w:val="007A488F"/>
    <w:rsid w:val="007A4F5D"/>
    <w:rsid w:val="007A73A7"/>
    <w:rsid w:val="007A7646"/>
    <w:rsid w:val="007B0123"/>
    <w:rsid w:val="007B07DF"/>
    <w:rsid w:val="007B0959"/>
    <w:rsid w:val="007B19E4"/>
    <w:rsid w:val="007B3BD4"/>
    <w:rsid w:val="007B44B5"/>
    <w:rsid w:val="007B46F6"/>
    <w:rsid w:val="007B51CD"/>
    <w:rsid w:val="007B57D4"/>
    <w:rsid w:val="007B5917"/>
    <w:rsid w:val="007B5BF9"/>
    <w:rsid w:val="007B67E4"/>
    <w:rsid w:val="007B7C05"/>
    <w:rsid w:val="007B7C80"/>
    <w:rsid w:val="007C0048"/>
    <w:rsid w:val="007C023E"/>
    <w:rsid w:val="007C06B2"/>
    <w:rsid w:val="007C101C"/>
    <w:rsid w:val="007C16C4"/>
    <w:rsid w:val="007C1D92"/>
    <w:rsid w:val="007C1ED5"/>
    <w:rsid w:val="007C2036"/>
    <w:rsid w:val="007C26B8"/>
    <w:rsid w:val="007C27BD"/>
    <w:rsid w:val="007C3394"/>
    <w:rsid w:val="007C3B52"/>
    <w:rsid w:val="007C4B45"/>
    <w:rsid w:val="007C6263"/>
    <w:rsid w:val="007C7445"/>
    <w:rsid w:val="007D1BE5"/>
    <w:rsid w:val="007D2355"/>
    <w:rsid w:val="007D2887"/>
    <w:rsid w:val="007D2CBA"/>
    <w:rsid w:val="007D2F85"/>
    <w:rsid w:val="007D3E93"/>
    <w:rsid w:val="007D3F50"/>
    <w:rsid w:val="007D440B"/>
    <w:rsid w:val="007D4DE3"/>
    <w:rsid w:val="007D5420"/>
    <w:rsid w:val="007D773F"/>
    <w:rsid w:val="007E0C9F"/>
    <w:rsid w:val="007E2279"/>
    <w:rsid w:val="007E23EF"/>
    <w:rsid w:val="007E3869"/>
    <w:rsid w:val="007E3B7D"/>
    <w:rsid w:val="007E40C3"/>
    <w:rsid w:val="007E43BD"/>
    <w:rsid w:val="007E4A37"/>
    <w:rsid w:val="007E534D"/>
    <w:rsid w:val="007E62C6"/>
    <w:rsid w:val="007E768A"/>
    <w:rsid w:val="007F01FF"/>
    <w:rsid w:val="007F03D9"/>
    <w:rsid w:val="007F0EC2"/>
    <w:rsid w:val="007F140B"/>
    <w:rsid w:val="007F1730"/>
    <w:rsid w:val="007F17BE"/>
    <w:rsid w:val="007F17D6"/>
    <w:rsid w:val="007F28F4"/>
    <w:rsid w:val="007F4184"/>
    <w:rsid w:val="007F45BF"/>
    <w:rsid w:val="007F567F"/>
    <w:rsid w:val="007F56CE"/>
    <w:rsid w:val="007F5E30"/>
    <w:rsid w:val="007F7BE0"/>
    <w:rsid w:val="0080117A"/>
    <w:rsid w:val="00801255"/>
    <w:rsid w:val="00801401"/>
    <w:rsid w:val="008015E8"/>
    <w:rsid w:val="00801B90"/>
    <w:rsid w:val="00801CD9"/>
    <w:rsid w:val="0080262D"/>
    <w:rsid w:val="008033A7"/>
    <w:rsid w:val="008043F3"/>
    <w:rsid w:val="00804D72"/>
    <w:rsid w:val="008057F1"/>
    <w:rsid w:val="008059F9"/>
    <w:rsid w:val="00806C86"/>
    <w:rsid w:val="0080796A"/>
    <w:rsid w:val="00807C6F"/>
    <w:rsid w:val="0081015E"/>
    <w:rsid w:val="00811571"/>
    <w:rsid w:val="0081247C"/>
    <w:rsid w:val="00813B47"/>
    <w:rsid w:val="0081583E"/>
    <w:rsid w:val="008167BB"/>
    <w:rsid w:val="0081682C"/>
    <w:rsid w:val="00817592"/>
    <w:rsid w:val="00817F6C"/>
    <w:rsid w:val="0082053F"/>
    <w:rsid w:val="00821562"/>
    <w:rsid w:val="00821E62"/>
    <w:rsid w:val="008225BB"/>
    <w:rsid w:val="00822BAF"/>
    <w:rsid w:val="00823E04"/>
    <w:rsid w:val="00824CC5"/>
    <w:rsid w:val="008270C5"/>
    <w:rsid w:val="0083006C"/>
    <w:rsid w:val="0083079B"/>
    <w:rsid w:val="0083423A"/>
    <w:rsid w:val="008343AE"/>
    <w:rsid w:val="00834505"/>
    <w:rsid w:val="008345D2"/>
    <w:rsid w:val="0083719F"/>
    <w:rsid w:val="0083748A"/>
    <w:rsid w:val="00837688"/>
    <w:rsid w:val="0083788F"/>
    <w:rsid w:val="00840078"/>
    <w:rsid w:val="00840255"/>
    <w:rsid w:val="008417C6"/>
    <w:rsid w:val="008425F7"/>
    <w:rsid w:val="0084313C"/>
    <w:rsid w:val="00843600"/>
    <w:rsid w:val="008438D5"/>
    <w:rsid w:val="008441F3"/>
    <w:rsid w:val="0084425B"/>
    <w:rsid w:val="00844E07"/>
    <w:rsid w:val="00845188"/>
    <w:rsid w:val="008457B7"/>
    <w:rsid w:val="008461DE"/>
    <w:rsid w:val="00846521"/>
    <w:rsid w:val="00846A9C"/>
    <w:rsid w:val="00846EA5"/>
    <w:rsid w:val="00847176"/>
    <w:rsid w:val="008475A3"/>
    <w:rsid w:val="008510C9"/>
    <w:rsid w:val="00851147"/>
    <w:rsid w:val="00851489"/>
    <w:rsid w:val="00851AF0"/>
    <w:rsid w:val="00851C1F"/>
    <w:rsid w:val="008521A0"/>
    <w:rsid w:val="00852E64"/>
    <w:rsid w:val="0085351F"/>
    <w:rsid w:val="008542BB"/>
    <w:rsid w:val="00854984"/>
    <w:rsid w:val="00854CED"/>
    <w:rsid w:val="00854D6D"/>
    <w:rsid w:val="00860918"/>
    <w:rsid w:val="00860FC2"/>
    <w:rsid w:val="008610C8"/>
    <w:rsid w:val="00861EF6"/>
    <w:rsid w:val="008620EA"/>
    <w:rsid w:val="0086514A"/>
    <w:rsid w:val="008652E5"/>
    <w:rsid w:val="008657E0"/>
    <w:rsid w:val="008658B1"/>
    <w:rsid w:val="00865FEF"/>
    <w:rsid w:val="00866954"/>
    <w:rsid w:val="008674CE"/>
    <w:rsid w:val="0086766B"/>
    <w:rsid w:val="00867795"/>
    <w:rsid w:val="00867D33"/>
    <w:rsid w:val="00867EE2"/>
    <w:rsid w:val="0087000D"/>
    <w:rsid w:val="00870177"/>
    <w:rsid w:val="008706EA"/>
    <w:rsid w:val="00870D14"/>
    <w:rsid w:val="00870E9B"/>
    <w:rsid w:val="00871015"/>
    <w:rsid w:val="00871177"/>
    <w:rsid w:val="008718CC"/>
    <w:rsid w:val="00872F09"/>
    <w:rsid w:val="00872F93"/>
    <w:rsid w:val="0087374A"/>
    <w:rsid w:val="00873E41"/>
    <w:rsid w:val="00874B97"/>
    <w:rsid w:val="00874D10"/>
    <w:rsid w:val="0087566D"/>
    <w:rsid w:val="00875803"/>
    <w:rsid w:val="00875C99"/>
    <w:rsid w:val="00876215"/>
    <w:rsid w:val="008762C6"/>
    <w:rsid w:val="008763DB"/>
    <w:rsid w:val="00877A12"/>
    <w:rsid w:val="00877AE0"/>
    <w:rsid w:val="00880781"/>
    <w:rsid w:val="00880C87"/>
    <w:rsid w:val="00880FA1"/>
    <w:rsid w:val="00881A0F"/>
    <w:rsid w:val="00882AC6"/>
    <w:rsid w:val="00883517"/>
    <w:rsid w:val="00883DBF"/>
    <w:rsid w:val="0088413E"/>
    <w:rsid w:val="008842C1"/>
    <w:rsid w:val="00884C8F"/>
    <w:rsid w:val="0088552E"/>
    <w:rsid w:val="0088578D"/>
    <w:rsid w:val="0088632D"/>
    <w:rsid w:val="00886701"/>
    <w:rsid w:val="0088715D"/>
    <w:rsid w:val="00887AA2"/>
    <w:rsid w:val="008904BB"/>
    <w:rsid w:val="00890533"/>
    <w:rsid w:val="00890941"/>
    <w:rsid w:val="00890BC7"/>
    <w:rsid w:val="00890F3E"/>
    <w:rsid w:val="008935BC"/>
    <w:rsid w:val="00893ACB"/>
    <w:rsid w:val="008947DF"/>
    <w:rsid w:val="00894CD9"/>
    <w:rsid w:val="0089504A"/>
    <w:rsid w:val="00895948"/>
    <w:rsid w:val="00895EDE"/>
    <w:rsid w:val="008975FF"/>
    <w:rsid w:val="0089784F"/>
    <w:rsid w:val="008A16EC"/>
    <w:rsid w:val="008A2269"/>
    <w:rsid w:val="008A2BD7"/>
    <w:rsid w:val="008A341C"/>
    <w:rsid w:val="008A645C"/>
    <w:rsid w:val="008A6A22"/>
    <w:rsid w:val="008B05A3"/>
    <w:rsid w:val="008B0A42"/>
    <w:rsid w:val="008B0A55"/>
    <w:rsid w:val="008B13E2"/>
    <w:rsid w:val="008B2F08"/>
    <w:rsid w:val="008B333C"/>
    <w:rsid w:val="008B39A2"/>
    <w:rsid w:val="008B3DA2"/>
    <w:rsid w:val="008B5463"/>
    <w:rsid w:val="008B567B"/>
    <w:rsid w:val="008B5BC7"/>
    <w:rsid w:val="008B674B"/>
    <w:rsid w:val="008B6A7E"/>
    <w:rsid w:val="008B6C76"/>
    <w:rsid w:val="008B7A7C"/>
    <w:rsid w:val="008C0FB5"/>
    <w:rsid w:val="008C0FB8"/>
    <w:rsid w:val="008C191E"/>
    <w:rsid w:val="008C3287"/>
    <w:rsid w:val="008C42E9"/>
    <w:rsid w:val="008C65FF"/>
    <w:rsid w:val="008D0BE4"/>
    <w:rsid w:val="008D0CC2"/>
    <w:rsid w:val="008D141C"/>
    <w:rsid w:val="008D1C27"/>
    <w:rsid w:val="008D40A3"/>
    <w:rsid w:val="008D6228"/>
    <w:rsid w:val="008D70A7"/>
    <w:rsid w:val="008D7358"/>
    <w:rsid w:val="008D745D"/>
    <w:rsid w:val="008E093D"/>
    <w:rsid w:val="008E18B8"/>
    <w:rsid w:val="008E1917"/>
    <w:rsid w:val="008E243E"/>
    <w:rsid w:val="008E2D68"/>
    <w:rsid w:val="008E4FF6"/>
    <w:rsid w:val="008E5085"/>
    <w:rsid w:val="008E5163"/>
    <w:rsid w:val="008E5BDA"/>
    <w:rsid w:val="008E5D8C"/>
    <w:rsid w:val="008E7898"/>
    <w:rsid w:val="008E79C7"/>
    <w:rsid w:val="008F05A8"/>
    <w:rsid w:val="008F1428"/>
    <w:rsid w:val="008F29CB"/>
    <w:rsid w:val="008F2AAA"/>
    <w:rsid w:val="008F2F6C"/>
    <w:rsid w:val="008F3667"/>
    <w:rsid w:val="008F44E9"/>
    <w:rsid w:val="008F5958"/>
    <w:rsid w:val="008F5A6C"/>
    <w:rsid w:val="008F6361"/>
    <w:rsid w:val="008F65FC"/>
    <w:rsid w:val="008F6CB2"/>
    <w:rsid w:val="008F6D0C"/>
    <w:rsid w:val="008F6F18"/>
    <w:rsid w:val="008F70F8"/>
    <w:rsid w:val="008F7601"/>
    <w:rsid w:val="008F7A30"/>
    <w:rsid w:val="008F7BF1"/>
    <w:rsid w:val="0090013E"/>
    <w:rsid w:val="009019CD"/>
    <w:rsid w:val="00902169"/>
    <w:rsid w:val="00902B33"/>
    <w:rsid w:val="00903A8A"/>
    <w:rsid w:val="00903D64"/>
    <w:rsid w:val="00904863"/>
    <w:rsid w:val="00904868"/>
    <w:rsid w:val="00904A16"/>
    <w:rsid w:val="00907780"/>
    <w:rsid w:val="009105B1"/>
    <w:rsid w:val="009109AA"/>
    <w:rsid w:val="00910E7A"/>
    <w:rsid w:val="009114DB"/>
    <w:rsid w:val="009124F7"/>
    <w:rsid w:val="00913415"/>
    <w:rsid w:val="00913657"/>
    <w:rsid w:val="0091407B"/>
    <w:rsid w:val="00914D18"/>
    <w:rsid w:val="00915DBB"/>
    <w:rsid w:val="00915F4F"/>
    <w:rsid w:val="00916633"/>
    <w:rsid w:val="009169DA"/>
    <w:rsid w:val="00917724"/>
    <w:rsid w:val="00917CE6"/>
    <w:rsid w:val="00921793"/>
    <w:rsid w:val="0092196F"/>
    <w:rsid w:val="0092313A"/>
    <w:rsid w:val="00925FC4"/>
    <w:rsid w:val="00926218"/>
    <w:rsid w:val="0092646B"/>
    <w:rsid w:val="00927410"/>
    <w:rsid w:val="00927E39"/>
    <w:rsid w:val="00930133"/>
    <w:rsid w:val="00930651"/>
    <w:rsid w:val="0093083E"/>
    <w:rsid w:val="00932AD2"/>
    <w:rsid w:val="00932B5E"/>
    <w:rsid w:val="00933414"/>
    <w:rsid w:val="009339EF"/>
    <w:rsid w:val="00933A2D"/>
    <w:rsid w:val="00934396"/>
    <w:rsid w:val="00935678"/>
    <w:rsid w:val="00935EC1"/>
    <w:rsid w:val="009360A3"/>
    <w:rsid w:val="00936552"/>
    <w:rsid w:val="0094132E"/>
    <w:rsid w:val="00941E80"/>
    <w:rsid w:val="00942825"/>
    <w:rsid w:val="0094302B"/>
    <w:rsid w:val="00943375"/>
    <w:rsid w:val="00943C36"/>
    <w:rsid w:val="00943E23"/>
    <w:rsid w:val="00944B1E"/>
    <w:rsid w:val="00944F5C"/>
    <w:rsid w:val="00944FE6"/>
    <w:rsid w:val="009455CE"/>
    <w:rsid w:val="009458FE"/>
    <w:rsid w:val="00946B75"/>
    <w:rsid w:val="00947957"/>
    <w:rsid w:val="009555F4"/>
    <w:rsid w:val="00955C41"/>
    <w:rsid w:val="00955DC0"/>
    <w:rsid w:val="0095654D"/>
    <w:rsid w:val="009566E5"/>
    <w:rsid w:val="00956AD8"/>
    <w:rsid w:val="00960A6C"/>
    <w:rsid w:val="00961149"/>
    <w:rsid w:val="009613B2"/>
    <w:rsid w:val="00962238"/>
    <w:rsid w:val="00963DE1"/>
    <w:rsid w:val="009645D0"/>
    <w:rsid w:val="009652F0"/>
    <w:rsid w:val="00965D28"/>
    <w:rsid w:val="0096630A"/>
    <w:rsid w:val="00966357"/>
    <w:rsid w:val="00967070"/>
    <w:rsid w:val="00970814"/>
    <w:rsid w:val="00970D3B"/>
    <w:rsid w:val="009732EC"/>
    <w:rsid w:val="0097348A"/>
    <w:rsid w:val="00974E61"/>
    <w:rsid w:val="009750F6"/>
    <w:rsid w:val="00975C75"/>
    <w:rsid w:val="00975DA5"/>
    <w:rsid w:val="0097668B"/>
    <w:rsid w:val="009769F1"/>
    <w:rsid w:val="00977670"/>
    <w:rsid w:val="00981703"/>
    <w:rsid w:val="00981B18"/>
    <w:rsid w:val="00981CD2"/>
    <w:rsid w:val="00984012"/>
    <w:rsid w:val="00984CF1"/>
    <w:rsid w:val="009855B4"/>
    <w:rsid w:val="0098599F"/>
    <w:rsid w:val="009859C9"/>
    <w:rsid w:val="00985A96"/>
    <w:rsid w:val="00985D9A"/>
    <w:rsid w:val="00986E7D"/>
    <w:rsid w:val="00987950"/>
    <w:rsid w:val="00987CAD"/>
    <w:rsid w:val="00993251"/>
    <w:rsid w:val="00994805"/>
    <w:rsid w:val="00994873"/>
    <w:rsid w:val="0099721A"/>
    <w:rsid w:val="009A0391"/>
    <w:rsid w:val="009A0947"/>
    <w:rsid w:val="009A095E"/>
    <w:rsid w:val="009A09B8"/>
    <w:rsid w:val="009A0B85"/>
    <w:rsid w:val="009A16C2"/>
    <w:rsid w:val="009A1E88"/>
    <w:rsid w:val="009A22F1"/>
    <w:rsid w:val="009A2862"/>
    <w:rsid w:val="009A2E42"/>
    <w:rsid w:val="009A3263"/>
    <w:rsid w:val="009A3A89"/>
    <w:rsid w:val="009A3B18"/>
    <w:rsid w:val="009A3F4C"/>
    <w:rsid w:val="009A5294"/>
    <w:rsid w:val="009A545C"/>
    <w:rsid w:val="009A65F7"/>
    <w:rsid w:val="009A6619"/>
    <w:rsid w:val="009A68C7"/>
    <w:rsid w:val="009B0B3A"/>
    <w:rsid w:val="009B11F7"/>
    <w:rsid w:val="009B13B4"/>
    <w:rsid w:val="009B19CF"/>
    <w:rsid w:val="009B2114"/>
    <w:rsid w:val="009B2293"/>
    <w:rsid w:val="009B2C73"/>
    <w:rsid w:val="009B32E5"/>
    <w:rsid w:val="009B3310"/>
    <w:rsid w:val="009B3667"/>
    <w:rsid w:val="009B3684"/>
    <w:rsid w:val="009B36C7"/>
    <w:rsid w:val="009B373A"/>
    <w:rsid w:val="009B5932"/>
    <w:rsid w:val="009B70B7"/>
    <w:rsid w:val="009B72CC"/>
    <w:rsid w:val="009B737F"/>
    <w:rsid w:val="009B7707"/>
    <w:rsid w:val="009C1BA3"/>
    <w:rsid w:val="009C1C07"/>
    <w:rsid w:val="009C218B"/>
    <w:rsid w:val="009C28AD"/>
    <w:rsid w:val="009C2F0E"/>
    <w:rsid w:val="009C3AD7"/>
    <w:rsid w:val="009C4008"/>
    <w:rsid w:val="009C5202"/>
    <w:rsid w:val="009C5817"/>
    <w:rsid w:val="009C5A0D"/>
    <w:rsid w:val="009C5B85"/>
    <w:rsid w:val="009C72E2"/>
    <w:rsid w:val="009D122A"/>
    <w:rsid w:val="009D16C8"/>
    <w:rsid w:val="009D1708"/>
    <w:rsid w:val="009D186A"/>
    <w:rsid w:val="009D2A39"/>
    <w:rsid w:val="009D2D31"/>
    <w:rsid w:val="009D35DB"/>
    <w:rsid w:val="009D370B"/>
    <w:rsid w:val="009D3921"/>
    <w:rsid w:val="009D44A7"/>
    <w:rsid w:val="009D45A9"/>
    <w:rsid w:val="009D51E5"/>
    <w:rsid w:val="009D526B"/>
    <w:rsid w:val="009D71B5"/>
    <w:rsid w:val="009D7D8A"/>
    <w:rsid w:val="009E04C5"/>
    <w:rsid w:val="009E07E1"/>
    <w:rsid w:val="009E08BF"/>
    <w:rsid w:val="009E1D0F"/>
    <w:rsid w:val="009E1E85"/>
    <w:rsid w:val="009E2CD9"/>
    <w:rsid w:val="009E437A"/>
    <w:rsid w:val="009E461E"/>
    <w:rsid w:val="009E58B2"/>
    <w:rsid w:val="009E6DF3"/>
    <w:rsid w:val="009E7910"/>
    <w:rsid w:val="009F1308"/>
    <w:rsid w:val="009F1D87"/>
    <w:rsid w:val="009F20C6"/>
    <w:rsid w:val="009F2A36"/>
    <w:rsid w:val="009F2D8A"/>
    <w:rsid w:val="009F3890"/>
    <w:rsid w:val="009F3A7C"/>
    <w:rsid w:val="009F3DD4"/>
    <w:rsid w:val="009F4656"/>
    <w:rsid w:val="009F486C"/>
    <w:rsid w:val="009F5318"/>
    <w:rsid w:val="009F5A58"/>
    <w:rsid w:val="009F71A8"/>
    <w:rsid w:val="009F74E3"/>
    <w:rsid w:val="009F7A8D"/>
    <w:rsid w:val="009F7BB0"/>
    <w:rsid w:val="00A005FB"/>
    <w:rsid w:val="00A005FD"/>
    <w:rsid w:val="00A013D4"/>
    <w:rsid w:val="00A013FD"/>
    <w:rsid w:val="00A026CB"/>
    <w:rsid w:val="00A027A9"/>
    <w:rsid w:val="00A03605"/>
    <w:rsid w:val="00A03D83"/>
    <w:rsid w:val="00A041BC"/>
    <w:rsid w:val="00A044C4"/>
    <w:rsid w:val="00A04F8E"/>
    <w:rsid w:val="00A06812"/>
    <w:rsid w:val="00A0690B"/>
    <w:rsid w:val="00A06990"/>
    <w:rsid w:val="00A06F24"/>
    <w:rsid w:val="00A07095"/>
    <w:rsid w:val="00A115AF"/>
    <w:rsid w:val="00A117F3"/>
    <w:rsid w:val="00A12219"/>
    <w:rsid w:val="00A1222D"/>
    <w:rsid w:val="00A13568"/>
    <w:rsid w:val="00A139FF"/>
    <w:rsid w:val="00A13FF2"/>
    <w:rsid w:val="00A143B1"/>
    <w:rsid w:val="00A1561A"/>
    <w:rsid w:val="00A16BE5"/>
    <w:rsid w:val="00A173F7"/>
    <w:rsid w:val="00A20ADC"/>
    <w:rsid w:val="00A20F6E"/>
    <w:rsid w:val="00A211BA"/>
    <w:rsid w:val="00A215AD"/>
    <w:rsid w:val="00A21A0D"/>
    <w:rsid w:val="00A220B4"/>
    <w:rsid w:val="00A229B5"/>
    <w:rsid w:val="00A22F3A"/>
    <w:rsid w:val="00A23373"/>
    <w:rsid w:val="00A23490"/>
    <w:rsid w:val="00A23602"/>
    <w:rsid w:val="00A248C3"/>
    <w:rsid w:val="00A24AB1"/>
    <w:rsid w:val="00A24C5B"/>
    <w:rsid w:val="00A2551E"/>
    <w:rsid w:val="00A268D2"/>
    <w:rsid w:val="00A27F83"/>
    <w:rsid w:val="00A30367"/>
    <w:rsid w:val="00A30A29"/>
    <w:rsid w:val="00A314C6"/>
    <w:rsid w:val="00A31A97"/>
    <w:rsid w:val="00A31F6F"/>
    <w:rsid w:val="00A322E1"/>
    <w:rsid w:val="00A326F3"/>
    <w:rsid w:val="00A32701"/>
    <w:rsid w:val="00A32A3F"/>
    <w:rsid w:val="00A32F86"/>
    <w:rsid w:val="00A33CE9"/>
    <w:rsid w:val="00A3402D"/>
    <w:rsid w:val="00A3503B"/>
    <w:rsid w:val="00A353AC"/>
    <w:rsid w:val="00A357CA"/>
    <w:rsid w:val="00A35FB2"/>
    <w:rsid w:val="00A36113"/>
    <w:rsid w:val="00A36177"/>
    <w:rsid w:val="00A3779F"/>
    <w:rsid w:val="00A37854"/>
    <w:rsid w:val="00A406B0"/>
    <w:rsid w:val="00A40B9F"/>
    <w:rsid w:val="00A43070"/>
    <w:rsid w:val="00A43843"/>
    <w:rsid w:val="00A43878"/>
    <w:rsid w:val="00A43FC3"/>
    <w:rsid w:val="00A43FF2"/>
    <w:rsid w:val="00A44012"/>
    <w:rsid w:val="00A45788"/>
    <w:rsid w:val="00A45DB7"/>
    <w:rsid w:val="00A4628D"/>
    <w:rsid w:val="00A4675F"/>
    <w:rsid w:val="00A46D1A"/>
    <w:rsid w:val="00A47884"/>
    <w:rsid w:val="00A5089F"/>
    <w:rsid w:val="00A517B6"/>
    <w:rsid w:val="00A526E0"/>
    <w:rsid w:val="00A54E6D"/>
    <w:rsid w:val="00A54F58"/>
    <w:rsid w:val="00A550D2"/>
    <w:rsid w:val="00A557DF"/>
    <w:rsid w:val="00A55962"/>
    <w:rsid w:val="00A55BB2"/>
    <w:rsid w:val="00A563DE"/>
    <w:rsid w:val="00A56A71"/>
    <w:rsid w:val="00A575CE"/>
    <w:rsid w:val="00A6272C"/>
    <w:rsid w:val="00A62E98"/>
    <w:rsid w:val="00A6332A"/>
    <w:rsid w:val="00A63752"/>
    <w:rsid w:val="00A63B58"/>
    <w:rsid w:val="00A63B84"/>
    <w:rsid w:val="00A640A4"/>
    <w:rsid w:val="00A64640"/>
    <w:rsid w:val="00A65842"/>
    <w:rsid w:val="00A65A52"/>
    <w:rsid w:val="00A65A97"/>
    <w:rsid w:val="00A65C3B"/>
    <w:rsid w:val="00A65C6F"/>
    <w:rsid w:val="00A65D20"/>
    <w:rsid w:val="00A66344"/>
    <w:rsid w:val="00A67425"/>
    <w:rsid w:val="00A67446"/>
    <w:rsid w:val="00A67C90"/>
    <w:rsid w:val="00A703C5"/>
    <w:rsid w:val="00A70473"/>
    <w:rsid w:val="00A70CD9"/>
    <w:rsid w:val="00A70D5D"/>
    <w:rsid w:val="00A712AB"/>
    <w:rsid w:val="00A721BC"/>
    <w:rsid w:val="00A723E0"/>
    <w:rsid w:val="00A73742"/>
    <w:rsid w:val="00A74B7A"/>
    <w:rsid w:val="00A74FA2"/>
    <w:rsid w:val="00A75C94"/>
    <w:rsid w:val="00A76110"/>
    <w:rsid w:val="00A76B55"/>
    <w:rsid w:val="00A77BB3"/>
    <w:rsid w:val="00A8028B"/>
    <w:rsid w:val="00A80B6D"/>
    <w:rsid w:val="00A833A3"/>
    <w:rsid w:val="00A842D4"/>
    <w:rsid w:val="00A84756"/>
    <w:rsid w:val="00A84C62"/>
    <w:rsid w:val="00A84CC2"/>
    <w:rsid w:val="00A85050"/>
    <w:rsid w:val="00A903CC"/>
    <w:rsid w:val="00A93861"/>
    <w:rsid w:val="00A93E1F"/>
    <w:rsid w:val="00A94069"/>
    <w:rsid w:val="00A95405"/>
    <w:rsid w:val="00A95D23"/>
    <w:rsid w:val="00A96C0A"/>
    <w:rsid w:val="00A97079"/>
    <w:rsid w:val="00A9719C"/>
    <w:rsid w:val="00A972F9"/>
    <w:rsid w:val="00A97BE3"/>
    <w:rsid w:val="00A97F10"/>
    <w:rsid w:val="00AA110B"/>
    <w:rsid w:val="00AA1AC5"/>
    <w:rsid w:val="00AA25C6"/>
    <w:rsid w:val="00AA2831"/>
    <w:rsid w:val="00AA3167"/>
    <w:rsid w:val="00AA318A"/>
    <w:rsid w:val="00AA401C"/>
    <w:rsid w:val="00AA5E77"/>
    <w:rsid w:val="00AA6182"/>
    <w:rsid w:val="00AA6485"/>
    <w:rsid w:val="00AA64E7"/>
    <w:rsid w:val="00AA6832"/>
    <w:rsid w:val="00AB0111"/>
    <w:rsid w:val="00AB0114"/>
    <w:rsid w:val="00AB070A"/>
    <w:rsid w:val="00AB16A3"/>
    <w:rsid w:val="00AB2161"/>
    <w:rsid w:val="00AB313F"/>
    <w:rsid w:val="00AB3942"/>
    <w:rsid w:val="00AB65C4"/>
    <w:rsid w:val="00AB7381"/>
    <w:rsid w:val="00AB73DB"/>
    <w:rsid w:val="00AC0036"/>
    <w:rsid w:val="00AC0646"/>
    <w:rsid w:val="00AC2AA1"/>
    <w:rsid w:val="00AC31F5"/>
    <w:rsid w:val="00AC37B8"/>
    <w:rsid w:val="00AC385E"/>
    <w:rsid w:val="00AC4211"/>
    <w:rsid w:val="00AC57C5"/>
    <w:rsid w:val="00AC6233"/>
    <w:rsid w:val="00AC6731"/>
    <w:rsid w:val="00AD10EE"/>
    <w:rsid w:val="00AD12E0"/>
    <w:rsid w:val="00AD1FCA"/>
    <w:rsid w:val="00AD29D1"/>
    <w:rsid w:val="00AD2F52"/>
    <w:rsid w:val="00AD30B5"/>
    <w:rsid w:val="00AD3643"/>
    <w:rsid w:val="00AD3EA4"/>
    <w:rsid w:val="00AD5651"/>
    <w:rsid w:val="00AD62A8"/>
    <w:rsid w:val="00AD653A"/>
    <w:rsid w:val="00AD6B54"/>
    <w:rsid w:val="00AD6C64"/>
    <w:rsid w:val="00AD6F98"/>
    <w:rsid w:val="00AD7B63"/>
    <w:rsid w:val="00AD7F42"/>
    <w:rsid w:val="00AE153A"/>
    <w:rsid w:val="00AE22B9"/>
    <w:rsid w:val="00AE2744"/>
    <w:rsid w:val="00AE48A5"/>
    <w:rsid w:val="00AE7AD3"/>
    <w:rsid w:val="00AF03AA"/>
    <w:rsid w:val="00AF06B3"/>
    <w:rsid w:val="00AF189D"/>
    <w:rsid w:val="00AF1F41"/>
    <w:rsid w:val="00AF285E"/>
    <w:rsid w:val="00AF359E"/>
    <w:rsid w:val="00AF4790"/>
    <w:rsid w:val="00AF4C9A"/>
    <w:rsid w:val="00AF5801"/>
    <w:rsid w:val="00AF5BD0"/>
    <w:rsid w:val="00AF5E44"/>
    <w:rsid w:val="00AF7BC9"/>
    <w:rsid w:val="00AF7C9C"/>
    <w:rsid w:val="00B004BE"/>
    <w:rsid w:val="00B009A6"/>
    <w:rsid w:val="00B01782"/>
    <w:rsid w:val="00B01E1C"/>
    <w:rsid w:val="00B02779"/>
    <w:rsid w:val="00B037D4"/>
    <w:rsid w:val="00B04164"/>
    <w:rsid w:val="00B04570"/>
    <w:rsid w:val="00B04CB8"/>
    <w:rsid w:val="00B04F75"/>
    <w:rsid w:val="00B0591C"/>
    <w:rsid w:val="00B05DD6"/>
    <w:rsid w:val="00B067F9"/>
    <w:rsid w:val="00B06C26"/>
    <w:rsid w:val="00B07EA9"/>
    <w:rsid w:val="00B1152F"/>
    <w:rsid w:val="00B121D5"/>
    <w:rsid w:val="00B12397"/>
    <w:rsid w:val="00B12944"/>
    <w:rsid w:val="00B12992"/>
    <w:rsid w:val="00B12FB5"/>
    <w:rsid w:val="00B14329"/>
    <w:rsid w:val="00B147C0"/>
    <w:rsid w:val="00B14AA6"/>
    <w:rsid w:val="00B14D91"/>
    <w:rsid w:val="00B1590B"/>
    <w:rsid w:val="00B167CD"/>
    <w:rsid w:val="00B2011A"/>
    <w:rsid w:val="00B20181"/>
    <w:rsid w:val="00B201D2"/>
    <w:rsid w:val="00B203D4"/>
    <w:rsid w:val="00B211B1"/>
    <w:rsid w:val="00B21805"/>
    <w:rsid w:val="00B220CB"/>
    <w:rsid w:val="00B22558"/>
    <w:rsid w:val="00B22E5E"/>
    <w:rsid w:val="00B239BC"/>
    <w:rsid w:val="00B26298"/>
    <w:rsid w:val="00B26443"/>
    <w:rsid w:val="00B30077"/>
    <w:rsid w:val="00B302C1"/>
    <w:rsid w:val="00B308C2"/>
    <w:rsid w:val="00B312C7"/>
    <w:rsid w:val="00B3200D"/>
    <w:rsid w:val="00B326BF"/>
    <w:rsid w:val="00B33396"/>
    <w:rsid w:val="00B34776"/>
    <w:rsid w:val="00B348F8"/>
    <w:rsid w:val="00B34FA7"/>
    <w:rsid w:val="00B355BE"/>
    <w:rsid w:val="00B35E34"/>
    <w:rsid w:val="00B36754"/>
    <w:rsid w:val="00B367E3"/>
    <w:rsid w:val="00B36DF9"/>
    <w:rsid w:val="00B3709A"/>
    <w:rsid w:val="00B37345"/>
    <w:rsid w:val="00B37398"/>
    <w:rsid w:val="00B37BBD"/>
    <w:rsid w:val="00B408B1"/>
    <w:rsid w:val="00B40B0E"/>
    <w:rsid w:val="00B40FF8"/>
    <w:rsid w:val="00B42606"/>
    <w:rsid w:val="00B42745"/>
    <w:rsid w:val="00B4292A"/>
    <w:rsid w:val="00B42D92"/>
    <w:rsid w:val="00B43265"/>
    <w:rsid w:val="00B4365D"/>
    <w:rsid w:val="00B447E3"/>
    <w:rsid w:val="00B44BDD"/>
    <w:rsid w:val="00B463BD"/>
    <w:rsid w:val="00B46CF8"/>
    <w:rsid w:val="00B5064B"/>
    <w:rsid w:val="00B51440"/>
    <w:rsid w:val="00B516D7"/>
    <w:rsid w:val="00B519E8"/>
    <w:rsid w:val="00B53058"/>
    <w:rsid w:val="00B532D9"/>
    <w:rsid w:val="00B53951"/>
    <w:rsid w:val="00B5424A"/>
    <w:rsid w:val="00B543BA"/>
    <w:rsid w:val="00B55BD6"/>
    <w:rsid w:val="00B56407"/>
    <w:rsid w:val="00B56751"/>
    <w:rsid w:val="00B569E3"/>
    <w:rsid w:val="00B56D2C"/>
    <w:rsid w:val="00B57A53"/>
    <w:rsid w:val="00B61672"/>
    <w:rsid w:val="00B62A34"/>
    <w:rsid w:val="00B62C70"/>
    <w:rsid w:val="00B63180"/>
    <w:rsid w:val="00B63255"/>
    <w:rsid w:val="00B63408"/>
    <w:rsid w:val="00B638AA"/>
    <w:rsid w:val="00B64A79"/>
    <w:rsid w:val="00B654CA"/>
    <w:rsid w:val="00B660BA"/>
    <w:rsid w:val="00B66837"/>
    <w:rsid w:val="00B70BAA"/>
    <w:rsid w:val="00B723CE"/>
    <w:rsid w:val="00B7486D"/>
    <w:rsid w:val="00B74C91"/>
    <w:rsid w:val="00B760A6"/>
    <w:rsid w:val="00B764ED"/>
    <w:rsid w:val="00B778A1"/>
    <w:rsid w:val="00B80639"/>
    <w:rsid w:val="00B80D0E"/>
    <w:rsid w:val="00B81B8B"/>
    <w:rsid w:val="00B81E3A"/>
    <w:rsid w:val="00B81EE7"/>
    <w:rsid w:val="00B8237E"/>
    <w:rsid w:val="00B83763"/>
    <w:rsid w:val="00B83D4D"/>
    <w:rsid w:val="00B844D7"/>
    <w:rsid w:val="00B849B5"/>
    <w:rsid w:val="00B84FC2"/>
    <w:rsid w:val="00B859EE"/>
    <w:rsid w:val="00B868C5"/>
    <w:rsid w:val="00B86F27"/>
    <w:rsid w:val="00B87908"/>
    <w:rsid w:val="00B903A4"/>
    <w:rsid w:val="00B91237"/>
    <w:rsid w:val="00B920E2"/>
    <w:rsid w:val="00B934E7"/>
    <w:rsid w:val="00B93785"/>
    <w:rsid w:val="00B94449"/>
    <w:rsid w:val="00B945AC"/>
    <w:rsid w:val="00B95B74"/>
    <w:rsid w:val="00B95FB5"/>
    <w:rsid w:val="00B9633F"/>
    <w:rsid w:val="00B96910"/>
    <w:rsid w:val="00B97250"/>
    <w:rsid w:val="00B9762B"/>
    <w:rsid w:val="00B977FB"/>
    <w:rsid w:val="00BA0D00"/>
    <w:rsid w:val="00BA2063"/>
    <w:rsid w:val="00BA2CAB"/>
    <w:rsid w:val="00BA35BD"/>
    <w:rsid w:val="00BA41A7"/>
    <w:rsid w:val="00BA466B"/>
    <w:rsid w:val="00BA489A"/>
    <w:rsid w:val="00BA4B75"/>
    <w:rsid w:val="00BA69AB"/>
    <w:rsid w:val="00BA7E60"/>
    <w:rsid w:val="00BB019E"/>
    <w:rsid w:val="00BB11FC"/>
    <w:rsid w:val="00BB1A74"/>
    <w:rsid w:val="00BB1EF2"/>
    <w:rsid w:val="00BB2644"/>
    <w:rsid w:val="00BB2D3C"/>
    <w:rsid w:val="00BB2F1F"/>
    <w:rsid w:val="00BB2FE9"/>
    <w:rsid w:val="00BB31CE"/>
    <w:rsid w:val="00BB33C5"/>
    <w:rsid w:val="00BB36FD"/>
    <w:rsid w:val="00BB3BEF"/>
    <w:rsid w:val="00BB462F"/>
    <w:rsid w:val="00BB6C7E"/>
    <w:rsid w:val="00BB7098"/>
    <w:rsid w:val="00BC0454"/>
    <w:rsid w:val="00BC10F2"/>
    <w:rsid w:val="00BC1405"/>
    <w:rsid w:val="00BC1EA0"/>
    <w:rsid w:val="00BC22D5"/>
    <w:rsid w:val="00BC2987"/>
    <w:rsid w:val="00BC2BED"/>
    <w:rsid w:val="00BC411C"/>
    <w:rsid w:val="00BC454C"/>
    <w:rsid w:val="00BC4A66"/>
    <w:rsid w:val="00BC515D"/>
    <w:rsid w:val="00BC5470"/>
    <w:rsid w:val="00BC6F94"/>
    <w:rsid w:val="00BD07AB"/>
    <w:rsid w:val="00BD167E"/>
    <w:rsid w:val="00BD1869"/>
    <w:rsid w:val="00BD19D0"/>
    <w:rsid w:val="00BD298C"/>
    <w:rsid w:val="00BD2BC4"/>
    <w:rsid w:val="00BD3061"/>
    <w:rsid w:val="00BD3FD5"/>
    <w:rsid w:val="00BD4639"/>
    <w:rsid w:val="00BD481F"/>
    <w:rsid w:val="00BD4B71"/>
    <w:rsid w:val="00BD4F42"/>
    <w:rsid w:val="00BD5AED"/>
    <w:rsid w:val="00BD6721"/>
    <w:rsid w:val="00BD69D3"/>
    <w:rsid w:val="00BD6C5A"/>
    <w:rsid w:val="00BD71BF"/>
    <w:rsid w:val="00BD7528"/>
    <w:rsid w:val="00BE0CD5"/>
    <w:rsid w:val="00BE2274"/>
    <w:rsid w:val="00BE3A38"/>
    <w:rsid w:val="00BE50A7"/>
    <w:rsid w:val="00BE6899"/>
    <w:rsid w:val="00BE6BC8"/>
    <w:rsid w:val="00BE6BCB"/>
    <w:rsid w:val="00BE7B70"/>
    <w:rsid w:val="00BF072E"/>
    <w:rsid w:val="00BF0956"/>
    <w:rsid w:val="00BF164E"/>
    <w:rsid w:val="00BF1A55"/>
    <w:rsid w:val="00BF1B02"/>
    <w:rsid w:val="00BF1B04"/>
    <w:rsid w:val="00BF1E33"/>
    <w:rsid w:val="00BF207B"/>
    <w:rsid w:val="00BF2D8C"/>
    <w:rsid w:val="00BF356A"/>
    <w:rsid w:val="00BF3B37"/>
    <w:rsid w:val="00BF3CD8"/>
    <w:rsid w:val="00BF3E96"/>
    <w:rsid w:val="00BF5143"/>
    <w:rsid w:val="00BF5C7D"/>
    <w:rsid w:val="00BF60AC"/>
    <w:rsid w:val="00BF6711"/>
    <w:rsid w:val="00BF6B8B"/>
    <w:rsid w:val="00BF7DB7"/>
    <w:rsid w:val="00C00DFB"/>
    <w:rsid w:val="00C01435"/>
    <w:rsid w:val="00C034EA"/>
    <w:rsid w:val="00C03BAF"/>
    <w:rsid w:val="00C05814"/>
    <w:rsid w:val="00C06272"/>
    <w:rsid w:val="00C079DB"/>
    <w:rsid w:val="00C101A0"/>
    <w:rsid w:val="00C11A9B"/>
    <w:rsid w:val="00C11BA4"/>
    <w:rsid w:val="00C11FE7"/>
    <w:rsid w:val="00C1243D"/>
    <w:rsid w:val="00C128D3"/>
    <w:rsid w:val="00C1375B"/>
    <w:rsid w:val="00C137A4"/>
    <w:rsid w:val="00C142BE"/>
    <w:rsid w:val="00C145E3"/>
    <w:rsid w:val="00C15BE4"/>
    <w:rsid w:val="00C15CF7"/>
    <w:rsid w:val="00C15DE8"/>
    <w:rsid w:val="00C16724"/>
    <w:rsid w:val="00C169C1"/>
    <w:rsid w:val="00C17048"/>
    <w:rsid w:val="00C17358"/>
    <w:rsid w:val="00C21307"/>
    <w:rsid w:val="00C21D92"/>
    <w:rsid w:val="00C21E1F"/>
    <w:rsid w:val="00C22BCA"/>
    <w:rsid w:val="00C2374B"/>
    <w:rsid w:val="00C2394B"/>
    <w:rsid w:val="00C2465D"/>
    <w:rsid w:val="00C24885"/>
    <w:rsid w:val="00C249BB"/>
    <w:rsid w:val="00C2602F"/>
    <w:rsid w:val="00C261E7"/>
    <w:rsid w:val="00C271A8"/>
    <w:rsid w:val="00C27593"/>
    <w:rsid w:val="00C277CF"/>
    <w:rsid w:val="00C27D98"/>
    <w:rsid w:val="00C3035C"/>
    <w:rsid w:val="00C306B9"/>
    <w:rsid w:val="00C312E2"/>
    <w:rsid w:val="00C319D0"/>
    <w:rsid w:val="00C32E65"/>
    <w:rsid w:val="00C32F95"/>
    <w:rsid w:val="00C3310C"/>
    <w:rsid w:val="00C332AC"/>
    <w:rsid w:val="00C33365"/>
    <w:rsid w:val="00C33B47"/>
    <w:rsid w:val="00C3410D"/>
    <w:rsid w:val="00C34D8B"/>
    <w:rsid w:val="00C355F8"/>
    <w:rsid w:val="00C36F90"/>
    <w:rsid w:val="00C400F1"/>
    <w:rsid w:val="00C404F5"/>
    <w:rsid w:val="00C40CCE"/>
    <w:rsid w:val="00C41127"/>
    <w:rsid w:val="00C41FB2"/>
    <w:rsid w:val="00C447D1"/>
    <w:rsid w:val="00C4515D"/>
    <w:rsid w:val="00C45BAE"/>
    <w:rsid w:val="00C45EA5"/>
    <w:rsid w:val="00C45F56"/>
    <w:rsid w:val="00C460A7"/>
    <w:rsid w:val="00C46647"/>
    <w:rsid w:val="00C46D40"/>
    <w:rsid w:val="00C471D9"/>
    <w:rsid w:val="00C47F90"/>
    <w:rsid w:val="00C50918"/>
    <w:rsid w:val="00C50F49"/>
    <w:rsid w:val="00C51350"/>
    <w:rsid w:val="00C519FD"/>
    <w:rsid w:val="00C5205E"/>
    <w:rsid w:val="00C52558"/>
    <w:rsid w:val="00C52AC0"/>
    <w:rsid w:val="00C52BA9"/>
    <w:rsid w:val="00C53217"/>
    <w:rsid w:val="00C535B4"/>
    <w:rsid w:val="00C53D64"/>
    <w:rsid w:val="00C54366"/>
    <w:rsid w:val="00C55DF3"/>
    <w:rsid w:val="00C56351"/>
    <w:rsid w:val="00C57241"/>
    <w:rsid w:val="00C6149C"/>
    <w:rsid w:val="00C626B7"/>
    <w:rsid w:val="00C62B25"/>
    <w:rsid w:val="00C6475E"/>
    <w:rsid w:val="00C65D53"/>
    <w:rsid w:val="00C661D8"/>
    <w:rsid w:val="00C669DD"/>
    <w:rsid w:val="00C66BFC"/>
    <w:rsid w:val="00C67751"/>
    <w:rsid w:val="00C67814"/>
    <w:rsid w:val="00C7092C"/>
    <w:rsid w:val="00C70E81"/>
    <w:rsid w:val="00C716ED"/>
    <w:rsid w:val="00C725EF"/>
    <w:rsid w:val="00C727F8"/>
    <w:rsid w:val="00C7291A"/>
    <w:rsid w:val="00C7396E"/>
    <w:rsid w:val="00C740DE"/>
    <w:rsid w:val="00C746B5"/>
    <w:rsid w:val="00C74C51"/>
    <w:rsid w:val="00C74C92"/>
    <w:rsid w:val="00C75141"/>
    <w:rsid w:val="00C76520"/>
    <w:rsid w:val="00C76CA9"/>
    <w:rsid w:val="00C807BB"/>
    <w:rsid w:val="00C813A2"/>
    <w:rsid w:val="00C81DB9"/>
    <w:rsid w:val="00C821D8"/>
    <w:rsid w:val="00C82DA5"/>
    <w:rsid w:val="00C83394"/>
    <w:rsid w:val="00C83EBC"/>
    <w:rsid w:val="00C84058"/>
    <w:rsid w:val="00C84776"/>
    <w:rsid w:val="00C84B84"/>
    <w:rsid w:val="00C84EE8"/>
    <w:rsid w:val="00C8517A"/>
    <w:rsid w:val="00C8532A"/>
    <w:rsid w:val="00C85753"/>
    <w:rsid w:val="00C86337"/>
    <w:rsid w:val="00C86B5F"/>
    <w:rsid w:val="00C87801"/>
    <w:rsid w:val="00C879B4"/>
    <w:rsid w:val="00C9035A"/>
    <w:rsid w:val="00C91751"/>
    <w:rsid w:val="00C91827"/>
    <w:rsid w:val="00C92412"/>
    <w:rsid w:val="00C9298D"/>
    <w:rsid w:val="00C9342F"/>
    <w:rsid w:val="00C95A43"/>
    <w:rsid w:val="00C9607F"/>
    <w:rsid w:val="00C96228"/>
    <w:rsid w:val="00C977CA"/>
    <w:rsid w:val="00CA05E8"/>
    <w:rsid w:val="00CA1EB8"/>
    <w:rsid w:val="00CA2546"/>
    <w:rsid w:val="00CA38BB"/>
    <w:rsid w:val="00CA3FFA"/>
    <w:rsid w:val="00CA4233"/>
    <w:rsid w:val="00CA4C48"/>
    <w:rsid w:val="00CA50F6"/>
    <w:rsid w:val="00CA673F"/>
    <w:rsid w:val="00CA6CF9"/>
    <w:rsid w:val="00CA6F18"/>
    <w:rsid w:val="00CB0879"/>
    <w:rsid w:val="00CB19BB"/>
    <w:rsid w:val="00CB1DC2"/>
    <w:rsid w:val="00CB1F8B"/>
    <w:rsid w:val="00CB2B85"/>
    <w:rsid w:val="00CB2CCB"/>
    <w:rsid w:val="00CB30EC"/>
    <w:rsid w:val="00CB325C"/>
    <w:rsid w:val="00CB38FA"/>
    <w:rsid w:val="00CB5814"/>
    <w:rsid w:val="00CB6623"/>
    <w:rsid w:val="00CB6E97"/>
    <w:rsid w:val="00CC01B9"/>
    <w:rsid w:val="00CC1BE1"/>
    <w:rsid w:val="00CC2ED7"/>
    <w:rsid w:val="00CC3962"/>
    <w:rsid w:val="00CC4229"/>
    <w:rsid w:val="00CC42C1"/>
    <w:rsid w:val="00CC4A1F"/>
    <w:rsid w:val="00CC4BAD"/>
    <w:rsid w:val="00CC4DB8"/>
    <w:rsid w:val="00CC4F7A"/>
    <w:rsid w:val="00CC591B"/>
    <w:rsid w:val="00CC5BA5"/>
    <w:rsid w:val="00CC5FE0"/>
    <w:rsid w:val="00CC6A8C"/>
    <w:rsid w:val="00CC6AC2"/>
    <w:rsid w:val="00CC7C28"/>
    <w:rsid w:val="00CD14BA"/>
    <w:rsid w:val="00CD1C63"/>
    <w:rsid w:val="00CD20C9"/>
    <w:rsid w:val="00CD23CD"/>
    <w:rsid w:val="00CD24E2"/>
    <w:rsid w:val="00CD2D0C"/>
    <w:rsid w:val="00CD407E"/>
    <w:rsid w:val="00CD4A0B"/>
    <w:rsid w:val="00CD5ACA"/>
    <w:rsid w:val="00CD5F5F"/>
    <w:rsid w:val="00CD6988"/>
    <w:rsid w:val="00CD73AE"/>
    <w:rsid w:val="00CD7D70"/>
    <w:rsid w:val="00CD7E91"/>
    <w:rsid w:val="00CD7EC4"/>
    <w:rsid w:val="00CE0180"/>
    <w:rsid w:val="00CE04A4"/>
    <w:rsid w:val="00CE07EB"/>
    <w:rsid w:val="00CE15B4"/>
    <w:rsid w:val="00CE1CBC"/>
    <w:rsid w:val="00CE3FFC"/>
    <w:rsid w:val="00CE41CA"/>
    <w:rsid w:val="00CE41DA"/>
    <w:rsid w:val="00CE44F0"/>
    <w:rsid w:val="00CE4C82"/>
    <w:rsid w:val="00CE6532"/>
    <w:rsid w:val="00CE6626"/>
    <w:rsid w:val="00CE6819"/>
    <w:rsid w:val="00CF0432"/>
    <w:rsid w:val="00CF07BB"/>
    <w:rsid w:val="00CF0B88"/>
    <w:rsid w:val="00CF1461"/>
    <w:rsid w:val="00CF2693"/>
    <w:rsid w:val="00CF2A7D"/>
    <w:rsid w:val="00CF313F"/>
    <w:rsid w:val="00CF3FE6"/>
    <w:rsid w:val="00CF45CD"/>
    <w:rsid w:val="00CF4E02"/>
    <w:rsid w:val="00CF5368"/>
    <w:rsid w:val="00CF6C3E"/>
    <w:rsid w:val="00CF77EF"/>
    <w:rsid w:val="00D008FB"/>
    <w:rsid w:val="00D00DBE"/>
    <w:rsid w:val="00D010FA"/>
    <w:rsid w:val="00D015CF"/>
    <w:rsid w:val="00D01C15"/>
    <w:rsid w:val="00D0342F"/>
    <w:rsid w:val="00D03627"/>
    <w:rsid w:val="00D039BC"/>
    <w:rsid w:val="00D03B20"/>
    <w:rsid w:val="00D03FE6"/>
    <w:rsid w:val="00D055EB"/>
    <w:rsid w:val="00D05C51"/>
    <w:rsid w:val="00D05D1C"/>
    <w:rsid w:val="00D10297"/>
    <w:rsid w:val="00D10A76"/>
    <w:rsid w:val="00D119B8"/>
    <w:rsid w:val="00D11F1F"/>
    <w:rsid w:val="00D123C3"/>
    <w:rsid w:val="00D124CE"/>
    <w:rsid w:val="00D12E89"/>
    <w:rsid w:val="00D1386E"/>
    <w:rsid w:val="00D13B08"/>
    <w:rsid w:val="00D13EE0"/>
    <w:rsid w:val="00D16480"/>
    <w:rsid w:val="00D16D22"/>
    <w:rsid w:val="00D16ECD"/>
    <w:rsid w:val="00D17F63"/>
    <w:rsid w:val="00D20100"/>
    <w:rsid w:val="00D215A9"/>
    <w:rsid w:val="00D21B59"/>
    <w:rsid w:val="00D21E92"/>
    <w:rsid w:val="00D22710"/>
    <w:rsid w:val="00D229E9"/>
    <w:rsid w:val="00D230EC"/>
    <w:rsid w:val="00D23AA0"/>
    <w:rsid w:val="00D2584D"/>
    <w:rsid w:val="00D258D2"/>
    <w:rsid w:val="00D25F86"/>
    <w:rsid w:val="00D27237"/>
    <w:rsid w:val="00D27E7D"/>
    <w:rsid w:val="00D31293"/>
    <w:rsid w:val="00D31DC9"/>
    <w:rsid w:val="00D31FC4"/>
    <w:rsid w:val="00D32198"/>
    <w:rsid w:val="00D32FCB"/>
    <w:rsid w:val="00D33636"/>
    <w:rsid w:val="00D33974"/>
    <w:rsid w:val="00D356DC"/>
    <w:rsid w:val="00D35B6C"/>
    <w:rsid w:val="00D36D6F"/>
    <w:rsid w:val="00D37CBF"/>
    <w:rsid w:val="00D40820"/>
    <w:rsid w:val="00D412CE"/>
    <w:rsid w:val="00D4170E"/>
    <w:rsid w:val="00D41898"/>
    <w:rsid w:val="00D41E7D"/>
    <w:rsid w:val="00D437BE"/>
    <w:rsid w:val="00D44306"/>
    <w:rsid w:val="00D44BA8"/>
    <w:rsid w:val="00D44EC6"/>
    <w:rsid w:val="00D450DD"/>
    <w:rsid w:val="00D4523F"/>
    <w:rsid w:val="00D4565E"/>
    <w:rsid w:val="00D4619D"/>
    <w:rsid w:val="00D4651B"/>
    <w:rsid w:val="00D47371"/>
    <w:rsid w:val="00D5020B"/>
    <w:rsid w:val="00D5044A"/>
    <w:rsid w:val="00D510B2"/>
    <w:rsid w:val="00D512D6"/>
    <w:rsid w:val="00D51E2D"/>
    <w:rsid w:val="00D51F7A"/>
    <w:rsid w:val="00D520D0"/>
    <w:rsid w:val="00D52435"/>
    <w:rsid w:val="00D5274B"/>
    <w:rsid w:val="00D53E26"/>
    <w:rsid w:val="00D5408C"/>
    <w:rsid w:val="00D5496A"/>
    <w:rsid w:val="00D54D7D"/>
    <w:rsid w:val="00D559EE"/>
    <w:rsid w:val="00D561C0"/>
    <w:rsid w:val="00D605FB"/>
    <w:rsid w:val="00D60865"/>
    <w:rsid w:val="00D615F2"/>
    <w:rsid w:val="00D6172A"/>
    <w:rsid w:val="00D61760"/>
    <w:rsid w:val="00D62216"/>
    <w:rsid w:val="00D6228F"/>
    <w:rsid w:val="00D62C21"/>
    <w:rsid w:val="00D63E22"/>
    <w:rsid w:val="00D644DC"/>
    <w:rsid w:val="00D65BDB"/>
    <w:rsid w:val="00D66613"/>
    <w:rsid w:val="00D667DF"/>
    <w:rsid w:val="00D673D2"/>
    <w:rsid w:val="00D67595"/>
    <w:rsid w:val="00D67D3B"/>
    <w:rsid w:val="00D7038C"/>
    <w:rsid w:val="00D70C6E"/>
    <w:rsid w:val="00D70FE5"/>
    <w:rsid w:val="00D71A6D"/>
    <w:rsid w:val="00D71D2F"/>
    <w:rsid w:val="00D7298A"/>
    <w:rsid w:val="00D73313"/>
    <w:rsid w:val="00D73CD2"/>
    <w:rsid w:val="00D740A1"/>
    <w:rsid w:val="00D74FA8"/>
    <w:rsid w:val="00D7545A"/>
    <w:rsid w:val="00D754F3"/>
    <w:rsid w:val="00D75BDE"/>
    <w:rsid w:val="00D76189"/>
    <w:rsid w:val="00D7773C"/>
    <w:rsid w:val="00D77F31"/>
    <w:rsid w:val="00D80076"/>
    <w:rsid w:val="00D811C9"/>
    <w:rsid w:val="00D812C0"/>
    <w:rsid w:val="00D81DA6"/>
    <w:rsid w:val="00D81F5F"/>
    <w:rsid w:val="00D829A0"/>
    <w:rsid w:val="00D829DF"/>
    <w:rsid w:val="00D83398"/>
    <w:rsid w:val="00D8346B"/>
    <w:rsid w:val="00D8392A"/>
    <w:rsid w:val="00D8555D"/>
    <w:rsid w:val="00D86429"/>
    <w:rsid w:val="00D865A2"/>
    <w:rsid w:val="00D86D35"/>
    <w:rsid w:val="00D871A7"/>
    <w:rsid w:val="00D92F7A"/>
    <w:rsid w:val="00D93360"/>
    <w:rsid w:val="00D939C1"/>
    <w:rsid w:val="00D955A2"/>
    <w:rsid w:val="00D95CBC"/>
    <w:rsid w:val="00D95CFF"/>
    <w:rsid w:val="00D95FCB"/>
    <w:rsid w:val="00D962F8"/>
    <w:rsid w:val="00D96F3C"/>
    <w:rsid w:val="00D9745D"/>
    <w:rsid w:val="00DA051B"/>
    <w:rsid w:val="00DA0E68"/>
    <w:rsid w:val="00DA1793"/>
    <w:rsid w:val="00DA17F1"/>
    <w:rsid w:val="00DA1859"/>
    <w:rsid w:val="00DA274E"/>
    <w:rsid w:val="00DA28A3"/>
    <w:rsid w:val="00DA3DEB"/>
    <w:rsid w:val="00DA3FBB"/>
    <w:rsid w:val="00DA4275"/>
    <w:rsid w:val="00DA4323"/>
    <w:rsid w:val="00DA6015"/>
    <w:rsid w:val="00DA6A8D"/>
    <w:rsid w:val="00DA6C61"/>
    <w:rsid w:val="00DB0812"/>
    <w:rsid w:val="00DB3F1A"/>
    <w:rsid w:val="00DB45E6"/>
    <w:rsid w:val="00DB7B02"/>
    <w:rsid w:val="00DB7DDF"/>
    <w:rsid w:val="00DC09B5"/>
    <w:rsid w:val="00DC0D4E"/>
    <w:rsid w:val="00DC14EF"/>
    <w:rsid w:val="00DC158C"/>
    <w:rsid w:val="00DC16D6"/>
    <w:rsid w:val="00DC2B4B"/>
    <w:rsid w:val="00DC2F80"/>
    <w:rsid w:val="00DC4D7D"/>
    <w:rsid w:val="00DC69C4"/>
    <w:rsid w:val="00DC6B42"/>
    <w:rsid w:val="00DC6D7E"/>
    <w:rsid w:val="00DC75B4"/>
    <w:rsid w:val="00DC79B9"/>
    <w:rsid w:val="00DD1AF9"/>
    <w:rsid w:val="00DD30F5"/>
    <w:rsid w:val="00DD3195"/>
    <w:rsid w:val="00DD3C0E"/>
    <w:rsid w:val="00DD3C76"/>
    <w:rsid w:val="00DD3FAA"/>
    <w:rsid w:val="00DD42A8"/>
    <w:rsid w:val="00DD4549"/>
    <w:rsid w:val="00DD5601"/>
    <w:rsid w:val="00DD5AB4"/>
    <w:rsid w:val="00DD6478"/>
    <w:rsid w:val="00DD6540"/>
    <w:rsid w:val="00DD6638"/>
    <w:rsid w:val="00DD6C79"/>
    <w:rsid w:val="00DD6CF6"/>
    <w:rsid w:val="00DD7BB9"/>
    <w:rsid w:val="00DD7C67"/>
    <w:rsid w:val="00DD7CB6"/>
    <w:rsid w:val="00DE0C08"/>
    <w:rsid w:val="00DE106C"/>
    <w:rsid w:val="00DE17B2"/>
    <w:rsid w:val="00DE3543"/>
    <w:rsid w:val="00DE44D2"/>
    <w:rsid w:val="00DE622B"/>
    <w:rsid w:val="00DE6390"/>
    <w:rsid w:val="00DE658C"/>
    <w:rsid w:val="00DE67E9"/>
    <w:rsid w:val="00DE697F"/>
    <w:rsid w:val="00DE6B3D"/>
    <w:rsid w:val="00DE75DD"/>
    <w:rsid w:val="00DE7AE8"/>
    <w:rsid w:val="00DE7B75"/>
    <w:rsid w:val="00DF0085"/>
    <w:rsid w:val="00DF04D4"/>
    <w:rsid w:val="00DF29BF"/>
    <w:rsid w:val="00DF3050"/>
    <w:rsid w:val="00DF490B"/>
    <w:rsid w:val="00DF515B"/>
    <w:rsid w:val="00DF5F09"/>
    <w:rsid w:val="00DF7A6C"/>
    <w:rsid w:val="00E00F66"/>
    <w:rsid w:val="00E0154E"/>
    <w:rsid w:val="00E02A55"/>
    <w:rsid w:val="00E03432"/>
    <w:rsid w:val="00E03466"/>
    <w:rsid w:val="00E0364E"/>
    <w:rsid w:val="00E03779"/>
    <w:rsid w:val="00E0429F"/>
    <w:rsid w:val="00E05029"/>
    <w:rsid w:val="00E05741"/>
    <w:rsid w:val="00E05B46"/>
    <w:rsid w:val="00E06A0C"/>
    <w:rsid w:val="00E07147"/>
    <w:rsid w:val="00E07402"/>
    <w:rsid w:val="00E11D00"/>
    <w:rsid w:val="00E1208E"/>
    <w:rsid w:val="00E144AB"/>
    <w:rsid w:val="00E15AF3"/>
    <w:rsid w:val="00E16CEA"/>
    <w:rsid w:val="00E20AD5"/>
    <w:rsid w:val="00E22304"/>
    <w:rsid w:val="00E22B0F"/>
    <w:rsid w:val="00E23914"/>
    <w:rsid w:val="00E23B1A"/>
    <w:rsid w:val="00E2482F"/>
    <w:rsid w:val="00E2516E"/>
    <w:rsid w:val="00E26F5B"/>
    <w:rsid w:val="00E271C7"/>
    <w:rsid w:val="00E274B0"/>
    <w:rsid w:val="00E27AF2"/>
    <w:rsid w:val="00E27ED5"/>
    <w:rsid w:val="00E3032E"/>
    <w:rsid w:val="00E31984"/>
    <w:rsid w:val="00E32C29"/>
    <w:rsid w:val="00E32E16"/>
    <w:rsid w:val="00E33B87"/>
    <w:rsid w:val="00E33C0C"/>
    <w:rsid w:val="00E33FA0"/>
    <w:rsid w:val="00E34449"/>
    <w:rsid w:val="00E35612"/>
    <w:rsid w:val="00E356B6"/>
    <w:rsid w:val="00E35C3E"/>
    <w:rsid w:val="00E379E5"/>
    <w:rsid w:val="00E40113"/>
    <w:rsid w:val="00E418CC"/>
    <w:rsid w:val="00E41C4D"/>
    <w:rsid w:val="00E4270A"/>
    <w:rsid w:val="00E42962"/>
    <w:rsid w:val="00E42A58"/>
    <w:rsid w:val="00E4393A"/>
    <w:rsid w:val="00E443E7"/>
    <w:rsid w:val="00E453E0"/>
    <w:rsid w:val="00E4551C"/>
    <w:rsid w:val="00E45A62"/>
    <w:rsid w:val="00E477F9"/>
    <w:rsid w:val="00E47B89"/>
    <w:rsid w:val="00E47C6A"/>
    <w:rsid w:val="00E47EE5"/>
    <w:rsid w:val="00E50262"/>
    <w:rsid w:val="00E50C88"/>
    <w:rsid w:val="00E52089"/>
    <w:rsid w:val="00E524A8"/>
    <w:rsid w:val="00E52A8B"/>
    <w:rsid w:val="00E52DA8"/>
    <w:rsid w:val="00E52E34"/>
    <w:rsid w:val="00E544CD"/>
    <w:rsid w:val="00E566DF"/>
    <w:rsid w:val="00E5677A"/>
    <w:rsid w:val="00E567DE"/>
    <w:rsid w:val="00E56DE7"/>
    <w:rsid w:val="00E573A8"/>
    <w:rsid w:val="00E5752B"/>
    <w:rsid w:val="00E57B62"/>
    <w:rsid w:val="00E6002B"/>
    <w:rsid w:val="00E60055"/>
    <w:rsid w:val="00E60342"/>
    <w:rsid w:val="00E615E5"/>
    <w:rsid w:val="00E6167F"/>
    <w:rsid w:val="00E61B16"/>
    <w:rsid w:val="00E62E95"/>
    <w:rsid w:val="00E63245"/>
    <w:rsid w:val="00E63260"/>
    <w:rsid w:val="00E63631"/>
    <w:rsid w:val="00E63A05"/>
    <w:rsid w:val="00E64BA6"/>
    <w:rsid w:val="00E67284"/>
    <w:rsid w:val="00E67A4C"/>
    <w:rsid w:val="00E70173"/>
    <w:rsid w:val="00E70E9F"/>
    <w:rsid w:val="00E71AFD"/>
    <w:rsid w:val="00E71FA2"/>
    <w:rsid w:val="00E72137"/>
    <w:rsid w:val="00E722B4"/>
    <w:rsid w:val="00E73ED2"/>
    <w:rsid w:val="00E741E0"/>
    <w:rsid w:val="00E75375"/>
    <w:rsid w:val="00E75716"/>
    <w:rsid w:val="00E75857"/>
    <w:rsid w:val="00E77BAB"/>
    <w:rsid w:val="00E80134"/>
    <w:rsid w:val="00E8013A"/>
    <w:rsid w:val="00E81D5F"/>
    <w:rsid w:val="00E82089"/>
    <w:rsid w:val="00E8316C"/>
    <w:rsid w:val="00E831C7"/>
    <w:rsid w:val="00E83375"/>
    <w:rsid w:val="00E843F0"/>
    <w:rsid w:val="00E84A57"/>
    <w:rsid w:val="00E84BB1"/>
    <w:rsid w:val="00E84D9C"/>
    <w:rsid w:val="00E851C6"/>
    <w:rsid w:val="00E86113"/>
    <w:rsid w:val="00E866E2"/>
    <w:rsid w:val="00E86BBF"/>
    <w:rsid w:val="00E870FA"/>
    <w:rsid w:val="00E87AE5"/>
    <w:rsid w:val="00E87CCC"/>
    <w:rsid w:val="00E907A0"/>
    <w:rsid w:val="00E91B57"/>
    <w:rsid w:val="00E91CE3"/>
    <w:rsid w:val="00E9204C"/>
    <w:rsid w:val="00E92A0A"/>
    <w:rsid w:val="00E932E1"/>
    <w:rsid w:val="00E93413"/>
    <w:rsid w:val="00E93919"/>
    <w:rsid w:val="00E93D03"/>
    <w:rsid w:val="00E94250"/>
    <w:rsid w:val="00E94FD2"/>
    <w:rsid w:val="00E952F3"/>
    <w:rsid w:val="00E952F9"/>
    <w:rsid w:val="00E95C5C"/>
    <w:rsid w:val="00E95E27"/>
    <w:rsid w:val="00E96401"/>
    <w:rsid w:val="00E96F7F"/>
    <w:rsid w:val="00E9708A"/>
    <w:rsid w:val="00E970D5"/>
    <w:rsid w:val="00EA2BEB"/>
    <w:rsid w:val="00EA2DC0"/>
    <w:rsid w:val="00EA356B"/>
    <w:rsid w:val="00EA36FA"/>
    <w:rsid w:val="00EA4AE5"/>
    <w:rsid w:val="00EA4C3D"/>
    <w:rsid w:val="00EA4F5B"/>
    <w:rsid w:val="00EA5C28"/>
    <w:rsid w:val="00EA5E61"/>
    <w:rsid w:val="00EA663C"/>
    <w:rsid w:val="00EA6DB3"/>
    <w:rsid w:val="00EA6EA5"/>
    <w:rsid w:val="00EA7A57"/>
    <w:rsid w:val="00EB054B"/>
    <w:rsid w:val="00EB096C"/>
    <w:rsid w:val="00EB10FA"/>
    <w:rsid w:val="00EB1EA4"/>
    <w:rsid w:val="00EB28BC"/>
    <w:rsid w:val="00EB2A63"/>
    <w:rsid w:val="00EB4506"/>
    <w:rsid w:val="00EB4E59"/>
    <w:rsid w:val="00EB5630"/>
    <w:rsid w:val="00EB584E"/>
    <w:rsid w:val="00EB60BD"/>
    <w:rsid w:val="00EB684E"/>
    <w:rsid w:val="00EB6F34"/>
    <w:rsid w:val="00EB7369"/>
    <w:rsid w:val="00EB751F"/>
    <w:rsid w:val="00EC017D"/>
    <w:rsid w:val="00EC0224"/>
    <w:rsid w:val="00EC0473"/>
    <w:rsid w:val="00EC0C12"/>
    <w:rsid w:val="00EC116E"/>
    <w:rsid w:val="00EC17ED"/>
    <w:rsid w:val="00EC18C3"/>
    <w:rsid w:val="00EC1B5E"/>
    <w:rsid w:val="00EC1E58"/>
    <w:rsid w:val="00EC2D3F"/>
    <w:rsid w:val="00EC2FA2"/>
    <w:rsid w:val="00EC32A6"/>
    <w:rsid w:val="00EC3BAA"/>
    <w:rsid w:val="00EC3EFC"/>
    <w:rsid w:val="00EC424B"/>
    <w:rsid w:val="00EC45F1"/>
    <w:rsid w:val="00EC4B99"/>
    <w:rsid w:val="00EC53E6"/>
    <w:rsid w:val="00EC5605"/>
    <w:rsid w:val="00EC5992"/>
    <w:rsid w:val="00EC60A5"/>
    <w:rsid w:val="00EC6D92"/>
    <w:rsid w:val="00EC6E79"/>
    <w:rsid w:val="00EC71A5"/>
    <w:rsid w:val="00EC794A"/>
    <w:rsid w:val="00EC7DB9"/>
    <w:rsid w:val="00EC7E88"/>
    <w:rsid w:val="00ED0A6D"/>
    <w:rsid w:val="00ED1359"/>
    <w:rsid w:val="00ED15CD"/>
    <w:rsid w:val="00ED1E52"/>
    <w:rsid w:val="00ED2841"/>
    <w:rsid w:val="00ED39AF"/>
    <w:rsid w:val="00ED3A50"/>
    <w:rsid w:val="00ED4D73"/>
    <w:rsid w:val="00ED56EC"/>
    <w:rsid w:val="00ED5A32"/>
    <w:rsid w:val="00ED5D24"/>
    <w:rsid w:val="00ED5FF2"/>
    <w:rsid w:val="00ED68EB"/>
    <w:rsid w:val="00ED7002"/>
    <w:rsid w:val="00EE10DC"/>
    <w:rsid w:val="00EE1A29"/>
    <w:rsid w:val="00EE24CA"/>
    <w:rsid w:val="00EE2625"/>
    <w:rsid w:val="00EE267F"/>
    <w:rsid w:val="00EE2772"/>
    <w:rsid w:val="00EE2D3E"/>
    <w:rsid w:val="00EE322B"/>
    <w:rsid w:val="00EE3A06"/>
    <w:rsid w:val="00EE5062"/>
    <w:rsid w:val="00EE5689"/>
    <w:rsid w:val="00EE5906"/>
    <w:rsid w:val="00EE5DA8"/>
    <w:rsid w:val="00EE5FC8"/>
    <w:rsid w:val="00EE6822"/>
    <w:rsid w:val="00EF02DA"/>
    <w:rsid w:val="00EF050C"/>
    <w:rsid w:val="00EF18E9"/>
    <w:rsid w:val="00EF339F"/>
    <w:rsid w:val="00EF36C5"/>
    <w:rsid w:val="00EF37BB"/>
    <w:rsid w:val="00EF3A1E"/>
    <w:rsid w:val="00EF435A"/>
    <w:rsid w:val="00EF47AD"/>
    <w:rsid w:val="00EF487C"/>
    <w:rsid w:val="00EF55B0"/>
    <w:rsid w:val="00EF61F8"/>
    <w:rsid w:val="00EF62F3"/>
    <w:rsid w:val="00EF6B2C"/>
    <w:rsid w:val="00EF6B76"/>
    <w:rsid w:val="00EF6C65"/>
    <w:rsid w:val="00EF7256"/>
    <w:rsid w:val="00EF7AAF"/>
    <w:rsid w:val="00EF7B3D"/>
    <w:rsid w:val="00EF7D41"/>
    <w:rsid w:val="00EF7FF4"/>
    <w:rsid w:val="00F00EFA"/>
    <w:rsid w:val="00F013BB"/>
    <w:rsid w:val="00F02BFB"/>
    <w:rsid w:val="00F05163"/>
    <w:rsid w:val="00F05CAF"/>
    <w:rsid w:val="00F060B2"/>
    <w:rsid w:val="00F06758"/>
    <w:rsid w:val="00F06BD1"/>
    <w:rsid w:val="00F07271"/>
    <w:rsid w:val="00F076D9"/>
    <w:rsid w:val="00F07A1A"/>
    <w:rsid w:val="00F101F2"/>
    <w:rsid w:val="00F103C5"/>
    <w:rsid w:val="00F11560"/>
    <w:rsid w:val="00F12568"/>
    <w:rsid w:val="00F1259A"/>
    <w:rsid w:val="00F1267D"/>
    <w:rsid w:val="00F1271A"/>
    <w:rsid w:val="00F1383A"/>
    <w:rsid w:val="00F13898"/>
    <w:rsid w:val="00F13E4C"/>
    <w:rsid w:val="00F14CF5"/>
    <w:rsid w:val="00F1572F"/>
    <w:rsid w:val="00F15CF7"/>
    <w:rsid w:val="00F164F7"/>
    <w:rsid w:val="00F165F6"/>
    <w:rsid w:val="00F17634"/>
    <w:rsid w:val="00F17C71"/>
    <w:rsid w:val="00F2044E"/>
    <w:rsid w:val="00F215BA"/>
    <w:rsid w:val="00F21C6C"/>
    <w:rsid w:val="00F22DB3"/>
    <w:rsid w:val="00F2325E"/>
    <w:rsid w:val="00F24834"/>
    <w:rsid w:val="00F25345"/>
    <w:rsid w:val="00F26731"/>
    <w:rsid w:val="00F270EA"/>
    <w:rsid w:val="00F27BE9"/>
    <w:rsid w:val="00F27F68"/>
    <w:rsid w:val="00F30218"/>
    <w:rsid w:val="00F30E7E"/>
    <w:rsid w:val="00F32BCA"/>
    <w:rsid w:val="00F32D8D"/>
    <w:rsid w:val="00F333F8"/>
    <w:rsid w:val="00F339A1"/>
    <w:rsid w:val="00F345D6"/>
    <w:rsid w:val="00F35AF5"/>
    <w:rsid w:val="00F35DDA"/>
    <w:rsid w:val="00F37388"/>
    <w:rsid w:val="00F37F23"/>
    <w:rsid w:val="00F40ADB"/>
    <w:rsid w:val="00F4280B"/>
    <w:rsid w:val="00F42AF4"/>
    <w:rsid w:val="00F42E18"/>
    <w:rsid w:val="00F43191"/>
    <w:rsid w:val="00F438CE"/>
    <w:rsid w:val="00F446A5"/>
    <w:rsid w:val="00F44766"/>
    <w:rsid w:val="00F4503A"/>
    <w:rsid w:val="00F4574B"/>
    <w:rsid w:val="00F46008"/>
    <w:rsid w:val="00F46E44"/>
    <w:rsid w:val="00F47F73"/>
    <w:rsid w:val="00F47F81"/>
    <w:rsid w:val="00F50605"/>
    <w:rsid w:val="00F50B7F"/>
    <w:rsid w:val="00F52FA9"/>
    <w:rsid w:val="00F5338E"/>
    <w:rsid w:val="00F53B6E"/>
    <w:rsid w:val="00F53C39"/>
    <w:rsid w:val="00F53D75"/>
    <w:rsid w:val="00F54672"/>
    <w:rsid w:val="00F558F5"/>
    <w:rsid w:val="00F56212"/>
    <w:rsid w:val="00F56CCD"/>
    <w:rsid w:val="00F57471"/>
    <w:rsid w:val="00F57653"/>
    <w:rsid w:val="00F57921"/>
    <w:rsid w:val="00F57BDC"/>
    <w:rsid w:val="00F57E16"/>
    <w:rsid w:val="00F605F4"/>
    <w:rsid w:val="00F608C0"/>
    <w:rsid w:val="00F6121D"/>
    <w:rsid w:val="00F61BE7"/>
    <w:rsid w:val="00F629C3"/>
    <w:rsid w:val="00F65786"/>
    <w:rsid w:val="00F65B9A"/>
    <w:rsid w:val="00F66909"/>
    <w:rsid w:val="00F671EC"/>
    <w:rsid w:val="00F70760"/>
    <w:rsid w:val="00F70B02"/>
    <w:rsid w:val="00F71404"/>
    <w:rsid w:val="00F718B4"/>
    <w:rsid w:val="00F720E2"/>
    <w:rsid w:val="00F733A8"/>
    <w:rsid w:val="00F73501"/>
    <w:rsid w:val="00F73E96"/>
    <w:rsid w:val="00F74056"/>
    <w:rsid w:val="00F74299"/>
    <w:rsid w:val="00F74317"/>
    <w:rsid w:val="00F749B1"/>
    <w:rsid w:val="00F74BC5"/>
    <w:rsid w:val="00F74C36"/>
    <w:rsid w:val="00F750E6"/>
    <w:rsid w:val="00F75EE9"/>
    <w:rsid w:val="00F76973"/>
    <w:rsid w:val="00F76DB6"/>
    <w:rsid w:val="00F7748E"/>
    <w:rsid w:val="00F774B3"/>
    <w:rsid w:val="00F77965"/>
    <w:rsid w:val="00F77E89"/>
    <w:rsid w:val="00F80315"/>
    <w:rsid w:val="00F80F01"/>
    <w:rsid w:val="00F81DBC"/>
    <w:rsid w:val="00F839A9"/>
    <w:rsid w:val="00F83EC5"/>
    <w:rsid w:val="00F8409C"/>
    <w:rsid w:val="00F843A7"/>
    <w:rsid w:val="00F8484C"/>
    <w:rsid w:val="00F84B5A"/>
    <w:rsid w:val="00F84F39"/>
    <w:rsid w:val="00F85D73"/>
    <w:rsid w:val="00F86040"/>
    <w:rsid w:val="00F86090"/>
    <w:rsid w:val="00F866C3"/>
    <w:rsid w:val="00F86C8F"/>
    <w:rsid w:val="00F90D60"/>
    <w:rsid w:val="00F93E8A"/>
    <w:rsid w:val="00F95269"/>
    <w:rsid w:val="00F95786"/>
    <w:rsid w:val="00F97160"/>
    <w:rsid w:val="00F97DD9"/>
    <w:rsid w:val="00FA0675"/>
    <w:rsid w:val="00FA079F"/>
    <w:rsid w:val="00FA0ABC"/>
    <w:rsid w:val="00FA276C"/>
    <w:rsid w:val="00FA2B12"/>
    <w:rsid w:val="00FA349D"/>
    <w:rsid w:val="00FA4111"/>
    <w:rsid w:val="00FA4259"/>
    <w:rsid w:val="00FA449B"/>
    <w:rsid w:val="00FA4FCB"/>
    <w:rsid w:val="00FA5112"/>
    <w:rsid w:val="00FA54F4"/>
    <w:rsid w:val="00FA579C"/>
    <w:rsid w:val="00FA5A26"/>
    <w:rsid w:val="00FA694D"/>
    <w:rsid w:val="00FA6E02"/>
    <w:rsid w:val="00FA6F4A"/>
    <w:rsid w:val="00FB07C2"/>
    <w:rsid w:val="00FB0C3E"/>
    <w:rsid w:val="00FB11FD"/>
    <w:rsid w:val="00FB1386"/>
    <w:rsid w:val="00FB2B09"/>
    <w:rsid w:val="00FB2D5D"/>
    <w:rsid w:val="00FB36F8"/>
    <w:rsid w:val="00FB4977"/>
    <w:rsid w:val="00FB5E7D"/>
    <w:rsid w:val="00FB70AF"/>
    <w:rsid w:val="00FB70B6"/>
    <w:rsid w:val="00FB7590"/>
    <w:rsid w:val="00FC0A27"/>
    <w:rsid w:val="00FC1005"/>
    <w:rsid w:val="00FC1012"/>
    <w:rsid w:val="00FC16A9"/>
    <w:rsid w:val="00FC1A6C"/>
    <w:rsid w:val="00FC207C"/>
    <w:rsid w:val="00FC24F3"/>
    <w:rsid w:val="00FC284C"/>
    <w:rsid w:val="00FC49B9"/>
    <w:rsid w:val="00FC5398"/>
    <w:rsid w:val="00FC5CB4"/>
    <w:rsid w:val="00FC6E4B"/>
    <w:rsid w:val="00FD0C8E"/>
    <w:rsid w:val="00FD0FA9"/>
    <w:rsid w:val="00FD13C9"/>
    <w:rsid w:val="00FD179C"/>
    <w:rsid w:val="00FD352A"/>
    <w:rsid w:val="00FD4894"/>
    <w:rsid w:val="00FD5115"/>
    <w:rsid w:val="00FD56CE"/>
    <w:rsid w:val="00FD596C"/>
    <w:rsid w:val="00FD620A"/>
    <w:rsid w:val="00FD7CA8"/>
    <w:rsid w:val="00FE0034"/>
    <w:rsid w:val="00FE1229"/>
    <w:rsid w:val="00FE16FA"/>
    <w:rsid w:val="00FE2430"/>
    <w:rsid w:val="00FE30C1"/>
    <w:rsid w:val="00FE4616"/>
    <w:rsid w:val="00FE66EE"/>
    <w:rsid w:val="00FE702E"/>
    <w:rsid w:val="00FE718B"/>
    <w:rsid w:val="00FE755E"/>
    <w:rsid w:val="00FE76E0"/>
    <w:rsid w:val="00FE7F42"/>
    <w:rsid w:val="00FF06C8"/>
    <w:rsid w:val="00FF098B"/>
    <w:rsid w:val="00FF09C1"/>
    <w:rsid w:val="00FF1273"/>
    <w:rsid w:val="00FF1356"/>
    <w:rsid w:val="00FF24D7"/>
    <w:rsid w:val="00FF2E2A"/>
    <w:rsid w:val="00FF33A6"/>
    <w:rsid w:val="00FF4CFE"/>
    <w:rsid w:val="00FF4FBE"/>
    <w:rsid w:val="00FF53BF"/>
    <w:rsid w:val="00FF5ED3"/>
    <w:rsid w:val="00FF5FB1"/>
    <w:rsid w:val="00FF6747"/>
    <w:rsid w:val="00FF6918"/>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3C8CB"/>
  <w15:docId w15:val="{16FEC391-20F4-4675-8287-722813C6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97F"/>
  </w:style>
  <w:style w:type="paragraph" w:styleId="Heading1">
    <w:name w:val="heading 1"/>
    <w:basedOn w:val="Normal"/>
    <w:next w:val="Normal"/>
    <w:link w:val="Heading1Char"/>
    <w:qFormat/>
    <w:rsid w:val="00FA276C"/>
    <w:pPr>
      <w:keepNext/>
      <w:numPr>
        <w:numId w:val="1"/>
      </w:numPr>
      <w:spacing w:before="240" w:after="120" w:line="240" w:lineRule="auto"/>
      <w:outlineLvl w:val="0"/>
    </w:pPr>
    <w:rPr>
      <w:rFonts w:ascii="Times New Roman" w:eastAsia="Times New Roman" w:hAnsi="Times New Roman" w:cs="Times New Roman"/>
      <w:b/>
      <w:bCs/>
      <w:color w:val="000080"/>
      <w:kern w:val="32"/>
      <w:sz w:val="28"/>
      <w:szCs w:val="32"/>
    </w:rPr>
  </w:style>
  <w:style w:type="paragraph" w:styleId="Heading2">
    <w:name w:val="heading 2"/>
    <w:basedOn w:val="Heading1"/>
    <w:next w:val="Normal"/>
    <w:link w:val="Heading2Char"/>
    <w:uiPriority w:val="9"/>
    <w:unhideWhenUsed/>
    <w:qFormat/>
    <w:rsid w:val="00227C03"/>
    <w:pPr>
      <w:numPr>
        <w:ilvl w:val="1"/>
      </w:numPr>
      <w:outlineLvl w:val="1"/>
    </w:pPr>
    <w:rPr>
      <w:bCs w:val="0"/>
      <w:iCs/>
      <w:sz w:val="24"/>
      <w:szCs w:val="28"/>
    </w:rPr>
  </w:style>
  <w:style w:type="paragraph" w:styleId="Heading3">
    <w:name w:val="heading 3"/>
    <w:basedOn w:val="Heading1"/>
    <w:next w:val="Normal"/>
    <w:link w:val="Heading3Char"/>
    <w:uiPriority w:val="9"/>
    <w:unhideWhenUsed/>
    <w:qFormat/>
    <w:rsid w:val="00FA276C"/>
    <w:pPr>
      <w:numPr>
        <w:ilvl w:val="2"/>
      </w:numPr>
      <w:outlineLvl w:val="2"/>
    </w:pPr>
    <w:rPr>
      <w:bCs w:val="0"/>
      <w:sz w:val="20"/>
      <w:szCs w:val="26"/>
    </w:rPr>
  </w:style>
  <w:style w:type="paragraph" w:styleId="Heading4">
    <w:name w:val="heading 4"/>
    <w:basedOn w:val="Heading1"/>
    <w:next w:val="Normal"/>
    <w:link w:val="Heading4Char"/>
    <w:unhideWhenUsed/>
    <w:qFormat/>
    <w:rsid w:val="00FA276C"/>
    <w:pPr>
      <w:numPr>
        <w:ilvl w:val="3"/>
      </w:numPr>
      <w:outlineLvl w:val="3"/>
    </w:pPr>
    <w:rPr>
      <w:bCs w:val="0"/>
      <w:sz w:val="20"/>
      <w:szCs w:val="28"/>
    </w:rPr>
  </w:style>
  <w:style w:type="paragraph" w:styleId="Heading5">
    <w:name w:val="heading 5"/>
    <w:basedOn w:val="Heading1"/>
    <w:next w:val="Normal"/>
    <w:link w:val="Heading5Char"/>
    <w:semiHidden/>
    <w:unhideWhenUsed/>
    <w:qFormat/>
    <w:rsid w:val="00FA276C"/>
    <w:pPr>
      <w:numPr>
        <w:ilvl w:val="4"/>
      </w:numPr>
      <w:outlineLvl w:val="4"/>
    </w:pPr>
    <w:rPr>
      <w:bCs w:val="0"/>
      <w:iCs/>
      <w:sz w:val="20"/>
      <w:szCs w:val="26"/>
    </w:rPr>
  </w:style>
  <w:style w:type="paragraph" w:styleId="Heading6">
    <w:name w:val="heading 6"/>
    <w:basedOn w:val="Heading1"/>
    <w:next w:val="Normal"/>
    <w:link w:val="Heading6Char"/>
    <w:semiHidden/>
    <w:unhideWhenUsed/>
    <w:qFormat/>
    <w:rsid w:val="00FA276C"/>
    <w:pPr>
      <w:numPr>
        <w:ilvl w:val="5"/>
      </w:numPr>
      <w:outlineLvl w:val="5"/>
    </w:pPr>
    <w:rPr>
      <w:bCs w:val="0"/>
      <w:sz w:val="20"/>
      <w:szCs w:val="20"/>
    </w:rPr>
  </w:style>
  <w:style w:type="paragraph" w:styleId="Heading7">
    <w:name w:val="heading 7"/>
    <w:basedOn w:val="Heading1"/>
    <w:next w:val="Normal"/>
    <w:link w:val="Heading7Char"/>
    <w:semiHidden/>
    <w:unhideWhenUsed/>
    <w:qFormat/>
    <w:rsid w:val="00FA276C"/>
    <w:pPr>
      <w:numPr>
        <w:ilvl w:val="6"/>
      </w:numPr>
      <w:outlineLvl w:val="6"/>
    </w:pPr>
    <w:rPr>
      <w:sz w:val="20"/>
    </w:rPr>
  </w:style>
  <w:style w:type="paragraph" w:styleId="Heading8">
    <w:name w:val="heading 8"/>
    <w:basedOn w:val="Heading1"/>
    <w:next w:val="Normal"/>
    <w:link w:val="Heading8Char"/>
    <w:semiHidden/>
    <w:unhideWhenUsed/>
    <w:qFormat/>
    <w:rsid w:val="00FA276C"/>
    <w:pPr>
      <w:numPr>
        <w:ilvl w:val="7"/>
      </w:numPr>
      <w:outlineLvl w:val="7"/>
    </w:pPr>
    <w:rPr>
      <w:iCs/>
      <w:sz w:val="20"/>
    </w:rPr>
  </w:style>
  <w:style w:type="paragraph" w:styleId="Heading9">
    <w:name w:val="heading 9"/>
    <w:basedOn w:val="Heading1"/>
    <w:next w:val="Normal"/>
    <w:link w:val="Heading9Char"/>
    <w:semiHidden/>
    <w:unhideWhenUsed/>
    <w:qFormat/>
    <w:rsid w:val="00FA276C"/>
    <w:pPr>
      <w:numPr>
        <w:ilvl w:val="8"/>
      </w:numPr>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76C"/>
    <w:rPr>
      <w:rFonts w:ascii="Times New Roman" w:eastAsia="Times New Roman" w:hAnsi="Times New Roman" w:cs="Times New Roman"/>
      <w:b/>
      <w:bCs/>
      <w:color w:val="000080"/>
      <w:kern w:val="32"/>
      <w:sz w:val="28"/>
      <w:szCs w:val="32"/>
    </w:rPr>
  </w:style>
  <w:style w:type="character" w:customStyle="1" w:styleId="Heading2Char">
    <w:name w:val="Heading 2 Char"/>
    <w:basedOn w:val="DefaultParagraphFont"/>
    <w:link w:val="Heading2"/>
    <w:uiPriority w:val="9"/>
    <w:rsid w:val="00227C03"/>
    <w:rPr>
      <w:rFonts w:ascii="Times New Roman" w:eastAsia="Times New Roman" w:hAnsi="Times New Roman" w:cs="Times New Roman"/>
      <w:b/>
      <w:iCs/>
      <w:color w:val="000080"/>
      <w:kern w:val="32"/>
      <w:sz w:val="24"/>
      <w:szCs w:val="28"/>
    </w:rPr>
  </w:style>
  <w:style w:type="character" w:customStyle="1" w:styleId="Heading3Char">
    <w:name w:val="Heading 3 Char"/>
    <w:basedOn w:val="DefaultParagraphFont"/>
    <w:link w:val="Heading3"/>
    <w:uiPriority w:val="9"/>
    <w:rsid w:val="00FA276C"/>
    <w:rPr>
      <w:rFonts w:ascii="Times New Roman" w:eastAsia="Times New Roman" w:hAnsi="Times New Roman" w:cs="Times New Roman"/>
      <w:b/>
      <w:color w:val="000080"/>
      <w:kern w:val="32"/>
      <w:sz w:val="20"/>
      <w:szCs w:val="26"/>
    </w:rPr>
  </w:style>
  <w:style w:type="character" w:customStyle="1" w:styleId="Heading4Char">
    <w:name w:val="Heading 4 Char"/>
    <w:basedOn w:val="DefaultParagraphFont"/>
    <w:link w:val="Heading4"/>
    <w:rsid w:val="00FA276C"/>
    <w:rPr>
      <w:rFonts w:ascii="Times New Roman" w:eastAsia="Times New Roman" w:hAnsi="Times New Roman" w:cs="Times New Roman"/>
      <w:b/>
      <w:color w:val="000080"/>
      <w:kern w:val="32"/>
      <w:sz w:val="20"/>
      <w:szCs w:val="28"/>
    </w:rPr>
  </w:style>
  <w:style w:type="character" w:customStyle="1" w:styleId="Heading5Char">
    <w:name w:val="Heading 5 Char"/>
    <w:basedOn w:val="DefaultParagraphFont"/>
    <w:link w:val="Heading5"/>
    <w:semiHidden/>
    <w:rsid w:val="00FA276C"/>
    <w:rPr>
      <w:rFonts w:ascii="Times New Roman" w:eastAsia="Times New Roman" w:hAnsi="Times New Roman" w:cs="Times New Roman"/>
      <w:b/>
      <w:iCs/>
      <w:color w:val="000080"/>
      <w:kern w:val="32"/>
      <w:sz w:val="20"/>
      <w:szCs w:val="26"/>
    </w:rPr>
  </w:style>
  <w:style w:type="character" w:customStyle="1" w:styleId="Heading6Char">
    <w:name w:val="Heading 6 Char"/>
    <w:basedOn w:val="DefaultParagraphFont"/>
    <w:link w:val="Heading6"/>
    <w:semiHidden/>
    <w:rsid w:val="00FA276C"/>
    <w:rPr>
      <w:rFonts w:ascii="Times New Roman" w:eastAsia="Times New Roman" w:hAnsi="Times New Roman" w:cs="Times New Roman"/>
      <w:b/>
      <w:color w:val="000080"/>
      <w:kern w:val="32"/>
      <w:sz w:val="20"/>
      <w:szCs w:val="20"/>
    </w:rPr>
  </w:style>
  <w:style w:type="character" w:customStyle="1" w:styleId="Heading7Char">
    <w:name w:val="Heading 7 Char"/>
    <w:basedOn w:val="DefaultParagraphFont"/>
    <w:link w:val="Heading7"/>
    <w:semiHidden/>
    <w:rsid w:val="00FA276C"/>
    <w:rPr>
      <w:rFonts w:ascii="Times New Roman" w:eastAsia="Times New Roman" w:hAnsi="Times New Roman" w:cs="Times New Roman"/>
      <w:b/>
      <w:bCs/>
      <w:color w:val="000080"/>
      <w:kern w:val="32"/>
      <w:sz w:val="20"/>
      <w:szCs w:val="32"/>
    </w:rPr>
  </w:style>
  <w:style w:type="character" w:customStyle="1" w:styleId="Heading8Char">
    <w:name w:val="Heading 8 Char"/>
    <w:basedOn w:val="DefaultParagraphFont"/>
    <w:link w:val="Heading8"/>
    <w:semiHidden/>
    <w:rsid w:val="00FA276C"/>
    <w:rPr>
      <w:rFonts w:ascii="Times New Roman" w:eastAsia="Times New Roman" w:hAnsi="Times New Roman" w:cs="Times New Roman"/>
      <w:b/>
      <w:bCs/>
      <w:iCs/>
      <w:color w:val="000080"/>
      <w:kern w:val="32"/>
      <w:sz w:val="20"/>
      <w:szCs w:val="32"/>
    </w:rPr>
  </w:style>
  <w:style w:type="character" w:customStyle="1" w:styleId="Heading9Char">
    <w:name w:val="Heading 9 Char"/>
    <w:basedOn w:val="DefaultParagraphFont"/>
    <w:link w:val="Heading9"/>
    <w:semiHidden/>
    <w:rsid w:val="00FA276C"/>
    <w:rPr>
      <w:rFonts w:ascii="Times New Roman" w:eastAsia="Times New Roman" w:hAnsi="Times New Roman" w:cs="Times New Roman"/>
      <w:b/>
      <w:bCs/>
      <w:color w:val="000080"/>
      <w:kern w:val="32"/>
      <w:sz w:val="20"/>
      <w:szCs w:val="20"/>
    </w:rPr>
  </w:style>
  <w:style w:type="paragraph" w:styleId="FootnoteText">
    <w:name w:val="footnote text"/>
    <w:basedOn w:val="Normal"/>
    <w:link w:val="FootnoteTextChar"/>
    <w:uiPriority w:val="99"/>
    <w:semiHidden/>
    <w:unhideWhenUsed/>
    <w:rsid w:val="00FA276C"/>
    <w:pPr>
      <w:spacing w:after="0" w:line="240" w:lineRule="auto"/>
      <w:ind w:firstLine="360"/>
    </w:pPr>
    <w:rPr>
      <w:rFonts w:eastAsiaTheme="minorEastAsia"/>
      <w:sz w:val="24"/>
      <w:szCs w:val="24"/>
    </w:rPr>
  </w:style>
  <w:style w:type="character" w:customStyle="1" w:styleId="FootnoteTextChar">
    <w:name w:val="Footnote Text Char"/>
    <w:basedOn w:val="DefaultParagraphFont"/>
    <w:link w:val="FootnoteText"/>
    <w:uiPriority w:val="99"/>
    <w:semiHidden/>
    <w:rsid w:val="00FA276C"/>
    <w:rPr>
      <w:rFonts w:eastAsiaTheme="minorEastAsia"/>
      <w:sz w:val="24"/>
      <w:szCs w:val="24"/>
    </w:rPr>
  </w:style>
  <w:style w:type="paragraph" w:styleId="Title">
    <w:name w:val="Title"/>
    <w:basedOn w:val="Normal"/>
    <w:next w:val="Normal"/>
    <w:link w:val="TitleChar"/>
    <w:uiPriority w:val="10"/>
    <w:qFormat/>
    <w:rsid w:val="00FA276C"/>
    <w:pPr>
      <w:pBdr>
        <w:top w:val="single" w:sz="8" w:space="10" w:color="ADCCEA" w:themeColor="accent1" w:themeTint="7F"/>
        <w:bottom w:val="single" w:sz="24" w:space="15" w:color="A5A5A5" w:themeColor="accent3"/>
      </w:pBdr>
      <w:spacing w:after="0" w:line="240" w:lineRule="auto"/>
      <w:jc w:val="center"/>
    </w:pPr>
    <w:rPr>
      <w:rFonts w:asciiTheme="majorHAnsi" w:eastAsiaTheme="majorEastAsia" w:hAnsiTheme="majorHAnsi" w:cstheme="majorBidi"/>
      <w:i/>
      <w:iCs/>
      <w:color w:val="1F4D78" w:themeColor="accent1" w:themeShade="7F"/>
      <w:sz w:val="60"/>
      <w:szCs w:val="60"/>
    </w:rPr>
  </w:style>
  <w:style w:type="character" w:customStyle="1" w:styleId="TitleChar">
    <w:name w:val="Title Char"/>
    <w:basedOn w:val="DefaultParagraphFont"/>
    <w:link w:val="Title"/>
    <w:uiPriority w:val="10"/>
    <w:rsid w:val="00FA276C"/>
    <w:rPr>
      <w:rFonts w:asciiTheme="majorHAnsi" w:eastAsiaTheme="majorEastAsia" w:hAnsiTheme="majorHAnsi" w:cstheme="majorBidi"/>
      <w:i/>
      <w:iCs/>
      <w:color w:val="1F4D78" w:themeColor="accent1" w:themeShade="7F"/>
      <w:sz w:val="60"/>
      <w:szCs w:val="60"/>
    </w:rPr>
  </w:style>
  <w:style w:type="character" w:styleId="FootnoteReference">
    <w:name w:val="footnote reference"/>
    <w:basedOn w:val="DefaultParagraphFont"/>
    <w:uiPriority w:val="99"/>
    <w:semiHidden/>
    <w:unhideWhenUsed/>
    <w:rsid w:val="00FA276C"/>
    <w:rPr>
      <w:vertAlign w:val="superscript"/>
    </w:rPr>
  </w:style>
  <w:style w:type="paragraph" w:styleId="NormalWeb">
    <w:name w:val="Normal (Web)"/>
    <w:basedOn w:val="Normal"/>
    <w:uiPriority w:val="99"/>
    <w:unhideWhenUsed/>
    <w:rsid w:val="00FA27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List_Paragraph,Multilevel para_II,List Paragraph1,Akapit z listą BS,Bullet1,Main numbered paragraph,Heading 2_sj,Recommendation,List Paragraph 1,Bullet List,Table of contents numbered,Numbered Paragraph,References,Numbered List Paragraph"/>
    <w:basedOn w:val="Normal"/>
    <w:link w:val="ListParagraphChar"/>
    <w:uiPriority w:val="34"/>
    <w:qFormat/>
    <w:rsid w:val="00FA276C"/>
    <w:pPr>
      <w:spacing w:line="256" w:lineRule="auto"/>
      <w:ind w:left="720"/>
      <w:contextualSpacing/>
    </w:pPr>
  </w:style>
  <w:style w:type="table" w:styleId="TableGrid">
    <w:name w:val="Table Grid"/>
    <w:basedOn w:val="TableNormal"/>
    <w:uiPriority w:val="39"/>
    <w:rsid w:val="00FA27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E6B"/>
    <w:rPr>
      <w:color w:val="0563C1" w:themeColor="hyperlink"/>
      <w:u w:val="single"/>
    </w:rPr>
  </w:style>
  <w:style w:type="table" w:customStyle="1" w:styleId="MediumList2-Accent11">
    <w:name w:val="Medium List 2 - Accent 11"/>
    <w:basedOn w:val="TableNormal"/>
    <w:uiPriority w:val="66"/>
    <w:rsid w:val="00443E6B"/>
    <w:pPr>
      <w:spacing w:after="0" w:line="240" w:lineRule="auto"/>
    </w:pPr>
    <w:rPr>
      <w:rFonts w:asciiTheme="majorHAnsi" w:eastAsiaTheme="majorEastAsia" w:hAnsiTheme="majorHAnsi" w:cstheme="majorBidi"/>
      <w:color w:val="000000" w:themeColor="text1"/>
    </w:rPr>
    <w:tblPr>
      <w:tblStyleRowBandSize w:val="1"/>
      <w:tblStyleColBandSize w:val="1"/>
      <w:tblInd w:w="0" w:type="nil"/>
      <w:tblBorders>
        <w:top w:val="dashed" w:sz="4" w:space="0" w:color="auto"/>
        <w:left w:val="dashed" w:sz="4" w:space="0" w:color="auto"/>
        <w:bottom w:val="dashed" w:sz="4" w:space="0" w:color="auto"/>
        <w:right w:val="dashed" w:sz="4" w:space="0" w:color="auto"/>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710F7F"/>
    <w:pPr>
      <w:autoSpaceDE w:val="0"/>
      <w:autoSpaceDN w:val="0"/>
      <w:adjustRightInd w:val="0"/>
      <w:spacing w:after="0" w:line="240" w:lineRule="auto"/>
    </w:pPr>
    <w:rPr>
      <w:rFonts w:ascii="Arial" w:hAnsi="Arial" w:cs="Arial"/>
      <w:color w:val="000000"/>
      <w:sz w:val="24"/>
      <w:szCs w:val="24"/>
    </w:rPr>
  </w:style>
  <w:style w:type="character" w:customStyle="1" w:styleId="hps">
    <w:name w:val="hps"/>
    <w:basedOn w:val="DefaultParagraphFont"/>
    <w:rsid w:val="00F53C39"/>
  </w:style>
  <w:style w:type="character" w:customStyle="1" w:styleId="shorttext">
    <w:name w:val="short_text"/>
    <w:basedOn w:val="DefaultParagraphFont"/>
    <w:rsid w:val="00F53C39"/>
  </w:style>
  <w:style w:type="character" w:styleId="Strong">
    <w:name w:val="Strong"/>
    <w:uiPriority w:val="22"/>
    <w:qFormat/>
    <w:rsid w:val="002D7565"/>
    <w:rPr>
      <w:b/>
      <w:bCs/>
    </w:rPr>
  </w:style>
  <w:style w:type="paragraph" w:styleId="NoSpacing">
    <w:name w:val="No Spacing"/>
    <w:link w:val="NoSpacingChar"/>
    <w:uiPriority w:val="1"/>
    <w:qFormat/>
    <w:rsid w:val="002D7565"/>
    <w:pPr>
      <w:spacing w:after="0" w:line="240" w:lineRule="auto"/>
    </w:pPr>
    <w:rPr>
      <w:rFonts w:ascii="Calibri" w:eastAsia="Calibri" w:hAnsi="Calibri" w:cs="Times New Roman"/>
      <w:lang w:bidi="en-US"/>
    </w:rPr>
  </w:style>
  <w:style w:type="character" w:customStyle="1" w:styleId="apple-converted-space">
    <w:name w:val="apple-converted-space"/>
    <w:basedOn w:val="DefaultParagraphFont"/>
    <w:rsid w:val="002D7565"/>
  </w:style>
  <w:style w:type="paragraph" w:styleId="BalloonText">
    <w:name w:val="Balloon Text"/>
    <w:basedOn w:val="Normal"/>
    <w:link w:val="BalloonTextChar"/>
    <w:uiPriority w:val="99"/>
    <w:rsid w:val="00385C4A"/>
    <w:pPr>
      <w:spacing w:after="0" w:line="240" w:lineRule="auto"/>
    </w:pPr>
    <w:rPr>
      <w:rFonts w:ascii="Tahoma" w:hAnsi="Tahoma" w:cs="Tahoma"/>
      <w:sz w:val="16"/>
      <w:szCs w:val="16"/>
      <w:lang w:val="ru-RU"/>
    </w:rPr>
  </w:style>
  <w:style w:type="character" w:customStyle="1" w:styleId="BalloonTextChar">
    <w:name w:val="Balloon Text Char"/>
    <w:basedOn w:val="DefaultParagraphFont"/>
    <w:link w:val="BalloonText"/>
    <w:uiPriority w:val="99"/>
    <w:rsid w:val="00385C4A"/>
    <w:rPr>
      <w:rFonts w:ascii="Tahoma" w:hAnsi="Tahoma" w:cs="Tahoma"/>
      <w:sz w:val="16"/>
      <w:szCs w:val="16"/>
      <w:lang w:val="ru-RU"/>
    </w:rPr>
  </w:style>
  <w:style w:type="character" w:customStyle="1" w:styleId="NoSpacingChar">
    <w:name w:val="No Spacing Char"/>
    <w:basedOn w:val="DefaultParagraphFont"/>
    <w:link w:val="NoSpacing"/>
    <w:uiPriority w:val="99"/>
    <w:locked/>
    <w:rsid w:val="00876215"/>
    <w:rPr>
      <w:rFonts w:ascii="Calibri" w:eastAsia="Calibri" w:hAnsi="Calibri" w:cs="Times New Roman"/>
      <w:lang w:bidi="en-US"/>
    </w:rPr>
  </w:style>
  <w:style w:type="character" w:customStyle="1" w:styleId="notranslate">
    <w:name w:val="notranslate"/>
    <w:basedOn w:val="DefaultParagraphFont"/>
    <w:rsid w:val="009C3AD7"/>
  </w:style>
  <w:style w:type="character" w:customStyle="1" w:styleId="google-src-text1">
    <w:name w:val="google-src-text1"/>
    <w:basedOn w:val="DefaultParagraphFont"/>
    <w:rsid w:val="009C3AD7"/>
    <w:rPr>
      <w:vanish/>
      <w:webHidden w:val="0"/>
      <w:specVanish w:val="0"/>
    </w:rPr>
  </w:style>
  <w:style w:type="paragraph" w:styleId="Header">
    <w:name w:val="header"/>
    <w:basedOn w:val="Normal"/>
    <w:link w:val="HeaderChar"/>
    <w:uiPriority w:val="99"/>
    <w:unhideWhenUsed/>
    <w:rsid w:val="003A33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33B5"/>
  </w:style>
  <w:style w:type="paragraph" w:styleId="Footer">
    <w:name w:val="footer"/>
    <w:basedOn w:val="Normal"/>
    <w:link w:val="FooterChar"/>
    <w:uiPriority w:val="99"/>
    <w:unhideWhenUsed/>
    <w:rsid w:val="003A33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33B5"/>
  </w:style>
  <w:style w:type="character" w:customStyle="1" w:styleId="ListParagraphChar">
    <w:name w:val="List Paragraph Char"/>
    <w:aliases w:val="List_Paragraph Char,Multilevel para_II Char,List Paragraph1 Char,Akapit z listą BS Char,Bullet1 Char,Main numbered paragraph Char,Heading 2_sj Char,Recommendation Char,List Paragraph 1 Char,Bullet List Char,Numbered Paragraph Char"/>
    <w:basedOn w:val="DefaultParagraphFont"/>
    <w:link w:val="ListParagraph"/>
    <w:uiPriority w:val="34"/>
    <w:rsid w:val="0084313C"/>
  </w:style>
  <w:style w:type="character" w:customStyle="1" w:styleId="a">
    <w:name w:val="Основной текст_"/>
    <w:basedOn w:val="DefaultParagraphFont"/>
    <w:link w:val="3"/>
    <w:rsid w:val="001E5415"/>
    <w:rPr>
      <w:rFonts w:ascii="Times New Roman" w:eastAsia="Times New Roman" w:hAnsi="Times New Roman" w:cs="Times New Roman"/>
      <w:shd w:val="clear" w:color="auto" w:fill="FFFFFF"/>
    </w:rPr>
  </w:style>
  <w:style w:type="character" w:customStyle="1" w:styleId="1">
    <w:name w:val="Основной текст1"/>
    <w:basedOn w:val="a"/>
    <w:rsid w:val="001E5415"/>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30">
    <w:name w:val="Основной текст (3)_"/>
    <w:basedOn w:val="DefaultParagraphFont"/>
    <w:link w:val="31"/>
    <w:rsid w:val="001E5415"/>
    <w:rPr>
      <w:rFonts w:ascii="Times New Roman" w:eastAsia="Times New Roman" w:hAnsi="Times New Roman" w:cs="Times New Roman"/>
      <w:b/>
      <w:bCs/>
      <w:shd w:val="clear" w:color="auto" w:fill="FFFFFF"/>
    </w:rPr>
  </w:style>
  <w:style w:type="character" w:customStyle="1" w:styleId="2">
    <w:name w:val="Основной текст2"/>
    <w:basedOn w:val="a"/>
    <w:rsid w:val="001E5415"/>
    <w:rPr>
      <w:rFonts w:ascii="Times New Roman" w:eastAsia="Times New Roman" w:hAnsi="Times New Roman" w:cs="Times New Roman"/>
      <w:color w:val="000000"/>
      <w:spacing w:val="0"/>
      <w:w w:val="100"/>
      <w:position w:val="0"/>
      <w:u w:val="single"/>
      <w:shd w:val="clear" w:color="auto" w:fill="FFFFFF"/>
      <w:lang w:val="ru-RU" w:eastAsia="ru-RU" w:bidi="ru-RU"/>
    </w:rPr>
  </w:style>
  <w:style w:type="paragraph" w:customStyle="1" w:styleId="3">
    <w:name w:val="Основной текст3"/>
    <w:basedOn w:val="Normal"/>
    <w:link w:val="a"/>
    <w:rsid w:val="001E5415"/>
    <w:pPr>
      <w:widowControl w:val="0"/>
      <w:shd w:val="clear" w:color="auto" w:fill="FFFFFF"/>
      <w:spacing w:after="0" w:line="277" w:lineRule="exact"/>
      <w:ind w:hanging="100"/>
    </w:pPr>
    <w:rPr>
      <w:rFonts w:ascii="Times New Roman" w:eastAsia="Times New Roman" w:hAnsi="Times New Roman" w:cs="Times New Roman"/>
    </w:rPr>
  </w:style>
  <w:style w:type="paragraph" w:customStyle="1" w:styleId="31">
    <w:name w:val="Основной текст (3)"/>
    <w:basedOn w:val="Normal"/>
    <w:link w:val="30"/>
    <w:rsid w:val="001E5415"/>
    <w:pPr>
      <w:widowControl w:val="0"/>
      <w:shd w:val="clear" w:color="auto" w:fill="FFFFFF"/>
      <w:spacing w:after="0" w:line="277" w:lineRule="exact"/>
    </w:pPr>
    <w:rPr>
      <w:rFonts w:ascii="Times New Roman" w:eastAsia="Times New Roman" w:hAnsi="Times New Roman" w:cs="Times New Roman"/>
      <w:b/>
      <w:bCs/>
    </w:rPr>
  </w:style>
  <w:style w:type="character" w:styleId="CommentReference">
    <w:name w:val="annotation reference"/>
    <w:basedOn w:val="DefaultParagraphFont"/>
    <w:uiPriority w:val="99"/>
    <w:semiHidden/>
    <w:unhideWhenUsed/>
    <w:rsid w:val="00697458"/>
    <w:rPr>
      <w:sz w:val="16"/>
      <w:szCs w:val="16"/>
    </w:rPr>
  </w:style>
  <w:style w:type="paragraph" w:styleId="CommentText">
    <w:name w:val="annotation text"/>
    <w:basedOn w:val="Normal"/>
    <w:link w:val="CommentTextChar"/>
    <w:uiPriority w:val="99"/>
    <w:unhideWhenUsed/>
    <w:rsid w:val="00697458"/>
    <w:pPr>
      <w:spacing w:line="240" w:lineRule="auto"/>
    </w:pPr>
    <w:rPr>
      <w:sz w:val="20"/>
      <w:szCs w:val="20"/>
    </w:rPr>
  </w:style>
  <w:style w:type="character" w:customStyle="1" w:styleId="CommentTextChar">
    <w:name w:val="Comment Text Char"/>
    <w:basedOn w:val="DefaultParagraphFont"/>
    <w:link w:val="CommentText"/>
    <w:uiPriority w:val="99"/>
    <w:rsid w:val="00697458"/>
    <w:rPr>
      <w:sz w:val="20"/>
      <w:szCs w:val="20"/>
    </w:rPr>
  </w:style>
  <w:style w:type="paragraph" w:styleId="CommentSubject">
    <w:name w:val="annotation subject"/>
    <w:basedOn w:val="CommentText"/>
    <w:next w:val="CommentText"/>
    <w:link w:val="CommentSubjectChar"/>
    <w:uiPriority w:val="99"/>
    <w:semiHidden/>
    <w:unhideWhenUsed/>
    <w:rsid w:val="00697458"/>
    <w:rPr>
      <w:b/>
      <w:bCs/>
    </w:rPr>
  </w:style>
  <w:style w:type="character" w:customStyle="1" w:styleId="CommentSubjectChar">
    <w:name w:val="Comment Subject Char"/>
    <w:basedOn w:val="CommentTextChar"/>
    <w:link w:val="CommentSubject"/>
    <w:uiPriority w:val="99"/>
    <w:semiHidden/>
    <w:rsid w:val="00697458"/>
    <w:rPr>
      <w:b/>
      <w:bCs/>
      <w:sz w:val="20"/>
      <w:szCs w:val="20"/>
    </w:rPr>
  </w:style>
  <w:style w:type="paragraph" w:styleId="Revision">
    <w:name w:val="Revision"/>
    <w:hidden/>
    <w:uiPriority w:val="99"/>
    <w:semiHidden/>
    <w:rsid w:val="00E32C29"/>
    <w:pPr>
      <w:spacing w:after="0" w:line="240" w:lineRule="auto"/>
    </w:pPr>
  </w:style>
  <w:style w:type="paragraph" w:styleId="EndnoteText">
    <w:name w:val="endnote text"/>
    <w:basedOn w:val="Normal"/>
    <w:link w:val="EndnoteTextChar"/>
    <w:uiPriority w:val="99"/>
    <w:semiHidden/>
    <w:unhideWhenUsed/>
    <w:rsid w:val="00D703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038C"/>
    <w:rPr>
      <w:sz w:val="20"/>
      <w:szCs w:val="20"/>
    </w:rPr>
  </w:style>
  <w:style w:type="character" w:styleId="EndnoteReference">
    <w:name w:val="endnote reference"/>
    <w:basedOn w:val="DefaultParagraphFont"/>
    <w:uiPriority w:val="99"/>
    <w:semiHidden/>
    <w:unhideWhenUsed/>
    <w:rsid w:val="00D7038C"/>
    <w:rPr>
      <w:vertAlign w:val="superscript"/>
    </w:rPr>
  </w:style>
  <w:style w:type="paragraph" w:styleId="Caption">
    <w:name w:val="caption"/>
    <w:basedOn w:val="Normal"/>
    <w:next w:val="Normal"/>
    <w:uiPriority w:val="35"/>
    <w:unhideWhenUsed/>
    <w:qFormat/>
    <w:rsid w:val="00D7038C"/>
    <w:pPr>
      <w:spacing w:after="200" w:line="240" w:lineRule="auto"/>
      <w:jc w:val="both"/>
    </w:pPr>
    <w:rPr>
      <w:rFonts w:asciiTheme="majorHAnsi" w:hAnsiTheme="majorHAnsi"/>
      <w:b/>
      <w:bCs/>
      <w:color w:val="5B9BD5" w:themeColor="accent1"/>
      <w:sz w:val="18"/>
      <w:szCs w:val="18"/>
      <w:lang w:val="en-GB"/>
    </w:rPr>
  </w:style>
  <w:style w:type="paragraph" w:styleId="z-TopofForm">
    <w:name w:val="HTML Top of Form"/>
    <w:basedOn w:val="Normal"/>
    <w:next w:val="Normal"/>
    <w:link w:val="z-TopofFormChar"/>
    <w:hidden/>
    <w:uiPriority w:val="99"/>
    <w:semiHidden/>
    <w:unhideWhenUsed/>
    <w:rsid w:val="00D7038C"/>
    <w:pPr>
      <w:pBdr>
        <w:bottom w:val="single" w:sz="6" w:space="1" w:color="auto"/>
      </w:pBdr>
      <w:spacing w:after="0" w:line="240" w:lineRule="auto"/>
      <w:jc w:val="center"/>
    </w:pPr>
    <w:rPr>
      <w:rFonts w:ascii="Arial" w:eastAsia="Times New Roman" w:hAnsi="Arial" w:cs="Arial"/>
      <w:vanish/>
      <w:sz w:val="16"/>
      <w:szCs w:val="16"/>
      <w:lang w:val="hr-HR" w:eastAsia="hr-HR"/>
    </w:rPr>
  </w:style>
  <w:style w:type="character" w:customStyle="1" w:styleId="z-TopofFormChar">
    <w:name w:val="z-Top of Form Char"/>
    <w:basedOn w:val="DefaultParagraphFont"/>
    <w:link w:val="z-TopofForm"/>
    <w:uiPriority w:val="99"/>
    <w:semiHidden/>
    <w:rsid w:val="00D7038C"/>
    <w:rPr>
      <w:rFonts w:ascii="Arial" w:eastAsia="Times New Roman" w:hAnsi="Arial" w:cs="Arial"/>
      <w:vanish/>
      <w:sz w:val="16"/>
      <w:szCs w:val="16"/>
      <w:lang w:val="hr-HR" w:eastAsia="hr-HR"/>
    </w:rPr>
  </w:style>
  <w:style w:type="paragraph" w:styleId="z-BottomofForm">
    <w:name w:val="HTML Bottom of Form"/>
    <w:basedOn w:val="Normal"/>
    <w:next w:val="Normal"/>
    <w:link w:val="z-BottomofFormChar"/>
    <w:hidden/>
    <w:uiPriority w:val="99"/>
    <w:semiHidden/>
    <w:unhideWhenUsed/>
    <w:rsid w:val="00D7038C"/>
    <w:pPr>
      <w:pBdr>
        <w:top w:val="single" w:sz="6" w:space="1" w:color="auto"/>
      </w:pBdr>
      <w:spacing w:after="0" w:line="240" w:lineRule="auto"/>
      <w:jc w:val="center"/>
    </w:pPr>
    <w:rPr>
      <w:rFonts w:ascii="Arial" w:eastAsia="Times New Roman" w:hAnsi="Arial" w:cs="Arial"/>
      <w:vanish/>
      <w:sz w:val="16"/>
      <w:szCs w:val="16"/>
      <w:lang w:val="hr-HR" w:eastAsia="hr-HR"/>
    </w:rPr>
  </w:style>
  <w:style w:type="character" w:customStyle="1" w:styleId="z-BottomofFormChar">
    <w:name w:val="z-Bottom of Form Char"/>
    <w:basedOn w:val="DefaultParagraphFont"/>
    <w:link w:val="z-BottomofForm"/>
    <w:uiPriority w:val="99"/>
    <w:semiHidden/>
    <w:rsid w:val="00D7038C"/>
    <w:rPr>
      <w:rFonts w:ascii="Arial" w:eastAsia="Times New Roman" w:hAnsi="Arial" w:cs="Arial"/>
      <w:vanish/>
      <w:sz w:val="16"/>
      <w:szCs w:val="16"/>
      <w:lang w:val="hr-HR" w:eastAsia="hr-HR"/>
    </w:rPr>
  </w:style>
  <w:style w:type="paragraph" w:styleId="TOCHeading">
    <w:name w:val="TOC Heading"/>
    <w:basedOn w:val="Heading1"/>
    <w:next w:val="Normal"/>
    <w:uiPriority w:val="39"/>
    <w:unhideWhenUsed/>
    <w:qFormat/>
    <w:rsid w:val="00097F13"/>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unhideWhenUsed/>
    <w:rsid w:val="00097F13"/>
    <w:pPr>
      <w:spacing w:after="100"/>
    </w:pPr>
  </w:style>
  <w:style w:type="paragraph" w:styleId="TOC2">
    <w:name w:val="toc 2"/>
    <w:basedOn w:val="Normal"/>
    <w:next w:val="Normal"/>
    <w:autoRedefine/>
    <w:uiPriority w:val="39"/>
    <w:unhideWhenUsed/>
    <w:rsid w:val="00097F13"/>
    <w:pPr>
      <w:spacing w:after="100"/>
      <w:ind w:left="220"/>
    </w:pPr>
  </w:style>
  <w:style w:type="character" w:customStyle="1" w:styleId="A18">
    <w:name w:val="A18"/>
    <w:uiPriority w:val="99"/>
    <w:rsid w:val="003D7BE1"/>
    <w:rPr>
      <w:rFonts w:ascii="UJTVYX+ZapfDingbatsITC" w:eastAsia="UJTVYX+ZapfDingbatsITC" w:cs="UJTVYX+ZapfDingbatsITC"/>
      <w:color w:val="000000"/>
      <w:sz w:val="11"/>
      <w:szCs w:val="11"/>
    </w:rPr>
  </w:style>
  <w:style w:type="character" w:customStyle="1" w:styleId="A13">
    <w:name w:val="A13"/>
    <w:uiPriority w:val="99"/>
    <w:rsid w:val="003D7BE1"/>
    <w:rPr>
      <w:rFonts w:cs="Arno Pro"/>
      <w:color w:val="000000"/>
      <w:sz w:val="12"/>
      <w:szCs w:val="12"/>
    </w:rPr>
  </w:style>
  <w:style w:type="paragraph" w:customStyle="1" w:styleId="Pa23">
    <w:name w:val="Pa23"/>
    <w:basedOn w:val="Default"/>
    <w:next w:val="Default"/>
    <w:uiPriority w:val="99"/>
    <w:rsid w:val="00AF1F41"/>
    <w:pPr>
      <w:spacing w:line="211" w:lineRule="atLeast"/>
    </w:pPr>
    <w:rPr>
      <w:rFonts w:ascii="Arno Pro Smbd SmText" w:hAnsi="Arno Pro Smbd SmText" w:cstheme="minorBidi"/>
      <w:color w:val="auto"/>
    </w:rPr>
  </w:style>
  <w:style w:type="paragraph" w:customStyle="1" w:styleId="Pa17">
    <w:name w:val="Pa17"/>
    <w:basedOn w:val="Default"/>
    <w:next w:val="Default"/>
    <w:uiPriority w:val="99"/>
    <w:rsid w:val="00AF1F41"/>
    <w:pPr>
      <w:spacing w:line="211" w:lineRule="atLeast"/>
    </w:pPr>
    <w:rPr>
      <w:rFonts w:ascii="Arno Pro Smbd SmText" w:hAnsi="Arno Pro Smbd SmText" w:cstheme="minorBidi"/>
      <w:color w:val="auto"/>
    </w:rPr>
  </w:style>
  <w:style w:type="paragraph" w:customStyle="1" w:styleId="Pa32">
    <w:name w:val="Pa32"/>
    <w:basedOn w:val="Default"/>
    <w:next w:val="Default"/>
    <w:uiPriority w:val="99"/>
    <w:rsid w:val="00D63E22"/>
    <w:pPr>
      <w:spacing w:line="441" w:lineRule="atLeast"/>
    </w:pPr>
    <w:rPr>
      <w:rFonts w:ascii="Arno Pro Smbd Display" w:hAnsi="Arno Pro Smbd Display" w:cstheme="minorBidi"/>
      <w:color w:val="auto"/>
    </w:rPr>
  </w:style>
  <w:style w:type="paragraph" w:customStyle="1" w:styleId="Pa11">
    <w:name w:val="Pa11"/>
    <w:basedOn w:val="Default"/>
    <w:next w:val="Default"/>
    <w:uiPriority w:val="99"/>
    <w:rsid w:val="00A65A52"/>
    <w:pPr>
      <w:spacing w:line="181" w:lineRule="atLeast"/>
    </w:pPr>
    <w:rPr>
      <w:rFonts w:ascii="Arno Pro" w:hAnsi="Arno Pro" w:cstheme="minorBidi"/>
      <w:color w:val="auto"/>
    </w:rPr>
  </w:style>
  <w:style w:type="paragraph" w:customStyle="1" w:styleId="Refs">
    <w:name w:val="Refs"/>
    <w:basedOn w:val="Normal"/>
    <w:rsid w:val="0030242B"/>
    <w:pPr>
      <w:keepLines/>
      <w:spacing w:afterLines="30" w:after="0" w:line="240" w:lineRule="auto"/>
      <w:ind w:left="360" w:hanging="360"/>
    </w:pPr>
    <w:rPr>
      <w:rFonts w:eastAsiaTheme="minorEastAsia"/>
    </w:rPr>
  </w:style>
  <w:style w:type="paragraph" w:customStyle="1" w:styleId="RowsHeading">
    <w:name w:val="Rows Heading"/>
    <w:basedOn w:val="Normal"/>
    <w:rsid w:val="00A115AF"/>
    <w:pPr>
      <w:spacing w:after="0" w:line="240" w:lineRule="auto"/>
    </w:pPr>
    <w:rPr>
      <w:rFonts w:ascii="Arial" w:eastAsia="Times New Roman" w:hAnsi="Arial" w:cs="Arial"/>
      <w:sz w:val="18"/>
      <w:szCs w:val="18"/>
      <w:lang w:val="en-GB" w:eastAsia="zh-CN"/>
    </w:rPr>
  </w:style>
  <w:style w:type="paragraph" w:customStyle="1" w:styleId="Tableheading">
    <w:name w:val="Tableheading"/>
    <w:basedOn w:val="Normal"/>
    <w:rsid w:val="00A115AF"/>
    <w:pPr>
      <w:keepNext/>
      <w:spacing w:after="0" w:line="240" w:lineRule="auto"/>
      <w:jc w:val="center"/>
    </w:pPr>
    <w:rPr>
      <w:rFonts w:ascii="Calibri" w:eastAsia="Times New Roman" w:hAnsi="Calibri" w:cs="Arial"/>
      <w:b/>
      <w:bCs/>
      <w:color w:val="FFFFFF" w:themeColor="background1"/>
      <w:sz w:val="20"/>
      <w:szCs w:val="20"/>
    </w:rPr>
  </w:style>
  <w:style w:type="table" w:customStyle="1" w:styleId="TableGridLight1">
    <w:name w:val="Table Grid Light1"/>
    <w:basedOn w:val="TableNormal"/>
    <w:uiPriority w:val="40"/>
    <w:rsid w:val="00A115AF"/>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12">
    <w:name w:val="A12"/>
    <w:uiPriority w:val="99"/>
    <w:rsid w:val="00FD352A"/>
    <w:rPr>
      <w:rFonts w:cs="Avenir Next Demi Bold"/>
      <w:b/>
      <w:bCs/>
      <w:color w:val="000000"/>
      <w:sz w:val="61"/>
      <w:szCs w:val="61"/>
    </w:rPr>
  </w:style>
  <w:style w:type="paragraph" w:customStyle="1" w:styleId="Pa33">
    <w:name w:val="Pa33"/>
    <w:basedOn w:val="Default"/>
    <w:next w:val="Default"/>
    <w:uiPriority w:val="99"/>
    <w:rsid w:val="006C139B"/>
    <w:pPr>
      <w:spacing w:line="361" w:lineRule="atLeast"/>
    </w:pPr>
    <w:rPr>
      <w:rFonts w:ascii="Arno Pro Smbd Display" w:hAnsi="Arno Pro Smbd Display" w:cstheme="minorBidi"/>
      <w:color w:val="auto"/>
    </w:rPr>
  </w:style>
  <w:style w:type="paragraph" w:styleId="TOC3">
    <w:name w:val="toc 3"/>
    <w:basedOn w:val="Normal"/>
    <w:next w:val="Normal"/>
    <w:autoRedefine/>
    <w:uiPriority w:val="39"/>
    <w:unhideWhenUsed/>
    <w:rsid w:val="001F2878"/>
    <w:pPr>
      <w:spacing w:after="100"/>
      <w:ind w:left="440"/>
    </w:pPr>
    <w:rPr>
      <w:rFonts w:eastAsiaTheme="minorEastAsia" w:cs="Times New Roman"/>
    </w:rPr>
  </w:style>
  <w:style w:type="character" w:customStyle="1" w:styleId="italic">
    <w:name w:val="italic"/>
    <w:basedOn w:val="DefaultParagraphFont"/>
    <w:rsid w:val="00A357CA"/>
  </w:style>
  <w:style w:type="paragraph" w:customStyle="1" w:styleId="Subheading1">
    <w:name w:val="Sub_heading1"/>
    <w:basedOn w:val="Heading1"/>
    <w:link w:val="Subheading1Char"/>
    <w:qFormat/>
    <w:rsid w:val="00D92F7A"/>
    <w:pPr>
      <w:numPr>
        <w:numId w:val="30"/>
      </w:numPr>
      <w:ind w:left="0" w:firstLine="0"/>
    </w:pPr>
    <w:rPr>
      <w:rFonts w:ascii="Calibri" w:hAnsi="Calibri" w:cs="Calibri"/>
      <w:color w:val="1F4E79" w:themeColor="accent1" w:themeShade="80"/>
      <w:sz w:val="22"/>
      <w:szCs w:val="22"/>
    </w:rPr>
  </w:style>
  <w:style w:type="character" w:customStyle="1" w:styleId="Subheading1Char">
    <w:name w:val="Sub_heading1 Char"/>
    <w:basedOn w:val="Heading1Char"/>
    <w:link w:val="Subheading1"/>
    <w:rsid w:val="00D92F7A"/>
    <w:rPr>
      <w:rFonts w:ascii="Calibri" w:eastAsia="Times New Roman" w:hAnsi="Calibri" w:cs="Calibri"/>
      <w:b/>
      <w:bCs/>
      <w:color w:val="1F4E79" w:themeColor="accent1" w:themeShade="80"/>
      <w:kern w:val="32"/>
      <w:sz w:val="28"/>
      <w:szCs w:val="32"/>
    </w:rPr>
  </w:style>
  <w:style w:type="character" w:styleId="UnresolvedMention">
    <w:name w:val="Unresolved Mention"/>
    <w:basedOn w:val="DefaultParagraphFont"/>
    <w:uiPriority w:val="99"/>
    <w:semiHidden/>
    <w:unhideWhenUsed/>
    <w:rsid w:val="00F61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4552">
      <w:bodyDiv w:val="1"/>
      <w:marLeft w:val="0"/>
      <w:marRight w:val="0"/>
      <w:marTop w:val="0"/>
      <w:marBottom w:val="0"/>
      <w:divBdr>
        <w:top w:val="none" w:sz="0" w:space="0" w:color="auto"/>
        <w:left w:val="none" w:sz="0" w:space="0" w:color="auto"/>
        <w:bottom w:val="none" w:sz="0" w:space="0" w:color="auto"/>
        <w:right w:val="none" w:sz="0" w:space="0" w:color="auto"/>
      </w:divBdr>
    </w:div>
    <w:div w:id="33968118">
      <w:bodyDiv w:val="1"/>
      <w:marLeft w:val="0"/>
      <w:marRight w:val="0"/>
      <w:marTop w:val="0"/>
      <w:marBottom w:val="0"/>
      <w:divBdr>
        <w:top w:val="none" w:sz="0" w:space="0" w:color="auto"/>
        <w:left w:val="none" w:sz="0" w:space="0" w:color="auto"/>
        <w:bottom w:val="none" w:sz="0" w:space="0" w:color="auto"/>
        <w:right w:val="none" w:sz="0" w:space="0" w:color="auto"/>
      </w:divBdr>
    </w:div>
    <w:div w:id="54621195">
      <w:bodyDiv w:val="1"/>
      <w:marLeft w:val="0"/>
      <w:marRight w:val="0"/>
      <w:marTop w:val="0"/>
      <w:marBottom w:val="0"/>
      <w:divBdr>
        <w:top w:val="none" w:sz="0" w:space="0" w:color="auto"/>
        <w:left w:val="none" w:sz="0" w:space="0" w:color="auto"/>
        <w:bottom w:val="none" w:sz="0" w:space="0" w:color="auto"/>
        <w:right w:val="none" w:sz="0" w:space="0" w:color="auto"/>
      </w:divBdr>
    </w:div>
    <w:div w:id="130749998">
      <w:bodyDiv w:val="1"/>
      <w:marLeft w:val="0"/>
      <w:marRight w:val="0"/>
      <w:marTop w:val="0"/>
      <w:marBottom w:val="0"/>
      <w:divBdr>
        <w:top w:val="none" w:sz="0" w:space="0" w:color="auto"/>
        <w:left w:val="none" w:sz="0" w:space="0" w:color="auto"/>
        <w:bottom w:val="none" w:sz="0" w:space="0" w:color="auto"/>
        <w:right w:val="none" w:sz="0" w:space="0" w:color="auto"/>
      </w:divBdr>
    </w:div>
    <w:div w:id="148526675">
      <w:bodyDiv w:val="1"/>
      <w:marLeft w:val="0"/>
      <w:marRight w:val="0"/>
      <w:marTop w:val="0"/>
      <w:marBottom w:val="0"/>
      <w:divBdr>
        <w:top w:val="none" w:sz="0" w:space="0" w:color="auto"/>
        <w:left w:val="none" w:sz="0" w:space="0" w:color="auto"/>
        <w:bottom w:val="none" w:sz="0" w:space="0" w:color="auto"/>
        <w:right w:val="none" w:sz="0" w:space="0" w:color="auto"/>
      </w:divBdr>
    </w:div>
    <w:div w:id="197351311">
      <w:bodyDiv w:val="1"/>
      <w:marLeft w:val="0"/>
      <w:marRight w:val="0"/>
      <w:marTop w:val="0"/>
      <w:marBottom w:val="0"/>
      <w:divBdr>
        <w:top w:val="none" w:sz="0" w:space="0" w:color="auto"/>
        <w:left w:val="none" w:sz="0" w:space="0" w:color="auto"/>
        <w:bottom w:val="none" w:sz="0" w:space="0" w:color="auto"/>
        <w:right w:val="none" w:sz="0" w:space="0" w:color="auto"/>
      </w:divBdr>
    </w:div>
    <w:div w:id="199366369">
      <w:bodyDiv w:val="1"/>
      <w:marLeft w:val="0"/>
      <w:marRight w:val="0"/>
      <w:marTop w:val="0"/>
      <w:marBottom w:val="0"/>
      <w:divBdr>
        <w:top w:val="none" w:sz="0" w:space="0" w:color="auto"/>
        <w:left w:val="none" w:sz="0" w:space="0" w:color="auto"/>
        <w:bottom w:val="none" w:sz="0" w:space="0" w:color="auto"/>
        <w:right w:val="none" w:sz="0" w:space="0" w:color="auto"/>
      </w:divBdr>
    </w:div>
    <w:div w:id="219024346">
      <w:bodyDiv w:val="1"/>
      <w:marLeft w:val="0"/>
      <w:marRight w:val="0"/>
      <w:marTop w:val="0"/>
      <w:marBottom w:val="0"/>
      <w:divBdr>
        <w:top w:val="none" w:sz="0" w:space="0" w:color="auto"/>
        <w:left w:val="none" w:sz="0" w:space="0" w:color="auto"/>
        <w:bottom w:val="none" w:sz="0" w:space="0" w:color="auto"/>
        <w:right w:val="none" w:sz="0" w:space="0" w:color="auto"/>
      </w:divBdr>
    </w:div>
    <w:div w:id="257829374">
      <w:bodyDiv w:val="1"/>
      <w:marLeft w:val="0"/>
      <w:marRight w:val="0"/>
      <w:marTop w:val="0"/>
      <w:marBottom w:val="0"/>
      <w:divBdr>
        <w:top w:val="none" w:sz="0" w:space="0" w:color="auto"/>
        <w:left w:val="none" w:sz="0" w:space="0" w:color="auto"/>
        <w:bottom w:val="none" w:sz="0" w:space="0" w:color="auto"/>
        <w:right w:val="none" w:sz="0" w:space="0" w:color="auto"/>
      </w:divBdr>
    </w:div>
    <w:div w:id="315454327">
      <w:bodyDiv w:val="1"/>
      <w:marLeft w:val="0"/>
      <w:marRight w:val="0"/>
      <w:marTop w:val="0"/>
      <w:marBottom w:val="0"/>
      <w:divBdr>
        <w:top w:val="none" w:sz="0" w:space="0" w:color="auto"/>
        <w:left w:val="none" w:sz="0" w:space="0" w:color="auto"/>
        <w:bottom w:val="none" w:sz="0" w:space="0" w:color="auto"/>
        <w:right w:val="none" w:sz="0" w:space="0" w:color="auto"/>
      </w:divBdr>
    </w:div>
    <w:div w:id="323316470">
      <w:bodyDiv w:val="1"/>
      <w:marLeft w:val="0"/>
      <w:marRight w:val="0"/>
      <w:marTop w:val="0"/>
      <w:marBottom w:val="0"/>
      <w:divBdr>
        <w:top w:val="none" w:sz="0" w:space="0" w:color="auto"/>
        <w:left w:val="none" w:sz="0" w:space="0" w:color="auto"/>
        <w:bottom w:val="none" w:sz="0" w:space="0" w:color="auto"/>
        <w:right w:val="none" w:sz="0" w:space="0" w:color="auto"/>
      </w:divBdr>
    </w:div>
    <w:div w:id="338776481">
      <w:bodyDiv w:val="1"/>
      <w:marLeft w:val="0"/>
      <w:marRight w:val="0"/>
      <w:marTop w:val="0"/>
      <w:marBottom w:val="0"/>
      <w:divBdr>
        <w:top w:val="none" w:sz="0" w:space="0" w:color="auto"/>
        <w:left w:val="none" w:sz="0" w:space="0" w:color="auto"/>
        <w:bottom w:val="none" w:sz="0" w:space="0" w:color="auto"/>
        <w:right w:val="none" w:sz="0" w:space="0" w:color="auto"/>
      </w:divBdr>
      <w:divsChild>
        <w:div w:id="625046056">
          <w:marLeft w:val="547"/>
          <w:marRight w:val="0"/>
          <w:marTop w:val="0"/>
          <w:marBottom w:val="0"/>
          <w:divBdr>
            <w:top w:val="none" w:sz="0" w:space="0" w:color="auto"/>
            <w:left w:val="none" w:sz="0" w:space="0" w:color="auto"/>
            <w:bottom w:val="none" w:sz="0" w:space="0" w:color="auto"/>
            <w:right w:val="none" w:sz="0" w:space="0" w:color="auto"/>
          </w:divBdr>
        </w:div>
      </w:divsChild>
    </w:div>
    <w:div w:id="397018478">
      <w:bodyDiv w:val="1"/>
      <w:marLeft w:val="0"/>
      <w:marRight w:val="0"/>
      <w:marTop w:val="0"/>
      <w:marBottom w:val="0"/>
      <w:divBdr>
        <w:top w:val="none" w:sz="0" w:space="0" w:color="auto"/>
        <w:left w:val="none" w:sz="0" w:space="0" w:color="auto"/>
        <w:bottom w:val="none" w:sz="0" w:space="0" w:color="auto"/>
        <w:right w:val="none" w:sz="0" w:space="0" w:color="auto"/>
      </w:divBdr>
    </w:div>
    <w:div w:id="644698449">
      <w:bodyDiv w:val="1"/>
      <w:marLeft w:val="0"/>
      <w:marRight w:val="0"/>
      <w:marTop w:val="0"/>
      <w:marBottom w:val="0"/>
      <w:divBdr>
        <w:top w:val="none" w:sz="0" w:space="0" w:color="auto"/>
        <w:left w:val="none" w:sz="0" w:space="0" w:color="auto"/>
        <w:bottom w:val="none" w:sz="0" w:space="0" w:color="auto"/>
        <w:right w:val="none" w:sz="0" w:space="0" w:color="auto"/>
      </w:divBdr>
    </w:div>
    <w:div w:id="679700453">
      <w:bodyDiv w:val="1"/>
      <w:marLeft w:val="0"/>
      <w:marRight w:val="0"/>
      <w:marTop w:val="0"/>
      <w:marBottom w:val="0"/>
      <w:divBdr>
        <w:top w:val="none" w:sz="0" w:space="0" w:color="auto"/>
        <w:left w:val="none" w:sz="0" w:space="0" w:color="auto"/>
        <w:bottom w:val="none" w:sz="0" w:space="0" w:color="auto"/>
        <w:right w:val="none" w:sz="0" w:space="0" w:color="auto"/>
      </w:divBdr>
    </w:div>
    <w:div w:id="732628813">
      <w:bodyDiv w:val="1"/>
      <w:marLeft w:val="0"/>
      <w:marRight w:val="0"/>
      <w:marTop w:val="0"/>
      <w:marBottom w:val="0"/>
      <w:divBdr>
        <w:top w:val="none" w:sz="0" w:space="0" w:color="auto"/>
        <w:left w:val="none" w:sz="0" w:space="0" w:color="auto"/>
        <w:bottom w:val="none" w:sz="0" w:space="0" w:color="auto"/>
        <w:right w:val="none" w:sz="0" w:space="0" w:color="auto"/>
      </w:divBdr>
    </w:div>
    <w:div w:id="740639435">
      <w:bodyDiv w:val="1"/>
      <w:marLeft w:val="0"/>
      <w:marRight w:val="0"/>
      <w:marTop w:val="0"/>
      <w:marBottom w:val="0"/>
      <w:divBdr>
        <w:top w:val="none" w:sz="0" w:space="0" w:color="auto"/>
        <w:left w:val="none" w:sz="0" w:space="0" w:color="auto"/>
        <w:bottom w:val="none" w:sz="0" w:space="0" w:color="auto"/>
        <w:right w:val="none" w:sz="0" w:space="0" w:color="auto"/>
      </w:divBdr>
    </w:div>
    <w:div w:id="753235396">
      <w:bodyDiv w:val="1"/>
      <w:marLeft w:val="0"/>
      <w:marRight w:val="0"/>
      <w:marTop w:val="0"/>
      <w:marBottom w:val="0"/>
      <w:divBdr>
        <w:top w:val="none" w:sz="0" w:space="0" w:color="auto"/>
        <w:left w:val="none" w:sz="0" w:space="0" w:color="auto"/>
        <w:bottom w:val="none" w:sz="0" w:space="0" w:color="auto"/>
        <w:right w:val="none" w:sz="0" w:space="0" w:color="auto"/>
      </w:divBdr>
    </w:div>
    <w:div w:id="758213592">
      <w:bodyDiv w:val="1"/>
      <w:marLeft w:val="0"/>
      <w:marRight w:val="0"/>
      <w:marTop w:val="0"/>
      <w:marBottom w:val="0"/>
      <w:divBdr>
        <w:top w:val="none" w:sz="0" w:space="0" w:color="auto"/>
        <w:left w:val="none" w:sz="0" w:space="0" w:color="auto"/>
        <w:bottom w:val="none" w:sz="0" w:space="0" w:color="auto"/>
        <w:right w:val="none" w:sz="0" w:space="0" w:color="auto"/>
      </w:divBdr>
    </w:div>
    <w:div w:id="766001009">
      <w:bodyDiv w:val="1"/>
      <w:marLeft w:val="0"/>
      <w:marRight w:val="0"/>
      <w:marTop w:val="0"/>
      <w:marBottom w:val="0"/>
      <w:divBdr>
        <w:top w:val="none" w:sz="0" w:space="0" w:color="auto"/>
        <w:left w:val="none" w:sz="0" w:space="0" w:color="auto"/>
        <w:bottom w:val="none" w:sz="0" w:space="0" w:color="auto"/>
        <w:right w:val="none" w:sz="0" w:space="0" w:color="auto"/>
      </w:divBdr>
    </w:div>
    <w:div w:id="795297132">
      <w:bodyDiv w:val="1"/>
      <w:marLeft w:val="0"/>
      <w:marRight w:val="0"/>
      <w:marTop w:val="0"/>
      <w:marBottom w:val="0"/>
      <w:divBdr>
        <w:top w:val="none" w:sz="0" w:space="0" w:color="auto"/>
        <w:left w:val="none" w:sz="0" w:space="0" w:color="auto"/>
        <w:bottom w:val="none" w:sz="0" w:space="0" w:color="auto"/>
        <w:right w:val="none" w:sz="0" w:space="0" w:color="auto"/>
      </w:divBdr>
    </w:div>
    <w:div w:id="813327644">
      <w:bodyDiv w:val="1"/>
      <w:marLeft w:val="0"/>
      <w:marRight w:val="0"/>
      <w:marTop w:val="0"/>
      <w:marBottom w:val="0"/>
      <w:divBdr>
        <w:top w:val="none" w:sz="0" w:space="0" w:color="auto"/>
        <w:left w:val="none" w:sz="0" w:space="0" w:color="auto"/>
        <w:bottom w:val="none" w:sz="0" w:space="0" w:color="auto"/>
        <w:right w:val="none" w:sz="0" w:space="0" w:color="auto"/>
      </w:divBdr>
    </w:div>
    <w:div w:id="869878240">
      <w:bodyDiv w:val="1"/>
      <w:marLeft w:val="0"/>
      <w:marRight w:val="0"/>
      <w:marTop w:val="0"/>
      <w:marBottom w:val="0"/>
      <w:divBdr>
        <w:top w:val="none" w:sz="0" w:space="0" w:color="auto"/>
        <w:left w:val="none" w:sz="0" w:space="0" w:color="auto"/>
        <w:bottom w:val="none" w:sz="0" w:space="0" w:color="auto"/>
        <w:right w:val="none" w:sz="0" w:space="0" w:color="auto"/>
      </w:divBdr>
    </w:div>
    <w:div w:id="892038966">
      <w:bodyDiv w:val="1"/>
      <w:marLeft w:val="0"/>
      <w:marRight w:val="0"/>
      <w:marTop w:val="0"/>
      <w:marBottom w:val="0"/>
      <w:divBdr>
        <w:top w:val="none" w:sz="0" w:space="0" w:color="auto"/>
        <w:left w:val="none" w:sz="0" w:space="0" w:color="auto"/>
        <w:bottom w:val="none" w:sz="0" w:space="0" w:color="auto"/>
        <w:right w:val="none" w:sz="0" w:space="0" w:color="auto"/>
      </w:divBdr>
    </w:div>
    <w:div w:id="1022125315">
      <w:bodyDiv w:val="1"/>
      <w:marLeft w:val="0"/>
      <w:marRight w:val="0"/>
      <w:marTop w:val="0"/>
      <w:marBottom w:val="0"/>
      <w:divBdr>
        <w:top w:val="none" w:sz="0" w:space="0" w:color="auto"/>
        <w:left w:val="none" w:sz="0" w:space="0" w:color="auto"/>
        <w:bottom w:val="none" w:sz="0" w:space="0" w:color="auto"/>
        <w:right w:val="none" w:sz="0" w:space="0" w:color="auto"/>
      </w:divBdr>
    </w:div>
    <w:div w:id="1028603077">
      <w:bodyDiv w:val="1"/>
      <w:marLeft w:val="0"/>
      <w:marRight w:val="0"/>
      <w:marTop w:val="0"/>
      <w:marBottom w:val="0"/>
      <w:divBdr>
        <w:top w:val="none" w:sz="0" w:space="0" w:color="auto"/>
        <w:left w:val="none" w:sz="0" w:space="0" w:color="auto"/>
        <w:bottom w:val="none" w:sz="0" w:space="0" w:color="auto"/>
        <w:right w:val="none" w:sz="0" w:space="0" w:color="auto"/>
      </w:divBdr>
    </w:div>
    <w:div w:id="1046758392">
      <w:bodyDiv w:val="1"/>
      <w:marLeft w:val="0"/>
      <w:marRight w:val="0"/>
      <w:marTop w:val="0"/>
      <w:marBottom w:val="0"/>
      <w:divBdr>
        <w:top w:val="none" w:sz="0" w:space="0" w:color="auto"/>
        <w:left w:val="none" w:sz="0" w:space="0" w:color="auto"/>
        <w:bottom w:val="none" w:sz="0" w:space="0" w:color="auto"/>
        <w:right w:val="none" w:sz="0" w:space="0" w:color="auto"/>
      </w:divBdr>
    </w:div>
    <w:div w:id="1063485167">
      <w:bodyDiv w:val="1"/>
      <w:marLeft w:val="0"/>
      <w:marRight w:val="0"/>
      <w:marTop w:val="0"/>
      <w:marBottom w:val="0"/>
      <w:divBdr>
        <w:top w:val="none" w:sz="0" w:space="0" w:color="auto"/>
        <w:left w:val="none" w:sz="0" w:space="0" w:color="auto"/>
        <w:bottom w:val="none" w:sz="0" w:space="0" w:color="auto"/>
        <w:right w:val="none" w:sz="0" w:space="0" w:color="auto"/>
      </w:divBdr>
    </w:div>
    <w:div w:id="1096514228">
      <w:bodyDiv w:val="1"/>
      <w:marLeft w:val="0"/>
      <w:marRight w:val="0"/>
      <w:marTop w:val="0"/>
      <w:marBottom w:val="0"/>
      <w:divBdr>
        <w:top w:val="none" w:sz="0" w:space="0" w:color="auto"/>
        <w:left w:val="none" w:sz="0" w:space="0" w:color="auto"/>
        <w:bottom w:val="none" w:sz="0" w:space="0" w:color="auto"/>
        <w:right w:val="none" w:sz="0" w:space="0" w:color="auto"/>
      </w:divBdr>
    </w:div>
    <w:div w:id="1118641096">
      <w:bodyDiv w:val="1"/>
      <w:marLeft w:val="0"/>
      <w:marRight w:val="0"/>
      <w:marTop w:val="0"/>
      <w:marBottom w:val="0"/>
      <w:divBdr>
        <w:top w:val="none" w:sz="0" w:space="0" w:color="auto"/>
        <w:left w:val="none" w:sz="0" w:space="0" w:color="auto"/>
        <w:bottom w:val="none" w:sz="0" w:space="0" w:color="auto"/>
        <w:right w:val="none" w:sz="0" w:space="0" w:color="auto"/>
      </w:divBdr>
    </w:div>
    <w:div w:id="1125541626">
      <w:bodyDiv w:val="1"/>
      <w:marLeft w:val="0"/>
      <w:marRight w:val="0"/>
      <w:marTop w:val="0"/>
      <w:marBottom w:val="0"/>
      <w:divBdr>
        <w:top w:val="none" w:sz="0" w:space="0" w:color="auto"/>
        <w:left w:val="none" w:sz="0" w:space="0" w:color="auto"/>
        <w:bottom w:val="none" w:sz="0" w:space="0" w:color="auto"/>
        <w:right w:val="none" w:sz="0" w:space="0" w:color="auto"/>
      </w:divBdr>
    </w:div>
    <w:div w:id="1167287966">
      <w:bodyDiv w:val="1"/>
      <w:marLeft w:val="0"/>
      <w:marRight w:val="0"/>
      <w:marTop w:val="0"/>
      <w:marBottom w:val="0"/>
      <w:divBdr>
        <w:top w:val="none" w:sz="0" w:space="0" w:color="auto"/>
        <w:left w:val="none" w:sz="0" w:space="0" w:color="auto"/>
        <w:bottom w:val="none" w:sz="0" w:space="0" w:color="auto"/>
        <w:right w:val="none" w:sz="0" w:space="0" w:color="auto"/>
      </w:divBdr>
    </w:div>
    <w:div w:id="1175389124">
      <w:bodyDiv w:val="1"/>
      <w:marLeft w:val="0"/>
      <w:marRight w:val="0"/>
      <w:marTop w:val="0"/>
      <w:marBottom w:val="0"/>
      <w:divBdr>
        <w:top w:val="none" w:sz="0" w:space="0" w:color="auto"/>
        <w:left w:val="none" w:sz="0" w:space="0" w:color="auto"/>
        <w:bottom w:val="none" w:sz="0" w:space="0" w:color="auto"/>
        <w:right w:val="none" w:sz="0" w:space="0" w:color="auto"/>
      </w:divBdr>
    </w:div>
    <w:div w:id="1212234520">
      <w:bodyDiv w:val="1"/>
      <w:marLeft w:val="0"/>
      <w:marRight w:val="0"/>
      <w:marTop w:val="0"/>
      <w:marBottom w:val="0"/>
      <w:divBdr>
        <w:top w:val="none" w:sz="0" w:space="0" w:color="auto"/>
        <w:left w:val="none" w:sz="0" w:space="0" w:color="auto"/>
        <w:bottom w:val="none" w:sz="0" w:space="0" w:color="auto"/>
        <w:right w:val="none" w:sz="0" w:space="0" w:color="auto"/>
      </w:divBdr>
    </w:div>
    <w:div w:id="1217203768">
      <w:bodyDiv w:val="1"/>
      <w:marLeft w:val="0"/>
      <w:marRight w:val="0"/>
      <w:marTop w:val="0"/>
      <w:marBottom w:val="0"/>
      <w:divBdr>
        <w:top w:val="none" w:sz="0" w:space="0" w:color="auto"/>
        <w:left w:val="none" w:sz="0" w:space="0" w:color="auto"/>
        <w:bottom w:val="none" w:sz="0" w:space="0" w:color="auto"/>
        <w:right w:val="none" w:sz="0" w:space="0" w:color="auto"/>
      </w:divBdr>
    </w:div>
    <w:div w:id="1246305491">
      <w:bodyDiv w:val="1"/>
      <w:marLeft w:val="0"/>
      <w:marRight w:val="0"/>
      <w:marTop w:val="0"/>
      <w:marBottom w:val="0"/>
      <w:divBdr>
        <w:top w:val="none" w:sz="0" w:space="0" w:color="auto"/>
        <w:left w:val="none" w:sz="0" w:space="0" w:color="auto"/>
        <w:bottom w:val="none" w:sz="0" w:space="0" w:color="auto"/>
        <w:right w:val="none" w:sz="0" w:space="0" w:color="auto"/>
      </w:divBdr>
    </w:div>
    <w:div w:id="1259559786">
      <w:bodyDiv w:val="1"/>
      <w:marLeft w:val="0"/>
      <w:marRight w:val="0"/>
      <w:marTop w:val="0"/>
      <w:marBottom w:val="0"/>
      <w:divBdr>
        <w:top w:val="none" w:sz="0" w:space="0" w:color="auto"/>
        <w:left w:val="none" w:sz="0" w:space="0" w:color="auto"/>
        <w:bottom w:val="none" w:sz="0" w:space="0" w:color="auto"/>
        <w:right w:val="none" w:sz="0" w:space="0" w:color="auto"/>
      </w:divBdr>
      <w:divsChild>
        <w:div w:id="1899435081">
          <w:marLeft w:val="0"/>
          <w:marRight w:val="0"/>
          <w:marTop w:val="0"/>
          <w:marBottom w:val="0"/>
          <w:divBdr>
            <w:top w:val="none" w:sz="0" w:space="0" w:color="auto"/>
            <w:left w:val="none" w:sz="0" w:space="0" w:color="auto"/>
            <w:bottom w:val="none" w:sz="0" w:space="0" w:color="auto"/>
            <w:right w:val="none" w:sz="0" w:space="0" w:color="auto"/>
          </w:divBdr>
          <w:divsChild>
            <w:div w:id="28536486">
              <w:marLeft w:val="0"/>
              <w:marRight w:val="0"/>
              <w:marTop w:val="0"/>
              <w:marBottom w:val="0"/>
              <w:divBdr>
                <w:top w:val="none" w:sz="0" w:space="0" w:color="auto"/>
                <w:left w:val="none" w:sz="0" w:space="0" w:color="auto"/>
                <w:bottom w:val="none" w:sz="0" w:space="0" w:color="auto"/>
                <w:right w:val="none" w:sz="0" w:space="0" w:color="auto"/>
              </w:divBdr>
              <w:divsChild>
                <w:div w:id="1753119055">
                  <w:marLeft w:val="-225"/>
                  <w:marRight w:val="-225"/>
                  <w:marTop w:val="0"/>
                  <w:marBottom w:val="0"/>
                  <w:divBdr>
                    <w:top w:val="none" w:sz="0" w:space="0" w:color="auto"/>
                    <w:left w:val="none" w:sz="0" w:space="0" w:color="auto"/>
                    <w:bottom w:val="none" w:sz="0" w:space="0" w:color="auto"/>
                    <w:right w:val="none" w:sz="0" w:space="0" w:color="auto"/>
                  </w:divBdr>
                  <w:divsChild>
                    <w:div w:id="152837622">
                      <w:marLeft w:val="0"/>
                      <w:marRight w:val="0"/>
                      <w:marTop w:val="0"/>
                      <w:marBottom w:val="0"/>
                      <w:divBdr>
                        <w:top w:val="none" w:sz="0" w:space="0" w:color="auto"/>
                        <w:left w:val="none" w:sz="0" w:space="0" w:color="auto"/>
                        <w:bottom w:val="none" w:sz="0" w:space="0" w:color="auto"/>
                        <w:right w:val="none" w:sz="0" w:space="0" w:color="auto"/>
                      </w:divBdr>
                      <w:divsChild>
                        <w:div w:id="1433428612">
                          <w:marLeft w:val="0"/>
                          <w:marRight w:val="0"/>
                          <w:marTop w:val="0"/>
                          <w:marBottom w:val="0"/>
                          <w:divBdr>
                            <w:top w:val="none" w:sz="0" w:space="0" w:color="auto"/>
                            <w:left w:val="none" w:sz="0" w:space="0" w:color="auto"/>
                            <w:bottom w:val="none" w:sz="0" w:space="0" w:color="auto"/>
                            <w:right w:val="none" w:sz="0" w:space="0" w:color="auto"/>
                          </w:divBdr>
                          <w:divsChild>
                            <w:div w:id="917011954">
                              <w:marLeft w:val="-225"/>
                              <w:marRight w:val="-225"/>
                              <w:marTop w:val="0"/>
                              <w:marBottom w:val="0"/>
                              <w:divBdr>
                                <w:top w:val="none" w:sz="0" w:space="0" w:color="auto"/>
                                <w:left w:val="none" w:sz="0" w:space="0" w:color="auto"/>
                                <w:bottom w:val="none" w:sz="0" w:space="0" w:color="auto"/>
                                <w:right w:val="none" w:sz="0" w:space="0" w:color="auto"/>
                              </w:divBdr>
                              <w:divsChild>
                                <w:div w:id="596985952">
                                  <w:marLeft w:val="0"/>
                                  <w:marRight w:val="0"/>
                                  <w:marTop w:val="0"/>
                                  <w:marBottom w:val="0"/>
                                  <w:divBdr>
                                    <w:top w:val="none" w:sz="0" w:space="0" w:color="auto"/>
                                    <w:left w:val="none" w:sz="0" w:space="0" w:color="auto"/>
                                    <w:bottom w:val="none" w:sz="0" w:space="0" w:color="auto"/>
                                    <w:right w:val="none" w:sz="0" w:space="0" w:color="auto"/>
                                  </w:divBdr>
                                  <w:divsChild>
                                    <w:div w:id="1688409567">
                                      <w:marLeft w:val="0"/>
                                      <w:marRight w:val="0"/>
                                      <w:marTop w:val="0"/>
                                      <w:marBottom w:val="0"/>
                                      <w:divBdr>
                                        <w:top w:val="none" w:sz="0" w:space="0" w:color="auto"/>
                                        <w:left w:val="none" w:sz="0" w:space="0" w:color="auto"/>
                                        <w:bottom w:val="none" w:sz="0" w:space="0" w:color="auto"/>
                                        <w:right w:val="none" w:sz="0" w:space="0" w:color="auto"/>
                                      </w:divBdr>
                                      <w:divsChild>
                                        <w:div w:id="1098791506">
                                          <w:marLeft w:val="0"/>
                                          <w:marRight w:val="0"/>
                                          <w:marTop w:val="0"/>
                                          <w:marBottom w:val="0"/>
                                          <w:divBdr>
                                            <w:top w:val="none" w:sz="0" w:space="0" w:color="auto"/>
                                            <w:left w:val="none" w:sz="0" w:space="0" w:color="auto"/>
                                            <w:bottom w:val="none" w:sz="0" w:space="0" w:color="auto"/>
                                            <w:right w:val="none" w:sz="0" w:space="0" w:color="auto"/>
                                          </w:divBdr>
                                          <w:divsChild>
                                            <w:div w:id="341974457">
                                              <w:marLeft w:val="0"/>
                                              <w:marRight w:val="0"/>
                                              <w:marTop w:val="0"/>
                                              <w:marBottom w:val="0"/>
                                              <w:divBdr>
                                                <w:top w:val="none" w:sz="0" w:space="0" w:color="auto"/>
                                                <w:left w:val="none" w:sz="0" w:space="0" w:color="auto"/>
                                                <w:bottom w:val="none" w:sz="0" w:space="0" w:color="auto"/>
                                                <w:right w:val="none" w:sz="0" w:space="0" w:color="auto"/>
                                              </w:divBdr>
                                              <w:divsChild>
                                                <w:div w:id="1737170239">
                                                  <w:marLeft w:val="0"/>
                                                  <w:marRight w:val="0"/>
                                                  <w:marTop w:val="0"/>
                                                  <w:marBottom w:val="0"/>
                                                  <w:divBdr>
                                                    <w:top w:val="none" w:sz="0" w:space="0" w:color="auto"/>
                                                    <w:left w:val="none" w:sz="0" w:space="0" w:color="auto"/>
                                                    <w:bottom w:val="none" w:sz="0" w:space="0" w:color="auto"/>
                                                    <w:right w:val="none" w:sz="0" w:space="0" w:color="auto"/>
                                                  </w:divBdr>
                                                  <w:divsChild>
                                                    <w:div w:id="609164863">
                                                      <w:marLeft w:val="0"/>
                                                      <w:marRight w:val="0"/>
                                                      <w:marTop w:val="0"/>
                                                      <w:marBottom w:val="0"/>
                                                      <w:divBdr>
                                                        <w:top w:val="none" w:sz="0" w:space="0" w:color="auto"/>
                                                        <w:left w:val="none" w:sz="0" w:space="0" w:color="auto"/>
                                                        <w:bottom w:val="none" w:sz="0" w:space="0" w:color="auto"/>
                                                        <w:right w:val="none" w:sz="0" w:space="0" w:color="auto"/>
                                                      </w:divBdr>
                                                      <w:divsChild>
                                                        <w:div w:id="14839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36912">
      <w:bodyDiv w:val="1"/>
      <w:marLeft w:val="0"/>
      <w:marRight w:val="0"/>
      <w:marTop w:val="0"/>
      <w:marBottom w:val="0"/>
      <w:divBdr>
        <w:top w:val="none" w:sz="0" w:space="0" w:color="auto"/>
        <w:left w:val="none" w:sz="0" w:space="0" w:color="auto"/>
        <w:bottom w:val="none" w:sz="0" w:space="0" w:color="auto"/>
        <w:right w:val="none" w:sz="0" w:space="0" w:color="auto"/>
      </w:divBdr>
    </w:div>
    <w:div w:id="1266377341">
      <w:bodyDiv w:val="1"/>
      <w:marLeft w:val="0"/>
      <w:marRight w:val="0"/>
      <w:marTop w:val="0"/>
      <w:marBottom w:val="0"/>
      <w:divBdr>
        <w:top w:val="none" w:sz="0" w:space="0" w:color="auto"/>
        <w:left w:val="none" w:sz="0" w:space="0" w:color="auto"/>
        <w:bottom w:val="none" w:sz="0" w:space="0" w:color="auto"/>
        <w:right w:val="none" w:sz="0" w:space="0" w:color="auto"/>
      </w:divBdr>
    </w:div>
    <w:div w:id="1288004887">
      <w:bodyDiv w:val="1"/>
      <w:marLeft w:val="0"/>
      <w:marRight w:val="0"/>
      <w:marTop w:val="0"/>
      <w:marBottom w:val="0"/>
      <w:divBdr>
        <w:top w:val="none" w:sz="0" w:space="0" w:color="auto"/>
        <w:left w:val="none" w:sz="0" w:space="0" w:color="auto"/>
        <w:bottom w:val="none" w:sz="0" w:space="0" w:color="auto"/>
        <w:right w:val="none" w:sz="0" w:space="0" w:color="auto"/>
      </w:divBdr>
    </w:div>
    <w:div w:id="1321690847">
      <w:bodyDiv w:val="1"/>
      <w:marLeft w:val="0"/>
      <w:marRight w:val="0"/>
      <w:marTop w:val="0"/>
      <w:marBottom w:val="0"/>
      <w:divBdr>
        <w:top w:val="none" w:sz="0" w:space="0" w:color="auto"/>
        <w:left w:val="none" w:sz="0" w:space="0" w:color="auto"/>
        <w:bottom w:val="none" w:sz="0" w:space="0" w:color="auto"/>
        <w:right w:val="none" w:sz="0" w:space="0" w:color="auto"/>
      </w:divBdr>
      <w:divsChild>
        <w:div w:id="2098939821">
          <w:marLeft w:val="547"/>
          <w:marRight w:val="0"/>
          <w:marTop w:val="0"/>
          <w:marBottom w:val="0"/>
          <w:divBdr>
            <w:top w:val="none" w:sz="0" w:space="0" w:color="auto"/>
            <w:left w:val="none" w:sz="0" w:space="0" w:color="auto"/>
            <w:bottom w:val="none" w:sz="0" w:space="0" w:color="auto"/>
            <w:right w:val="none" w:sz="0" w:space="0" w:color="auto"/>
          </w:divBdr>
        </w:div>
      </w:divsChild>
    </w:div>
    <w:div w:id="1341468237">
      <w:bodyDiv w:val="1"/>
      <w:marLeft w:val="0"/>
      <w:marRight w:val="0"/>
      <w:marTop w:val="0"/>
      <w:marBottom w:val="0"/>
      <w:divBdr>
        <w:top w:val="none" w:sz="0" w:space="0" w:color="auto"/>
        <w:left w:val="none" w:sz="0" w:space="0" w:color="auto"/>
        <w:bottom w:val="none" w:sz="0" w:space="0" w:color="auto"/>
        <w:right w:val="none" w:sz="0" w:space="0" w:color="auto"/>
      </w:divBdr>
    </w:div>
    <w:div w:id="1376736399">
      <w:bodyDiv w:val="1"/>
      <w:marLeft w:val="0"/>
      <w:marRight w:val="0"/>
      <w:marTop w:val="0"/>
      <w:marBottom w:val="0"/>
      <w:divBdr>
        <w:top w:val="none" w:sz="0" w:space="0" w:color="auto"/>
        <w:left w:val="none" w:sz="0" w:space="0" w:color="auto"/>
        <w:bottom w:val="none" w:sz="0" w:space="0" w:color="auto"/>
        <w:right w:val="none" w:sz="0" w:space="0" w:color="auto"/>
      </w:divBdr>
    </w:div>
    <w:div w:id="1431048774">
      <w:bodyDiv w:val="1"/>
      <w:marLeft w:val="0"/>
      <w:marRight w:val="0"/>
      <w:marTop w:val="0"/>
      <w:marBottom w:val="0"/>
      <w:divBdr>
        <w:top w:val="none" w:sz="0" w:space="0" w:color="auto"/>
        <w:left w:val="none" w:sz="0" w:space="0" w:color="auto"/>
        <w:bottom w:val="none" w:sz="0" w:space="0" w:color="auto"/>
        <w:right w:val="none" w:sz="0" w:space="0" w:color="auto"/>
      </w:divBdr>
    </w:div>
    <w:div w:id="1496651845">
      <w:bodyDiv w:val="1"/>
      <w:marLeft w:val="0"/>
      <w:marRight w:val="0"/>
      <w:marTop w:val="0"/>
      <w:marBottom w:val="0"/>
      <w:divBdr>
        <w:top w:val="none" w:sz="0" w:space="0" w:color="auto"/>
        <w:left w:val="none" w:sz="0" w:space="0" w:color="auto"/>
        <w:bottom w:val="none" w:sz="0" w:space="0" w:color="auto"/>
        <w:right w:val="none" w:sz="0" w:space="0" w:color="auto"/>
      </w:divBdr>
    </w:div>
    <w:div w:id="1512328606">
      <w:bodyDiv w:val="1"/>
      <w:marLeft w:val="0"/>
      <w:marRight w:val="0"/>
      <w:marTop w:val="0"/>
      <w:marBottom w:val="0"/>
      <w:divBdr>
        <w:top w:val="none" w:sz="0" w:space="0" w:color="auto"/>
        <w:left w:val="none" w:sz="0" w:space="0" w:color="auto"/>
        <w:bottom w:val="none" w:sz="0" w:space="0" w:color="auto"/>
        <w:right w:val="none" w:sz="0" w:space="0" w:color="auto"/>
      </w:divBdr>
    </w:div>
    <w:div w:id="1541283523">
      <w:bodyDiv w:val="1"/>
      <w:marLeft w:val="0"/>
      <w:marRight w:val="0"/>
      <w:marTop w:val="0"/>
      <w:marBottom w:val="0"/>
      <w:divBdr>
        <w:top w:val="none" w:sz="0" w:space="0" w:color="auto"/>
        <w:left w:val="none" w:sz="0" w:space="0" w:color="auto"/>
        <w:bottom w:val="none" w:sz="0" w:space="0" w:color="auto"/>
        <w:right w:val="none" w:sz="0" w:space="0" w:color="auto"/>
      </w:divBdr>
    </w:div>
    <w:div w:id="1596092614">
      <w:bodyDiv w:val="1"/>
      <w:marLeft w:val="0"/>
      <w:marRight w:val="0"/>
      <w:marTop w:val="0"/>
      <w:marBottom w:val="0"/>
      <w:divBdr>
        <w:top w:val="none" w:sz="0" w:space="0" w:color="auto"/>
        <w:left w:val="none" w:sz="0" w:space="0" w:color="auto"/>
        <w:bottom w:val="none" w:sz="0" w:space="0" w:color="auto"/>
        <w:right w:val="none" w:sz="0" w:space="0" w:color="auto"/>
      </w:divBdr>
    </w:div>
    <w:div w:id="1599829208">
      <w:bodyDiv w:val="1"/>
      <w:marLeft w:val="0"/>
      <w:marRight w:val="0"/>
      <w:marTop w:val="0"/>
      <w:marBottom w:val="0"/>
      <w:divBdr>
        <w:top w:val="none" w:sz="0" w:space="0" w:color="auto"/>
        <w:left w:val="none" w:sz="0" w:space="0" w:color="auto"/>
        <w:bottom w:val="none" w:sz="0" w:space="0" w:color="auto"/>
        <w:right w:val="none" w:sz="0" w:space="0" w:color="auto"/>
      </w:divBdr>
    </w:div>
    <w:div w:id="1618678916">
      <w:bodyDiv w:val="1"/>
      <w:marLeft w:val="0"/>
      <w:marRight w:val="0"/>
      <w:marTop w:val="0"/>
      <w:marBottom w:val="0"/>
      <w:divBdr>
        <w:top w:val="none" w:sz="0" w:space="0" w:color="auto"/>
        <w:left w:val="none" w:sz="0" w:space="0" w:color="auto"/>
        <w:bottom w:val="none" w:sz="0" w:space="0" w:color="auto"/>
        <w:right w:val="none" w:sz="0" w:space="0" w:color="auto"/>
      </w:divBdr>
    </w:div>
    <w:div w:id="1660227409">
      <w:bodyDiv w:val="1"/>
      <w:marLeft w:val="0"/>
      <w:marRight w:val="0"/>
      <w:marTop w:val="0"/>
      <w:marBottom w:val="0"/>
      <w:divBdr>
        <w:top w:val="none" w:sz="0" w:space="0" w:color="auto"/>
        <w:left w:val="none" w:sz="0" w:space="0" w:color="auto"/>
        <w:bottom w:val="none" w:sz="0" w:space="0" w:color="auto"/>
        <w:right w:val="none" w:sz="0" w:space="0" w:color="auto"/>
      </w:divBdr>
    </w:div>
    <w:div w:id="1665813425">
      <w:bodyDiv w:val="1"/>
      <w:marLeft w:val="0"/>
      <w:marRight w:val="0"/>
      <w:marTop w:val="0"/>
      <w:marBottom w:val="0"/>
      <w:divBdr>
        <w:top w:val="none" w:sz="0" w:space="0" w:color="auto"/>
        <w:left w:val="none" w:sz="0" w:space="0" w:color="auto"/>
        <w:bottom w:val="none" w:sz="0" w:space="0" w:color="auto"/>
        <w:right w:val="none" w:sz="0" w:space="0" w:color="auto"/>
      </w:divBdr>
    </w:div>
    <w:div w:id="1668170801">
      <w:bodyDiv w:val="1"/>
      <w:marLeft w:val="0"/>
      <w:marRight w:val="0"/>
      <w:marTop w:val="0"/>
      <w:marBottom w:val="0"/>
      <w:divBdr>
        <w:top w:val="none" w:sz="0" w:space="0" w:color="auto"/>
        <w:left w:val="none" w:sz="0" w:space="0" w:color="auto"/>
        <w:bottom w:val="none" w:sz="0" w:space="0" w:color="auto"/>
        <w:right w:val="none" w:sz="0" w:space="0" w:color="auto"/>
      </w:divBdr>
      <w:divsChild>
        <w:div w:id="1622297125">
          <w:marLeft w:val="0"/>
          <w:marRight w:val="0"/>
          <w:marTop w:val="0"/>
          <w:marBottom w:val="375"/>
          <w:divBdr>
            <w:top w:val="none" w:sz="0" w:space="0" w:color="auto"/>
            <w:left w:val="none" w:sz="0" w:space="0" w:color="auto"/>
            <w:bottom w:val="none" w:sz="0" w:space="0" w:color="auto"/>
            <w:right w:val="none" w:sz="0" w:space="0" w:color="auto"/>
          </w:divBdr>
          <w:divsChild>
            <w:div w:id="435949982">
              <w:marLeft w:val="0"/>
              <w:marRight w:val="0"/>
              <w:marTop w:val="0"/>
              <w:marBottom w:val="0"/>
              <w:divBdr>
                <w:top w:val="none" w:sz="0" w:space="0" w:color="auto"/>
                <w:left w:val="none" w:sz="0" w:space="0" w:color="auto"/>
                <w:bottom w:val="none" w:sz="0" w:space="0" w:color="auto"/>
                <w:right w:val="none" w:sz="0" w:space="0" w:color="auto"/>
              </w:divBdr>
            </w:div>
          </w:divsChild>
        </w:div>
        <w:div w:id="159783887">
          <w:marLeft w:val="0"/>
          <w:marRight w:val="0"/>
          <w:marTop w:val="0"/>
          <w:marBottom w:val="375"/>
          <w:divBdr>
            <w:top w:val="none" w:sz="0" w:space="0" w:color="auto"/>
            <w:left w:val="none" w:sz="0" w:space="0" w:color="auto"/>
            <w:bottom w:val="none" w:sz="0" w:space="0" w:color="auto"/>
            <w:right w:val="none" w:sz="0" w:space="0" w:color="auto"/>
          </w:divBdr>
        </w:div>
      </w:divsChild>
    </w:div>
    <w:div w:id="1677416797">
      <w:bodyDiv w:val="1"/>
      <w:marLeft w:val="0"/>
      <w:marRight w:val="0"/>
      <w:marTop w:val="0"/>
      <w:marBottom w:val="0"/>
      <w:divBdr>
        <w:top w:val="none" w:sz="0" w:space="0" w:color="auto"/>
        <w:left w:val="none" w:sz="0" w:space="0" w:color="auto"/>
        <w:bottom w:val="none" w:sz="0" w:space="0" w:color="auto"/>
        <w:right w:val="none" w:sz="0" w:space="0" w:color="auto"/>
      </w:divBdr>
    </w:div>
    <w:div w:id="1689020894">
      <w:bodyDiv w:val="1"/>
      <w:marLeft w:val="0"/>
      <w:marRight w:val="0"/>
      <w:marTop w:val="0"/>
      <w:marBottom w:val="0"/>
      <w:divBdr>
        <w:top w:val="none" w:sz="0" w:space="0" w:color="auto"/>
        <w:left w:val="none" w:sz="0" w:space="0" w:color="auto"/>
        <w:bottom w:val="none" w:sz="0" w:space="0" w:color="auto"/>
        <w:right w:val="none" w:sz="0" w:space="0" w:color="auto"/>
      </w:divBdr>
    </w:div>
    <w:div w:id="1738168030">
      <w:bodyDiv w:val="1"/>
      <w:marLeft w:val="0"/>
      <w:marRight w:val="0"/>
      <w:marTop w:val="0"/>
      <w:marBottom w:val="0"/>
      <w:divBdr>
        <w:top w:val="none" w:sz="0" w:space="0" w:color="auto"/>
        <w:left w:val="none" w:sz="0" w:space="0" w:color="auto"/>
        <w:bottom w:val="none" w:sz="0" w:space="0" w:color="auto"/>
        <w:right w:val="none" w:sz="0" w:space="0" w:color="auto"/>
      </w:divBdr>
    </w:div>
    <w:div w:id="1766071597">
      <w:bodyDiv w:val="1"/>
      <w:marLeft w:val="0"/>
      <w:marRight w:val="0"/>
      <w:marTop w:val="0"/>
      <w:marBottom w:val="0"/>
      <w:divBdr>
        <w:top w:val="none" w:sz="0" w:space="0" w:color="auto"/>
        <w:left w:val="none" w:sz="0" w:space="0" w:color="auto"/>
        <w:bottom w:val="none" w:sz="0" w:space="0" w:color="auto"/>
        <w:right w:val="none" w:sz="0" w:space="0" w:color="auto"/>
      </w:divBdr>
    </w:div>
    <w:div w:id="1780681331">
      <w:bodyDiv w:val="1"/>
      <w:marLeft w:val="0"/>
      <w:marRight w:val="0"/>
      <w:marTop w:val="0"/>
      <w:marBottom w:val="0"/>
      <w:divBdr>
        <w:top w:val="none" w:sz="0" w:space="0" w:color="auto"/>
        <w:left w:val="none" w:sz="0" w:space="0" w:color="auto"/>
        <w:bottom w:val="none" w:sz="0" w:space="0" w:color="auto"/>
        <w:right w:val="none" w:sz="0" w:space="0" w:color="auto"/>
      </w:divBdr>
    </w:div>
    <w:div w:id="1785231476">
      <w:bodyDiv w:val="1"/>
      <w:marLeft w:val="0"/>
      <w:marRight w:val="0"/>
      <w:marTop w:val="0"/>
      <w:marBottom w:val="0"/>
      <w:divBdr>
        <w:top w:val="none" w:sz="0" w:space="0" w:color="auto"/>
        <w:left w:val="none" w:sz="0" w:space="0" w:color="auto"/>
        <w:bottom w:val="none" w:sz="0" w:space="0" w:color="auto"/>
        <w:right w:val="none" w:sz="0" w:space="0" w:color="auto"/>
      </w:divBdr>
    </w:div>
    <w:div w:id="1844929557">
      <w:bodyDiv w:val="1"/>
      <w:marLeft w:val="0"/>
      <w:marRight w:val="0"/>
      <w:marTop w:val="0"/>
      <w:marBottom w:val="0"/>
      <w:divBdr>
        <w:top w:val="none" w:sz="0" w:space="0" w:color="auto"/>
        <w:left w:val="none" w:sz="0" w:space="0" w:color="auto"/>
        <w:bottom w:val="none" w:sz="0" w:space="0" w:color="auto"/>
        <w:right w:val="none" w:sz="0" w:space="0" w:color="auto"/>
      </w:divBdr>
    </w:div>
    <w:div w:id="1858694161">
      <w:bodyDiv w:val="1"/>
      <w:marLeft w:val="0"/>
      <w:marRight w:val="0"/>
      <w:marTop w:val="0"/>
      <w:marBottom w:val="0"/>
      <w:divBdr>
        <w:top w:val="none" w:sz="0" w:space="0" w:color="auto"/>
        <w:left w:val="none" w:sz="0" w:space="0" w:color="auto"/>
        <w:bottom w:val="none" w:sz="0" w:space="0" w:color="auto"/>
        <w:right w:val="none" w:sz="0" w:space="0" w:color="auto"/>
      </w:divBdr>
    </w:div>
    <w:div w:id="1873151843">
      <w:bodyDiv w:val="1"/>
      <w:marLeft w:val="0"/>
      <w:marRight w:val="0"/>
      <w:marTop w:val="0"/>
      <w:marBottom w:val="0"/>
      <w:divBdr>
        <w:top w:val="none" w:sz="0" w:space="0" w:color="auto"/>
        <w:left w:val="none" w:sz="0" w:space="0" w:color="auto"/>
        <w:bottom w:val="none" w:sz="0" w:space="0" w:color="auto"/>
        <w:right w:val="none" w:sz="0" w:space="0" w:color="auto"/>
      </w:divBdr>
    </w:div>
    <w:div w:id="1902012255">
      <w:bodyDiv w:val="1"/>
      <w:marLeft w:val="0"/>
      <w:marRight w:val="0"/>
      <w:marTop w:val="0"/>
      <w:marBottom w:val="0"/>
      <w:divBdr>
        <w:top w:val="none" w:sz="0" w:space="0" w:color="auto"/>
        <w:left w:val="none" w:sz="0" w:space="0" w:color="auto"/>
        <w:bottom w:val="none" w:sz="0" w:space="0" w:color="auto"/>
        <w:right w:val="none" w:sz="0" w:space="0" w:color="auto"/>
      </w:divBdr>
    </w:div>
    <w:div w:id="1946496236">
      <w:bodyDiv w:val="1"/>
      <w:marLeft w:val="0"/>
      <w:marRight w:val="0"/>
      <w:marTop w:val="0"/>
      <w:marBottom w:val="0"/>
      <w:divBdr>
        <w:top w:val="none" w:sz="0" w:space="0" w:color="auto"/>
        <w:left w:val="none" w:sz="0" w:space="0" w:color="auto"/>
        <w:bottom w:val="none" w:sz="0" w:space="0" w:color="auto"/>
        <w:right w:val="none" w:sz="0" w:space="0" w:color="auto"/>
      </w:divBdr>
    </w:div>
    <w:div w:id="1946573279">
      <w:bodyDiv w:val="1"/>
      <w:marLeft w:val="0"/>
      <w:marRight w:val="0"/>
      <w:marTop w:val="0"/>
      <w:marBottom w:val="0"/>
      <w:divBdr>
        <w:top w:val="none" w:sz="0" w:space="0" w:color="auto"/>
        <w:left w:val="none" w:sz="0" w:space="0" w:color="auto"/>
        <w:bottom w:val="none" w:sz="0" w:space="0" w:color="auto"/>
        <w:right w:val="none" w:sz="0" w:space="0" w:color="auto"/>
      </w:divBdr>
    </w:div>
    <w:div w:id="1948998217">
      <w:bodyDiv w:val="1"/>
      <w:marLeft w:val="0"/>
      <w:marRight w:val="0"/>
      <w:marTop w:val="0"/>
      <w:marBottom w:val="0"/>
      <w:divBdr>
        <w:top w:val="none" w:sz="0" w:space="0" w:color="auto"/>
        <w:left w:val="none" w:sz="0" w:space="0" w:color="auto"/>
        <w:bottom w:val="none" w:sz="0" w:space="0" w:color="auto"/>
        <w:right w:val="none" w:sz="0" w:space="0" w:color="auto"/>
      </w:divBdr>
    </w:div>
    <w:div w:id="2053187179">
      <w:bodyDiv w:val="1"/>
      <w:marLeft w:val="0"/>
      <w:marRight w:val="0"/>
      <w:marTop w:val="0"/>
      <w:marBottom w:val="0"/>
      <w:divBdr>
        <w:top w:val="none" w:sz="0" w:space="0" w:color="auto"/>
        <w:left w:val="none" w:sz="0" w:space="0" w:color="auto"/>
        <w:bottom w:val="none" w:sz="0" w:space="0" w:color="auto"/>
        <w:right w:val="none" w:sz="0" w:space="0" w:color="auto"/>
      </w:divBdr>
      <w:divsChild>
        <w:div w:id="1014264822">
          <w:marLeft w:val="504"/>
          <w:marRight w:val="0"/>
          <w:marTop w:val="140"/>
          <w:marBottom w:val="0"/>
          <w:divBdr>
            <w:top w:val="none" w:sz="0" w:space="0" w:color="auto"/>
            <w:left w:val="none" w:sz="0" w:space="0" w:color="auto"/>
            <w:bottom w:val="none" w:sz="0" w:space="0" w:color="auto"/>
            <w:right w:val="none" w:sz="0" w:space="0" w:color="auto"/>
          </w:divBdr>
        </w:div>
        <w:div w:id="548343110">
          <w:marLeft w:val="504"/>
          <w:marRight w:val="0"/>
          <w:marTop w:val="140"/>
          <w:marBottom w:val="0"/>
          <w:divBdr>
            <w:top w:val="none" w:sz="0" w:space="0" w:color="auto"/>
            <w:left w:val="none" w:sz="0" w:space="0" w:color="auto"/>
            <w:bottom w:val="none" w:sz="0" w:space="0" w:color="auto"/>
            <w:right w:val="none" w:sz="0" w:space="0" w:color="auto"/>
          </w:divBdr>
        </w:div>
        <w:div w:id="1290621781">
          <w:marLeft w:val="504"/>
          <w:marRight w:val="0"/>
          <w:marTop w:val="140"/>
          <w:marBottom w:val="0"/>
          <w:divBdr>
            <w:top w:val="none" w:sz="0" w:space="0" w:color="auto"/>
            <w:left w:val="none" w:sz="0" w:space="0" w:color="auto"/>
            <w:bottom w:val="none" w:sz="0" w:space="0" w:color="auto"/>
            <w:right w:val="none" w:sz="0" w:space="0" w:color="auto"/>
          </w:divBdr>
        </w:div>
        <w:div w:id="87586182">
          <w:marLeft w:val="504"/>
          <w:marRight w:val="0"/>
          <w:marTop w:val="140"/>
          <w:marBottom w:val="0"/>
          <w:divBdr>
            <w:top w:val="none" w:sz="0" w:space="0" w:color="auto"/>
            <w:left w:val="none" w:sz="0" w:space="0" w:color="auto"/>
            <w:bottom w:val="none" w:sz="0" w:space="0" w:color="auto"/>
            <w:right w:val="none" w:sz="0" w:space="0" w:color="auto"/>
          </w:divBdr>
        </w:div>
        <w:div w:id="1366296616">
          <w:marLeft w:val="504"/>
          <w:marRight w:val="0"/>
          <w:marTop w:val="140"/>
          <w:marBottom w:val="0"/>
          <w:divBdr>
            <w:top w:val="none" w:sz="0" w:space="0" w:color="auto"/>
            <w:left w:val="none" w:sz="0" w:space="0" w:color="auto"/>
            <w:bottom w:val="none" w:sz="0" w:space="0" w:color="auto"/>
            <w:right w:val="none" w:sz="0" w:space="0" w:color="auto"/>
          </w:divBdr>
        </w:div>
        <w:div w:id="359163350">
          <w:marLeft w:val="504"/>
          <w:marRight w:val="0"/>
          <w:marTop w:val="140"/>
          <w:marBottom w:val="0"/>
          <w:divBdr>
            <w:top w:val="none" w:sz="0" w:space="0" w:color="auto"/>
            <w:left w:val="none" w:sz="0" w:space="0" w:color="auto"/>
            <w:bottom w:val="none" w:sz="0" w:space="0" w:color="auto"/>
            <w:right w:val="none" w:sz="0" w:space="0" w:color="auto"/>
          </w:divBdr>
        </w:div>
      </w:divsChild>
    </w:div>
    <w:div w:id="2065064257">
      <w:bodyDiv w:val="1"/>
      <w:marLeft w:val="0"/>
      <w:marRight w:val="0"/>
      <w:marTop w:val="0"/>
      <w:marBottom w:val="0"/>
      <w:divBdr>
        <w:top w:val="none" w:sz="0" w:space="0" w:color="auto"/>
        <w:left w:val="none" w:sz="0" w:space="0" w:color="auto"/>
        <w:bottom w:val="none" w:sz="0" w:space="0" w:color="auto"/>
        <w:right w:val="none" w:sz="0" w:space="0" w:color="auto"/>
      </w:divBdr>
    </w:div>
    <w:div w:id="2094741730">
      <w:bodyDiv w:val="1"/>
      <w:marLeft w:val="0"/>
      <w:marRight w:val="0"/>
      <w:marTop w:val="0"/>
      <w:marBottom w:val="0"/>
      <w:divBdr>
        <w:top w:val="none" w:sz="0" w:space="0" w:color="auto"/>
        <w:left w:val="none" w:sz="0" w:space="0" w:color="auto"/>
        <w:bottom w:val="none" w:sz="0" w:space="0" w:color="auto"/>
        <w:right w:val="none" w:sz="0" w:space="0" w:color="auto"/>
      </w:divBdr>
    </w:div>
    <w:div w:id="2099977988">
      <w:bodyDiv w:val="1"/>
      <w:marLeft w:val="0"/>
      <w:marRight w:val="0"/>
      <w:marTop w:val="0"/>
      <w:marBottom w:val="0"/>
      <w:divBdr>
        <w:top w:val="none" w:sz="0" w:space="0" w:color="auto"/>
        <w:left w:val="none" w:sz="0" w:space="0" w:color="auto"/>
        <w:bottom w:val="none" w:sz="0" w:space="0" w:color="auto"/>
        <w:right w:val="none" w:sz="0" w:space="0" w:color="auto"/>
      </w:divBdr>
    </w:div>
    <w:div w:id="2103334848">
      <w:bodyDiv w:val="1"/>
      <w:marLeft w:val="0"/>
      <w:marRight w:val="0"/>
      <w:marTop w:val="0"/>
      <w:marBottom w:val="0"/>
      <w:divBdr>
        <w:top w:val="none" w:sz="0" w:space="0" w:color="auto"/>
        <w:left w:val="none" w:sz="0" w:space="0" w:color="auto"/>
        <w:bottom w:val="none" w:sz="0" w:space="0" w:color="auto"/>
        <w:right w:val="none" w:sz="0" w:space="0" w:color="auto"/>
      </w:divBdr>
    </w:div>
    <w:div w:id="211721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png"/><Relationship Id="rId18" Type="http://schemas.openxmlformats.org/officeDocument/2006/relationships/customXml" Target="ink/ink3.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ink/ink2.xml"/><Relationship Id="rId20" Type="http://schemas.openxmlformats.org/officeDocument/2006/relationships/image" Target="media/image5.png"/><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0.png"/><Relationship Id="rId23"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hyperlink" Target="mailto:pubrights@worldbank.org"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worldbank.org" TargetMode="External"/><Relationship Id="rId14" Type="http://schemas.openxmlformats.org/officeDocument/2006/relationships/customXml" Target="ink/ink1.xml"/><Relationship Id="rId22" Type="http://schemas.openxmlformats.org/officeDocument/2006/relationships/hyperlink" Target="http://www.missoc.org/MISSOC/" TargetMode="Externa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insuranceopedia.com/definition/4373/stop-loss-provision"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WB269538\Box%20Sync\aKyrgyz\Analytical\targeting\data%20for%20simulation\targeting%20system%20Countries_and_Categori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64583223238035"/>
          <c:y val="0.15891173950299914"/>
          <c:w val="0.80192754848596948"/>
          <c:h val="0.50405041962347286"/>
        </c:manualLayout>
      </c:layout>
      <c:barChart>
        <c:barDir val="col"/>
        <c:grouping val="clustered"/>
        <c:varyColors val="0"/>
        <c:ser>
          <c:idx val="0"/>
          <c:order val="0"/>
          <c:spPr>
            <a:solidFill>
              <a:schemeClr val="accent1"/>
            </a:solidFill>
            <a:ln>
              <a:noFill/>
            </a:ln>
            <a:effectLst/>
          </c:spPr>
          <c:invertIfNegative val="0"/>
          <c:cat>
            <c:multiLvlStrRef>
              <c:f>Sheet2!$B$26:$E$27</c:f>
              <c:multiLvlStrCache>
                <c:ptCount val="4"/>
                <c:lvl>
                  <c:pt idx="0">
                    <c:v>current</c:v>
                  </c:pt>
                  <c:pt idx="1">
                    <c:v>bottom 40% as poor</c:v>
                  </c:pt>
                  <c:pt idx="2">
                    <c:v>bottom 30% as poor</c:v>
                  </c:pt>
                  <c:pt idx="3">
                    <c:v>bottom 20% as poor</c:v>
                  </c:pt>
                </c:lvl>
                <c:lvl>
                  <c:pt idx="1">
                    <c:v>simulated, combining catergorical with poverty targeting</c:v>
                  </c:pt>
                </c:lvl>
              </c:multiLvlStrCache>
            </c:multiLvlStrRef>
          </c:cat>
          <c:val>
            <c:numRef>
              <c:f>Sheet2!$B$28:$E$28</c:f>
              <c:numCache>
                <c:formatCode>General</c:formatCode>
                <c:ptCount val="4"/>
                <c:pt idx="0">
                  <c:v>27</c:v>
                </c:pt>
                <c:pt idx="1">
                  <c:v>13</c:v>
                </c:pt>
                <c:pt idx="2">
                  <c:v>10</c:v>
                </c:pt>
                <c:pt idx="3">
                  <c:v>7</c:v>
                </c:pt>
              </c:numCache>
            </c:numRef>
          </c:val>
          <c:extLst>
            <c:ext xmlns:c16="http://schemas.microsoft.com/office/drawing/2014/chart" uri="{C3380CC4-5D6E-409C-BE32-E72D297353CC}">
              <c16:uniqueId val="{00000000-7835-4432-8D92-6AC137AF6446}"/>
            </c:ext>
          </c:extLst>
        </c:ser>
        <c:dLbls>
          <c:showLegendKey val="0"/>
          <c:showVal val="0"/>
          <c:showCatName val="0"/>
          <c:showSerName val="0"/>
          <c:showPercent val="0"/>
          <c:showBubbleSize val="0"/>
        </c:dLbls>
        <c:gapWidth val="143"/>
        <c:overlap val="-41"/>
        <c:axId val="420744304"/>
        <c:axId val="420744696"/>
      </c:barChart>
      <c:catAx>
        <c:axId val="420744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0744696"/>
        <c:crosses val="autoZero"/>
        <c:auto val="1"/>
        <c:lblAlgn val="ctr"/>
        <c:lblOffset val="100"/>
        <c:noMultiLvlLbl val="0"/>
      </c:catAx>
      <c:valAx>
        <c:axId val="420744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0744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6-02T02:59:29.357"/>
    </inkml:context>
    <inkml:brush xml:id="br0">
      <inkml:brushProperty name="width" value="0.1" units="cm"/>
      <inkml:brushProperty name="height" value="0.1" units="cm"/>
      <inkml:brushProperty name="color" value="#FFFFFF"/>
      <inkml:brushProperty name="ignorePressure" value="1"/>
    </inkml:brush>
  </inkml:definitions>
  <inkml:trace contextRef="#ctx0" brushRef="#br0">9 1,'-4'0,"0"0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6-02T03:05:50.527"/>
    </inkml:context>
    <inkml:brush xml:id="br0">
      <inkml:brushProperty name="width" value="0.05" units="cm"/>
      <inkml:brushProperty name="height" value="0.05" units="cm"/>
      <inkml:brushProperty name="color" value="#FFFFFF"/>
      <inkml:brushProperty name="ignorePressure" value="1"/>
    </inkml:brush>
  </inkml:definitions>
  <inkml:trace contextRef="#ctx0" brushRef="#br0">212 301,'67'37,"27"34,-95-72,1 1,0 0,0 0,0-1,0 1,0 0,0-1,0 1,0-1,0 1,0 0,0-1,0 1,0 0,0-1,0 1,0 0,0-1,0 1,1 0,-1 0,0-1,0 1,0 0,0-1,1 1,-1 0,0 0,0-1,1 1,-1 0,0 0,0 0,1-1,-1 1,0 0,1 0,-1 0,0 0,1 0,-1 0,0 0,1 0,-1-1,0 1,1 0,-1 0,0 1,1-1,-1 0,0 0,1 0,-1 0,0 0,1 0,-1 0,0 0,1 1,-1-1,0 0,0 0,1 0,-1 1,0-1,1 0,-10-43,4 23,-8-274,14 505,12-178,-10-37</inkml:trace>
  <inkml:trace contextRef="#ctx0" brushRef="#br0" timeOffset="1436.607">233 191,'48'40,"55"-43,123 132,-268-152,-72-40,85 53</inkml:trace>
  <inkml:trace contextRef="#ctx0" brushRef="#br0" timeOffset="2422.329">276 394,'8'0,"0"2,0-1,0 1,0 0,0 1,0 0,-1 0,1 1,-1 0,0 0,0 0,5 6,40 19,-51-28,0-1,0 0,1 0,-1 0,0 1,1-1,-1-1,0 1,0 0,1 0,-1 0,0-1,1 1,-1-1,0 1,0-1,0 1,0-1,0 0,1 1,-1-1,0 0,0 0,-1 0,1 0,0 0,0 0,0 0,-1 0,1 0,0 0,-1 0,1-1,-1 1,0 0,1 0,-1-1,0 1,0 0,1 0,-1-1,0 1,0 0,-1-1,1 1,0 0,0-1,-1-69,1 67,-1 0,0 0,0 0,0 1,0-1,0 0,-1 1,0-1,0 1,0 0,0 0,0-1,-1 1,1 1,-1-1,0 0,0 1,0-1,0 1,0 0,0 0,-1 0,1 0,-1 1,0-1,-9-5</inkml:trace>
  <inkml:trace contextRef="#ctx0" brushRef="#br0" timeOffset="3360.194">380 488,'17'73,"-16"11,-1-82,-1-1,1 1,-1 0,1 0,-1-1,1 1,-1-1,0 1,0 0,0-1,0 0,0 1,0-1,0 0,0 1,-1-1,1 0,0 0,-1 0,1 0,-1 0,1 0,-1-1,0 1,1 0,-1-1,0 1,1-1,-1 0,0 1,0-1,1 0,-1 0,0 0,0-1,1 1,-1 0,0 0,0-1,1 1,-1-1,1 0,-1 0,0 1,0-2,-278-149,266 144</inkml:trace>
  <inkml:trace contextRef="#ctx0" brushRef="#br0" timeOffset="17463.661">201 518,'-5'-2,"0"-1,0 1,0-1,1 1,-1-1,1 0,0-1,0 1,0-1,0 0,0 0,1 0,0 0,0-1,-2-3,-2-1,-91-136,98 142,1 1,-1 0,1 0,0-1,0 1,0 0,0 0,1 0,-1 0,1 1,-1-1,1 0,-1 0,1 1,0-1,0 1,0 0,0 0,0-1,0 1,0 0,0 0,0 1,1-1,-1 0,0 1,0 0,1-1,-1 1,0 0,1 0,-1 0,0 0,1 1,-1-1,0 1,2 0,-1-2,205-1,-201 5,0 0,0 1,0 0,0 0,-1 1,1-1,-1 1,0 1,-1-1,1 1,-1 0,0 1,-1-1,1 1,-1 0,0 0,-1 0,0 0,0 1,-1-1,0 1,0 0,-1 0,1 0,-2 0,2-1,7 24,-2 0,-2 1,0 0,-2-1,-2 1,-1 0,-1 6,1-36,0 0,-1 0,1 0,0 0,0 0,-1 0,0-1,1 1,-1 0,0 0,0 0,0-1,0 1,0 0,0-1,0 1,-1-1,1 1,0-1,-1 0,1 0,-1 0,0 1,1-1,-1-1,0 1,0 0,0 0,1-1,-1 1,0-1,0 1,0-1,0 0,0 0,0 0,0 0,0 0,0 0,0-1,0 1,0-1,1 1,-1-1,0 1,0-1,0-1,-88-42,-109-102,194 140,-1-1,1 0,0 0,0 0,1-1,0 0,0 0,1 0,0 0,0 0,1 0,0-1,0 0,2 5,-1 0,0 1,1-1,0 0,0 0,0 0,0 1,0-1,1 0,0 0,0 1,0-1,0 0,0 1,1-1,-1 1,1 0,0 0,0-1,1 1,-1 0,1 0,-1 1,1-1,0 1,0-1,0 1,0 0,0 0,2 0,17-5,1 0,0 2,0 1,0 1,0 1,1 1,-1 1,0 1,1 1,3 2,-21-3,0 0,0 0,0 1,0 0,0 1,-1-1,1 1,-1 0,0 0,0 0,0 1,0 0,0 0,-1 0,1 1,-1 0,-1-1,1 1,-1 1,1-1,-1 0,-1 1,1-1,-1 1,0 0,0 0,-1 0,0 0,0 0,0 0,-1 0,0 1,0-1,0 0,-1 0,0 0,0 0,-1 0,0 2,0-6,-1 1,1-1,0 0,-1 0,0 0,1-1,-1 1,0-1,0 1,0-1,0 0,0 0,0 0,0 0,0-1,0 1,0-1,0 0,-1 0,1 0,0 0,0-1,0 1,0-1,0 0,0 0,0 0,0 0,0 0,-2-2,-86-48,76 40,-105-94,117 103,1 0,1 0,-1 0,0 0,0-1,1 1,-1-1,1 1,0-1,0 0,0 1,0-1,0 0,1 0,-1 0,1 0,0 1,0-1,0 0,0 0,0 0,1 0,-1 0,1 0,0 1,0-1,0 0,0 1,0-1,0 0,1 1,-1 0,1-1,0 1,0 0,0 0,0 0,0 0,0 0,1 0,-1 1,1-1,-1 1,1-1,-1 1,1 0,0 0,-1 0,1 1,0-1,0 1,0-1,0 1,0 0,0 0,-1 0,3 1,141 79,-105-52,62 37,-112-99,-42-174,48 185,127 283,-64-169,-48-87,-20-25,-102-95,84 99,19 35,16 17,1 2,-1 1,-2 1,-2-1,-1 1,-2 7,-2-46,0-1,0 0,-1 1,1-1,0 1,0-1,-1 1,1 0,0-1,-1 1,1-1,-1 1,1 0,0-1,-1 1,1 0,-1-1,1 1,-1 0,1-1,-1 1,1 0,-1 0,0 0,1 0,-1 0,1 0,-1 0,1 0,-1 0,0 0,1 0,-1 0,1 0,-1 0,1 0,-1 0,1 1,-1-1,1 0,-1 0,1 1,-1-1,1 0,-1 1,1-1,-1 0,1 1,0-1,-1 1,1-1,0 1,-1-1,1 1,0-1,0 1,-1-1,1 1,0-1,0 1,0-1,0 1,0 0,0 0,-32-43,-75-169,97 261,10-29,-1 1,-1-1,-1 1,-1-1,0 0,-2 0,-1 0,0-1,-6 11,12-29,0 0,0 0,0 0,-1 0,1 0,0-1,-1 1,1 0,-1-1,0 1,1-1,-1 1,0-1,0 0,0 0,0 0,0 0,0 0,0 0,0 0,-1-1,1 1,0-1,0 0,0 1,-1-1,1 0,0-1,-1 1,1 0,0 0,0-1,0 0,-1 1,1-1,0 0,0 0,0 0,0 0,0-1,-76-56,70 50,1-1,0 0,0 0,0 0,2-1,-1 0,1 0,0-1,1 1,1-1,-1 0,2 0,-1 0,2-1,-1 1,2 0,-1-1,2 1,-1-1,2 1,-1 0,3-5,-1 11,1 1,0 0,0 0,0 1,1-1,0 1,-1 0,1 0,0 1,0-1,0 1,1 0,-1 0,1 1,-1 0,1-1,-1 2,1-1,-1 1,1 0,0 0,-1 1,1-1,0 1,-1 0,5 2,13-1,-20-3,-1 1,0-1,0 1,0 0,0-1,1 1,-1 0,0 1,0-1,0 0,1 0,-1 1,0 0,0-1,0 1,0 0,0 0,0 0,0 0,0 0,-1 1,1-1,0 0,-1 1,1-1,-1 1,1 0,-1 0,0-1,1 1,-1 0,0 0,0 0,-1 0,1 0,0 0,-1 1,1-1,-1 0,0 0,1 0,-1 0,0 1,-1-1,1 0,0 0,-1 0,1 1,-1-1,1 0,-1 0,0 0,0 0,-55 63,54-64,1 0,-1 0,0 0,0-1,0 1,0-1,0 1,0-1,0 0,0 0,0 0,0 0,0 0,0 0,0 0,0-1,0 1,0-1,0 1,0-1,0 0,0 0,1 0,-1 0,0 0,1 0,-1-1,0 1,1 0,0-1,-1 1,1-1,0 0,0 1,0-1,0 0,0 0,0 0,0 1,0-2,-2-9,-1-1,1 1,1-1,1 1,-1-1,2 1,0-1,0 0,1 0,1 1,0-1,1 1,0 0,1 0,0 0,1 0,1 0,-1 1,2 0,0 0,0 1,8-10,-11 17,0 0,0 0,0 1,0-1,1 1,-1-1,0 1,1 1,0-1,-1 1,1 0,0 0,0 0,0 0,0 1,0 0,-1 0,1 0,0 1,0 0,0 0,0 0,-1 0,1 1,0 0,-1-1,1 2,-1-1,0 1,0-1,0 1,0 0,3 4,14 3,165 117,-182-124,-1 1,0-1,0 1,0 0,-1-1,1 1,-1 0,0 1,0-1,-1 0,1 1,-1-1,0 1,0-1,0 1,-1-1,1 1,-1 0,0-1,-1 1,1-1,-1 1,0 0,0-1,0 1,-1-1,1 0,-1 1,0-1,-1 0,1 0,-1 0,1-1,-1 1,0-1,0 1,-1-1,1 0,-1 0,0 0,0-1,0 1,-9 3,-2 1,1-2,-1 0,0 0,0-2,0 0,-1 0,1-2,-1 0,1 0,-1-2,1 0,-1 0,1-2,0 0,0 0,0-2,0 0,0 0,1-2,0 0,1 0,-1-1,1-1,-1-1,-110-84,123 92,-1 1,1-1,0 1,0-1,0 0,1 0,-1 1,0-1,1 0,-1 0,1 0,0 0,-1 0,1 0,0 1,0-1,0 0,0 0,1 0,-1 0,0 0,1 0,-1 0,1 1,0-1,0 0,0 0,0 1,0-1,0 1,0-1,0 1,0-1,1 1,-1 0,1-1,-1 1,1 0,0 0,-1 0,1 0,0 0,-1 1,1-1,2 0,85-32,-71 30,0 1,0 1,0 1,0 1,0 0,0 1,0 1,-1 0,1 2,-1 0,0 1,0 1,-1 0,0 1,0 1,-1 0,0 1,0 1,3 4,-3-5,-14-10,1 0,-1 1,1-1,-1 0,0 1,1-1,-1 1,0 0,1-1,-1 1,0 0,0 0,0 0,1 0,-1 0,0 0,0 0,0 0,-1 0,1 0,0 1,0-1,-1 0,1 0,0 1,-1-1,0 1,1-1,-1 0,0 1,1-1,-1 1,0-1,0 1,0-1,-1 1,1-1,0 1,0-1,-1 0,1 1,-1-1,1 1,-1-1,0 0,1 0,-1 1,0-1,0 0,0 0,-3 2,0 0,0-1,0 0,0 0,0 0,0 0,-1-1,1 0,0 0,-1 0,1 0,-1-1,1 1,-1-1,0-1,1 1,-1 0,1-1,-1 0,1 0,0 0,-1-1,1 0,0 1,0-1,-2-2,-20-5,24 9,1-1,-1 1,1 0,-1 0,1 0,-1 0,1 0,-1 0,1 0,-1 0,1 0,-1 1,1-1,0 1,-1-1,1 1,0 0,-1-1,1 1,0 0,-1 0,1 0,0 0,0 0,0 0,0 0,0 0,0 0,0 1,1-1,-1 0,0 0,1 1,-1-1,1 1,-1-1,1 1,0-1,-1 0,1 1,0-1,0 1,0-1,-2 77,2-66,7 141,-7-154,0 1,0-1,0 1,0-1,-1 1,1-1,0 0,0 1,0-1,-1 1,1-1,0 1,-1-1,1 1,0 0,-1-1,1 1,-1-1,1 1,-1 0,1-1,-1 1,1 0,-1 0,1-1,-1 1,1 0,-1 0,1 0,-1 0,0-1,1 1,-1 0,1 0,-1 0,0 0,1 0,-1 1,1-1,-1 0,1 0,-1 0,1 0,-1 1,1-1,-1 0,1 0,-1 1,1-1,-1 1,1-1,-1 0,1 1,-1-1,1 1,0-1,-1 1,1-1,0 1,0-1,-1 1,1-1,0 1,0-1,0 1,0-1,0 1,-1 0,1-1,0 1,-43-40,40 36,-120-115,265 235,-135-109,1 0,-1 0,-1 1,1-1,-1 2,-1-1,0 1,0 0,-1 0,-1 0,1 0,-1 1,-1-1,0 1,-1 0,0 0,0-1,-1 1,-1 0,-1 10,1-20,0 1,0-1,0 1,0-1,0 1,-1-1,1 1,0-1,-1 0,1 0,-1 0,1 0,-1 0,0 0,1 0,-1-1,0 1,0 0,0-1,1 1,-1-1,0 0,0 0,0 0,0 0,0 0,1 0,-1 0,0-1,0 1,0-1,0 1,1-1,-1 0,0 1,1-1,-1 0,0 0,1 0,-1 0,1-1,0 1,-1 0,1-1,0 1,0-1,0 1,0-1,0 1,0-1,0 0,-9-5,-211-152,386 284,-242-161,74 34,-12-6,0 0,1-1,0-1,1-1,0 0,0 0,1-1,-10-14,22 24,0 0,1 0,-1 0,0 0,1 0,0 1,0-1,-1 0,1 0,0 0,0 1,0-1,1 0,-1 1,0-1,1 1,-1-1,1 1,-1 0,1 0,0 0,-1 0,1 0,0 0,0 0,0 0,0 1,0-1,0 1,0-1,0 1,0 0,0 0,0 0,0 0,0 0,0 0,1 1,187-6,-186 6,-1 0,0 1,0 0,0-1,0 1,0 0,0 1,-1-1,1 0,-1 1,1 0,-1-1,0 1,0 0,0 0,-1 0,1 0,-1 0,1 1,-1-1,0 0,0 1,-1-1,1 1,-1-1,1 1,-1-1,0 1,-1-1,1 1,-1-1,1 1,-1-1,0 1,0-1,0 0,-1 0,1 1,-1-1,1-1,0-1,1 1,-1-1,0 0,0 1,0-1,0 0,0 1,0-1,0 0,-1 0,1 0,0 0,-1 0,1 0,0 0,-1-1,1 1,-1 0,1-1,-1 1,0-1,1 0,-1 0,1 1,-1-1,0 0,1 0,-1 0,0-1,1 1,-1 0,0-1,1 1,-1-1,1 1,-1-1,1 1,-1-1,1 0,0 0,-1 0,1 0,-66-46,61 42,-17-13,1 0,0-2,1 0,1-2,2 0,0-1,1-1,1 0,-2-7,58 51,112 91,-150-107,1-1,-1 1,0 0,0 0,-1 0,1 0,-1 0,0 0,0 0,0 0,0 1,-1-1,0 0,0 0,0 1,0-1,-1 0,1 1,-1-1,0 0,-1 0,1 0,-1 0,0 0,0 0,0 0,0-1,0 1,-1-1,0 1,0-1,0 0,-11 26,13-28,1 1,0-1,-1 0,0 0,1 0,-1 1,0-1,1 0,-1 0,0 0,0 0,0 0,0 0,0 0,0 0,0-1,0 1,0 0,-1-1,1 1,0 0,0-1,-1 0,1 1,0-1,-1 0,1 1,0-1,-1 0,1 0,0 0,-1 0,1-1,0 1,-1 0,1 0,0-1,-1 1,1-1,0 1,0-1,0 0,-1 1,1-1,0 0,0 0,0 0,0 0,-44-55,41 47,0-1,1 0,0 1,1-1,0 0,0 0,1-1,0 1,1 0,1 0,-1 0,1-1,1 1,0 0,2-6,-1 15,0 0,0 1,0-1,0 0,1 1,-1 0,0 0,0 0,0 0,0 0,0 1,0-1,0 1,0 0,0 0,0 0,0 0,0 1,0-1,-1 1,1 0,-1-1,1 1,-1 0,1 1,-1-1,0 0,0 1,0-1,-1 1,1-1,-1 1,2 2,-2-4,130 161,-133-199,-5 3,-7-48,-4 1,-3 0,-9-12,28 88,-8-24,24 25,12 25,0 2,-2 0,-1 2,-1 0,-1 2,-2 0,1 4,-19-31,3 6,1-1,-1 0,0 1,-1 0,0 0,0 0,0 1,0-1,-1 0,0 1,0 0,-1-1,0 1,0 0,-1 1,-16-23,3-29,2 0,2 0,1-2,3 1,1-13,4 74,0 5,1 1,0 0,2-1,0 1,1-1,2 0,3 11,15 23,-24-55,0-1,0 1,0 0,0-1,0 1,0 0,0-1,0 1,1 0,-1-1,0 1,0 0,0-1,1 1,-1 0,0 0,0-1,1 1,-1 0,0 0,0 0,1-1,-1 1,0 0,1 0,-1 0,0 0,1 0,-1 0,0-1,1 1,-1 0,0 0,1 0,-1 0,0 0,1 0,-1 0,0 1,1-1,-1 0,0 0,1 0,-1 0,0 0,1 0,-1 1,0-1,0 0,1 0,-1 0,-1-38,-9 6,-1 0,-2 1,-1 0,-2 2,0-1,-18-21,-13-10,38 63,19 20,110 148,-117-167,27 33,-29-36,-1 0,1 1,0-1,0 1,-1-1,1 0,0 0,-1 1,1-1,0 0,0 0,-1 0,1 0,0 0,0 0,0 0,-1 0,1 0,0 0,0 0,-1-1,1 1,0 0,0 0,-1-1,1 1,0-1,-1 1,1 0,-1-1,1 1,0-1,-1 1,1-1,-1 0,1 1,-1-1,0 0,1 1,-1-1,1 0,-1 1,0-1,0 0,0 0,1 1,-1-1,0 0,0 0,0 1,0-1,0 0,0 0,0 0,23-164,-23 403,-30-399,39 349,-10-186,1 0,-1 0,0 0,1-1,-1 1,0 0,0-1,0 1,0 0,0-1,-1 1,1-1,0 0,-1 1,1-1,-1 0,1 0,-1 0,0 0,1 0,-1 0,0-1,0 1,1 0,-1-1,0 0,0 1,0-1,0 0,0 0,0 0,0 0,1 0,-1 0,0-1,0 1,0-1,0 1,0-1,1 0,-1 0,0 0,1 0,-1 0,0 0,1 0,0 0,-1 0,1-1,0 1,-1-1,1 1,0-1,0 1,0-1,0 0,0 0,1 1,-1-1,0-2,-8-13,1-1,1 0,1 0,0-1,2 1,0-1,1-1,0 1,2 0,0-1,2 1,0 0,1-1,1 1,0 0,5-12,-7 22,-1 6,-1 0,1 0,0 0,0 0,0-1,0 1,1 0,-1 0,1 0,0 0,0 0,0 0,0 0,1 0,-1 0,1 1,-1-1,1 1,0-1,0 1,0-1,0 1,1 0,-1 0,1 0,-1 0,1 1,0-1,-1 0,1 1,0 0,0 0,0 0,0 0,0 0,0 1,0-1,1 1,14 6,-1 0,0 1,-1 1,1 1,-1 0,-1 1,0 0,-1 2,13 11,21 15,-28-25,-16-11,0-1,0 1,-1-1,1 1,0 0,-1 0,0 1,1-1,-1 1,0 0,0 0,0 0,-1 0,1 0,-1 0,0 1,0-1,0 1,0 0,0-1,-1 1,0 0,0 0,0 0,0 0,-1 0,1 0,-1 0,0 0,0 0,0 0,-1 1,0-1,0 0,0 0,0-1,-1 2,-8 7,-1 0,-1-1,0 0,0-1,-1 0,0-1,-1-1,0 0,0 0,-1-2,0 0,0-1,-1 0,1-1,-1-1,0 0,0-1,-15-1,18-1,1-1,0 0,0-1,0 0,0-1,1 0,-1-1,1-1,0 1,0-2,0 0,0 0,1-1,1 0,-1-1,1 0,0 0,1-1,-5-5,8 4,0-1,0 0,1 0,0-1,1 1,0-1,1 0,1 0,0 0,0 0,1 1,0-1,1 0,1 0,1-6,2 9,-1 1,2 0,-1 1,1-1,0 1,0 0,1 0,0 1,0 0,1 0,0 1,0 0,0 0,0 1,1 0,0 0,-1 1,1 0,1 1,-1 0,0 0,0 1,2 0,-11 1,30-8,-23 5,1 0,-1 0,1 1,0 0,0 1,0-1,0 1,1 1,-1 0,0 0,0 0,0 1,0 0,0 1,0 0,0 0,0 1,0 0,-1 0,2 1,9 11,-1 1,0 0,-1 1,-1 1,-1 0,0 1,-1 1,-1 0,-1 0,2 8,-6-11,0 0,-2 0,0 1,0 0,-2 0,0 0,-1 0,-1 0,-1 17,0-34,0 1,-1-1,1 1,0-1,0 1,-1-1,1 1,-1-1,1 0,-1 1,1-1,-1 1,0-1,0 0,0 0,0 0,0 1,0-1,0 0,0 0,0 0,0-1,-1 1,1 0,0 0,-1-1,1 1,0 0,-1-1,1 0,-1 1,1-1,-1 0,1 0,-1 1,1-1,-1 0,1-1,-1 1,1 0,-1 0,1-1,-1 1,1-1,0 1,-1-1,1 1,0-1,-1 0,1 0,0 0,0 0,0 0,-1 0,-70-49,59 38,2 0,-1-1,1-1,1 1,1-2,0 1,0-1,2 0,0-1,0 0,2 0,0-1,1 1,0-1,2 0,0 0,0 0,2 0,0 0,1-1,1 1,1 0,0 1,1-1,1 0,0 1,4-6,-8 20,1 0,0-1,0 1,1 0,-1 1,0-1,0 0,1 1,-1-1,1 1,0 0,-1 0,1 0,0 0,0 0,0 0,-1 1,1 0,0-1,0 1,0 0,0 0,0 1,0-1,0 1,-1-1,1 1,0 0,0 0,-1 0,1 0,0 1,-1-1,1 1,-1-1,0 1,0 0,1 0,-1 0,0 0,-1 0,1 1,0-1,-1 1,1-1,-1 1,0-1,0 1,0 0,1 1,3 8,-1-1,0 0,-1 1,0 0,-1-1,0 1,-1 0,0 1,-1-1,0 0,-1 0,0 0,-1 0,-1 0,1-1,-2 1,0-1,0 1,-1-1,-1-1,-4 8,0 8,-29 89,31-103,0-1,-1 0,0-1,0 1,-2-2,1 1,-1-1,0-1,-1 0,-6 3,-17 13,21-13,-71 41,83-51,-1 0,1-1,0 1,-1 0,1-1,0 0,-1 1,1-1,-1 0,1 0,0-1,-1 1,1 0,0-1,-1 0,1 1,0-1,0 0,-1 0,1 0,0 0,0-1,0 1,0 0,1-1,-1 0,0 1,1-1,-1 0,1 0,-1 0,1 0,0 0,0 0,0 0,0 0,0-1,0 1,-3-11,1 1,1 0,0-1,1 0,0 1,1-1,0 0,1 1,0-1,1 1,1-1,0 1,0 0,2 0,-1 0,1 0,1 1,0 0,1 0,0 0,0 1,1 0,1 1,4-5,2-6,-14 18,0-1,0 1,0 0,0 0,0-1,0 1,1 0,-1 0,1 0,0 1,-1-1,1 0,0 0,0 1,0-1,0 1,1 0,-1 0,0 0,0 0,1 0,-1 0,0 0,1 1,-1 0,1-1,-1 1,1 0,-1 0,1 0,-1 0,1 1,-1-1,1 1,-1-1,1 1,-1 0,0 0,1 0,-1 0,0 0,152 112,-136-104</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6-02T02:59:17.797"/>
    </inkml:context>
    <inkml:brush xml:id="br0">
      <inkml:brushProperty name="width" value="0.1" units="cm"/>
      <inkml:brushProperty name="height" value="0.1" units="cm"/>
      <inkml:brushProperty name="color" value="#FFFFFF"/>
      <inkml:brushProperty name="ignorePressure" value="1"/>
    </inkml:brush>
  </inkml:definitions>
  <inkml:trace contextRef="#ctx0" brushRef="#br0">1 1120,'2'14,"0"1,2-1,-1 0,2 0,0 0,0 0,2-1,-1 0,2 0,0-1,2 3,15 28,-13-28,0 0,1-1,0 0,1-2,0 1,1-1,0-1,1-1,1 0,-1-1,1-1,1-1,0 0,2-1,16 10,13 6,-6 0,1-3,1-1,0-3,1-1,1-2,41 4,-77-16,0 0,-1-1,1 0,-1 0,1-1,-1-1,1 0,-1 0,0-1,-1 0,1-1,-1 0,1 0,-1-1,-1-1,1 1,-1-1,4-6,115-155,-99 123,-2-1,-2-2,-2 0,-2-1,-3-2,-1 1,-2-5,-13 40,-1-1,0 1,-1 0,-1 0,0 0,-1 0,-1 0,0 0,-1 1,-1 0,0 0,-1 0,0 1,-1 0,-1 0,0 1,-1 0,0 1,0 0,-8-6,8 5,2-1,0-1,0 1,1-1,1-1,0 1,1-1,1 0,0 0,1 0,1 0,0-1,1 1,1-1,0 1,1-1,1 1,0-1,1 1,4-10,2 4,1-1,1 1,1 1,0 0,2 1,0 0,2 1,0 1,1 0,0 1,1 1,1 1,12-7,3-6,-17 12,0 1,1 0,0 2,1 0,1 1,0 1,0 1,10-2,-23 12,1 0,0 1,-1 0,1 0,-1 1,0-1,0 2,0-1,0 1,0 0,-1 1,0-1,0 1,0 1,-1-1,1 1,-1 0,0 0,-1 0,0 1,0 0,0-1,-1 1,0 1,0-1,-1 1,-1-7,12 27,-1 0,-2 0,0 1,-3 0,0 1,-1 0,-2 0,-2 1,0-1,-2 0,-1 1,-2-1,-1 0,-1 0,-1 0,-8 19,12-45,0-1,-1 1,1-1,-1 0,1 0,-1 0,0 0,0-1,0 1,0-1,-1 1,1-1,-1 0,1-1,-1 1,0-1,0 1,0-1,0 0,1 0,-1-1,0 1,-1-1,1 0,0 0,0 0,0-1,0 1,0-1,0 0,1 0,-1-1,0 1,0-1,1 0,-4-1,-33-12</inkml:trace>
  <inkml:trace contextRef="#ctx0" brushRef="#br0" timeOffset="1374.639">1332 552,'147'88,"-135"-78,0 0,-1 1,-1 1,1 0,-2 0,0 1,0 0,-1 0,-1 1,0 0,-1 0,0 1,-2 0,1 0,-2 0,1 8,22 60,-23-74,-1-7,-1 0,1 0,0 0,-1 1,1-1,-1 0,0 1,1-1,-1 1,-1 0,1-1,0 1,-1 0,1 0,-1-1,0 1,0 0,0 0,0 0,0-1,-1 1,1 0,-1 0,0-1,0 1,0 0,0-1,0 1,0-1,-1 0,1 1,-1-1,0 0,0 0,0 0,0 0,0 0,0 0,0 0,-1-1,-10-3,-1 0,1-1,-1-1,1 0,0 0,1-2,-1 0,1 0,0-1,1 0,-1-2,2 3,-67-43,2-4,2-3,-19-23,86 76,0-1,1 1,-1-1,1 0,0 0,1-1,-1 1,1-1,-1 0,2-1,-1 1,0-1,1 1,0-1,1 0,-1 0,1 0,0 0,0-1,1 1,0-1,0 1,1-1,0 1,0-1,0 1,1-1,0 1,0-1,0 1,1 0,0-1,2-2,26-29,1 1,2 2,2 1,34-26,-62 54,-1 0,1 0,0 0,0 1,1 0,-1 0,1 1,0 0,0 1,1-1,-1 2,1-1,-1 1,1 0,0 1,0 0,0 0,0 1,0 1,0-1,-1 1,1 1,0-1,0 1,-1 1,1 0,-1 0,0 1,0 0,7 5,12 8,-21-15,-1 0,1 0,-1 1,0 0,0 0,1 0,-2 0,1 1,0 0,-1 0,0 0,0 0,0 1,0 0,-1 0,0 0,0 0,0 0,-1 1,1-1,-1 1,0-1,-1 1,0 0,0 0,0 0,0 0,-1 0,0 0,0 0,-1 0,0-1,0 3,-11 14,-1-1,0 0,-2-1,0-1,-2 0,0-1,-1 0,0-2,-2 0,0-1,0-2,-10 5,22-12,1-1,-1 0,-1-1,1 0,-1 0,0-1,1 0,-1 0,-1-1,1 0,0-1,0 0,-1 0,1-1,-1 0,1-1,0 0,0-1,-1 0,1 0,-7-3,-1-1,1-1,0-1,1 0,0-1,0-1,1 0,0-1,0 0,2-1,-1 0,1-2,1 1,1-1,0-1,0 0,-3-9,5 4</inkml:trace>
  <inkml:trace contextRef="#ctx0" brushRef="#br0" timeOffset="3234.531">1144 457,'216'43,"-94"-45,-123 2,1 0,-1 0,1-1,-1 1,1 0,0-1,-1 1,1 0,-1-1,1 1,0-1,-1 1,1-1,0 1,-1-1,1 1,0-1,0 1,0-1,-1 1,1-1,0 1,0-1,0 1,0-1,0 0,0 1,0-1,0 1,0-1,0 1,1-1,-1 1,0-1,0 0,0 1,1-1,-1 1,0-1,1 1,-1 0,0-1,1 1,-1-1,0 1,1 0,-1-1,1 1,-1 0,1-1,-1 1,1 0,-1 0,1-1,-1 1,1 0,-1 0,1 0,0 0,-1 0,1 0,-1 0,1 0,-1 0,1 0,-1 0,1 0,0 0,-1 0,1 1,-41-31,35 26,-99-52,103 55,0 1,0-1,0 1,0 0,0-1,1 1,-1 0,0 0,0 0,0 0,0-1,0 1,0 1,0-1,0 0,0 0,0 0,0 0,1 1,-1-1,0 0,0 1,0-1,0 1,1-1,-1 1,0-1,0 1,1-1,-1 1,0 0,1-1,-1 1,1 0,-1 0,1 0,-1-1,1 1,-1 0,1 0,0 0,0 0,-1 0,1 0,0 0,0 0,0-1,0 1,0 0,0 0,0 0,0 0,1 0,-1 0,0 0,0 0,1 0,14 57,45 121,-61-176,1 1,0-1,1 1,-1-1,1 0,-1 1,1-1,0 1,0-1,0 0,1 0,-1 0,1 1,0-1,0-1,0 1,0 0,0 0,0-1,1 1,-1-1,1 0,0 0,0 0,0 0,0 0,0-1,0 1,0-1,1 0,-1 0,0 0,1 0,-1-1,1 1,-1-1,1 0,-1 0,1 0,-1-1,0 1,1-1,-1 0,1 0,-1 0,3-1,2-3,0 1,0-1,-1-1,0 1,0-1,0-1,-1 1,0-1,0 0,-1 0,0-1,0 0,0 0,-1 0,0 0,0-3,-5 9,1 0,-1 0,0 0,1 0,-1 0,0 0,0 0,-1 0,1 1,0-1,-1 0,1 1,-1-1,1 1,-1 0,1-1,-1 1,0 0,0 0,0 0,0 0,0 0,0 1,0-1,0 1,0-1,0 1,0 0,0 0,0 0,0 0,0 0,-1 0,1 0,0 1,0-1,-2 1,-22-3,-151-86,157 81</inkml:trace>
  <inkml:trace contextRef="#ctx0" brushRef="#br0" timeOffset="6880.032">1489 515,'220'-17,"-219"17,0 1,1-1,-1 1,0-1,1 0,-1 0,0 1,0-1,1 0,-1 0,0 0,1 0,-1 0,0-1,1 1,-1 0,0-1,0 1,1-1,-1 1,0-1,0 1,0-1,0 0,0 0,0 1,0-1,0 0,0 0,0 0,0 0,0 0,-1 0,1-1,0 1,-1 0,1 0,-1 0,1-1,-1 1,0 0,1 0,-1-1,0 1,0 0,0-1,0 1,0 0,0-1,-1 1,1 0,0-1,-1 1,1 0,0 0,-1 0,0-1,1 1,-1 0,0 0,1 0,-1 0,0 0,0 0,0 0,0 0,0 0,0 1,0-1,-1 0,-10-4,-1 1,0 1,0 0,0 1,0 0,0 1,-1 0,1 1,0 1,-1 0,0 1,-31 0,30-4,-1 2,1 0,-1 0,1 2,-1 0,1 0,0 2,0 0,0 0,0 2,1 0,-1 0,2 1,-1 1,1 1,-11 8,23-14,0 0,0 0,0 0,0-1,1 1,-1 0,1 0,0 0,0 0,0 0,0 0,1 0,-1 0,1 0,0 0,0 0,0 0,0-1,0 1,0 0,1-1,-1 1,1-1,0 1,0-1,0 0,0 0,0 0,1 0,-1 0,0 0,1-1,-1 1,1-1,0 1,0-1,-1 0,1 0,0-1,0 1,16 13,-6-4,-2 0,0 1,0 0,-1 1,0 1,-1-1,0 1,-1 1,-1 0,0 0,-1 0,0 1,-1 0,1 7,-6-20,0 1,0-1,0 1,0-1,-1 1,1-1,-1 1,1-1,-1 1,0-1,0 1,0-1,0 0,0 1,-1-1,1 0,-1 0,1 0,-1 0,0 0,0-1,0 1,0 0,0-1,0 0,0 1,0-1,-1 0,1 0,0 0,-1 0,1-1,-1 1,1-1,-1 1,-1-1,-1 1,1 0,0 0,0 1,0-1,1 1,-1 0,0 0,1 0,-1 1,1-1,-1 1,1 0,0 0,0 0,1 0,-1 1,1-1,-1 1,-65 231,68-236,0 1,-1-1,1 1,0-1,0 1,-1 0,1-1,0 1,0-1,-1 1,1 0,0-1,-1 1,1 0,-1-1,1 1,0 0,-1 0,1-1,-1 1,1 0,-1 0,1 0,-1 0,1 0,-1 0,1-1,-1 1,1 0,-1 0,1 0,-1 1,1-1,-1 0,1 0,0 0,-1 0,1 0,-1 1,1-1,-1 0,1 0,-1 1,1-1,0 0,-1 0,1 1,0-1,-1 1,1-1,-2-51,22-109,-20 184,0 1,-1-1,-2 0,0 1,-2-1,-5 16,2-21</inkml:trace>
</inkml:ink>
</file>

<file path=word/theme/_rels/themeOverrid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8E9F653992607943BF12EFF0178372FC" ma:contentTypeVersion="3" ma:contentTypeDescription="" ma:contentTypeScope="" ma:versionID="740ca29f03018915db63a0b3787ec5e6">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Authors xmlns="b99a068c-3844-4a16-badd-77233eea0529">000345097:Maya Razat:mrazat@worldbank.org;</DocAuthors>
    <Authors xmlns="b99a068c-3844-4a16-badd-77233eea0529">
      <UserInfo>
        <DisplayName>i:0#.w|wb\wb345097</DisplayName>
        <AccountId>3448</AccountId>
        <AccountType/>
      </UserInfo>
      <UserInfo>
        <DisplayName/>
        <AccountId xsi:nil="true"/>
        <AccountType/>
      </UserInfo>
    </Authors>
    <Cordis_x0020_ID xmlns="b99a068c-3844-4a16-badd-77233eea0529">ITM00270</Cordis_x0020_ID>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2019-06-23T04:00:00+00:00</DocumentDate>
    <WBDocType xmlns="b99a068c-3844-4a16-badd-77233eea0529">Report</WBDocType>
    <SecurityClassification xmlns="b99a068c-3844-4a16-badd-77233eea0529">Public</SecurityClassification>
    <DeliverableID xmlns="b99a068c-3844-4a16-badd-77233eea0529">DLV0310825</DeliverableID>
    <ProjectID xmlns="b99a068c-3844-4a16-badd-77233eea0529">P158857</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41F6B8E0-02F3-4AE7-92D3-5C4F4D91B7EB}">
  <ds:schemaRefs>
    <ds:schemaRef ds:uri="http://schemas.openxmlformats.org/officeDocument/2006/bibliography"/>
  </ds:schemaRefs>
</ds:datastoreItem>
</file>

<file path=customXml/itemProps2.xml><?xml version="1.0" encoding="utf-8"?>
<ds:datastoreItem xmlns:ds="http://schemas.openxmlformats.org/officeDocument/2006/customXml" ds:itemID="{EA41E935-B4BD-4035-861B-CC08F36052B4}"/>
</file>

<file path=customXml/itemProps3.xml><?xml version="1.0" encoding="utf-8"?>
<ds:datastoreItem xmlns:ds="http://schemas.openxmlformats.org/officeDocument/2006/customXml" ds:itemID="{B4981016-1F9A-4DBB-9F70-041BCFA21095}"/>
</file>

<file path=customXml/itemProps4.xml><?xml version="1.0" encoding="utf-8"?>
<ds:datastoreItem xmlns:ds="http://schemas.openxmlformats.org/officeDocument/2006/customXml" ds:itemID="{E7AED7F8-15BD-4E9B-B143-8EB0CA2A8018}"/>
</file>

<file path=customXml/itemProps5.xml><?xml version="1.0" encoding="utf-8"?>
<ds:datastoreItem xmlns:ds="http://schemas.openxmlformats.org/officeDocument/2006/customXml" ds:itemID="{F56DCB8C-34C7-47FD-B5DB-3779B6BA2DAE}"/>
</file>

<file path=docProps/app.xml><?xml version="1.0" encoding="utf-8"?>
<Properties xmlns="http://schemas.openxmlformats.org/officeDocument/2006/extended-properties" xmlns:vt="http://schemas.openxmlformats.org/officeDocument/2006/docPropsVTypes">
  <Template>Normal.dotm</Template>
  <TotalTime>641</TotalTime>
  <Pages>40</Pages>
  <Words>14884</Words>
  <Characters>84844</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benefit package and options for its revision</dc:title>
  <dc:creator>Tihomir</dc:creator>
  <cp:lastModifiedBy>Maya Razat</cp:lastModifiedBy>
  <cp:revision>310</cp:revision>
  <cp:lastPrinted>2019-06-03T19:51:00Z</cp:lastPrinted>
  <dcterms:created xsi:type="dcterms:W3CDTF">2019-06-03T20:28:00Z</dcterms:created>
  <dcterms:modified xsi:type="dcterms:W3CDTF">2019-06-24T02:42:00Z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0x01010054E0FEF4951F9D49A6F48A35419983C7008E9F653992607943BF12EFF0178372FC</vt:lpwstr>
  </property>
  <property fmtid="{D5CDD505-2E9C-101B-9397-08002B2CF9AE}" pid="5" name="RatedBy">
    <vt:lpwstr/>
  </property>
  <property fmtid="{D5CDD505-2E9C-101B-9397-08002B2CF9AE}" pid="7" name="LikedBy">
    <vt:lpwstr/>
  </property>
</Properties>
</file>